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E616F48A682043299CE5AC8238BC8DE1"/>
        </w:placeholder>
        <w:group/>
      </w:sdtPr>
      <w:sdtEndPr/>
      <w:sdtContent>
        <w:p w14:paraId="2DA2BF95" w14:textId="77777777" w:rsidR="002C012B" w:rsidRPr="0008176F" w:rsidRDefault="002C012B" w:rsidP="006A0274">
          <w:pPr>
            <w:pStyle w:val="NoSpacing"/>
            <w:rPr>
              <w:caps/>
            </w:rPr>
          </w:pPr>
          <w:r w:rsidRPr="0008176F">
            <w:rPr>
              <w:caps/>
            </w:rPr>
            <w:t>University of Oklahoma</w:t>
          </w:r>
        </w:p>
        <w:p w14:paraId="579C7E9C" w14:textId="77777777" w:rsidR="002C012B" w:rsidRPr="0008176F" w:rsidRDefault="002C012B" w:rsidP="006A0274">
          <w:pPr>
            <w:pStyle w:val="NoSpacing"/>
            <w:rPr>
              <w:caps/>
            </w:rPr>
          </w:pPr>
        </w:p>
        <w:p w14:paraId="29B20B74" w14:textId="77777777" w:rsidR="002C012B" w:rsidRPr="0008176F" w:rsidRDefault="002C012B" w:rsidP="006A0274">
          <w:pPr>
            <w:pStyle w:val="NoSpacing"/>
            <w:rPr>
              <w:caps/>
            </w:rPr>
          </w:pPr>
          <w:r w:rsidRPr="0008176F">
            <w:rPr>
              <w:caps/>
            </w:rPr>
            <w:t>Graduate College</w:t>
          </w:r>
        </w:p>
      </w:sdtContent>
    </w:sdt>
    <w:p w14:paraId="2E6E2062" w14:textId="77777777" w:rsidR="002C012B" w:rsidRPr="0008176F" w:rsidRDefault="002C012B" w:rsidP="006A0274">
      <w:pPr>
        <w:pStyle w:val="NoSpacing"/>
        <w:rPr>
          <w:caps/>
        </w:rPr>
      </w:pPr>
    </w:p>
    <w:p w14:paraId="51DD0EC4" w14:textId="77777777" w:rsidR="002C012B" w:rsidRPr="0008176F" w:rsidRDefault="002C012B" w:rsidP="006A0274">
      <w:pPr>
        <w:pStyle w:val="NoSpacing"/>
        <w:rPr>
          <w:caps/>
        </w:rPr>
      </w:pPr>
    </w:p>
    <w:p w14:paraId="288C53C4" w14:textId="77777777" w:rsidR="002C012B" w:rsidRPr="0008176F" w:rsidRDefault="002C012B" w:rsidP="006A0274">
      <w:pPr>
        <w:pStyle w:val="NoSpacing"/>
        <w:rPr>
          <w:caps/>
        </w:rPr>
      </w:pPr>
    </w:p>
    <w:p w14:paraId="2A764286" w14:textId="77777777" w:rsidR="002C012B" w:rsidRPr="0008176F" w:rsidRDefault="002C012B" w:rsidP="006A0274">
      <w:pPr>
        <w:pStyle w:val="NoSpacing"/>
        <w:rPr>
          <w:caps/>
        </w:rPr>
      </w:pPr>
    </w:p>
    <w:p w14:paraId="15E2CAA0" w14:textId="77777777" w:rsidR="002C012B" w:rsidRPr="0008176F" w:rsidRDefault="002C012B" w:rsidP="006A0274">
      <w:pPr>
        <w:pStyle w:val="NoSpacing"/>
        <w:rPr>
          <w:caps/>
        </w:rPr>
      </w:pPr>
    </w:p>
    <w:p w14:paraId="38841B97" w14:textId="77777777" w:rsidR="002C012B" w:rsidRPr="0008176F" w:rsidRDefault="002C012B" w:rsidP="006A0274">
      <w:pPr>
        <w:pStyle w:val="NoSpacing"/>
        <w:rPr>
          <w:caps/>
        </w:rPr>
      </w:pPr>
    </w:p>
    <w:p w14:paraId="3F2343ED" w14:textId="77777777" w:rsidR="002C012B" w:rsidRPr="0008176F" w:rsidRDefault="002C012B" w:rsidP="006A0274">
      <w:pPr>
        <w:pStyle w:val="NoSpacing"/>
        <w:rPr>
          <w:caps/>
        </w:rPr>
      </w:pPr>
    </w:p>
    <w:p w14:paraId="46F1AD4B" w14:textId="38D89166" w:rsidR="002C012B" w:rsidRPr="0008176F" w:rsidRDefault="007B3686" w:rsidP="006A0274">
      <w:pPr>
        <w:pStyle w:val="NoSpacing"/>
        <w:spacing w:line="480" w:lineRule="auto"/>
        <w:rPr>
          <w:caps/>
        </w:rPr>
      </w:pPr>
      <w:sdt>
        <w:sdtPr>
          <w:rPr>
            <w:caps/>
          </w:rPr>
          <w:alias w:val="Click to enter thesis title"/>
          <w:tag w:val="Click to enter thesis title"/>
          <w:id w:val="30091832"/>
          <w:placeholder>
            <w:docPart w:val="E616F48A682043299CE5AC8238BC8DE1"/>
          </w:placeholder>
        </w:sdtPr>
        <w:sdtEndPr/>
        <w:sdtContent>
          <w:r w:rsidR="00143D7B">
            <w:rPr>
              <w:caps/>
            </w:rPr>
            <w:t xml:space="preserve">A COMPREHENSIVE STUDY ON MOISTURE ABSORPTION OF </w:t>
          </w:r>
          <w:r w:rsidR="004153B7">
            <w:rPr>
              <w:caps/>
            </w:rPr>
            <w:t xml:space="preserve">THERMOSETTING </w:t>
          </w:r>
          <w:r w:rsidR="00143D7B">
            <w:rPr>
              <w:caps/>
            </w:rPr>
            <w:t>POLYMERS</w:t>
          </w:r>
          <w:r w:rsidR="004153B7">
            <w:rPr>
              <w:caps/>
            </w:rPr>
            <w:t>,</w:t>
          </w:r>
          <w:r w:rsidR="00E92047">
            <w:rPr>
              <w:caps/>
            </w:rPr>
            <w:br/>
          </w:r>
          <w:r w:rsidR="004153B7">
            <w:rPr>
              <w:caps/>
            </w:rPr>
            <w:t xml:space="preserve"> MICRO- AND NANOCOMPOSITES, AND FOAMS</w:t>
          </w:r>
        </w:sdtContent>
      </w:sdt>
    </w:p>
    <w:p w14:paraId="4091FA0D" w14:textId="77777777" w:rsidR="002C012B" w:rsidRPr="0008176F" w:rsidRDefault="002C012B" w:rsidP="006A0274">
      <w:pPr>
        <w:pStyle w:val="NoSpacing"/>
        <w:rPr>
          <w:caps/>
        </w:rPr>
      </w:pPr>
    </w:p>
    <w:p w14:paraId="3B329C77" w14:textId="77777777" w:rsidR="002C012B" w:rsidRPr="0008176F" w:rsidRDefault="002C012B" w:rsidP="006A0274">
      <w:pPr>
        <w:pStyle w:val="NoSpacing"/>
        <w:rPr>
          <w:caps/>
        </w:rPr>
      </w:pPr>
    </w:p>
    <w:p w14:paraId="1FA94F9C" w14:textId="77777777" w:rsidR="002C012B" w:rsidRPr="0008176F" w:rsidRDefault="002C012B" w:rsidP="006A0274">
      <w:pPr>
        <w:pStyle w:val="NoSpacing"/>
        <w:rPr>
          <w:caps/>
        </w:rPr>
      </w:pPr>
    </w:p>
    <w:p w14:paraId="3D5FC700" w14:textId="77777777" w:rsidR="002C012B" w:rsidRPr="0008176F" w:rsidRDefault="002C012B" w:rsidP="006A0274">
      <w:pPr>
        <w:pStyle w:val="NoSpacing"/>
        <w:rPr>
          <w:caps/>
        </w:rPr>
      </w:pPr>
    </w:p>
    <w:p w14:paraId="1E620EBD" w14:textId="77777777" w:rsidR="002C012B" w:rsidRPr="0008176F" w:rsidRDefault="002C012B" w:rsidP="006A0274">
      <w:pPr>
        <w:pStyle w:val="NoSpacing"/>
        <w:rPr>
          <w:caps/>
        </w:rPr>
      </w:pPr>
    </w:p>
    <w:p w14:paraId="32DC23EE" w14:textId="77777777" w:rsidR="002C012B" w:rsidRPr="0008176F" w:rsidRDefault="002C012B" w:rsidP="006A0274">
      <w:pPr>
        <w:pStyle w:val="NoSpacing"/>
        <w:rPr>
          <w:caps/>
        </w:rPr>
      </w:pPr>
    </w:p>
    <w:p w14:paraId="425B2EF0" w14:textId="6C5FC702" w:rsidR="002C012B" w:rsidRPr="0008176F" w:rsidRDefault="00F7045A" w:rsidP="006A0274">
      <w:pPr>
        <w:pStyle w:val="NoSpacing"/>
        <w:rPr>
          <w:caps/>
        </w:rPr>
      </w:pPr>
      <w:r>
        <w:rPr>
          <w:caps/>
        </w:rPr>
        <w:t>A DISSERTATION</w:t>
      </w:r>
    </w:p>
    <w:p w14:paraId="3F247FFC" w14:textId="77777777" w:rsidR="002C012B" w:rsidRPr="0008176F" w:rsidRDefault="002C012B" w:rsidP="006A0274">
      <w:pPr>
        <w:pStyle w:val="NoSpacing"/>
        <w:rPr>
          <w:caps/>
        </w:rPr>
      </w:pPr>
    </w:p>
    <w:p w14:paraId="764EB55E" w14:textId="77777777" w:rsidR="002C012B" w:rsidRPr="0008176F" w:rsidRDefault="002C012B" w:rsidP="006A0274">
      <w:pPr>
        <w:pStyle w:val="NoSpacing"/>
        <w:rPr>
          <w:caps/>
        </w:rPr>
      </w:pPr>
      <w:r w:rsidRPr="0008176F">
        <w:rPr>
          <w:caps/>
        </w:rPr>
        <w:t>submitted to the Graduate Faculty</w:t>
      </w:r>
    </w:p>
    <w:p w14:paraId="4490DAA6" w14:textId="77777777" w:rsidR="002C012B" w:rsidRDefault="002C012B" w:rsidP="006A0274">
      <w:pPr>
        <w:pStyle w:val="NoSpacing"/>
      </w:pPr>
    </w:p>
    <w:p w14:paraId="0420E3C1" w14:textId="77777777" w:rsidR="002C012B" w:rsidRDefault="002C012B" w:rsidP="006A0274">
      <w:pPr>
        <w:pStyle w:val="NoSpacing"/>
      </w:pPr>
      <w:proofErr w:type="gramStart"/>
      <w:r>
        <w:t>in</w:t>
      </w:r>
      <w:proofErr w:type="gramEnd"/>
      <w:r>
        <w:t xml:space="preserve"> partial fulfillment of the requirements for the</w:t>
      </w:r>
    </w:p>
    <w:p w14:paraId="7CCE2798" w14:textId="77777777" w:rsidR="002C012B" w:rsidRDefault="002C012B" w:rsidP="006A0274">
      <w:pPr>
        <w:pStyle w:val="NoSpacing"/>
      </w:pPr>
    </w:p>
    <w:p w14:paraId="0BD1F32D" w14:textId="78091F50" w:rsidR="002C012B" w:rsidRDefault="002C012B" w:rsidP="006A0274">
      <w:pPr>
        <w:pStyle w:val="NoSpacing"/>
      </w:pPr>
      <w:r>
        <w:t>Degree of</w:t>
      </w:r>
    </w:p>
    <w:p w14:paraId="106AA9B1" w14:textId="77777777" w:rsidR="002C012B" w:rsidRDefault="002C012B" w:rsidP="006A0274">
      <w:pPr>
        <w:pStyle w:val="NoSpacing"/>
      </w:pPr>
    </w:p>
    <w:p w14:paraId="66FCA272" w14:textId="3C0FBFBB" w:rsidR="002C012B" w:rsidRDefault="00F7045A" w:rsidP="006A0274">
      <w:pPr>
        <w:pStyle w:val="NoSpacing"/>
        <w:spacing w:line="480" w:lineRule="auto"/>
        <w:rPr>
          <w:caps/>
        </w:rPr>
      </w:pPr>
      <w:r>
        <w:rPr>
          <w:caps/>
        </w:rPr>
        <w:t>DOCTOR</w:t>
      </w:r>
      <w:r w:rsidR="007B0790">
        <w:rPr>
          <w:caps/>
        </w:rPr>
        <w:t xml:space="preserve"> </w:t>
      </w:r>
      <w:r>
        <w:rPr>
          <w:caps/>
        </w:rPr>
        <w:t xml:space="preserve">OF </w:t>
      </w:r>
      <w:r w:rsidRPr="00F7045A">
        <w:rPr>
          <w:caps/>
        </w:rPr>
        <w:t>Philosophy</w:t>
      </w:r>
    </w:p>
    <w:p w14:paraId="04F0E3A2" w14:textId="77777777" w:rsidR="002C012B" w:rsidRDefault="002C012B" w:rsidP="006A0274">
      <w:pPr>
        <w:pStyle w:val="NoSpacing"/>
      </w:pPr>
    </w:p>
    <w:p w14:paraId="285966C4" w14:textId="77777777" w:rsidR="002C012B" w:rsidRDefault="002C012B" w:rsidP="006A0274">
      <w:pPr>
        <w:pStyle w:val="NoSpacing"/>
      </w:pPr>
    </w:p>
    <w:p w14:paraId="08C8276D" w14:textId="77777777" w:rsidR="002C012B" w:rsidRDefault="002C012B" w:rsidP="006A0274">
      <w:pPr>
        <w:pStyle w:val="NoSpacing"/>
      </w:pPr>
    </w:p>
    <w:p w14:paraId="07A9E5A8" w14:textId="77777777" w:rsidR="002C012B" w:rsidRDefault="002C012B" w:rsidP="006A0274">
      <w:pPr>
        <w:pStyle w:val="NoSpacing"/>
      </w:pPr>
    </w:p>
    <w:p w14:paraId="5092BFD1" w14:textId="77777777" w:rsidR="002C012B" w:rsidRDefault="002C012B" w:rsidP="006A0274">
      <w:pPr>
        <w:pStyle w:val="NoSpacing"/>
      </w:pPr>
    </w:p>
    <w:p w14:paraId="28D5A552" w14:textId="77777777" w:rsidR="002C012B" w:rsidRDefault="002C012B" w:rsidP="006A0274">
      <w:pPr>
        <w:pStyle w:val="NoSpacing"/>
      </w:pPr>
    </w:p>
    <w:p w14:paraId="2733FFF3" w14:textId="77777777" w:rsidR="002C012B" w:rsidRDefault="002C012B" w:rsidP="006A0274">
      <w:pPr>
        <w:pStyle w:val="NoSpacing"/>
      </w:pPr>
      <w:r>
        <w:t>By</w:t>
      </w:r>
    </w:p>
    <w:p w14:paraId="10EED9DB" w14:textId="77777777" w:rsidR="002C012B" w:rsidRDefault="002C012B" w:rsidP="006A0274">
      <w:pPr>
        <w:pStyle w:val="NoSpacing"/>
      </w:pPr>
    </w:p>
    <w:sdt>
      <w:sdtPr>
        <w:rPr>
          <w:caps/>
        </w:rPr>
        <w:alias w:val="Click to enter your name (must match University records)"/>
        <w:tag w:val="Click to enter your name (must match University records)"/>
        <w:id w:val="24310776"/>
        <w:placeholder>
          <w:docPart w:val="F74EC93BB6734FA0BBCB9E5914650453"/>
        </w:placeholder>
      </w:sdtPr>
      <w:sdtEndPr/>
      <w:sdtContent>
        <w:p w14:paraId="36287276" w14:textId="20E7CE09" w:rsidR="002C012B" w:rsidRDefault="00BD1D7B" w:rsidP="006A0274">
          <w:pPr>
            <w:pStyle w:val="NoSpacing"/>
            <w:rPr>
              <w:caps/>
            </w:rPr>
          </w:pPr>
          <w:r>
            <w:rPr>
              <w:caps/>
            </w:rPr>
            <w:t>Gorkem E</w:t>
          </w:r>
          <w:r w:rsidR="00061D55">
            <w:rPr>
              <w:caps/>
            </w:rPr>
            <w:t>gemen</w:t>
          </w:r>
          <w:r>
            <w:rPr>
              <w:caps/>
            </w:rPr>
            <w:t xml:space="preserve"> guloglu</w:t>
          </w:r>
        </w:p>
      </w:sdtContent>
    </w:sdt>
    <w:sdt>
      <w:sdtPr>
        <w:id w:val="30091838"/>
        <w:lock w:val="contentLocked"/>
        <w:placeholder>
          <w:docPart w:val="E616F48A682043299CE5AC8238BC8DE1"/>
        </w:placeholder>
        <w:group/>
      </w:sdtPr>
      <w:sdtEndPr/>
      <w:sdtContent>
        <w:p w14:paraId="48BBF2C8" w14:textId="77777777" w:rsidR="002C012B" w:rsidRDefault="002C012B" w:rsidP="006A0274">
          <w:pPr>
            <w:pStyle w:val="NoSpacing"/>
          </w:pPr>
          <w:r>
            <w:t xml:space="preserve"> Norman, Oklahoma</w:t>
          </w:r>
        </w:p>
      </w:sdtContent>
    </w:sdt>
    <w:p w14:paraId="6D5DBB4B" w14:textId="28F73CFD" w:rsidR="002C012B" w:rsidRDefault="007B3686" w:rsidP="006A0274">
      <w:pPr>
        <w:pStyle w:val="NoSpacing"/>
      </w:pPr>
      <w:sdt>
        <w:sdtPr>
          <w:alias w:val="Click to enter the year you are depositing the thesis"/>
          <w:tag w:val="Click to enter the year you are depositing the thesis"/>
          <w:id w:val="30091842"/>
          <w:placeholder>
            <w:docPart w:val="E616F48A682043299CE5AC8238BC8DE1"/>
          </w:placeholder>
        </w:sdtPr>
        <w:sdtEndPr/>
        <w:sdtContent>
          <w:r w:rsidR="00B128BF">
            <w:t>2018</w:t>
          </w:r>
        </w:sdtContent>
      </w:sdt>
    </w:p>
    <w:p w14:paraId="1B1BA4B8" w14:textId="77777777" w:rsidR="005A239F" w:rsidRDefault="005A239F" w:rsidP="006A0274">
      <w:pPr>
        <w:pStyle w:val="NoSpacing"/>
      </w:pPr>
    </w:p>
    <w:p w14:paraId="01CD1578" w14:textId="77777777" w:rsidR="005A239F" w:rsidRDefault="005A239F" w:rsidP="006A0274">
      <w:pPr>
        <w:pStyle w:val="NoSpacing"/>
      </w:pPr>
    </w:p>
    <w:sdt>
      <w:sdtPr>
        <w:rPr>
          <w:caps/>
        </w:rPr>
        <w:alias w:val="Click to enter thesis title"/>
        <w:tag w:val="Click to enter thesis title"/>
        <w:id w:val="30091843"/>
        <w:placeholder>
          <w:docPart w:val="6989DCF1E1B0435E920C73673223E677"/>
        </w:placeholder>
      </w:sdtPr>
      <w:sdtEndPr/>
      <w:sdtContent>
        <w:p w14:paraId="69B1DF71" w14:textId="564DCD11" w:rsidR="007A0CD7" w:rsidRPr="00730F0A" w:rsidRDefault="007B3686" w:rsidP="00ED670C">
          <w:pPr>
            <w:pStyle w:val="NoSpacing"/>
            <w:spacing w:line="480" w:lineRule="auto"/>
            <w:rPr>
              <w:caps/>
            </w:rPr>
          </w:pPr>
          <w:sdt>
            <w:sdtPr>
              <w:rPr>
                <w:caps/>
              </w:rPr>
              <w:alias w:val="Click to enter thesis title"/>
              <w:tag w:val="Click to enter thesis title"/>
              <w:id w:val="-777484682"/>
              <w:placeholder>
                <w:docPart w:val="A3080C5DD9C64442841650E5F0BE2A61"/>
              </w:placeholder>
            </w:sdtPr>
            <w:sdtEndPr/>
            <w:sdtContent>
              <w:sdt>
                <w:sdtPr>
                  <w:rPr>
                    <w:caps/>
                  </w:rPr>
                  <w:alias w:val="Click to enter thesis title"/>
                  <w:tag w:val="Click to enter thesis title"/>
                  <w:id w:val="-243272311"/>
                  <w:placeholder>
                    <w:docPart w:val="5041D6E1BB4A47A49FEE9A3BD57A91BE"/>
                  </w:placeholder>
                </w:sdtPr>
                <w:sdtEndPr/>
                <w:sdtContent>
                  <w:sdt>
                    <w:sdtPr>
                      <w:rPr>
                        <w:caps/>
                      </w:rPr>
                      <w:alias w:val="Click to enter thesis title"/>
                      <w:tag w:val="Click to enter thesis title"/>
                      <w:id w:val="-1819418619"/>
                      <w:placeholder>
                        <w:docPart w:val="1A05D11A822A43E5A994CA9C04D12216"/>
                      </w:placeholder>
                    </w:sdtPr>
                    <w:sdtEndPr/>
                    <w:sdtContent>
                      <w:sdt>
                        <w:sdtPr>
                          <w:rPr>
                            <w:caps/>
                          </w:rPr>
                          <w:alias w:val="Click to enter thesis title"/>
                          <w:tag w:val="Click to enter thesis title"/>
                          <w:id w:val="2020268103"/>
                          <w:placeholder>
                            <w:docPart w:val="8D154548A59C4272BDF4FAAEC8955C26"/>
                          </w:placeholder>
                        </w:sdtPr>
                        <w:sdtEndPr/>
                        <w:sdtContent>
                          <w:r w:rsidR="001B0575">
                            <w:rPr>
                              <w:caps/>
                            </w:rPr>
                            <w:t>A COMPREHENSIVE STUDY ON MOISTURE ABSORPTION OF</w:t>
                          </w:r>
                          <w:r w:rsidR="00E92047">
                            <w:rPr>
                              <w:caps/>
                            </w:rPr>
                            <w:t xml:space="preserve"> </w:t>
                          </w:r>
                          <w:r w:rsidR="001B0575">
                            <w:rPr>
                              <w:caps/>
                            </w:rPr>
                            <w:t>THERMOSETTING POLYMERS</w:t>
                          </w:r>
                          <w:proofErr w:type="gramStart"/>
                          <w:r w:rsidR="001B0575">
                            <w:rPr>
                              <w:caps/>
                            </w:rPr>
                            <w:t>,</w:t>
                          </w:r>
                          <w:proofErr w:type="gramEnd"/>
                          <w:r w:rsidR="00E92047">
                            <w:rPr>
                              <w:caps/>
                            </w:rPr>
                            <w:br/>
                          </w:r>
                          <w:r w:rsidR="001B0575">
                            <w:rPr>
                              <w:caps/>
                            </w:rPr>
                            <w:t>MICRO- AND NANOCOMPOSITES, AND FOAMS</w:t>
                          </w:r>
                        </w:sdtContent>
                      </w:sdt>
                    </w:sdtContent>
                  </w:sdt>
                  <w:r w:rsidR="00143D7B">
                    <w:rPr>
                      <w:caps/>
                    </w:rPr>
                    <w:t xml:space="preserve"> </w:t>
                  </w:r>
                </w:sdtContent>
              </w:sdt>
            </w:sdtContent>
          </w:sdt>
        </w:p>
      </w:sdtContent>
    </w:sdt>
    <w:p w14:paraId="67D5D2B5" w14:textId="77777777" w:rsidR="007A0CD7" w:rsidRDefault="007A0CD7" w:rsidP="007A0CD7">
      <w:pPr>
        <w:pStyle w:val="NoSpacing"/>
        <w:rPr>
          <w:caps/>
        </w:rPr>
      </w:pPr>
    </w:p>
    <w:p w14:paraId="4C502D1F" w14:textId="77777777" w:rsidR="001B0575" w:rsidRDefault="001B0575" w:rsidP="007A0CD7">
      <w:pPr>
        <w:pStyle w:val="NoSpacing"/>
        <w:rPr>
          <w:caps/>
        </w:rPr>
      </w:pPr>
    </w:p>
    <w:p w14:paraId="1985540A" w14:textId="77777777" w:rsidR="001B0575" w:rsidRDefault="001B0575" w:rsidP="007A0CD7">
      <w:pPr>
        <w:pStyle w:val="NoSpacing"/>
        <w:rPr>
          <w:caps/>
        </w:rPr>
      </w:pPr>
    </w:p>
    <w:p w14:paraId="03A5E47F" w14:textId="77777777" w:rsidR="001B0575" w:rsidRDefault="001B0575" w:rsidP="007A0CD7">
      <w:pPr>
        <w:pStyle w:val="NoSpacing"/>
        <w:rPr>
          <w:caps/>
        </w:rPr>
      </w:pPr>
    </w:p>
    <w:p w14:paraId="2AF5B3E3" w14:textId="77777777" w:rsidR="001B0575" w:rsidRPr="00730F0A" w:rsidRDefault="001B0575" w:rsidP="007A0CD7">
      <w:pPr>
        <w:pStyle w:val="NoSpacing"/>
        <w:rPr>
          <w:caps/>
        </w:rPr>
      </w:pPr>
    </w:p>
    <w:p w14:paraId="11014FBC" w14:textId="77777777" w:rsidR="007A0CD7" w:rsidRPr="00730F0A" w:rsidRDefault="007A0CD7" w:rsidP="007A0CD7">
      <w:pPr>
        <w:pStyle w:val="NoSpacing"/>
        <w:rPr>
          <w:caps/>
        </w:rPr>
      </w:pPr>
    </w:p>
    <w:p w14:paraId="7A5C9AF0" w14:textId="4E1200B7" w:rsidR="007A0CD7" w:rsidRPr="00730F0A" w:rsidRDefault="00F7045A" w:rsidP="007A0CD7">
      <w:pPr>
        <w:pStyle w:val="NoSpacing"/>
        <w:rPr>
          <w:caps/>
        </w:rPr>
      </w:pPr>
      <w:r>
        <w:rPr>
          <w:caps/>
        </w:rPr>
        <w:t>A dissertation</w:t>
      </w:r>
      <w:r w:rsidR="007A0CD7" w:rsidRPr="00730F0A">
        <w:rPr>
          <w:caps/>
        </w:rPr>
        <w:t xml:space="preserve"> approved for the</w:t>
      </w:r>
    </w:p>
    <w:sdt>
      <w:sdtPr>
        <w:rPr>
          <w:caps/>
        </w:rPr>
        <w:alias w:val="Select the exact name of your academic unit"/>
        <w:tag w:val="Exact name of your academic unit in ALL CAPS"/>
        <w:id w:val="8173889"/>
        <w:placeholder>
          <w:docPart w:val="A3E4F75DD96D4B72A425A8FFDC8B408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DB0D981" w14:textId="6A5AD8BA" w:rsidR="007A0CD7" w:rsidRDefault="0023077F" w:rsidP="007A0CD7">
          <w:pPr>
            <w:pStyle w:val="NoSpacing"/>
            <w:rPr>
              <w:caps/>
            </w:rPr>
          </w:pPr>
          <w:r>
            <w:rPr>
              <w:caps/>
            </w:rPr>
            <w:t>School of Aerospace and Mechanical Engineering</w:t>
          </w:r>
        </w:p>
      </w:sdtContent>
    </w:sdt>
    <w:p w14:paraId="14950E7F" w14:textId="77777777" w:rsidR="007A0CD7" w:rsidRPr="00730F0A" w:rsidRDefault="007A0CD7" w:rsidP="007A0CD7">
      <w:pPr>
        <w:pStyle w:val="NoSpacing"/>
        <w:rPr>
          <w:caps/>
        </w:rPr>
      </w:pPr>
    </w:p>
    <w:p w14:paraId="3559CF71" w14:textId="77777777" w:rsidR="007A0CD7" w:rsidRPr="00730F0A" w:rsidRDefault="007A0CD7" w:rsidP="007A0CD7">
      <w:pPr>
        <w:pStyle w:val="NoSpacing"/>
        <w:rPr>
          <w:caps/>
        </w:rPr>
      </w:pPr>
    </w:p>
    <w:p w14:paraId="5177E975" w14:textId="77777777" w:rsidR="007A0CD7" w:rsidRDefault="007A0CD7" w:rsidP="007A0CD7">
      <w:pPr>
        <w:pStyle w:val="NoSpacing"/>
        <w:rPr>
          <w:caps/>
        </w:rPr>
      </w:pPr>
    </w:p>
    <w:p w14:paraId="33BD5E28" w14:textId="77777777" w:rsidR="005A239F" w:rsidRDefault="005A239F" w:rsidP="007A0CD7">
      <w:pPr>
        <w:pStyle w:val="NoSpacing"/>
        <w:rPr>
          <w:caps/>
        </w:rPr>
      </w:pPr>
    </w:p>
    <w:p w14:paraId="4CB98F74" w14:textId="77777777" w:rsidR="005A239F" w:rsidRDefault="005A239F" w:rsidP="007A0CD7">
      <w:pPr>
        <w:pStyle w:val="NoSpacing"/>
        <w:rPr>
          <w:caps/>
        </w:rPr>
      </w:pPr>
    </w:p>
    <w:p w14:paraId="52A6D8AF" w14:textId="77777777" w:rsidR="001B0575" w:rsidRDefault="001B0575" w:rsidP="007A0CD7">
      <w:pPr>
        <w:pStyle w:val="NoSpacing"/>
        <w:rPr>
          <w:caps/>
        </w:rPr>
      </w:pPr>
    </w:p>
    <w:p w14:paraId="65D3A676" w14:textId="77777777" w:rsidR="001B0575" w:rsidRDefault="001B0575" w:rsidP="007A0CD7">
      <w:pPr>
        <w:pStyle w:val="NoSpacing"/>
        <w:rPr>
          <w:caps/>
        </w:rPr>
      </w:pPr>
    </w:p>
    <w:p w14:paraId="6F473344" w14:textId="77777777" w:rsidR="007A0CD7" w:rsidRPr="00730F0A" w:rsidRDefault="007A0CD7" w:rsidP="007A0CD7">
      <w:pPr>
        <w:pStyle w:val="NoSpacing"/>
        <w:rPr>
          <w:caps/>
        </w:rPr>
      </w:pPr>
    </w:p>
    <w:sdt>
      <w:sdtPr>
        <w:rPr>
          <w:caps/>
          <w:color w:val="808080"/>
        </w:rPr>
        <w:id w:val="30091876"/>
        <w:lock w:val="contentLocked"/>
        <w:placeholder>
          <w:docPart w:val="6989DCF1E1B0435E920C73673223E677"/>
        </w:placeholder>
        <w:group/>
      </w:sdtPr>
      <w:sdtEndPr/>
      <w:sdtContent>
        <w:p w14:paraId="1986A686" w14:textId="77777777" w:rsidR="007A0CD7" w:rsidRPr="00730F0A" w:rsidRDefault="007A0CD7" w:rsidP="007A0CD7">
          <w:pPr>
            <w:pStyle w:val="NoSpacing"/>
            <w:rPr>
              <w:caps/>
            </w:rPr>
          </w:pPr>
          <w:r w:rsidRPr="00730F0A">
            <w:rPr>
              <w:caps/>
            </w:rPr>
            <w:t>By</w:t>
          </w:r>
        </w:p>
      </w:sdtContent>
    </w:sdt>
    <w:p w14:paraId="6BB816A0" w14:textId="77777777" w:rsidR="005A239F" w:rsidRDefault="005A239F" w:rsidP="007A0CD7">
      <w:pPr>
        <w:pStyle w:val="NoSpacing"/>
      </w:pPr>
    </w:p>
    <w:p w14:paraId="456E89D8" w14:textId="77777777" w:rsidR="00ED670C" w:rsidRDefault="00ED670C" w:rsidP="00F7045A">
      <w:pPr>
        <w:pStyle w:val="NoSpacing"/>
      </w:pPr>
    </w:p>
    <w:p w14:paraId="750A4D54" w14:textId="77777777" w:rsidR="00AC291A" w:rsidRDefault="00AC291A" w:rsidP="00F7045A">
      <w:pPr>
        <w:pStyle w:val="NoSpacing"/>
      </w:pPr>
    </w:p>
    <w:p w14:paraId="0745EB8E" w14:textId="77777777" w:rsidR="00ED670C" w:rsidRDefault="00ED670C" w:rsidP="007A0CD7">
      <w:pPr>
        <w:pStyle w:val="NoSpacing"/>
      </w:pPr>
      <w:bookmarkStart w:id="0" w:name="_GoBack"/>
      <w:bookmarkEnd w:id="0"/>
    </w:p>
    <w:p w14:paraId="1A70B9D4" w14:textId="77777777" w:rsidR="00F7045A" w:rsidRDefault="00F7045A" w:rsidP="007A0CD7">
      <w:pPr>
        <w:pStyle w:val="NoSpacing"/>
      </w:pPr>
    </w:p>
    <w:p w14:paraId="3FC6CBDC" w14:textId="6D19D28D" w:rsidR="007A0CD7" w:rsidRDefault="007B3686" w:rsidP="007A0CD7">
      <w:pPr>
        <w:pStyle w:val="NoSpacing"/>
        <w:jc w:val="right"/>
      </w:pPr>
      <w:sdt>
        <w:sdtPr>
          <w:alias w:val="Select the appropriate prefix"/>
          <w:tag w:val="Prefix"/>
          <w:id w:val="3768269"/>
          <w:placeholder>
            <w:docPart w:val="47AB6FB09DB04DDA9459D8F89D532BBA"/>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3077F">
            <w:t>Dr.</w:t>
          </w:r>
        </w:sdtContent>
      </w:sdt>
      <w:r w:rsidR="007A0CD7">
        <w:t xml:space="preserve"> </w:t>
      </w:r>
      <w:sdt>
        <w:sdtPr>
          <w:alias w:val="Click to enter committee chair name"/>
          <w:tag w:val="committee chair"/>
          <w:id w:val="30091849"/>
          <w:placeholder>
            <w:docPart w:val="6989DCF1E1B0435E920C73673223E677"/>
          </w:placeholder>
        </w:sdtPr>
        <w:sdtEndPr/>
        <w:sdtContent>
          <w:r w:rsidR="004D380F">
            <w:t xml:space="preserve">M. </w:t>
          </w:r>
          <w:proofErr w:type="spellStart"/>
          <w:r w:rsidR="004D380F">
            <w:t>Cengiz</w:t>
          </w:r>
          <w:proofErr w:type="spellEnd"/>
          <w:r w:rsidR="004D380F">
            <w:t xml:space="preserve"> </w:t>
          </w:r>
          <w:proofErr w:type="spellStart"/>
          <w:r w:rsidR="004D380F">
            <w:t>Altan</w:t>
          </w:r>
          <w:proofErr w:type="spellEnd"/>
        </w:sdtContent>
      </w:sdt>
      <w:r w:rsidR="007A0CD7">
        <w:t>, Chair</w:t>
      </w:r>
    </w:p>
    <w:p w14:paraId="48879CF9" w14:textId="77777777" w:rsidR="007A0CD7" w:rsidRDefault="007A0CD7" w:rsidP="007A0CD7">
      <w:pPr>
        <w:pStyle w:val="NoSpacing"/>
        <w:jc w:val="right"/>
      </w:pPr>
    </w:p>
    <w:p w14:paraId="27458036" w14:textId="77777777" w:rsidR="00AC291A" w:rsidRDefault="00AC291A" w:rsidP="007A0CD7">
      <w:pPr>
        <w:pStyle w:val="NoSpacing"/>
        <w:jc w:val="right"/>
      </w:pPr>
    </w:p>
    <w:p w14:paraId="159DE56F" w14:textId="77777777" w:rsidR="007A0CD7" w:rsidRDefault="007A0CD7" w:rsidP="007A0CD7">
      <w:pPr>
        <w:pStyle w:val="NoSpacing"/>
        <w:jc w:val="right"/>
      </w:pPr>
    </w:p>
    <w:p w14:paraId="383B7876" w14:textId="66A7092A" w:rsidR="007A0CD7" w:rsidRDefault="007B3686" w:rsidP="007A0CD7">
      <w:pPr>
        <w:pStyle w:val="NoSpacing"/>
        <w:jc w:val="right"/>
      </w:pPr>
      <w:sdt>
        <w:sdtPr>
          <w:alias w:val="Select the appropriate prefix"/>
          <w:tag w:val="Prefix"/>
          <w:id w:val="8173872"/>
          <w:placeholder>
            <w:docPart w:val="14621F33134B40278B0391B4FC0FBCAF"/>
          </w:placeholder>
          <w:dropDownList>
            <w:listItem w:displayText="[Prefix]" w:value="[Prefix]"/>
            <w:listItem w:displayText="Dr." w:value="Dr."/>
            <w:listItem w:displayText="Mr." w:value="Mr."/>
            <w:listItem w:displayText="Mrs." w:value="Mrs."/>
            <w:listItem w:displayText="Ms." w:value="Ms."/>
          </w:dropDownList>
        </w:sdtPr>
        <w:sdtEndPr/>
        <w:sdtContent>
          <w:r w:rsidR="0023077F">
            <w:t>Dr.</w:t>
          </w:r>
        </w:sdtContent>
      </w:sdt>
      <w:r w:rsidR="007A0CD7">
        <w:t xml:space="preserve"> </w:t>
      </w:r>
      <w:sdt>
        <w:sdtPr>
          <w:alias w:val="Click to enter 2nd member name"/>
          <w:tag w:val="2nd member"/>
          <w:id w:val="30091850"/>
          <w:placeholder>
            <w:docPart w:val="7494FC4762CB433FA6D1125CC5FF5ABA"/>
          </w:placeholder>
        </w:sdtPr>
        <w:sdtEndPr/>
        <w:sdtContent>
          <w:proofErr w:type="spellStart"/>
          <w:r w:rsidR="004D380F">
            <w:t>Mrinal</w:t>
          </w:r>
          <w:proofErr w:type="spellEnd"/>
          <w:r w:rsidR="00796AA6">
            <w:t xml:space="preserve"> C.</w:t>
          </w:r>
          <w:r w:rsidR="004D380F">
            <w:t xml:space="preserve"> </w:t>
          </w:r>
          <w:proofErr w:type="spellStart"/>
          <w:r w:rsidR="004D380F">
            <w:t>Saha</w:t>
          </w:r>
          <w:proofErr w:type="spellEnd"/>
        </w:sdtContent>
      </w:sdt>
    </w:p>
    <w:p w14:paraId="5C89140B" w14:textId="77777777" w:rsidR="007A0CD7" w:rsidRDefault="007A0CD7" w:rsidP="007A0CD7">
      <w:pPr>
        <w:pStyle w:val="NoSpacing"/>
        <w:jc w:val="right"/>
      </w:pPr>
    </w:p>
    <w:p w14:paraId="3054524A" w14:textId="77777777" w:rsidR="00AC291A" w:rsidRDefault="00AC291A" w:rsidP="007A0CD7">
      <w:pPr>
        <w:pStyle w:val="NoSpacing"/>
        <w:jc w:val="right"/>
      </w:pPr>
    </w:p>
    <w:p w14:paraId="11D2C749" w14:textId="77777777" w:rsidR="007A0CD7" w:rsidRDefault="007A0CD7" w:rsidP="007A0CD7">
      <w:pPr>
        <w:pStyle w:val="NoSpacing"/>
        <w:jc w:val="right"/>
      </w:pPr>
    </w:p>
    <w:p w14:paraId="0A3654DF" w14:textId="20B03592" w:rsidR="007A0CD7" w:rsidRDefault="007B3686" w:rsidP="007A0CD7">
      <w:pPr>
        <w:pStyle w:val="NoSpacing"/>
        <w:jc w:val="right"/>
      </w:pPr>
      <w:sdt>
        <w:sdtPr>
          <w:alias w:val="Select the appropriate prefix"/>
          <w:tag w:val="Prefix"/>
          <w:id w:val="30091851"/>
          <w:placeholder>
            <w:docPart w:val="1C9154B54D56409FA383CCCD5F4EDD01"/>
          </w:placeholder>
          <w:dropDownList>
            <w:listItem w:displayText="[Prefix]" w:value="[Prefix]"/>
            <w:listItem w:displayText="Dr." w:value="Dr."/>
            <w:listItem w:displayText="Mr." w:value="Mr."/>
            <w:listItem w:displayText="Mrs." w:value="Mrs."/>
            <w:listItem w:displayText="Ms." w:value="Ms."/>
          </w:dropDownList>
        </w:sdtPr>
        <w:sdtEndPr/>
        <w:sdtContent>
          <w:r w:rsidR="0023077F">
            <w:t>Dr.</w:t>
          </w:r>
        </w:sdtContent>
      </w:sdt>
      <w:r w:rsidR="007A0CD7">
        <w:t xml:space="preserve"> </w:t>
      </w:r>
      <w:sdt>
        <w:sdtPr>
          <w:alias w:val="Click to enter 3rd member name"/>
          <w:tag w:val="3rd member"/>
          <w:id w:val="30091852"/>
          <w:placeholder>
            <w:docPart w:val="29E7E76C3AF44F3285A24C9B2D79E9BE"/>
          </w:placeholder>
        </w:sdtPr>
        <w:sdtEndPr/>
        <w:sdtContent>
          <w:proofErr w:type="spellStart"/>
          <w:r w:rsidR="003E36BD">
            <w:t>Zahed</w:t>
          </w:r>
          <w:proofErr w:type="spellEnd"/>
          <w:r w:rsidR="003E36BD">
            <w:t xml:space="preserve"> Siddique</w:t>
          </w:r>
        </w:sdtContent>
      </w:sdt>
    </w:p>
    <w:p w14:paraId="6F140911" w14:textId="77777777" w:rsidR="00F7045A" w:rsidRDefault="00F7045A" w:rsidP="007A0CD7">
      <w:pPr>
        <w:pStyle w:val="NoSpacing"/>
        <w:jc w:val="right"/>
      </w:pPr>
    </w:p>
    <w:p w14:paraId="39C3ADB1" w14:textId="77777777" w:rsidR="00F7045A" w:rsidRDefault="00F7045A" w:rsidP="007A0CD7">
      <w:pPr>
        <w:pStyle w:val="NoSpacing"/>
        <w:jc w:val="right"/>
      </w:pPr>
    </w:p>
    <w:p w14:paraId="2DE59CFA" w14:textId="77777777" w:rsidR="00AC291A" w:rsidRDefault="00AC291A" w:rsidP="007A0CD7">
      <w:pPr>
        <w:pStyle w:val="NoSpacing"/>
        <w:jc w:val="right"/>
      </w:pPr>
    </w:p>
    <w:p w14:paraId="60719ABC" w14:textId="3B162799" w:rsidR="00F7045A" w:rsidRDefault="007B3686" w:rsidP="00F7045A">
      <w:pPr>
        <w:pStyle w:val="NoSpacing"/>
        <w:jc w:val="right"/>
      </w:pPr>
      <w:sdt>
        <w:sdtPr>
          <w:alias w:val="Select the appropriate prefix"/>
          <w:tag w:val="Prefix"/>
          <w:id w:val="27464344"/>
          <w:placeholder>
            <w:docPart w:val="8017358F4DAE42B2892167DBC2D51627"/>
          </w:placeholder>
          <w:dropDownList>
            <w:listItem w:displayText="[Prefix]" w:value="[Prefix]"/>
            <w:listItem w:displayText="Dr." w:value="Dr."/>
            <w:listItem w:displayText="Mr." w:value="Mr."/>
            <w:listItem w:displayText="Mrs." w:value="Mrs."/>
            <w:listItem w:displayText="Ms." w:value="Ms."/>
          </w:dropDownList>
        </w:sdtPr>
        <w:sdtEndPr/>
        <w:sdtContent>
          <w:r w:rsidR="0023077F">
            <w:t>Dr.</w:t>
          </w:r>
        </w:sdtContent>
      </w:sdt>
      <w:r w:rsidR="00F7045A">
        <w:t xml:space="preserve"> </w:t>
      </w:r>
      <w:sdt>
        <w:sdtPr>
          <w:alias w:val="Click to enter 2nd member name"/>
          <w:tag w:val="2nd member"/>
          <w:id w:val="-1910843530"/>
          <w:placeholder>
            <w:docPart w:val="18B62862A95E4D529A73D4C2F5244E9F"/>
          </w:placeholder>
        </w:sdtPr>
        <w:sdtEndPr/>
        <w:sdtContent>
          <w:proofErr w:type="spellStart"/>
          <w:r w:rsidR="00F7045A">
            <w:t>Yingtao</w:t>
          </w:r>
          <w:proofErr w:type="spellEnd"/>
          <w:r w:rsidR="00F7045A">
            <w:t xml:space="preserve"> Liu</w:t>
          </w:r>
        </w:sdtContent>
      </w:sdt>
    </w:p>
    <w:p w14:paraId="014A10F1" w14:textId="77777777" w:rsidR="00F7045A" w:rsidRDefault="00F7045A" w:rsidP="00F7045A">
      <w:pPr>
        <w:pStyle w:val="NoSpacing"/>
        <w:jc w:val="right"/>
      </w:pPr>
    </w:p>
    <w:p w14:paraId="11789D95" w14:textId="77777777" w:rsidR="00F7045A" w:rsidRDefault="00F7045A" w:rsidP="00F7045A">
      <w:pPr>
        <w:pStyle w:val="NoSpacing"/>
        <w:jc w:val="right"/>
      </w:pPr>
    </w:p>
    <w:p w14:paraId="5FEED53D" w14:textId="77777777" w:rsidR="00AC291A" w:rsidRDefault="00AC291A" w:rsidP="00F7045A">
      <w:pPr>
        <w:pStyle w:val="NoSpacing"/>
        <w:jc w:val="right"/>
      </w:pPr>
    </w:p>
    <w:p w14:paraId="431870B9" w14:textId="58DF813C" w:rsidR="004D380F" w:rsidRDefault="007B3686" w:rsidP="00F7045A">
      <w:pPr>
        <w:pStyle w:val="NoSpacing"/>
        <w:jc w:val="right"/>
      </w:pPr>
      <w:sdt>
        <w:sdtPr>
          <w:alias w:val="Select the appropriate prefix"/>
          <w:tag w:val="Prefix"/>
          <w:id w:val="985290133"/>
          <w:placeholder>
            <w:docPart w:val="D2AD18CEEC544ECEBC1C95FC1FF6BC6C"/>
          </w:placeholder>
          <w:dropDownList>
            <w:listItem w:displayText="[Prefix]" w:value="[Prefix]"/>
            <w:listItem w:displayText="Dr." w:value="Dr."/>
            <w:listItem w:displayText="Mr." w:value="Mr."/>
            <w:listItem w:displayText="Mrs." w:value="Mrs."/>
            <w:listItem w:displayText="Ms." w:value="Ms."/>
          </w:dropDownList>
        </w:sdtPr>
        <w:sdtEndPr/>
        <w:sdtContent>
          <w:r w:rsidR="0023077F">
            <w:t>Dr.</w:t>
          </w:r>
        </w:sdtContent>
      </w:sdt>
      <w:r w:rsidR="00F7045A">
        <w:t xml:space="preserve"> </w:t>
      </w:r>
      <w:sdt>
        <w:sdtPr>
          <w:alias w:val="Click to enter 3rd member name"/>
          <w:tag w:val="3rd member"/>
          <w:id w:val="2113473713"/>
          <w:placeholder>
            <w:docPart w:val="BECE47003863453498DE2F5DF3F27D12"/>
          </w:placeholder>
        </w:sdtPr>
        <w:sdtEndPr/>
        <w:sdtContent>
          <w:proofErr w:type="spellStart"/>
          <w:r w:rsidR="00F7045A" w:rsidRPr="00F7045A">
            <w:t>Shivakumar</w:t>
          </w:r>
          <w:proofErr w:type="spellEnd"/>
          <w:r w:rsidR="00F7045A" w:rsidRPr="00F7045A">
            <w:t xml:space="preserve"> Raman</w:t>
          </w:r>
        </w:sdtContent>
      </w:sdt>
    </w:p>
    <w:p w14:paraId="48586110" w14:textId="77777777" w:rsidR="004D380F" w:rsidRDefault="004D380F" w:rsidP="00F7045A">
      <w:pPr>
        <w:pStyle w:val="NoSpacing"/>
      </w:pPr>
    </w:p>
    <w:p w14:paraId="0190917C" w14:textId="77777777" w:rsidR="004D380F" w:rsidRDefault="004D380F" w:rsidP="00F7045A">
      <w:pPr>
        <w:pStyle w:val="NoSpacing"/>
      </w:pPr>
    </w:p>
    <w:p w14:paraId="222A0064" w14:textId="77777777" w:rsidR="004D380F" w:rsidRDefault="004D380F" w:rsidP="006B3EE8">
      <w:pPr>
        <w:pStyle w:val="NoSpacing"/>
      </w:pPr>
    </w:p>
    <w:p w14:paraId="405DB49A" w14:textId="77777777" w:rsidR="004D380F" w:rsidRDefault="004D380F" w:rsidP="006B3EE8">
      <w:pPr>
        <w:pStyle w:val="NoSpacing"/>
      </w:pPr>
    </w:p>
    <w:p w14:paraId="65E646BB" w14:textId="77777777" w:rsidR="004D380F" w:rsidRDefault="004D380F" w:rsidP="006B3EE8">
      <w:pPr>
        <w:pStyle w:val="NoSpacing"/>
      </w:pPr>
    </w:p>
    <w:p w14:paraId="4E3460BB" w14:textId="77777777" w:rsidR="004D380F" w:rsidRDefault="004D380F" w:rsidP="006B3EE8">
      <w:pPr>
        <w:pStyle w:val="NoSpacing"/>
      </w:pPr>
    </w:p>
    <w:p w14:paraId="4A6FB5E2" w14:textId="77777777" w:rsidR="004D380F" w:rsidRDefault="004D380F" w:rsidP="006B3EE8">
      <w:pPr>
        <w:pStyle w:val="NoSpacing"/>
      </w:pPr>
    </w:p>
    <w:p w14:paraId="3AA171AC" w14:textId="77777777" w:rsidR="004D380F" w:rsidRDefault="004D380F" w:rsidP="006B3EE8">
      <w:pPr>
        <w:pStyle w:val="NoSpacing"/>
      </w:pPr>
    </w:p>
    <w:p w14:paraId="5E92B3C4" w14:textId="77777777" w:rsidR="004D380F" w:rsidRDefault="004D380F" w:rsidP="006B3EE8">
      <w:pPr>
        <w:pStyle w:val="NoSpacing"/>
      </w:pPr>
    </w:p>
    <w:p w14:paraId="3D074FB4" w14:textId="77777777" w:rsidR="004D380F" w:rsidRDefault="004D380F" w:rsidP="006B3EE8">
      <w:pPr>
        <w:pStyle w:val="NoSpacing"/>
      </w:pPr>
    </w:p>
    <w:p w14:paraId="5C897CA3" w14:textId="77777777" w:rsidR="004D380F" w:rsidRDefault="004D380F" w:rsidP="006B3EE8">
      <w:pPr>
        <w:pStyle w:val="NoSpacing"/>
      </w:pPr>
    </w:p>
    <w:p w14:paraId="217F67A9" w14:textId="77777777" w:rsidR="004D380F" w:rsidRDefault="004D380F" w:rsidP="006B3EE8">
      <w:pPr>
        <w:pStyle w:val="NoSpacing"/>
      </w:pPr>
    </w:p>
    <w:p w14:paraId="2FB88E32" w14:textId="77777777" w:rsidR="004D380F" w:rsidRDefault="004D380F" w:rsidP="006B3EE8">
      <w:pPr>
        <w:pStyle w:val="NoSpacing"/>
      </w:pPr>
    </w:p>
    <w:p w14:paraId="5633D8CC" w14:textId="77777777" w:rsidR="004D380F" w:rsidRDefault="004D380F" w:rsidP="006B3EE8">
      <w:pPr>
        <w:pStyle w:val="NoSpacing"/>
      </w:pPr>
    </w:p>
    <w:p w14:paraId="1E10F2A3" w14:textId="77777777" w:rsidR="004D380F" w:rsidRDefault="004D380F" w:rsidP="006B3EE8">
      <w:pPr>
        <w:pStyle w:val="NoSpacing"/>
      </w:pPr>
    </w:p>
    <w:p w14:paraId="0B39199B" w14:textId="77777777" w:rsidR="004D380F" w:rsidRDefault="004D380F" w:rsidP="006B3EE8">
      <w:pPr>
        <w:pStyle w:val="NoSpacing"/>
      </w:pPr>
    </w:p>
    <w:p w14:paraId="2898003D" w14:textId="77777777" w:rsidR="004D380F" w:rsidRDefault="004D380F" w:rsidP="006B3EE8">
      <w:pPr>
        <w:pStyle w:val="NoSpacing"/>
      </w:pPr>
    </w:p>
    <w:p w14:paraId="6A4DEF16" w14:textId="77777777" w:rsidR="004D380F" w:rsidRDefault="004D380F" w:rsidP="006B3EE8">
      <w:pPr>
        <w:pStyle w:val="NoSpacing"/>
      </w:pPr>
    </w:p>
    <w:p w14:paraId="4ADA1168" w14:textId="77777777" w:rsidR="004D380F" w:rsidRDefault="004D380F" w:rsidP="006B3EE8">
      <w:pPr>
        <w:pStyle w:val="NoSpacing"/>
      </w:pPr>
    </w:p>
    <w:p w14:paraId="2ADAAAA2" w14:textId="77777777" w:rsidR="004D380F" w:rsidRDefault="004D380F" w:rsidP="006B3EE8">
      <w:pPr>
        <w:pStyle w:val="NoSpacing"/>
      </w:pPr>
    </w:p>
    <w:p w14:paraId="21D0D940" w14:textId="77777777" w:rsidR="004D380F" w:rsidRDefault="004D380F" w:rsidP="006B3EE8">
      <w:pPr>
        <w:pStyle w:val="NoSpacing"/>
      </w:pPr>
    </w:p>
    <w:p w14:paraId="642B4244" w14:textId="77777777" w:rsidR="004D380F" w:rsidRDefault="004D380F" w:rsidP="006B3EE8">
      <w:pPr>
        <w:pStyle w:val="NoSpacing"/>
      </w:pPr>
    </w:p>
    <w:p w14:paraId="6A9A189F" w14:textId="77777777" w:rsidR="004D380F" w:rsidRDefault="004D380F" w:rsidP="006B3EE8">
      <w:pPr>
        <w:pStyle w:val="NoSpacing"/>
      </w:pPr>
    </w:p>
    <w:p w14:paraId="34AF7782" w14:textId="77777777" w:rsidR="004D380F" w:rsidRDefault="004D380F" w:rsidP="006B3EE8">
      <w:pPr>
        <w:pStyle w:val="NoSpacing"/>
      </w:pPr>
    </w:p>
    <w:p w14:paraId="4A8897B5" w14:textId="77777777" w:rsidR="004D380F" w:rsidRDefault="004D380F" w:rsidP="006B3EE8">
      <w:pPr>
        <w:pStyle w:val="NoSpacing"/>
      </w:pPr>
    </w:p>
    <w:p w14:paraId="7530E0A7" w14:textId="77777777" w:rsidR="004D380F" w:rsidRDefault="004D380F" w:rsidP="006B3EE8">
      <w:pPr>
        <w:pStyle w:val="NoSpacing"/>
      </w:pPr>
    </w:p>
    <w:p w14:paraId="6F276811" w14:textId="77777777" w:rsidR="004D380F" w:rsidRDefault="004D380F" w:rsidP="006B3EE8">
      <w:pPr>
        <w:pStyle w:val="NoSpacing"/>
      </w:pPr>
    </w:p>
    <w:p w14:paraId="55D048B0" w14:textId="77777777" w:rsidR="004D380F" w:rsidRDefault="004D380F" w:rsidP="006B3EE8">
      <w:pPr>
        <w:pStyle w:val="NoSpacing"/>
      </w:pPr>
    </w:p>
    <w:p w14:paraId="32817329" w14:textId="77777777" w:rsidR="004D380F" w:rsidRDefault="004D380F" w:rsidP="006B3EE8">
      <w:pPr>
        <w:pStyle w:val="NoSpacing"/>
      </w:pPr>
    </w:p>
    <w:p w14:paraId="2B2BC2F6" w14:textId="77777777" w:rsidR="004D380F" w:rsidRDefault="004D380F" w:rsidP="006B3EE8">
      <w:pPr>
        <w:pStyle w:val="NoSpacing"/>
      </w:pPr>
    </w:p>
    <w:p w14:paraId="48E333C1" w14:textId="77777777" w:rsidR="004D380F" w:rsidRDefault="004D380F" w:rsidP="006B3EE8">
      <w:pPr>
        <w:pStyle w:val="NoSpacing"/>
      </w:pPr>
    </w:p>
    <w:p w14:paraId="4F454B87" w14:textId="77777777" w:rsidR="004D380F" w:rsidRDefault="004D380F" w:rsidP="006B3EE8">
      <w:pPr>
        <w:pStyle w:val="NoSpacing"/>
      </w:pPr>
    </w:p>
    <w:p w14:paraId="306F60C5" w14:textId="77777777" w:rsidR="004D380F" w:rsidRDefault="004D380F" w:rsidP="006B3EE8">
      <w:pPr>
        <w:pStyle w:val="NoSpacing"/>
      </w:pPr>
    </w:p>
    <w:p w14:paraId="39C5EF29" w14:textId="77777777" w:rsidR="00CD597A" w:rsidRDefault="00CD597A" w:rsidP="006B3EE8">
      <w:pPr>
        <w:pStyle w:val="NoSpacing"/>
      </w:pPr>
    </w:p>
    <w:p w14:paraId="7974C66B" w14:textId="77777777" w:rsidR="00CD597A" w:rsidRDefault="00CD597A" w:rsidP="006B3EE8">
      <w:pPr>
        <w:pStyle w:val="NoSpacing"/>
      </w:pPr>
    </w:p>
    <w:p w14:paraId="03FD8E5C" w14:textId="77777777" w:rsidR="00CD597A" w:rsidRDefault="00CD597A" w:rsidP="006B3EE8">
      <w:pPr>
        <w:pStyle w:val="NoSpacing"/>
      </w:pPr>
    </w:p>
    <w:p w14:paraId="56637DC8" w14:textId="77777777" w:rsidR="00143D7B" w:rsidRDefault="00143D7B" w:rsidP="006B3EE8">
      <w:pPr>
        <w:pStyle w:val="NoSpacing"/>
      </w:pPr>
    </w:p>
    <w:p w14:paraId="41DD361A" w14:textId="77777777" w:rsidR="00143D7B" w:rsidRDefault="00143D7B" w:rsidP="006B3EE8">
      <w:pPr>
        <w:pStyle w:val="NoSpacing"/>
      </w:pPr>
    </w:p>
    <w:p w14:paraId="5E71521E" w14:textId="77777777" w:rsidR="00143D7B" w:rsidRDefault="00143D7B" w:rsidP="006B3EE8">
      <w:pPr>
        <w:pStyle w:val="NoSpacing"/>
      </w:pPr>
    </w:p>
    <w:p w14:paraId="3C683E76" w14:textId="77777777" w:rsidR="00143D7B" w:rsidRDefault="00143D7B" w:rsidP="006B3EE8">
      <w:pPr>
        <w:pStyle w:val="NoSpacing"/>
      </w:pPr>
    </w:p>
    <w:p w14:paraId="3BE04088" w14:textId="77777777" w:rsidR="004D380F" w:rsidRDefault="004D380F" w:rsidP="006B3EE8">
      <w:pPr>
        <w:pStyle w:val="NoSpacing"/>
      </w:pPr>
    </w:p>
    <w:p w14:paraId="25186884" w14:textId="77777777" w:rsidR="004D380F" w:rsidRDefault="004D380F" w:rsidP="006B3EE8">
      <w:pPr>
        <w:pStyle w:val="NoSpacing"/>
      </w:pPr>
    </w:p>
    <w:p w14:paraId="346E51E4" w14:textId="77777777" w:rsidR="004D380F" w:rsidRDefault="004D380F" w:rsidP="006B3EE8">
      <w:pPr>
        <w:pStyle w:val="NoSpacing"/>
      </w:pPr>
    </w:p>
    <w:p w14:paraId="07486BAD" w14:textId="77777777" w:rsidR="004D380F" w:rsidRDefault="004D380F" w:rsidP="006B3EE8">
      <w:pPr>
        <w:pStyle w:val="NoSpacing"/>
      </w:pPr>
    </w:p>
    <w:p w14:paraId="00578925" w14:textId="77777777" w:rsidR="004D380F" w:rsidRDefault="004D380F" w:rsidP="006B3EE8">
      <w:pPr>
        <w:pStyle w:val="NoSpacing"/>
      </w:pPr>
    </w:p>
    <w:p w14:paraId="3934F3E2" w14:textId="405B0BD9" w:rsidR="004D380F" w:rsidRDefault="007B3686" w:rsidP="006B3EE8">
      <w:pPr>
        <w:pStyle w:val="NoSpacing"/>
      </w:pPr>
      <w:sdt>
        <w:sdtPr>
          <w:id w:val="30091877"/>
          <w:lock w:val="contentLocked"/>
          <w:placeholder>
            <w:docPart w:val="BD6F33114AE34A14A10FB21276D2AD67"/>
          </w:placeholder>
          <w:group/>
        </w:sdtPr>
        <w:sdtEndPr/>
        <w:sdtContent>
          <w:r w:rsidR="004D380F">
            <w:t>© Copyright by</w:t>
          </w:r>
        </w:sdtContent>
      </w:sdt>
      <w:r w:rsidR="004D380F">
        <w:t xml:space="preserve"> </w:t>
      </w:r>
      <w:sdt>
        <w:sdtPr>
          <w:alias w:val="Click here to enter your name (must match University records)"/>
          <w:tag w:val="Click here to enter your name (must match University records)"/>
          <w:id w:val="2590303"/>
          <w:placeholder>
            <w:docPart w:val="BD6F33114AE34A14A10FB21276D2AD67"/>
          </w:placeholder>
        </w:sdtPr>
        <w:sdtEndPr>
          <w:rPr>
            <w:caps/>
          </w:rPr>
        </w:sdtEndPr>
        <w:sdtContent>
          <w:r w:rsidR="004D380F">
            <w:rPr>
              <w:caps/>
            </w:rPr>
            <w:t>Gorkem e</w:t>
          </w:r>
          <w:r w:rsidR="00BB0F1F">
            <w:rPr>
              <w:caps/>
            </w:rPr>
            <w:t>Gemen</w:t>
          </w:r>
          <w:r w:rsidR="004D380F">
            <w:rPr>
              <w:caps/>
            </w:rPr>
            <w:t xml:space="preserve"> guloglu</w:t>
          </w:r>
        </w:sdtContent>
      </w:sdt>
      <w:r w:rsidR="004D380F">
        <w:t xml:space="preserve"> </w:t>
      </w:r>
      <w:sdt>
        <w:sdtPr>
          <w:alias w:val="Click to enter the year you are depositing thesis"/>
          <w:tag w:val="Click to enter the year you are depositing thesis"/>
          <w:id w:val="2590304"/>
          <w:placeholder>
            <w:docPart w:val="BD6F33114AE34A14A10FB21276D2AD67"/>
          </w:placeholder>
        </w:sdtPr>
        <w:sdtEndPr/>
        <w:sdtContent>
          <w:r w:rsidR="004D380F">
            <w:t>201</w:t>
          </w:r>
          <w:r w:rsidR="00C730E9">
            <w:t>8</w:t>
          </w:r>
        </w:sdtContent>
      </w:sdt>
    </w:p>
    <w:p w14:paraId="7789659E" w14:textId="77777777" w:rsidR="00AC291A" w:rsidRDefault="004D380F" w:rsidP="006B3EE8">
      <w:pPr>
        <w:pStyle w:val="NoSpacing"/>
        <w:sectPr w:rsidR="00AC291A" w:rsidSect="00C46E11">
          <w:type w:val="continuous"/>
          <w:pgSz w:w="12240" w:h="15840" w:code="1"/>
          <w:pgMar w:top="1440" w:right="1440" w:bottom="1440" w:left="2160" w:header="720" w:footer="720" w:gutter="0"/>
          <w:cols w:space="720"/>
          <w:docGrid w:linePitch="360"/>
        </w:sectPr>
      </w:pPr>
      <w:r>
        <w:t>All Rights Reserved.</w:t>
      </w:r>
    </w:p>
    <w:p w14:paraId="3F7CFBB8" w14:textId="0C000340" w:rsidR="004D380F" w:rsidRDefault="004D380F" w:rsidP="006B3EE8">
      <w:pPr>
        <w:pStyle w:val="NoSpacing"/>
      </w:pPr>
    </w:p>
    <w:p w14:paraId="58E5FDD4" w14:textId="6D0C6784" w:rsidR="00C730E9" w:rsidRDefault="00052BB3" w:rsidP="00AC291A">
      <w:pPr>
        <w:sectPr w:rsidR="00C730E9" w:rsidSect="00AC291A">
          <w:footerReference w:type="default" r:id="rId8"/>
          <w:pgSz w:w="12240" w:h="15840" w:code="1"/>
          <w:pgMar w:top="1440" w:right="1440" w:bottom="1440" w:left="2160" w:header="720" w:footer="720" w:gutter="0"/>
          <w:pgNumType w:fmt="lowerRoman" w:start="4"/>
          <w:cols w:space="720"/>
          <w:docGrid w:linePitch="360"/>
        </w:sectPr>
      </w:pPr>
      <w:r>
        <w:t xml:space="preserve">I would like to dedicate this </w:t>
      </w:r>
      <w:r w:rsidR="002D4F89">
        <w:t>work</w:t>
      </w:r>
      <w:r>
        <w:t xml:space="preserve"> to my family</w:t>
      </w:r>
      <w:r w:rsidR="00C730E9">
        <w:t xml:space="preserve"> </w:t>
      </w:r>
      <w:r>
        <w:t>for all their support and motivation along the way.</w:t>
      </w:r>
      <w:r w:rsidR="00BF3A39">
        <w:t xml:space="preserve"> </w:t>
      </w:r>
    </w:p>
    <w:p w14:paraId="76940807" w14:textId="25A57E2B" w:rsidR="004D380F" w:rsidRDefault="004D380F" w:rsidP="004D380F">
      <w:pPr>
        <w:sectPr w:rsidR="004D380F" w:rsidSect="00AC291A">
          <w:pgSz w:w="12240" w:h="15840" w:code="1"/>
          <w:pgMar w:top="1440" w:right="1440" w:bottom="1440" w:left="2160" w:header="720" w:footer="720" w:gutter="0"/>
          <w:pgNumType w:fmt="lowerRoman"/>
          <w:cols w:space="720"/>
          <w:docGrid w:linePitch="360"/>
        </w:sectPr>
      </w:pPr>
    </w:p>
    <w:p w14:paraId="2804DAF9" w14:textId="77777777" w:rsidR="004D380F" w:rsidRDefault="004D380F" w:rsidP="004749FF">
      <w:pPr>
        <w:pStyle w:val="Tableofcon"/>
      </w:pPr>
      <w:bookmarkStart w:id="1" w:name="_Toc310579464"/>
      <w:bookmarkStart w:id="2" w:name="_Toc315681358"/>
      <w:bookmarkStart w:id="3" w:name="_Ref392065661"/>
      <w:r>
        <w:t>Acknowledgements</w:t>
      </w:r>
      <w:bookmarkEnd w:id="1"/>
      <w:bookmarkEnd w:id="2"/>
      <w:bookmarkEnd w:id="3"/>
    </w:p>
    <w:p w14:paraId="2EC21257" w14:textId="14CC45A6" w:rsidR="002D4F89" w:rsidRDefault="002D4F89" w:rsidP="002D4F89">
      <w:r>
        <w:t xml:space="preserve">First and foremost, I would like to express my deepest gratitude </w:t>
      </w:r>
      <w:r w:rsidRPr="00780C17">
        <w:t>to my advisor</w:t>
      </w:r>
      <w:r>
        <w:t>,</w:t>
      </w:r>
      <w:r w:rsidRPr="00780C17">
        <w:t xml:space="preserve"> Dr. </w:t>
      </w:r>
      <w:r>
        <w:t xml:space="preserve">M. </w:t>
      </w:r>
      <w:proofErr w:type="spellStart"/>
      <w:r w:rsidRPr="00780C17">
        <w:t>Cengiz</w:t>
      </w:r>
      <w:proofErr w:type="spellEnd"/>
      <w:r w:rsidRPr="00780C17">
        <w:t xml:space="preserve"> </w:t>
      </w:r>
      <w:proofErr w:type="spellStart"/>
      <w:r>
        <w:t>Altan</w:t>
      </w:r>
      <w:proofErr w:type="spellEnd"/>
      <w:r>
        <w:t>.</w:t>
      </w:r>
      <w:r w:rsidRPr="00780C17">
        <w:t xml:space="preserve"> </w:t>
      </w:r>
      <w:r>
        <w:t>His guidance, support, and encouragement from the first day made this research possible and allowed</w:t>
      </w:r>
      <w:r w:rsidRPr="00192140">
        <w:t xml:space="preserve"> me to grow as a research scientist.</w:t>
      </w:r>
      <w:r w:rsidRPr="00780C17">
        <w:t xml:space="preserve"> I would</w:t>
      </w:r>
      <w:r>
        <w:t xml:space="preserve"> also</w:t>
      </w:r>
      <w:r w:rsidRPr="00780C17">
        <w:t xml:space="preserve"> like to </w:t>
      </w:r>
      <w:r>
        <w:t>thank to</w:t>
      </w:r>
      <w:r w:rsidRPr="00780C17">
        <w:t xml:space="preserve"> my advisory committee</w:t>
      </w:r>
      <w:r>
        <w:t>,</w:t>
      </w:r>
      <w:r w:rsidRPr="00780C17">
        <w:t xml:space="preserve"> Dr. </w:t>
      </w:r>
      <w:proofErr w:type="spellStart"/>
      <w:r w:rsidRPr="00780C17">
        <w:t>Mrinal</w:t>
      </w:r>
      <w:proofErr w:type="spellEnd"/>
      <w:r w:rsidRPr="00780C17">
        <w:t xml:space="preserve"> </w:t>
      </w:r>
      <w:r>
        <w:t xml:space="preserve">C. </w:t>
      </w:r>
      <w:proofErr w:type="spellStart"/>
      <w:r w:rsidRPr="00780C17">
        <w:t>Saha</w:t>
      </w:r>
      <w:proofErr w:type="spellEnd"/>
      <w:r>
        <w:t>, D</w:t>
      </w:r>
      <w:r w:rsidRPr="00780C17">
        <w:t xml:space="preserve">r. </w:t>
      </w:r>
      <w:proofErr w:type="spellStart"/>
      <w:r w:rsidRPr="00780C17">
        <w:t>Zahed</w:t>
      </w:r>
      <w:proofErr w:type="spellEnd"/>
      <w:r w:rsidRPr="00780C17">
        <w:t xml:space="preserve"> Siddique</w:t>
      </w:r>
      <w:r>
        <w:t xml:space="preserve">, Dr. </w:t>
      </w:r>
      <w:proofErr w:type="spellStart"/>
      <w:r>
        <w:t>Yingtao</w:t>
      </w:r>
      <w:proofErr w:type="spellEnd"/>
      <w:r>
        <w:t xml:space="preserve"> Liu and Dr. </w:t>
      </w:r>
      <w:proofErr w:type="spellStart"/>
      <w:r>
        <w:t>Shivakumar</w:t>
      </w:r>
      <w:proofErr w:type="spellEnd"/>
      <w:r>
        <w:t xml:space="preserve"> Raman </w:t>
      </w:r>
      <w:r w:rsidRPr="00192140">
        <w:t xml:space="preserve">for </w:t>
      </w:r>
      <w:r>
        <w:t xml:space="preserve">their </w:t>
      </w:r>
      <w:r w:rsidRPr="00192140">
        <w:t>brilliant comments and suggestions</w:t>
      </w:r>
      <w:r>
        <w:t>.</w:t>
      </w:r>
    </w:p>
    <w:p w14:paraId="66465F35" w14:textId="77777777" w:rsidR="002D4F89" w:rsidRDefault="002D4F89" w:rsidP="002D4F89"/>
    <w:p w14:paraId="34BF58A9" w14:textId="0004BE3D" w:rsidR="002D4F89" w:rsidRDefault="002D4F89" w:rsidP="002D4F89">
      <w:pPr>
        <w:sectPr w:rsidR="002D4F89" w:rsidSect="002D4F89">
          <w:footerReference w:type="default" r:id="rId9"/>
          <w:type w:val="continuous"/>
          <w:pgSz w:w="12240" w:h="15840"/>
          <w:pgMar w:top="1440" w:right="1440" w:bottom="1440" w:left="2304" w:header="720" w:footer="720" w:gutter="0"/>
          <w:pgNumType w:fmt="lowerRoman" w:start="5"/>
          <w:cols w:space="720"/>
          <w:docGrid w:linePitch="360"/>
        </w:sectPr>
      </w:pPr>
      <w:r>
        <w:t xml:space="preserve">A special thanks to my fellow researchers, Dr. Jacob Anderson, Dr. </w:t>
      </w:r>
      <w:proofErr w:type="spellStart"/>
      <w:r>
        <w:t>Levent</w:t>
      </w:r>
      <w:proofErr w:type="spellEnd"/>
      <w:r>
        <w:t xml:space="preserve"> </w:t>
      </w:r>
      <w:proofErr w:type="spellStart"/>
      <w:r>
        <w:t>Aktas</w:t>
      </w:r>
      <w:proofErr w:type="spellEnd"/>
      <w:r>
        <w:t xml:space="preserve">, Dr. </w:t>
      </w:r>
      <w:proofErr w:type="spellStart"/>
      <w:r>
        <w:t>Orhan</w:t>
      </w:r>
      <w:proofErr w:type="spellEnd"/>
      <w:r>
        <w:t xml:space="preserve"> </w:t>
      </w:r>
      <w:proofErr w:type="spellStart"/>
      <w:r>
        <w:t>Ozcelik</w:t>
      </w:r>
      <w:proofErr w:type="spellEnd"/>
      <w:r>
        <w:t xml:space="preserve">, Dr. Keith </w:t>
      </w:r>
      <w:proofErr w:type="spellStart"/>
      <w:r>
        <w:t>Hurdelbrink</w:t>
      </w:r>
      <w:proofErr w:type="spellEnd"/>
      <w:r>
        <w:t xml:space="preserve">, Dr. M. </w:t>
      </w:r>
      <w:proofErr w:type="spellStart"/>
      <w:r>
        <w:t>Selim</w:t>
      </w:r>
      <w:proofErr w:type="spellEnd"/>
      <w:r>
        <w:t xml:space="preserve"> </w:t>
      </w:r>
      <w:proofErr w:type="spellStart"/>
      <w:r>
        <w:t>Demirtas</w:t>
      </w:r>
      <w:proofErr w:type="spellEnd"/>
      <w:r>
        <w:t xml:space="preserve">, Dr. M. </w:t>
      </w:r>
      <w:proofErr w:type="spellStart"/>
      <w:r>
        <w:t>Akif</w:t>
      </w:r>
      <w:proofErr w:type="spellEnd"/>
      <w:r>
        <w:t xml:space="preserve"> </w:t>
      </w:r>
      <w:proofErr w:type="spellStart"/>
      <w:r>
        <w:t>Yalcinkaya</w:t>
      </w:r>
      <w:proofErr w:type="spellEnd"/>
      <w:r>
        <w:t xml:space="preserve">, Dr. Youssef K. </w:t>
      </w:r>
      <w:proofErr w:type="spellStart"/>
      <w:r>
        <w:t>Hamidi</w:t>
      </w:r>
      <w:proofErr w:type="spellEnd"/>
      <w:r>
        <w:t xml:space="preserve">, Dr. Hasan </w:t>
      </w:r>
      <w:proofErr w:type="spellStart"/>
      <w:r>
        <w:t>Baris</w:t>
      </w:r>
      <w:proofErr w:type="spellEnd"/>
      <w:r>
        <w:t xml:space="preserve"> </w:t>
      </w:r>
      <w:proofErr w:type="spellStart"/>
      <w:r>
        <w:t>Serce</w:t>
      </w:r>
      <w:proofErr w:type="spellEnd"/>
      <w:r>
        <w:t xml:space="preserve">, Maya </w:t>
      </w:r>
      <w:proofErr w:type="spellStart"/>
      <w:r>
        <w:t>Pishvar</w:t>
      </w:r>
      <w:proofErr w:type="spellEnd"/>
      <w:r>
        <w:t xml:space="preserve"> and </w:t>
      </w:r>
      <w:proofErr w:type="spellStart"/>
      <w:r>
        <w:t>Mehrad</w:t>
      </w:r>
      <w:proofErr w:type="spellEnd"/>
      <w:r>
        <w:t xml:space="preserve"> </w:t>
      </w:r>
      <w:proofErr w:type="spellStart"/>
      <w:r>
        <w:t>Amirkhosravi</w:t>
      </w:r>
      <w:proofErr w:type="spellEnd"/>
      <w:r>
        <w:t xml:space="preserve"> for their support and help </w:t>
      </w:r>
      <w:r w:rsidR="005A6B4E">
        <w:t>during</w:t>
      </w:r>
      <w:r>
        <w:t xml:space="preserve"> my research. I would also like to express my gratitude</w:t>
      </w:r>
      <w:r w:rsidRPr="002D4F89">
        <w:t xml:space="preserve"> </w:t>
      </w:r>
      <w:r>
        <w:t>to all of the AME faculty and staff especially to Mr. Billy Mays and Mr. Gregory Williams for their immense help at the machine shop.</w:t>
      </w:r>
    </w:p>
    <w:p w14:paraId="38E3608B" w14:textId="77777777" w:rsidR="00C730E9" w:rsidRDefault="00C730E9" w:rsidP="00192140">
      <w:pPr>
        <w:sectPr w:rsidR="00C730E9" w:rsidSect="00C46E11">
          <w:footerReference w:type="default" r:id="rId10"/>
          <w:type w:val="continuous"/>
          <w:pgSz w:w="12240" w:h="15840"/>
          <w:pgMar w:top="1440" w:right="1440" w:bottom="1440" w:left="2160" w:header="720" w:footer="720" w:gutter="0"/>
          <w:pgNumType w:fmt="lowerRoman" w:start="5"/>
          <w:cols w:space="720"/>
          <w:docGrid w:linePitch="360"/>
        </w:sectPr>
      </w:pPr>
    </w:p>
    <w:p w14:paraId="3C793477" w14:textId="5C014C92" w:rsidR="00192140" w:rsidRDefault="00192140" w:rsidP="00192140">
      <w:pPr>
        <w:sectPr w:rsidR="00192140" w:rsidSect="003970CD">
          <w:footerReference w:type="default" r:id="rId11"/>
          <w:pgSz w:w="12240" w:h="15840"/>
          <w:pgMar w:top="1440" w:right="1440" w:bottom="1440" w:left="2160" w:header="720" w:footer="720" w:gutter="0"/>
          <w:pgNumType w:fmt="lowerRoman" w:start="6"/>
          <w:cols w:space="720"/>
          <w:docGrid w:linePitch="360"/>
        </w:sectPr>
      </w:pPr>
    </w:p>
    <w:sdt>
      <w:sdtPr>
        <w:rPr>
          <w:rFonts w:eastAsiaTheme="minorEastAsia" w:cstheme="minorBidi"/>
          <w:b w:val="0"/>
          <w:bCs/>
          <w:iCs w:val="0"/>
          <w:color w:val="auto"/>
          <w:sz w:val="24"/>
          <w:szCs w:val="22"/>
        </w:rPr>
        <w:id w:val="-1631933825"/>
        <w:docPartObj>
          <w:docPartGallery w:val="Table of Contents"/>
          <w:docPartUnique/>
        </w:docPartObj>
      </w:sdtPr>
      <w:sdtEndPr>
        <w:rPr>
          <w:rFonts w:cs="Times New Roman"/>
          <w:bCs w:val="0"/>
          <w:noProof/>
          <w:szCs w:val="24"/>
        </w:rPr>
      </w:sdtEndPr>
      <w:sdtContent>
        <w:p w14:paraId="72FEC56D" w14:textId="737E4C66" w:rsidR="005A3E52" w:rsidRDefault="005A239F" w:rsidP="0012564F">
          <w:pPr>
            <w:pStyle w:val="Tableofcon"/>
            <w:spacing w:before="0"/>
            <w:ind w:firstLine="0"/>
          </w:pPr>
          <w:r w:rsidRPr="005A239F">
            <w:t xml:space="preserve">Table of </w:t>
          </w:r>
          <w:r w:rsidR="005A3E52" w:rsidRPr="005A239F">
            <w:t>Contents</w:t>
          </w:r>
        </w:p>
        <w:p w14:paraId="4813C7D3" w14:textId="14205468" w:rsidR="0057095D" w:rsidRDefault="0057095D" w:rsidP="0012564F">
          <w:pPr>
            <w:ind w:firstLine="0"/>
            <w:jc w:val="right"/>
          </w:pPr>
          <w:r>
            <w:t>Acknowledgements………………………………………………………………….v</w:t>
          </w:r>
        </w:p>
        <w:p w14:paraId="79847B93" w14:textId="7270CF3C" w:rsidR="0057095D" w:rsidRDefault="0057095D" w:rsidP="0012564F">
          <w:pPr>
            <w:ind w:firstLine="0"/>
            <w:jc w:val="right"/>
          </w:pPr>
          <w:r>
            <w:t>Table of Contents…………………………………………………………………...</w:t>
          </w:r>
          <w:proofErr w:type="gramStart"/>
          <w:r>
            <w:t>vi</w:t>
          </w:r>
          <w:proofErr w:type="gramEnd"/>
        </w:p>
        <w:p w14:paraId="2844F844" w14:textId="31E92DF5" w:rsidR="0057095D" w:rsidRDefault="0057095D" w:rsidP="0012564F">
          <w:pPr>
            <w:ind w:firstLine="0"/>
            <w:jc w:val="right"/>
          </w:pPr>
          <w:r>
            <w:t>List of Tab</w:t>
          </w:r>
          <w:r w:rsidR="003970CD">
            <w:t>les……………………</w:t>
          </w:r>
          <w:r w:rsidR="00A5133D">
            <w:t>.</w:t>
          </w:r>
          <w:r w:rsidR="003970CD">
            <w:t>………………………………………………….</w:t>
          </w:r>
          <w:r>
            <w:t>x</w:t>
          </w:r>
        </w:p>
        <w:p w14:paraId="6B0AD067" w14:textId="2077E06B" w:rsidR="0057095D" w:rsidRDefault="00A5133D" w:rsidP="0012564F">
          <w:pPr>
            <w:ind w:firstLine="0"/>
            <w:jc w:val="right"/>
          </w:pPr>
          <w:r>
            <w:t xml:space="preserve"> </w:t>
          </w:r>
          <w:r w:rsidR="0057095D">
            <w:t>List of Figures</w:t>
          </w:r>
          <w:proofErr w:type="gramStart"/>
          <w:r w:rsidR="0057095D">
            <w:t>……………………………</w:t>
          </w:r>
          <w:r>
            <w:t>..</w:t>
          </w:r>
          <w:r w:rsidR="0057095D">
            <w:t>………………………………….…...</w:t>
          </w:r>
          <w:proofErr w:type="gramEnd"/>
          <w:r w:rsidR="0057095D">
            <w:t>xi</w:t>
          </w:r>
          <w:r w:rsidR="003970CD">
            <w:t>i</w:t>
          </w:r>
        </w:p>
        <w:p w14:paraId="645684A0" w14:textId="77426CE5" w:rsidR="0057095D" w:rsidRPr="005A239F" w:rsidRDefault="0057095D" w:rsidP="0012564F">
          <w:pPr>
            <w:ind w:firstLine="0"/>
            <w:jc w:val="right"/>
          </w:pPr>
          <w:r>
            <w:t>Abstrac</w:t>
          </w:r>
          <w:r w:rsidR="003970CD">
            <w:t>t……………………………………………………………………………x</w:t>
          </w:r>
          <w:r>
            <w:t>i</w:t>
          </w:r>
          <w:r w:rsidR="003970CD">
            <w:t>x</w:t>
          </w:r>
        </w:p>
        <w:p w14:paraId="411F2CEC" w14:textId="77777777" w:rsidR="000A15D2" w:rsidRDefault="005A3E52" w:rsidP="0012564F">
          <w:pPr>
            <w:pStyle w:val="TOC1"/>
            <w:tabs>
              <w:tab w:val="left" w:pos="1760"/>
              <w:tab w:val="right" w:leader="dot" w:pos="8630"/>
            </w:tabs>
            <w:spacing w:after="0"/>
            <w:ind w:firstLine="0"/>
            <w:rPr>
              <w:rFonts w:asciiTheme="minorHAnsi" w:hAnsiTheme="minorHAnsi"/>
              <w:noProof/>
              <w:sz w:val="22"/>
            </w:rPr>
          </w:pPr>
          <w:r w:rsidRPr="005A3E52">
            <w:rPr>
              <w:rFonts w:cs="Times New Roman"/>
            </w:rPr>
            <w:fldChar w:fldCharType="begin"/>
          </w:r>
          <w:r w:rsidRPr="005A3E52">
            <w:rPr>
              <w:rFonts w:cs="Times New Roman"/>
            </w:rPr>
            <w:instrText xml:space="preserve"> TOC \o "1-3" \h \z \u </w:instrText>
          </w:r>
          <w:r w:rsidRPr="005A3E52">
            <w:rPr>
              <w:rFonts w:cs="Times New Roman"/>
            </w:rPr>
            <w:fldChar w:fldCharType="separate"/>
          </w:r>
          <w:hyperlink w:anchor="_Toc531943725" w:history="1">
            <w:r w:rsidR="000A15D2" w:rsidRPr="00B766ED">
              <w:rPr>
                <w:rStyle w:val="Hyperlink"/>
                <w:noProof/>
              </w:rPr>
              <w:t>Chapter 1.</w:t>
            </w:r>
            <w:r w:rsidR="000A15D2">
              <w:rPr>
                <w:rFonts w:asciiTheme="minorHAnsi" w:hAnsiTheme="minorHAnsi"/>
                <w:noProof/>
                <w:sz w:val="22"/>
              </w:rPr>
              <w:tab/>
            </w:r>
            <w:r w:rsidR="000A15D2" w:rsidRPr="00B766ED">
              <w:rPr>
                <w:rStyle w:val="Hyperlink"/>
                <w:noProof/>
              </w:rPr>
              <w:t>Introduction</w:t>
            </w:r>
            <w:r w:rsidR="000A15D2">
              <w:rPr>
                <w:noProof/>
                <w:webHidden/>
              </w:rPr>
              <w:tab/>
            </w:r>
            <w:r w:rsidR="000A15D2">
              <w:rPr>
                <w:noProof/>
                <w:webHidden/>
              </w:rPr>
              <w:fldChar w:fldCharType="begin"/>
            </w:r>
            <w:r w:rsidR="000A15D2">
              <w:rPr>
                <w:noProof/>
                <w:webHidden/>
              </w:rPr>
              <w:instrText xml:space="preserve"> PAGEREF _Toc531943725 \h </w:instrText>
            </w:r>
            <w:r w:rsidR="000A15D2">
              <w:rPr>
                <w:noProof/>
                <w:webHidden/>
              </w:rPr>
            </w:r>
            <w:r w:rsidR="000A15D2">
              <w:rPr>
                <w:noProof/>
                <w:webHidden/>
              </w:rPr>
              <w:fldChar w:fldCharType="separate"/>
            </w:r>
            <w:r w:rsidR="006D52C2">
              <w:rPr>
                <w:noProof/>
                <w:webHidden/>
              </w:rPr>
              <w:t>1</w:t>
            </w:r>
            <w:r w:rsidR="000A15D2">
              <w:rPr>
                <w:noProof/>
                <w:webHidden/>
              </w:rPr>
              <w:fldChar w:fldCharType="end"/>
            </w:r>
          </w:hyperlink>
        </w:p>
        <w:p w14:paraId="640B2676"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26" w:history="1">
            <w:r w:rsidR="000A15D2" w:rsidRPr="00B766ED">
              <w:rPr>
                <w:rStyle w:val="Hyperlink"/>
                <w:noProof/>
              </w:rPr>
              <w:t>1.1. Factors Effecting Liquid Absorption in Polymers and Polymer Composites</w:t>
            </w:r>
            <w:r w:rsidR="000A15D2">
              <w:rPr>
                <w:noProof/>
                <w:webHidden/>
              </w:rPr>
              <w:tab/>
            </w:r>
            <w:r w:rsidR="000A15D2">
              <w:rPr>
                <w:noProof/>
                <w:webHidden/>
              </w:rPr>
              <w:fldChar w:fldCharType="begin"/>
            </w:r>
            <w:r w:rsidR="000A15D2">
              <w:rPr>
                <w:noProof/>
                <w:webHidden/>
              </w:rPr>
              <w:instrText xml:space="preserve"> PAGEREF _Toc531943726 \h </w:instrText>
            </w:r>
            <w:r w:rsidR="000A15D2">
              <w:rPr>
                <w:noProof/>
                <w:webHidden/>
              </w:rPr>
            </w:r>
            <w:r w:rsidR="000A15D2">
              <w:rPr>
                <w:noProof/>
                <w:webHidden/>
              </w:rPr>
              <w:fldChar w:fldCharType="separate"/>
            </w:r>
            <w:r w:rsidR="006D52C2">
              <w:rPr>
                <w:noProof/>
                <w:webHidden/>
              </w:rPr>
              <w:t>1</w:t>
            </w:r>
            <w:r w:rsidR="000A15D2">
              <w:rPr>
                <w:noProof/>
                <w:webHidden/>
              </w:rPr>
              <w:fldChar w:fldCharType="end"/>
            </w:r>
          </w:hyperlink>
        </w:p>
        <w:p w14:paraId="1ACF56B5"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27" w:history="1">
            <w:r w:rsidR="000A15D2" w:rsidRPr="00B766ED">
              <w:rPr>
                <w:rStyle w:val="Hyperlink"/>
                <w:noProof/>
              </w:rPr>
              <w:t>1.2. Adverse Effects of Liquid Penetrants on Polymers and Polymer Composites</w:t>
            </w:r>
            <w:r w:rsidR="000A15D2">
              <w:rPr>
                <w:noProof/>
                <w:webHidden/>
              </w:rPr>
              <w:tab/>
            </w:r>
            <w:r w:rsidR="000A15D2">
              <w:rPr>
                <w:noProof/>
                <w:webHidden/>
              </w:rPr>
              <w:fldChar w:fldCharType="begin"/>
            </w:r>
            <w:r w:rsidR="000A15D2">
              <w:rPr>
                <w:noProof/>
                <w:webHidden/>
              </w:rPr>
              <w:instrText xml:space="preserve"> PAGEREF _Toc531943727 \h </w:instrText>
            </w:r>
            <w:r w:rsidR="000A15D2">
              <w:rPr>
                <w:noProof/>
                <w:webHidden/>
              </w:rPr>
            </w:r>
            <w:r w:rsidR="000A15D2">
              <w:rPr>
                <w:noProof/>
                <w:webHidden/>
              </w:rPr>
              <w:fldChar w:fldCharType="separate"/>
            </w:r>
            <w:r w:rsidR="006D52C2">
              <w:rPr>
                <w:noProof/>
                <w:webHidden/>
              </w:rPr>
              <w:t>4</w:t>
            </w:r>
            <w:r w:rsidR="000A15D2">
              <w:rPr>
                <w:noProof/>
                <w:webHidden/>
              </w:rPr>
              <w:fldChar w:fldCharType="end"/>
            </w:r>
          </w:hyperlink>
        </w:p>
        <w:p w14:paraId="1F3E2F6E" w14:textId="429A3C51" w:rsidR="000A15D2" w:rsidRDefault="007B3686" w:rsidP="0012564F">
          <w:pPr>
            <w:pStyle w:val="TOC3"/>
            <w:rPr>
              <w:rFonts w:asciiTheme="minorHAnsi" w:hAnsiTheme="minorHAnsi"/>
              <w:noProof/>
              <w:sz w:val="22"/>
            </w:rPr>
          </w:pPr>
          <w:hyperlink w:anchor="_Toc531943728" w:history="1">
            <w:r w:rsidR="000A15D2" w:rsidRPr="00B766ED">
              <w:rPr>
                <w:rStyle w:val="Hyperlink"/>
                <w:noProof/>
              </w:rPr>
              <w:t>i.</w:t>
            </w:r>
            <w:r w:rsidR="000A15D2">
              <w:rPr>
                <w:rStyle w:val="Hyperlink"/>
                <w:noProof/>
              </w:rPr>
              <w:t xml:space="preserve"> </w:t>
            </w:r>
            <w:r w:rsidR="000A15D2" w:rsidRPr="00B766ED">
              <w:rPr>
                <w:rStyle w:val="Hyperlink"/>
                <w:noProof/>
              </w:rPr>
              <w:t>Microstructural damage and changes induced by liquid absorption</w:t>
            </w:r>
            <w:r w:rsidR="000A15D2">
              <w:rPr>
                <w:noProof/>
                <w:webHidden/>
              </w:rPr>
              <w:tab/>
            </w:r>
            <w:r w:rsidR="000A15D2">
              <w:rPr>
                <w:noProof/>
                <w:webHidden/>
              </w:rPr>
              <w:fldChar w:fldCharType="begin"/>
            </w:r>
            <w:r w:rsidR="000A15D2">
              <w:rPr>
                <w:noProof/>
                <w:webHidden/>
              </w:rPr>
              <w:instrText xml:space="preserve"> PAGEREF _Toc531943728 \h </w:instrText>
            </w:r>
            <w:r w:rsidR="000A15D2">
              <w:rPr>
                <w:noProof/>
                <w:webHidden/>
              </w:rPr>
            </w:r>
            <w:r w:rsidR="000A15D2">
              <w:rPr>
                <w:noProof/>
                <w:webHidden/>
              </w:rPr>
              <w:fldChar w:fldCharType="separate"/>
            </w:r>
            <w:r w:rsidR="006D52C2">
              <w:rPr>
                <w:noProof/>
                <w:webHidden/>
              </w:rPr>
              <w:t>4</w:t>
            </w:r>
            <w:r w:rsidR="000A15D2">
              <w:rPr>
                <w:noProof/>
                <w:webHidden/>
              </w:rPr>
              <w:fldChar w:fldCharType="end"/>
            </w:r>
          </w:hyperlink>
        </w:p>
        <w:p w14:paraId="2FAE41FD" w14:textId="3E93AE80" w:rsidR="000A15D2" w:rsidRDefault="007B3686" w:rsidP="0012564F">
          <w:pPr>
            <w:pStyle w:val="TOC3"/>
            <w:rPr>
              <w:rFonts w:asciiTheme="minorHAnsi" w:hAnsiTheme="minorHAnsi"/>
              <w:noProof/>
              <w:sz w:val="22"/>
            </w:rPr>
          </w:pPr>
          <w:hyperlink w:anchor="_Toc531943729" w:history="1">
            <w:r w:rsidR="000A15D2" w:rsidRPr="00B766ED">
              <w:rPr>
                <w:rStyle w:val="Hyperlink"/>
                <w:noProof/>
              </w:rPr>
              <w:t>ii.</w:t>
            </w:r>
            <w:r w:rsidR="000A15D2">
              <w:rPr>
                <w:rStyle w:val="Hyperlink"/>
                <w:noProof/>
              </w:rPr>
              <w:t xml:space="preserve"> </w:t>
            </w:r>
            <w:r w:rsidR="000A15D2" w:rsidRPr="00B766ED">
              <w:rPr>
                <w:rStyle w:val="Hyperlink"/>
                <w:noProof/>
              </w:rPr>
              <w:t>Reduction in thermomechanical properties</w:t>
            </w:r>
            <w:r w:rsidR="000A15D2">
              <w:rPr>
                <w:noProof/>
                <w:webHidden/>
              </w:rPr>
              <w:tab/>
            </w:r>
            <w:r w:rsidR="000A15D2">
              <w:rPr>
                <w:noProof/>
                <w:webHidden/>
              </w:rPr>
              <w:fldChar w:fldCharType="begin"/>
            </w:r>
            <w:r w:rsidR="000A15D2">
              <w:rPr>
                <w:noProof/>
                <w:webHidden/>
              </w:rPr>
              <w:instrText xml:space="preserve"> PAGEREF _Toc531943729 \h </w:instrText>
            </w:r>
            <w:r w:rsidR="000A15D2">
              <w:rPr>
                <w:noProof/>
                <w:webHidden/>
              </w:rPr>
            </w:r>
            <w:r w:rsidR="000A15D2">
              <w:rPr>
                <w:noProof/>
                <w:webHidden/>
              </w:rPr>
              <w:fldChar w:fldCharType="separate"/>
            </w:r>
            <w:r w:rsidR="006D52C2">
              <w:rPr>
                <w:noProof/>
                <w:webHidden/>
              </w:rPr>
              <w:t>5</w:t>
            </w:r>
            <w:r w:rsidR="000A15D2">
              <w:rPr>
                <w:noProof/>
                <w:webHidden/>
              </w:rPr>
              <w:fldChar w:fldCharType="end"/>
            </w:r>
          </w:hyperlink>
        </w:p>
        <w:p w14:paraId="4B265523"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30" w:history="1">
            <w:r w:rsidR="000A15D2" w:rsidRPr="00B766ED">
              <w:rPr>
                <w:rStyle w:val="Hyperlink"/>
                <w:noProof/>
              </w:rPr>
              <w:t>1.3. Continuum Diffusion Models</w:t>
            </w:r>
            <w:r w:rsidR="000A15D2">
              <w:rPr>
                <w:noProof/>
                <w:webHidden/>
              </w:rPr>
              <w:tab/>
            </w:r>
            <w:r w:rsidR="000A15D2">
              <w:rPr>
                <w:noProof/>
                <w:webHidden/>
              </w:rPr>
              <w:fldChar w:fldCharType="begin"/>
            </w:r>
            <w:r w:rsidR="000A15D2">
              <w:rPr>
                <w:noProof/>
                <w:webHidden/>
              </w:rPr>
              <w:instrText xml:space="preserve"> PAGEREF _Toc531943730 \h </w:instrText>
            </w:r>
            <w:r w:rsidR="000A15D2">
              <w:rPr>
                <w:noProof/>
                <w:webHidden/>
              </w:rPr>
            </w:r>
            <w:r w:rsidR="000A15D2">
              <w:rPr>
                <w:noProof/>
                <w:webHidden/>
              </w:rPr>
              <w:fldChar w:fldCharType="separate"/>
            </w:r>
            <w:r w:rsidR="006D52C2">
              <w:rPr>
                <w:noProof/>
                <w:webHidden/>
              </w:rPr>
              <w:t>7</w:t>
            </w:r>
            <w:r w:rsidR="000A15D2">
              <w:rPr>
                <w:noProof/>
                <w:webHidden/>
              </w:rPr>
              <w:fldChar w:fldCharType="end"/>
            </w:r>
          </w:hyperlink>
        </w:p>
        <w:p w14:paraId="189CEB78" w14:textId="15718F23" w:rsidR="000A15D2" w:rsidRDefault="007B3686" w:rsidP="0012564F">
          <w:pPr>
            <w:pStyle w:val="TOC3"/>
            <w:rPr>
              <w:rFonts w:asciiTheme="minorHAnsi" w:hAnsiTheme="minorHAnsi"/>
              <w:noProof/>
              <w:sz w:val="22"/>
            </w:rPr>
          </w:pPr>
          <w:hyperlink w:anchor="_Toc531943731" w:history="1">
            <w:r w:rsidR="000A15D2" w:rsidRPr="00B766ED">
              <w:rPr>
                <w:rStyle w:val="Hyperlink"/>
                <w:noProof/>
              </w:rPr>
              <w:t>i.</w:t>
            </w:r>
            <w:r w:rsidR="000A15D2">
              <w:rPr>
                <w:rStyle w:val="Hyperlink"/>
                <w:noProof/>
              </w:rPr>
              <w:t xml:space="preserve"> </w:t>
            </w:r>
            <w:r w:rsidR="000A15D2" w:rsidRPr="00B766ED">
              <w:rPr>
                <w:rStyle w:val="Hyperlink"/>
                <w:noProof/>
              </w:rPr>
              <w:t>Fickian Diffusion Model</w:t>
            </w:r>
            <w:r w:rsidR="000A15D2">
              <w:rPr>
                <w:noProof/>
                <w:webHidden/>
              </w:rPr>
              <w:tab/>
            </w:r>
            <w:r w:rsidR="000A15D2">
              <w:rPr>
                <w:noProof/>
                <w:webHidden/>
              </w:rPr>
              <w:fldChar w:fldCharType="begin"/>
            </w:r>
            <w:r w:rsidR="000A15D2">
              <w:rPr>
                <w:noProof/>
                <w:webHidden/>
              </w:rPr>
              <w:instrText xml:space="preserve"> PAGEREF _Toc531943731 \h </w:instrText>
            </w:r>
            <w:r w:rsidR="000A15D2">
              <w:rPr>
                <w:noProof/>
                <w:webHidden/>
              </w:rPr>
            </w:r>
            <w:r w:rsidR="000A15D2">
              <w:rPr>
                <w:noProof/>
                <w:webHidden/>
              </w:rPr>
              <w:fldChar w:fldCharType="separate"/>
            </w:r>
            <w:r w:rsidR="006D52C2">
              <w:rPr>
                <w:noProof/>
                <w:webHidden/>
              </w:rPr>
              <w:t>8</w:t>
            </w:r>
            <w:r w:rsidR="000A15D2">
              <w:rPr>
                <w:noProof/>
                <w:webHidden/>
              </w:rPr>
              <w:fldChar w:fldCharType="end"/>
            </w:r>
          </w:hyperlink>
        </w:p>
        <w:p w14:paraId="57022692" w14:textId="7ABF7DC2" w:rsidR="000A15D2" w:rsidRDefault="007B3686" w:rsidP="0012564F">
          <w:pPr>
            <w:pStyle w:val="TOC3"/>
            <w:rPr>
              <w:rFonts w:asciiTheme="minorHAnsi" w:hAnsiTheme="minorHAnsi"/>
              <w:noProof/>
              <w:sz w:val="22"/>
            </w:rPr>
          </w:pPr>
          <w:hyperlink w:anchor="_Toc531943732" w:history="1">
            <w:r w:rsidR="000A15D2" w:rsidRPr="00B766ED">
              <w:rPr>
                <w:rStyle w:val="Hyperlink"/>
                <w:noProof/>
              </w:rPr>
              <w:t>ii.</w:t>
            </w:r>
            <w:r w:rsidR="000A15D2">
              <w:rPr>
                <w:rStyle w:val="Hyperlink"/>
                <w:noProof/>
              </w:rPr>
              <w:t xml:space="preserve"> </w:t>
            </w:r>
            <w:r w:rsidR="000A15D2" w:rsidRPr="00B766ED">
              <w:rPr>
                <w:rStyle w:val="Hyperlink"/>
                <w:noProof/>
              </w:rPr>
              <w:t>Langmuir-type Diffusion Model</w:t>
            </w:r>
            <w:r w:rsidR="000A15D2">
              <w:rPr>
                <w:noProof/>
                <w:webHidden/>
              </w:rPr>
              <w:tab/>
            </w:r>
            <w:r w:rsidR="000A15D2">
              <w:rPr>
                <w:noProof/>
                <w:webHidden/>
              </w:rPr>
              <w:fldChar w:fldCharType="begin"/>
            </w:r>
            <w:r w:rsidR="000A15D2">
              <w:rPr>
                <w:noProof/>
                <w:webHidden/>
              </w:rPr>
              <w:instrText xml:space="preserve"> PAGEREF _Toc531943732 \h </w:instrText>
            </w:r>
            <w:r w:rsidR="000A15D2">
              <w:rPr>
                <w:noProof/>
                <w:webHidden/>
              </w:rPr>
            </w:r>
            <w:r w:rsidR="000A15D2">
              <w:rPr>
                <w:noProof/>
                <w:webHidden/>
              </w:rPr>
              <w:fldChar w:fldCharType="separate"/>
            </w:r>
            <w:r w:rsidR="006D52C2">
              <w:rPr>
                <w:noProof/>
                <w:webHidden/>
              </w:rPr>
              <w:t>9</w:t>
            </w:r>
            <w:r w:rsidR="000A15D2">
              <w:rPr>
                <w:noProof/>
                <w:webHidden/>
              </w:rPr>
              <w:fldChar w:fldCharType="end"/>
            </w:r>
          </w:hyperlink>
        </w:p>
        <w:p w14:paraId="088E8FED" w14:textId="3B8C8AA6" w:rsidR="000A15D2" w:rsidRDefault="007B3686" w:rsidP="0012564F">
          <w:pPr>
            <w:pStyle w:val="TOC3"/>
            <w:rPr>
              <w:rFonts w:asciiTheme="minorHAnsi" w:hAnsiTheme="minorHAnsi"/>
              <w:noProof/>
              <w:sz w:val="22"/>
            </w:rPr>
          </w:pPr>
          <w:hyperlink w:anchor="_Toc531943733" w:history="1">
            <w:r w:rsidR="000A15D2" w:rsidRPr="00B766ED">
              <w:rPr>
                <w:rStyle w:val="Hyperlink"/>
                <w:noProof/>
              </w:rPr>
              <w:t>iii.</w:t>
            </w:r>
            <w:r w:rsidR="000A15D2">
              <w:rPr>
                <w:rStyle w:val="Hyperlink"/>
                <w:noProof/>
              </w:rPr>
              <w:t xml:space="preserve"> </w:t>
            </w:r>
            <w:r w:rsidR="000A15D2" w:rsidRPr="00B766ED">
              <w:rPr>
                <w:rStyle w:val="Hyperlink"/>
                <w:noProof/>
              </w:rPr>
              <w:t>Anisotropic Diffusion Models</w:t>
            </w:r>
            <w:r w:rsidR="000A15D2">
              <w:rPr>
                <w:noProof/>
                <w:webHidden/>
              </w:rPr>
              <w:tab/>
            </w:r>
            <w:r w:rsidR="000A15D2">
              <w:rPr>
                <w:noProof/>
                <w:webHidden/>
              </w:rPr>
              <w:fldChar w:fldCharType="begin"/>
            </w:r>
            <w:r w:rsidR="000A15D2">
              <w:rPr>
                <w:noProof/>
                <w:webHidden/>
              </w:rPr>
              <w:instrText xml:space="preserve"> PAGEREF _Toc531943733 \h </w:instrText>
            </w:r>
            <w:r w:rsidR="000A15D2">
              <w:rPr>
                <w:noProof/>
                <w:webHidden/>
              </w:rPr>
            </w:r>
            <w:r w:rsidR="000A15D2">
              <w:rPr>
                <w:noProof/>
                <w:webHidden/>
              </w:rPr>
              <w:fldChar w:fldCharType="separate"/>
            </w:r>
            <w:r w:rsidR="006D52C2">
              <w:rPr>
                <w:noProof/>
                <w:webHidden/>
              </w:rPr>
              <w:t>10</w:t>
            </w:r>
            <w:r w:rsidR="000A15D2">
              <w:rPr>
                <w:noProof/>
                <w:webHidden/>
              </w:rPr>
              <w:fldChar w:fldCharType="end"/>
            </w:r>
          </w:hyperlink>
        </w:p>
        <w:p w14:paraId="60342540" w14:textId="075E8E7E" w:rsidR="000A15D2" w:rsidRDefault="007B3686" w:rsidP="0012564F">
          <w:pPr>
            <w:pStyle w:val="TOC3"/>
            <w:rPr>
              <w:rFonts w:asciiTheme="minorHAnsi" w:hAnsiTheme="minorHAnsi"/>
              <w:noProof/>
              <w:sz w:val="22"/>
            </w:rPr>
          </w:pPr>
          <w:hyperlink w:anchor="_Toc531943734" w:history="1">
            <w:r w:rsidR="000A15D2" w:rsidRPr="00B766ED">
              <w:rPr>
                <w:rStyle w:val="Hyperlink"/>
                <w:noProof/>
              </w:rPr>
              <w:t>iv.</w:t>
            </w:r>
            <w:r w:rsidR="000A15D2">
              <w:rPr>
                <w:rStyle w:val="Hyperlink"/>
                <w:noProof/>
              </w:rPr>
              <w:t xml:space="preserve"> </w:t>
            </w:r>
            <w:r w:rsidR="000A15D2" w:rsidRPr="00B766ED">
              <w:rPr>
                <w:rStyle w:val="Hyperlink"/>
                <w:noProof/>
              </w:rPr>
              <w:t>Recovery of Diffusion Parameters</w:t>
            </w:r>
            <w:r w:rsidR="000A15D2">
              <w:rPr>
                <w:noProof/>
                <w:webHidden/>
              </w:rPr>
              <w:tab/>
            </w:r>
            <w:r w:rsidR="000A15D2">
              <w:rPr>
                <w:noProof/>
                <w:webHidden/>
              </w:rPr>
              <w:fldChar w:fldCharType="begin"/>
            </w:r>
            <w:r w:rsidR="000A15D2">
              <w:rPr>
                <w:noProof/>
                <w:webHidden/>
              </w:rPr>
              <w:instrText xml:space="preserve"> PAGEREF _Toc531943734 \h </w:instrText>
            </w:r>
            <w:r w:rsidR="000A15D2">
              <w:rPr>
                <w:noProof/>
                <w:webHidden/>
              </w:rPr>
            </w:r>
            <w:r w:rsidR="000A15D2">
              <w:rPr>
                <w:noProof/>
                <w:webHidden/>
              </w:rPr>
              <w:fldChar w:fldCharType="separate"/>
            </w:r>
            <w:r w:rsidR="006D52C2">
              <w:rPr>
                <w:noProof/>
                <w:webHidden/>
              </w:rPr>
              <w:t>11</w:t>
            </w:r>
            <w:r w:rsidR="000A15D2">
              <w:rPr>
                <w:noProof/>
                <w:webHidden/>
              </w:rPr>
              <w:fldChar w:fldCharType="end"/>
            </w:r>
          </w:hyperlink>
        </w:p>
        <w:p w14:paraId="4B860442"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35" w:history="1">
            <w:r w:rsidR="000A15D2" w:rsidRPr="00B766ED">
              <w:rPr>
                <w:rStyle w:val="Hyperlink"/>
                <w:noProof/>
              </w:rPr>
              <w:t>1.4. Effect of Inclusions and Voids on Diffusion Dynamics</w:t>
            </w:r>
            <w:r w:rsidR="000A15D2">
              <w:rPr>
                <w:noProof/>
                <w:webHidden/>
              </w:rPr>
              <w:tab/>
            </w:r>
            <w:r w:rsidR="000A15D2">
              <w:rPr>
                <w:noProof/>
                <w:webHidden/>
              </w:rPr>
              <w:fldChar w:fldCharType="begin"/>
            </w:r>
            <w:r w:rsidR="000A15D2">
              <w:rPr>
                <w:noProof/>
                <w:webHidden/>
              </w:rPr>
              <w:instrText xml:space="preserve"> PAGEREF _Toc531943735 \h </w:instrText>
            </w:r>
            <w:r w:rsidR="000A15D2">
              <w:rPr>
                <w:noProof/>
                <w:webHidden/>
              </w:rPr>
            </w:r>
            <w:r w:rsidR="000A15D2">
              <w:rPr>
                <w:noProof/>
                <w:webHidden/>
              </w:rPr>
              <w:fldChar w:fldCharType="separate"/>
            </w:r>
            <w:r w:rsidR="006D52C2">
              <w:rPr>
                <w:noProof/>
                <w:webHidden/>
              </w:rPr>
              <w:t>13</w:t>
            </w:r>
            <w:r w:rsidR="000A15D2">
              <w:rPr>
                <w:noProof/>
                <w:webHidden/>
              </w:rPr>
              <w:fldChar w:fldCharType="end"/>
            </w:r>
          </w:hyperlink>
        </w:p>
        <w:p w14:paraId="6F5E230D"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36" w:history="1">
            <w:r w:rsidR="000A15D2" w:rsidRPr="00B766ED">
              <w:rPr>
                <w:rStyle w:val="Hyperlink"/>
                <w:noProof/>
              </w:rPr>
              <w:t>1.5. Diffusion Dynamics in Closed-Cell Polymer Foams</w:t>
            </w:r>
            <w:r w:rsidR="000A15D2">
              <w:rPr>
                <w:noProof/>
                <w:webHidden/>
              </w:rPr>
              <w:tab/>
            </w:r>
            <w:r w:rsidR="000A15D2">
              <w:rPr>
                <w:noProof/>
                <w:webHidden/>
              </w:rPr>
              <w:fldChar w:fldCharType="begin"/>
            </w:r>
            <w:r w:rsidR="000A15D2">
              <w:rPr>
                <w:noProof/>
                <w:webHidden/>
              </w:rPr>
              <w:instrText xml:space="preserve"> PAGEREF _Toc531943736 \h </w:instrText>
            </w:r>
            <w:r w:rsidR="000A15D2">
              <w:rPr>
                <w:noProof/>
                <w:webHidden/>
              </w:rPr>
            </w:r>
            <w:r w:rsidR="000A15D2">
              <w:rPr>
                <w:noProof/>
                <w:webHidden/>
              </w:rPr>
              <w:fldChar w:fldCharType="separate"/>
            </w:r>
            <w:r w:rsidR="006D52C2">
              <w:rPr>
                <w:noProof/>
                <w:webHidden/>
              </w:rPr>
              <w:t>16</w:t>
            </w:r>
            <w:r w:rsidR="000A15D2">
              <w:rPr>
                <w:noProof/>
                <w:webHidden/>
              </w:rPr>
              <w:fldChar w:fldCharType="end"/>
            </w:r>
          </w:hyperlink>
        </w:p>
        <w:p w14:paraId="0973AA14" w14:textId="77777777" w:rsidR="000A15D2" w:rsidRDefault="007B3686" w:rsidP="0012564F">
          <w:pPr>
            <w:pStyle w:val="TOC1"/>
            <w:tabs>
              <w:tab w:val="left" w:pos="1760"/>
              <w:tab w:val="right" w:leader="dot" w:pos="8630"/>
            </w:tabs>
            <w:spacing w:after="0"/>
            <w:ind w:firstLine="0"/>
            <w:rPr>
              <w:rFonts w:asciiTheme="minorHAnsi" w:hAnsiTheme="minorHAnsi"/>
              <w:noProof/>
              <w:sz w:val="22"/>
            </w:rPr>
          </w:pPr>
          <w:hyperlink w:anchor="_Toc531943737" w:history="1">
            <w:r w:rsidR="000A15D2" w:rsidRPr="00B766ED">
              <w:rPr>
                <w:rStyle w:val="Hyperlink"/>
                <w:noProof/>
              </w:rPr>
              <w:t>Chapter 2.</w:t>
            </w:r>
            <w:r w:rsidR="000A15D2">
              <w:rPr>
                <w:rFonts w:asciiTheme="minorHAnsi" w:hAnsiTheme="minorHAnsi"/>
                <w:noProof/>
                <w:sz w:val="22"/>
              </w:rPr>
              <w:tab/>
            </w:r>
            <w:r w:rsidR="000A15D2" w:rsidRPr="00B766ED">
              <w:rPr>
                <w:rStyle w:val="Hyperlink"/>
                <w:noProof/>
              </w:rPr>
              <w:t>Moisture Absorption Modeling in Polymeric Composites</w:t>
            </w:r>
            <w:r w:rsidR="000A15D2">
              <w:rPr>
                <w:noProof/>
                <w:webHidden/>
              </w:rPr>
              <w:tab/>
            </w:r>
            <w:r w:rsidR="000A15D2">
              <w:rPr>
                <w:noProof/>
                <w:webHidden/>
              </w:rPr>
              <w:fldChar w:fldCharType="begin"/>
            </w:r>
            <w:r w:rsidR="000A15D2">
              <w:rPr>
                <w:noProof/>
                <w:webHidden/>
              </w:rPr>
              <w:instrText xml:space="preserve"> PAGEREF _Toc531943737 \h </w:instrText>
            </w:r>
            <w:r w:rsidR="000A15D2">
              <w:rPr>
                <w:noProof/>
                <w:webHidden/>
              </w:rPr>
            </w:r>
            <w:r w:rsidR="000A15D2">
              <w:rPr>
                <w:noProof/>
                <w:webHidden/>
              </w:rPr>
              <w:fldChar w:fldCharType="separate"/>
            </w:r>
            <w:r w:rsidR="006D52C2">
              <w:rPr>
                <w:noProof/>
                <w:webHidden/>
              </w:rPr>
              <w:t>19</w:t>
            </w:r>
            <w:r w:rsidR="000A15D2">
              <w:rPr>
                <w:noProof/>
                <w:webHidden/>
              </w:rPr>
              <w:fldChar w:fldCharType="end"/>
            </w:r>
          </w:hyperlink>
        </w:p>
        <w:p w14:paraId="35507A96"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38" w:history="1">
            <w:r w:rsidR="000A15D2" w:rsidRPr="00B766ED">
              <w:rPr>
                <w:rStyle w:val="Hyperlink"/>
                <w:noProof/>
              </w:rPr>
              <w:t>2.1. Fickian Diffusion Model</w:t>
            </w:r>
            <w:r w:rsidR="000A15D2">
              <w:rPr>
                <w:noProof/>
                <w:webHidden/>
              </w:rPr>
              <w:tab/>
            </w:r>
            <w:r w:rsidR="000A15D2">
              <w:rPr>
                <w:noProof/>
                <w:webHidden/>
              </w:rPr>
              <w:fldChar w:fldCharType="begin"/>
            </w:r>
            <w:r w:rsidR="000A15D2">
              <w:rPr>
                <w:noProof/>
                <w:webHidden/>
              </w:rPr>
              <w:instrText xml:space="preserve"> PAGEREF _Toc531943738 \h </w:instrText>
            </w:r>
            <w:r w:rsidR="000A15D2">
              <w:rPr>
                <w:noProof/>
                <w:webHidden/>
              </w:rPr>
            </w:r>
            <w:r w:rsidR="000A15D2">
              <w:rPr>
                <w:noProof/>
                <w:webHidden/>
              </w:rPr>
              <w:fldChar w:fldCharType="separate"/>
            </w:r>
            <w:r w:rsidR="006D52C2">
              <w:rPr>
                <w:noProof/>
                <w:webHidden/>
              </w:rPr>
              <w:t>19</w:t>
            </w:r>
            <w:r w:rsidR="000A15D2">
              <w:rPr>
                <w:noProof/>
                <w:webHidden/>
              </w:rPr>
              <w:fldChar w:fldCharType="end"/>
            </w:r>
          </w:hyperlink>
        </w:p>
        <w:p w14:paraId="6B7BA49B"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39" w:history="1">
            <w:r w:rsidR="000A15D2" w:rsidRPr="00B766ED">
              <w:rPr>
                <w:rStyle w:val="Hyperlink"/>
                <w:noProof/>
              </w:rPr>
              <w:t>2.2. Langmuir-Type Diffusion Model</w:t>
            </w:r>
            <w:r w:rsidR="000A15D2">
              <w:rPr>
                <w:noProof/>
                <w:webHidden/>
              </w:rPr>
              <w:tab/>
            </w:r>
            <w:r w:rsidR="000A15D2">
              <w:rPr>
                <w:noProof/>
                <w:webHidden/>
              </w:rPr>
              <w:fldChar w:fldCharType="begin"/>
            </w:r>
            <w:r w:rsidR="000A15D2">
              <w:rPr>
                <w:noProof/>
                <w:webHidden/>
              </w:rPr>
              <w:instrText xml:space="preserve"> PAGEREF _Toc531943739 \h </w:instrText>
            </w:r>
            <w:r w:rsidR="000A15D2">
              <w:rPr>
                <w:noProof/>
                <w:webHidden/>
              </w:rPr>
            </w:r>
            <w:r w:rsidR="000A15D2">
              <w:rPr>
                <w:noProof/>
                <w:webHidden/>
              </w:rPr>
              <w:fldChar w:fldCharType="separate"/>
            </w:r>
            <w:r w:rsidR="006D52C2">
              <w:rPr>
                <w:noProof/>
                <w:webHidden/>
              </w:rPr>
              <w:t>22</w:t>
            </w:r>
            <w:r w:rsidR="000A15D2">
              <w:rPr>
                <w:noProof/>
                <w:webHidden/>
              </w:rPr>
              <w:fldChar w:fldCharType="end"/>
            </w:r>
          </w:hyperlink>
        </w:p>
        <w:p w14:paraId="0166BF88" w14:textId="2FF1E5B9" w:rsidR="000A15D2" w:rsidRDefault="007B3686" w:rsidP="0012564F">
          <w:pPr>
            <w:pStyle w:val="TOC3"/>
            <w:rPr>
              <w:rFonts w:asciiTheme="minorHAnsi" w:hAnsiTheme="minorHAnsi"/>
              <w:noProof/>
              <w:sz w:val="22"/>
            </w:rPr>
          </w:pPr>
          <w:hyperlink w:anchor="_Toc531943740" w:history="1">
            <w:r w:rsidR="000A15D2" w:rsidRPr="00B766ED">
              <w:rPr>
                <w:rStyle w:val="Hyperlink"/>
                <w:noProof/>
              </w:rPr>
              <w:t>i.</w:t>
            </w:r>
            <w:r w:rsidR="000A15D2">
              <w:rPr>
                <w:rStyle w:val="Hyperlink"/>
                <w:noProof/>
              </w:rPr>
              <w:t xml:space="preserve"> </w:t>
            </w:r>
            <w:r w:rsidR="000A15D2" w:rsidRPr="00B766ED">
              <w:rPr>
                <w:rStyle w:val="Hyperlink"/>
                <w:noProof/>
              </w:rPr>
              <w:t>Effect of chemical interactions on moisture absorption kinetics</w:t>
            </w:r>
            <w:r w:rsidR="000A15D2">
              <w:rPr>
                <w:noProof/>
                <w:webHidden/>
              </w:rPr>
              <w:tab/>
            </w:r>
            <w:r w:rsidR="000A15D2">
              <w:rPr>
                <w:noProof/>
                <w:webHidden/>
              </w:rPr>
              <w:fldChar w:fldCharType="begin"/>
            </w:r>
            <w:r w:rsidR="000A15D2">
              <w:rPr>
                <w:noProof/>
                <w:webHidden/>
              </w:rPr>
              <w:instrText xml:space="preserve"> PAGEREF _Toc531943740 \h </w:instrText>
            </w:r>
            <w:r w:rsidR="000A15D2">
              <w:rPr>
                <w:noProof/>
                <w:webHidden/>
              </w:rPr>
            </w:r>
            <w:r w:rsidR="000A15D2">
              <w:rPr>
                <w:noProof/>
                <w:webHidden/>
              </w:rPr>
              <w:fldChar w:fldCharType="separate"/>
            </w:r>
            <w:r w:rsidR="006D52C2">
              <w:rPr>
                <w:noProof/>
                <w:webHidden/>
              </w:rPr>
              <w:t>26</w:t>
            </w:r>
            <w:r w:rsidR="000A15D2">
              <w:rPr>
                <w:noProof/>
                <w:webHidden/>
              </w:rPr>
              <w:fldChar w:fldCharType="end"/>
            </w:r>
          </w:hyperlink>
        </w:p>
        <w:p w14:paraId="5DCE6333" w14:textId="158A674D" w:rsidR="000A15D2" w:rsidRDefault="007B3686" w:rsidP="0012564F">
          <w:pPr>
            <w:pStyle w:val="TOC3"/>
            <w:rPr>
              <w:rFonts w:asciiTheme="minorHAnsi" w:hAnsiTheme="minorHAnsi"/>
              <w:noProof/>
              <w:sz w:val="22"/>
            </w:rPr>
          </w:pPr>
          <w:hyperlink w:anchor="_Toc531943741" w:history="1">
            <w:r w:rsidR="000A15D2" w:rsidRPr="00B766ED">
              <w:rPr>
                <w:rStyle w:val="Hyperlink"/>
                <w:noProof/>
              </w:rPr>
              <w:t>ii.</w:t>
            </w:r>
            <w:r w:rsidR="000A15D2">
              <w:rPr>
                <w:rStyle w:val="Hyperlink"/>
                <w:noProof/>
              </w:rPr>
              <w:t xml:space="preserve"> </w:t>
            </w:r>
            <w:r w:rsidR="000A15D2" w:rsidRPr="00B766ED">
              <w:rPr>
                <w:rStyle w:val="Hyperlink"/>
                <w:noProof/>
              </w:rPr>
              <w:t>Approximate Solutions</w:t>
            </w:r>
            <w:r w:rsidR="000A15D2">
              <w:rPr>
                <w:noProof/>
                <w:webHidden/>
              </w:rPr>
              <w:tab/>
            </w:r>
            <w:r w:rsidR="000A15D2">
              <w:rPr>
                <w:noProof/>
                <w:webHidden/>
              </w:rPr>
              <w:fldChar w:fldCharType="begin"/>
            </w:r>
            <w:r w:rsidR="000A15D2">
              <w:rPr>
                <w:noProof/>
                <w:webHidden/>
              </w:rPr>
              <w:instrText xml:space="preserve"> PAGEREF _Toc531943741 \h </w:instrText>
            </w:r>
            <w:r w:rsidR="000A15D2">
              <w:rPr>
                <w:noProof/>
                <w:webHidden/>
              </w:rPr>
            </w:r>
            <w:r w:rsidR="000A15D2">
              <w:rPr>
                <w:noProof/>
                <w:webHidden/>
              </w:rPr>
              <w:fldChar w:fldCharType="separate"/>
            </w:r>
            <w:r w:rsidR="006D52C2">
              <w:rPr>
                <w:noProof/>
                <w:webHidden/>
              </w:rPr>
              <w:t>31</w:t>
            </w:r>
            <w:r w:rsidR="000A15D2">
              <w:rPr>
                <w:noProof/>
                <w:webHidden/>
              </w:rPr>
              <w:fldChar w:fldCharType="end"/>
            </w:r>
          </w:hyperlink>
        </w:p>
        <w:p w14:paraId="51C08E78" w14:textId="7D1D5088" w:rsidR="000A15D2" w:rsidRDefault="007B3686" w:rsidP="0012564F">
          <w:pPr>
            <w:pStyle w:val="TOC3"/>
            <w:rPr>
              <w:rFonts w:asciiTheme="minorHAnsi" w:hAnsiTheme="minorHAnsi"/>
              <w:noProof/>
              <w:sz w:val="22"/>
            </w:rPr>
          </w:pPr>
          <w:hyperlink w:anchor="_Toc531943742" w:history="1">
            <w:r w:rsidR="000A15D2" w:rsidRPr="00B766ED">
              <w:rPr>
                <w:rStyle w:val="Hyperlink"/>
                <w:noProof/>
              </w:rPr>
              <w:t>iii.</w:t>
            </w:r>
            <w:r w:rsidR="000A15D2">
              <w:rPr>
                <w:rStyle w:val="Hyperlink"/>
                <w:noProof/>
              </w:rPr>
              <w:t xml:space="preserve"> </w:t>
            </w:r>
            <w:r w:rsidR="000A15D2" w:rsidRPr="00B766ED">
              <w:rPr>
                <w:rStyle w:val="Hyperlink"/>
                <w:noProof/>
              </w:rPr>
              <w:t>Non-dimensional Langmuir-type Diffusion Model</w:t>
            </w:r>
            <w:r w:rsidR="000A15D2">
              <w:rPr>
                <w:noProof/>
                <w:webHidden/>
              </w:rPr>
              <w:tab/>
            </w:r>
            <w:r w:rsidR="000A15D2">
              <w:rPr>
                <w:noProof/>
                <w:webHidden/>
              </w:rPr>
              <w:fldChar w:fldCharType="begin"/>
            </w:r>
            <w:r w:rsidR="000A15D2">
              <w:rPr>
                <w:noProof/>
                <w:webHidden/>
              </w:rPr>
              <w:instrText xml:space="preserve"> PAGEREF _Toc531943742 \h </w:instrText>
            </w:r>
            <w:r w:rsidR="000A15D2">
              <w:rPr>
                <w:noProof/>
                <w:webHidden/>
              </w:rPr>
            </w:r>
            <w:r w:rsidR="000A15D2">
              <w:rPr>
                <w:noProof/>
                <w:webHidden/>
              </w:rPr>
              <w:fldChar w:fldCharType="separate"/>
            </w:r>
            <w:r w:rsidR="006D52C2">
              <w:rPr>
                <w:noProof/>
                <w:webHidden/>
              </w:rPr>
              <w:t>32</w:t>
            </w:r>
            <w:r w:rsidR="000A15D2">
              <w:rPr>
                <w:noProof/>
                <w:webHidden/>
              </w:rPr>
              <w:fldChar w:fldCharType="end"/>
            </w:r>
          </w:hyperlink>
        </w:p>
        <w:p w14:paraId="632668F5"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43" w:history="1">
            <w:r w:rsidR="000A15D2" w:rsidRPr="00B766ED">
              <w:rPr>
                <w:rStyle w:val="Hyperlink"/>
                <w:noProof/>
              </w:rPr>
              <w:t>2.3. Fickian and Non-Fickian Absorption in Polymers</w:t>
            </w:r>
            <w:r w:rsidR="000A15D2">
              <w:rPr>
                <w:noProof/>
                <w:webHidden/>
              </w:rPr>
              <w:tab/>
            </w:r>
            <w:r w:rsidR="000A15D2">
              <w:rPr>
                <w:noProof/>
                <w:webHidden/>
              </w:rPr>
              <w:fldChar w:fldCharType="begin"/>
            </w:r>
            <w:r w:rsidR="000A15D2">
              <w:rPr>
                <w:noProof/>
                <w:webHidden/>
              </w:rPr>
              <w:instrText xml:space="preserve"> PAGEREF _Toc531943743 \h </w:instrText>
            </w:r>
            <w:r w:rsidR="000A15D2">
              <w:rPr>
                <w:noProof/>
                <w:webHidden/>
              </w:rPr>
            </w:r>
            <w:r w:rsidR="000A15D2">
              <w:rPr>
                <w:noProof/>
                <w:webHidden/>
              </w:rPr>
              <w:fldChar w:fldCharType="separate"/>
            </w:r>
            <w:r w:rsidR="006D52C2">
              <w:rPr>
                <w:noProof/>
                <w:webHidden/>
              </w:rPr>
              <w:t>33</w:t>
            </w:r>
            <w:r w:rsidR="000A15D2">
              <w:rPr>
                <w:noProof/>
                <w:webHidden/>
              </w:rPr>
              <w:fldChar w:fldCharType="end"/>
            </w:r>
          </w:hyperlink>
        </w:p>
        <w:p w14:paraId="53957743"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44" w:history="1">
            <w:r w:rsidR="000A15D2" w:rsidRPr="00B766ED">
              <w:rPr>
                <w:rStyle w:val="Hyperlink"/>
                <w:noProof/>
              </w:rPr>
              <w:t>2.4. Anisotropic Diffusion Models</w:t>
            </w:r>
            <w:r w:rsidR="000A15D2">
              <w:rPr>
                <w:noProof/>
                <w:webHidden/>
              </w:rPr>
              <w:tab/>
            </w:r>
            <w:r w:rsidR="000A15D2">
              <w:rPr>
                <w:noProof/>
                <w:webHidden/>
              </w:rPr>
              <w:fldChar w:fldCharType="begin"/>
            </w:r>
            <w:r w:rsidR="000A15D2">
              <w:rPr>
                <w:noProof/>
                <w:webHidden/>
              </w:rPr>
              <w:instrText xml:space="preserve"> PAGEREF _Toc531943744 \h </w:instrText>
            </w:r>
            <w:r w:rsidR="000A15D2">
              <w:rPr>
                <w:noProof/>
                <w:webHidden/>
              </w:rPr>
            </w:r>
            <w:r w:rsidR="000A15D2">
              <w:rPr>
                <w:noProof/>
                <w:webHidden/>
              </w:rPr>
              <w:fldChar w:fldCharType="separate"/>
            </w:r>
            <w:r w:rsidR="006D52C2">
              <w:rPr>
                <w:noProof/>
                <w:webHidden/>
              </w:rPr>
              <w:t>37</w:t>
            </w:r>
            <w:r w:rsidR="000A15D2">
              <w:rPr>
                <w:noProof/>
                <w:webHidden/>
              </w:rPr>
              <w:fldChar w:fldCharType="end"/>
            </w:r>
          </w:hyperlink>
        </w:p>
        <w:p w14:paraId="280D33A3" w14:textId="7A3445A0" w:rsidR="000A15D2" w:rsidRDefault="007B3686" w:rsidP="0012564F">
          <w:pPr>
            <w:pStyle w:val="TOC3"/>
            <w:rPr>
              <w:rFonts w:asciiTheme="minorHAnsi" w:hAnsiTheme="minorHAnsi"/>
              <w:noProof/>
              <w:sz w:val="22"/>
            </w:rPr>
          </w:pPr>
          <w:hyperlink w:anchor="_Toc531943745" w:history="1">
            <w:r w:rsidR="000A15D2" w:rsidRPr="00B766ED">
              <w:rPr>
                <w:rStyle w:val="Hyperlink"/>
                <w:noProof/>
              </w:rPr>
              <w:t>i.</w:t>
            </w:r>
            <w:r w:rsidR="000A15D2">
              <w:rPr>
                <w:rStyle w:val="Hyperlink"/>
                <w:noProof/>
              </w:rPr>
              <w:t xml:space="preserve"> </w:t>
            </w:r>
            <w:r w:rsidR="000A15D2" w:rsidRPr="00B766ED">
              <w:rPr>
                <w:rStyle w:val="Hyperlink"/>
                <w:noProof/>
              </w:rPr>
              <w:t>Three-Dimensional Anisotropic Fickian Diffusion Model</w:t>
            </w:r>
            <w:r w:rsidR="000A15D2">
              <w:rPr>
                <w:noProof/>
                <w:webHidden/>
              </w:rPr>
              <w:tab/>
            </w:r>
            <w:r w:rsidR="000A15D2">
              <w:rPr>
                <w:noProof/>
                <w:webHidden/>
              </w:rPr>
              <w:fldChar w:fldCharType="begin"/>
            </w:r>
            <w:r w:rsidR="000A15D2">
              <w:rPr>
                <w:noProof/>
                <w:webHidden/>
              </w:rPr>
              <w:instrText xml:space="preserve"> PAGEREF _Toc531943745 \h </w:instrText>
            </w:r>
            <w:r w:rsidR="000A15D2">
              <w:rPr>
                <w:noProof/>
                <w:webHidden/>
              </w:rPr>
            </w:r>
            <w:r w:rsidR="000A15D2">
              <w:rPr>
                <w:noProof/>
                <w:webHidden/>
              </w:rPr>
              <w:fldChar w:fldCharType="separate"/>
            </w:r>
            <w:r w:rsidR="006D52C2">
              <w:rPr>
                <w:noProof/>
                <w:webHidden/>
              </w:rPr>
              <w:t>37</w:t>
            </w:r>
            <w:r w:rsidR="000A15D2">
              <w:rPr>
                <w:noProof/>
                <w:webHidden/>
              </w:rPr>
              <w:fldChar w:fldCharType="end"/>
            </w:r>
          </w:hyperlink>
        </w:p>
        <w:p w14:paraId="1D82B614" w14:textId="75BFB3F4" w:rsidR="000A15D2" w:rsidRDefault="007B3686" w:rsidP="0012564F">
          <w:pPr>
            <w:pStyle w:val="TOC3"/>
            <w:rPr>
              <w:rFonts w:asciiTheme="minorHAnsi" w:hAnsiTheme="minorHAnsi"/>
              <w:noProof/>
              <w:sz w:val="22"/>
            </w:rPr>
          </w:pPr>
          <w:hyperlink w:anchor="_Toc531943746" w:history="1">
            <w:r w:rsidR="000A15D2" w:rsidRPr="00B766ED">
              <w:rPr>
                <w:rStyle w:val="Hyperlink"/>
                <w:noProof/>
              </w:rPr>
              <w:t>ii.</w:t>
            </w:r>
            <w:r w:rsidR="000A15D2">
              <w:rPr>
                <w:rStyle w:val="Hyperlink"/>
                <w:noProof/>
              </w:rPr>
              <w:t xml:space="preserve"> </w:t>
            </w:r>
            <w:r w:rsidR="000A15D2" w:rsidRPr="00B766ED">
              <w:rPr>
                <w:rStyle w:val="Hyperlink"/>
                <w:noProof/>
              </w:rPr>
              <w:t>Three-Dimensional Hindered Diffusion Model</w:t>
            </w:r>
            <w:r w:rsidR="000A15D2">
              <w:rPr>
                <w:noProof/>
                <w:webHidden/>
              </w:rPr>
              <w:tab/>
            </w:r>
            <w:r w:rsidR="000A15D2">
              <w:rPr>
                <w:noProof/>
                <w:webHidden/>
              </w:rPr>
              <w:fldChar w:fldCharType="begin"/>
            </w:r>
            <w:r w:rsidR="000A15D2">
              <w:rPr>
                <w:noProof/>
                <w:webHidden/>
              </w:rPr>
              <w:instrText xml:space="preserve"> PAGEREF _Toc531943746 \h </w:instrText>
            </w:r>
            <w:r w:rsidR="000A15D2">
              <w:rPr>
                <w:noProof/>
                <w:webHidden/>
              </w:rPr>
            </w:r>
            <w:r w:rsidR="000A15D2">
              <w:rPr>
                <w:noProof/>
                <w:webHidden/>
              </w:rPr>
              <w:fldChar w:fldCharType="separate"/>
            </w:r>
            <w:r w:rsidR="006D52C2">
              <w:rPr>
                <w:noProof/>
                <w:webHidden/>
              </w:rPr>
              <w:t>39</w:t>
            </w:r>
            <w:r w:rsidR="000A15D2">
              <w:rPr>
                <w:noProof/>
                <w:webHidden/>
              </w:rPr>
              <w:fldChar w:fldCharType="end"/>
            </w:r>
          </w:hyperlink>
        </w:p>
        <w:p w14:paraId="3A8FEA25" w14:textId="5BD7D237" w:rsidR="000A15D2" w:rsidRDefault="007B3686" w:rsidP="0012564F">
          <w:pPr>
            <w:pStyle w:val="TOC3"/>
            <w:rPr>
              <w:rFonts w:asciiTheme="minorHAnsi" w:hAnsiTheme="minorHAnsi"/>
              <w:noProof/>
              <w:sz w:val="22"/>
            </w:rPr>
          </w:pPr>
          <w:hyperlink w:anchor="_Toc531943747" w:history="1">
            <w:r w:rsidR="000A15D2" w:rsidRPr="00B766ED">
              <w:rPr>
                <w:rStyle w:val="Hyperlink"/>
                <w:rFonts w:eastAsia="Times New Roman"/>
                <w:noProof/>
              </w:rPr>
              <w:t>iii.</w:t>
            </w:r>
            <w:r w:rsidR="000A15D2">
              <w:rPr>
                <w:rStyle w:val="Hyperlink"/>
                <w:rFonts w:eastAsia="Times New Roman"/>
                <w:noProof/>
              </w:rPr>
              <w:t xml:space="preserve"> </w:t>
            </w:r>
            <w:r w:rsidR="000A15D2" w:rsidRPr="00B766ED">
              <w:rPr>
                <w:rStyle w:val="Hyperlink"/>
                <w:rFonts w:eastAsia="Times New Roman"/>
                <w:noProof/>
              </w:rPr>
              <w:t>Non-dimensional and Approximate Solution of 3D HDM</w:t>
            </w:r>
            <w:r w:rsidR="000A15D2">
              <w:rPr>
                <w:noProof/>
                <w:webHidden/>
              </w:rPr>
              <w:tab/>
            </w:r>
            <w:r w:rsidR="000A15D2">
              <w:rPr>
                <w:noProof/>
                <w:webHidden/>
              </w:rPr>
              <w:fldChar w:fldCharType="begin"/>
            </w:r>
            <w:r w:rsidR="000A15D2">
              <w:rPr>
                <w:noProof/>
                <w:webHidden/>
              </w:rPr>
              <w:instrText xml:space="preserve"> PAGEREF _Toc531943747 \h </w:instrText>
            </w:r>
            <w:r w:rsidR="000A15D2">
              <w:rPr>
                <w:noProof/>
                <w:webHidden/>
              </w:rPr>
            </w:r>
            <w:r w:rsidR="000A15D2">
              <w:rPr>
                <w:noProof/>
                <w:webHidden/>
              </w:rPr>
              <w:fldChar w:fldCharType="separate"/>
            </w:r>
            <w:r w:rsidR="006D52C2">
              <w:rPr>
                <w:noProof/>
                <w:webHidden/>
              </w:rPr>
              <w:t>47</w:t>
            </w:r>
            <w:r w:rsidR="000A15D2">
              <w:rPr>
                <w:noProof/>
                <w:webHidden/>
              </w:rPr>
              <w:fldChar w:fldCharType="end"/>
            </w:r>
          </w:hyperlink>
        </w:p>
        <w:p w14:paraId="3E164EDB"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48" w:history="1">
            <w:r w:rsidR="000A15D2" w:rsidRPr="00B766ED">
              <w:rPr>
                <w:rStyle w:val="Hyperlink"/>
                <w:noProof/>
              </w:rPr>
              <w:t>2.5. Other Diffusion Models</w:t>
            </w:r>
            <w:r w:rsidR="000A15D2">
              <w:rPr>
                <w:noProof/>
                <w:webHidden/>
              </w:rPr>
              <w:tab/>
            </w:r>
            <w:r w:rsidR="000A15D2">
              <w:rPr>
                <w:noProof/>
                <w:webHidden/>
              </w:rPr>
              <w:fldChar w:fldCharType="begin"/>
            </w:r>
            <w:r w:rsidR="000A15D2">
              <w:rPr>
                <w:noProof/>
                <w:webHidden/>
              </w:rPr>
              <w:instrText xml:space="preserve"> PAGEREF _Toc531943748 \h </w:instrText>
            </w:r>
            <w:r w:rsidR="000A15D2">
              <w:rPr>
                <w:noProof/>
                <w:webHidden/>
              </w:rPr>
            </w:r>
            <w:r w:rsidR="000A15D2">
              <w:rPr>
                <w:noProof/>
                <w:webHidden/>
              </w:rPr>
              <w:fldChar w:fldCharType="separate"/>
            </w:r>
            <w:r w:rsidR="006D52C2">
              <w:rPr>
                <w:noProof/>
                <w:webHidden/>
              </w:rPr>
              <w:t>48</w:t>
            </w:r>
            <w:r w:rsidR="000A15D2">
              <w:rPr>
                <w:noProof/>
                <w:webHidden/>
              </w:rPr>
              <w:fldChar w:fldCharType="end"/>
            </w:r>
          </w:hyperlink>
        </w:p>
        <w:p w14:paraId="78DBF0FC" w14:textId="37AE7991" w:rsidR="000A15D2" w:rsidRDefault="007B3686" w:rsidP="0012564F">
          <w:pPr>
            <w:pStyle w:val="TOC3"/>
            <w:rPr>
              <w:rFonts w:asciiTheme="minorHAnsi" w:hAnsiTheme="minorHAnsi"/>
              <w:noProof/>
              <w:sz w:val="22"/>
            </w:rPr>
          </w:pPr>
          <w:hyperlink w:anchor="_Toc531943749" w:history="1">
            <w:r w:rsidR="000A15D2" w:rsidRPr="00B766ED">
              <w:rPr>
                <w:rStyle w:val="Hyperlink"/>
                <w:noProof/>
              </w:rPr>
              <w:t>i.</w:t>
            </w:r>
            <w:r w:rsidR="000A15D2">
              <w:rPr>
                <w:rStyle w:val="Hyperlink"/>
                <w:noProof/>
              </w:rPr>
              <w:t xml:space="preserve"> </w:t>
            </w:r>
            <w:r w:rsidR="000A15D2" w:rsidRPr="00B766ED">
              <w:rPr>
                <w:rStyle w:val="Hyperlink"/>
                <w:noProof/>
              </w:rPr>
              <w:t>Dual-Diffusivity Model</w:t>
            </w:r>
            <w:r w:rsidR="000A15D2">
              <w:rPr>
                <w:noProof/>
                <w:webHidden/>
              </w:rPr>
              <w:tab/>
            </w:r>
            <w:r w:rsidR="000A15D2">
              <w:rPr>
                <w:noProof/>
                <w:webHidden/>
              </w:rPr>
              <w:fldChar w:fldCharType="begin"/>
            </w:r>
            <w:r w:rsidR="000A15D2">
              <w:rPr>
                <w:noProof/>
                <w:webHidden/>
              </w:rPr>
              <w:instrText xml:space="preserve"> PAGEREF _Toc531943749 \h </w:instrText>
            </w:r>
            <w:r w:rsidR="000A15D2">
              <w:rPr>
                <w:noProof/>
                <w:webHidden/>
              </w:rPr>
            </w:r>
            <w:r w:rsidR="000A15D2">
              <w:rPr>
                <w:noProof/>
                <w:webHidden/>
              </w:rPr>
              <w:fldChar w:fldCharType="separate"/>
            </w:r>
            <w:r w:rsidR="006D52C2">
              <w:rPr>
                <w:noProof/>
                <w:webHidden/>
              </w:rPr>
              <w:t>48</w:t>
            </w:r>
            <w:r w:rsidR="000A15D2">
              <w:rPr>
                <w:noProof/>
                <w:webHidden/>
              </w:rPr>
              <w:fldChar w:fldCharType="end"/>
            </w:r>
          </w:hyperlink>
        </w:p>
        <w:p w14:paraId="28B8F40D" w14:textId="689B3756" w:rsidR="000A15D2" w:rsidRDefault="007B3686" w:rsidP="0012564F">
          <w:pPr>
            <w:pStyle w:val="TOC3"/>
            <w:rPr>
              <w:rFonts w:asciiTheme="minorHAnsi" w:hAnsiTheme="minorHAnsi"/>
              <w:noProof/>
              <w:sz w:val="22"/>
            </w:rPr>
          </w:pPr>
          <w:hyperlink w:anchor="_Toc531943750" w:history="1">
            <w:r w:rsidR="000A15D2" w:rsidRPr="00B766ED">
              <w:rPr>
                <w:rStyle w:val="Hyperlink"/>
                <w:noProof/>
              </w:rPr>
              <w:t>ii.</w:t>
            </w:r>
            <w:r w:rsidR="000A15D2">
              <w:rPr>
                <w:rStyle w:val="Hyperlink"/>
                <w:noProof/>
              </w:rPr>
              <w:t xml:space="preserve"> </w:t>
            </w:r>
            <w:r w:rsidR="000A15D2" w:rsidRPr="00B766ED">
              <w:rPr>
                <w:rStyle w:val="Hyperlink"/>
                <w:noProof/>
              </w:rPr>
              <w:t>Time-Varying Diffusivity Model</w:t>
            </w:r>
            <w:r w:rsidR="000A15D2">
              <w:rPr>
                <w:noProof/>
                <w:webHidden/>
              </w:rPr>
              <w:tab/>
            </w:r>
            <w:r w:rsidR="000A15D2">
              <w:rPr>
                <w:noProof/>
                <w:webHidden/>
              </w:rPr>
              <w:fldChar w:fldCharType="begin"/>
            </w:r>
            <w:r w:rsidR="000A15D2">
              <w:rPr>
                <w:noProof/>
                <w:webHidden/>
              </w:rPr>
              <w:instrText xml:space="preserve"> PAGEREF _Toc531943750 \h </w:instrText>
            </w:r>
            <w:r w:rsidR="000A15D2">
              <w:rPr>
                <w:noProof/>
                <w:webHidden/>
              </w:rPr>
            </w:r>
            <w:r w:rsidR="000A15D2">
              <w:rPr>
                <w:noProof/>
                <w:webHidden/>
              </w:rPr>
              <w:fldChar w:fldCharType="separate"/>
            </w:r>
            <w:r w:rsidR="006D52C2">
              <w:rPr>
                <w:noProof/>
                <w:webHidden/>
              </w:rPr>
              <w:t>50</w:t>
            </w:r>
            <w:r w:rsidR="000A15D2">
              <w:rPr>
                <w:noProof/>
                <w:webHidden/>
              </w:rPr>
              <w:fldChar w:fldCharType="end"/>
            </w:r>
          </w:hyperlink>
        </w:p>
        <w:p w14:paraId="5A775DFA"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51" w:history="1">
            <w:r w:rsidR="000A15D2" w:rsidRPr="00B766ED">
              <w:rPr>
                <w:rStyle w:val="Hyperlink"/>
                <w:noProof/>
              </w:rPr>
              <w:t>2.6. Model Parameter Recovery</w:t>
            </w:r>
            <w:r w:rsidR="000A15D2">
              <w:rPr>
                <w:noProof/>
                <w:webHidden/>
              </w:rPr>
              <w:tab/>
            </w:r>
            <w:r w:rsidR="000A15D2">
              <w:rPr>
                <w:noProof/>
                <w:webHidden/>
              </w:rPr>
              <w:fldChar w:fldCharType="begin"/>
            </w:r>
            <w:r w:rsidR="000A15D2">
              <w:rPr>
                <w:noProof/>
                <w:webHidden/>
              </w:rPr>
              <w:instrText xml:space="preserve"> PAGEREF _Toc531943751 \h </w:instrText>
            </w:r>
            <w:r w:rsidR="000A15D2">
              <w:rPr>
                <w:noProof/>
                <w:webHidden/>
              </w:rPr>
            </w:r>
            <w:r w:rsidR="000A15D2">
              <w:rPr>
                <w:noProof/>
                <w:webHidden/>
              </w:rPr>
              <w:fldChar w:fldCharType="separate"/>
            </w:r>
            <w:r w:rsidR="006D52C2">
              <w:rPr>
                <w:noProof/>
                <w:webHidden/>
              </w:rPr>
              <w:t>51</w:t>
            </w:r>
            <w:r w:rsidR="000A15D2">
              <w:rPr>
                <w:noProof/>
                <w:webHidden/>
              </w:rPr>
              <w:fldChar w:fldCharType="end"/>
            </w:r>
          </w:hyperlink>
        </w:p>
        <w:p w14:paraId="305D360F" w14:textId="091BC1DB" w:rsidR="000A15D2" w:rsidRDefault="007B3686" w:rsidP="0012564F">
          <w:pPr>
            <w:pStyle w:val="TOC3"/>
            <w:rPr>
              <w:rFonts w:asciiTheme="minorHAnsi" w:hAnsiTheme="minorHAnsi"/>
              <w:noProof/>
              <w:sz w:val="22"/>
            </w:rPr>
          </w:pPr>
          <w:hyperlink w:anchor="_Toc531943752" w:history="1">
            <w:r w:rsidR="000A15D2" w:rsidRPr="00B766ED">
              <w:rPr>
                <w:rStyle w:val="Hyperlink"/>
                <w:noProof/>
              </w:rPr>
              <w:t>i.</w:t>
            </w:r>
            <w:r w:rsidR="000A15D2">
              <w:rPr>
                <w:rStyle w:val="Hyperlink"/>
                <w:noProof/>
              </w:rPr>
              <w:t xml:space="preserve"> </w:t>
            </w:r>
            <w:r w:rsidR="000A15D2" w:rsidRPr="00B766ED">
              <w:rPr>
                <w:rStyle w:val="Hyperlink"/>
                <w:noProof/>
              </w:rPr>
              <w:t>Absorption parameters to be recovered</w:t>
            </w:r>
            <w:r w:rsidR="000A15D2">
              <w:rPr>
                <w:noProof/>
                <w:webHidden/>
              </w:rPr>
              <w:tab/>
            </w:r>
            <w:r w:rsidR="000A15D2">
              <w:rPr>
                <w:noProof/>
                <w:webHidden/>
              </w:rPr>
              <w:fldChar w:fldCharType="begin"/>
            </w:r>
            <w:r w:rsidR="000A15D2">
              <w:rPr>
                <w:noProof/>
                <w:webHidden/>
              </w:rPr>
              <w:instrText xml:space="preserve"> PAGEREF _Toc531943752 \h </w:instrText>
            </w:r>
            <w:r w:rsidR="000A15D2">
              <w:rPr>
                <w:noProof/>
                <w:webHidden/>
              </w:rPr>
            </w:r>
            <w:r w:rsidR="000A15D2">
              <w:rPr>
                <w:noProof/>
                <w:webHidden/>
              </w:rPr>
              <w:fldChar w:fldCharType="separate"/>
            </w:r>
            <w:r w:rsidR="006D52C2">
              <w:rPr>
                <w:noProof/>
                <w:webHidden/>
              </w:rPr>
              <w:t>53</w:t>
            </w:r>
            <w:r w:rsidR="000A15D2">
              <w:rPr>
                <w:noProof/>
                <w:webHidden/>
              </w:rPr>
              <w:fldChar w:fldCharType="end"/>
            </w:r>
          </w:hyperlink>
        </w:p>
        <w:p w14:paraId="02EFA90E"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53" w:history="1">
            <w:r w:rsidR="000A15D2" w:rsidRPr="00B766ED">
              <w:rPr>
                <w:rStyle w:val="Hyperlink"/>
                <w:noProof/>
              </w:rPr>
              <w:t>2.7. Multilayer Hindered Diffusion Model</w:t>
            </w:r>
            <w:r w:rsidR="000A15D2">
              <w:rPr>
                <w:noProof/>
                <w:webHidden/>
              </w:rPr>
              <w:tab/>
            </w:r>
            <w:r w:rsidR="000A15D2">
              <w:rPr>
                <w:noProof/>
                <w:webHidden/>
              </w:rPr>
              <w:fldChar w:fldCharType="begin"/>
            </w:r>
            <w:r w:rsidR="000A15D2">
              <w:rPr>
                <w:noProof/>
                <w:webHidden/>
              </w:rPr>
              <w:instrText xml:space="preserve"> PAGEREF _Toc531943753 \h </w:instrText>
            </w:r>
            <w:r w:rsidR="000A15D2">
              <w:rPr>
                <w:noProof/>
                <w:webHidden/>
              </w:rPr>
            </w:r>
            <w:r w:rsidR="000A15D2">
              <w:rPr>
                <w:noProof/>
                <w:webHidden/>
              </w:rPr>
              <w:fldChar w:fldCharType="separate"/>
            </w:r>
            <w:r w:rsidR="006D52C2">
              <w:rPr>
                <w:noProof/>
                <w:webHidden/>
              </w:rPr>
              <w:t>57</w:t>
            </w:r>
            <w:r w:rsidR="000A15D2">
              <w:rPr>
                <w:noProof/>
                <w:webHidden/>
              </w:rPr>
              <w:fldChar w:fldCharType="end"/>
            </w:r>
          </w:hyperlink>
        </w:p>
        <w:p w14:paraId="3F353C20" w14:textId="5E8ED119" w:rsidR="000A15D2" w:rsidRDefault="007B3686" w:rsidP="0012564F">
          <w:pPr>
            <w:pStyle w:val="TOC3"/>
            <w:rPr>
              <w:rFonts w:asciiTheme="minorHAnsi" w:hAnsiTheme="minorHAnsi"/>
              <w:noProof/>
              <w:sz w:val="22"/>
            </w:rPr>
          </w:pPr>
          <w:hyperlink w:anchor="_Toc531943754" w:history="1">
            <w:r w:rsidR="000A15D2" w:rsidRPr="00B766ED">
              <w:rPr>
                <w:rStyle w:val="Hyperlink"/>
                <w:noProof/>
              </w:rPr>
              <w:t>i.</w:t>
            </w:r>
            <w:r w:rsidR="000A15D2">
              <w:rPr>
                <w:rStyle w:val="Hyperlink"/>
                <w:noProof/>
              </w:rPr>
              <w:t xml:space="preserve"> </w:t>
            </w:r>
            <w:r w:rsidR="000A15D2" w:rsidRPr="00B766ED">
              <w:rPr>
                <w:rStyle w:val="Hyperlink"/>
                <w:noProof/>
              </w:rPr>
              <w:t>Initial and Boundary Conditions</w:t>
            </w:r>
            <w:r w:rsidR="000A15D2">
              <w:rPr>
                <w:noProof/>
                <w:webHidden/>
              </w:rPr>
              <w:tab/>
            </w:r>
            <w:r w:rsidR="000A15D2">
              <w:rPr>
                <w:noProof/>
                <w:webHidden/>
              </w:rPr>
              <w:fldChar w:fldCharType="begin"/>
            </w:r>
            <w:r w:rsidR="000A15D2">
              <w:rPr>
                <w:noProof/>
                <w:webHidden/>
              </w:rPr>
              <w:instrText xml:space="preserve"> PAGEREF _Toc531943754 \h </w:instrText>
            </w:r>
            <w:r w:rsidR="000A15D2">
              <w:rPr>
                <w:noProof/>
                <w:webHidden/>
              </w:rPr>
            </w:r>
            <w:r w:rsidR="000A15D2">
              <w:rPr>
                <w:noProof/>
                <w:webHidden/>
              </w:rPr>
              <w:fldChar w:fldCharType="separate"/>
            </w:r>
            <w:r w:rsidR="006D52C2">
              <w:rPr>
                <w:noProof/>
                <w:webHidden/>
              </w:rPr>
              <w:t>58</w:t>
            </w:r>
            <w:r w:rsidR="000A15D2">
              <w:rPr>
                <w:noProof/>
                <w:webHidden/>
              </w:rPr>
              <w:fldChar w:fldCharType="end"/>
            </w:r>
          </w:hyperlink>
        </w:p>
        <w:p w14:paraId="785080C0" w14:textId="3A6B5650" w:rsidR="000A15D2" w:rsidRDefault="007B3686" w:rsidP="0012564F">
          <w:pPr>
            <w:pStyle w:val="TOC3"/>
            <w:rPr>
              <w:rFonts w:asciiTheme="minorHAnsi" w:hAnsiTheme="minorHAnsi"/>
              <w:noProof/>
              <w:sz w:val="22"/>
            </w:rPr>
          </w:pPr>
          <w:hyperlink w:anchor="_Toc531943755" w:history="1">
            <w:r w:rsidR="000A15D2" w:rsidRPr="00B766ED">
              <w:rPr>
                <w:rStyle w:val="Hyperlink"/>
                <w:noProof/>
              </w:rPr>
              <w:t>ii.</w:t>
            </w:r>
            <w:r w:rsidR="000A15D2">
              <w:rPr>
                <w:rStyle w:val="Hyperlink"/>
                <w:noProof/>
              </w:rPr>
              <w:t xml:space="preserve"> </w:t>
            </w:r>
            <w:r w:rsidR="000A15D2" w:rsidRPr="00B766ED">
              <w:rPr>
                <w:rStyle w:val="Hyperlink"/>
                <w:noProof/>
              </w:rPr>
              <w:t>Analytical Solution Procedure of Quadruple PDE of Multilayer Hindered Diffusion</w:t>
            </w:r>
            <w:r w:rsidR="000A15D2" w:rsidRPr="000A15D2">
              <w:rPr>
                <w:rStyle w:val="Hyperlink"/>
                <w:noProof/>
                <w:color w:val="FFFFFF" w:themeColor="background1"/>
              </w:rPr>
              <w:tab/>
              <w:t xml:space="preserve"> </w:t>
            </w:r>
            <w:r w:rsidR="000A15D2" w:rsidRPr="00B766ED">
              <w:rPr>
                <w:rStyle w:val="Hyperlink"/>
                <w:noProof/>
              </w:rPr>
              <w:t>Model</w:t>
            </w:r>
            <w:r w:rsidR="000A15D2">
              <w:rPr>
                <w:noProof/>
                <w:webHidden/>
              </w:rPr>
              <w:tab/>
            </w:r>
            <w:r w:rsidR="000A15D2">
              <w:rPr>
                <w:noProof/>
                <w:webHidden/>
              </w:rPr>
              <w:tab/>
            </w:r>
            <w:r w:rsidR="000A15D2">
              <w:rPr>
                <w:noProof/>
                <w:webHidden/>
              </w:rPr>
              <w:fldChar w:fldCharType="begin"/>
            </w:r>
            <w:r w:rsidR="000A15D2">
              <w:rPr>
                <w:noProof/>
                <w:webHidden/>
              </w:rPr>
              <w:instrText xml:space="preserve"> PAGEREF _Toc531943755 \h </w:instrText>
            </w:r>
            <w:r w:rsidR="000A15D2">
              <w:rPr>
                <w:noProof/>
                <w:webHidden/>
              </w:rPr>
            </w:r>
            <w:r w:rsidR="000A15D2">
              <w:rPr>
                <w:noProof/>
                <w:webHidden/>
              </w:rPr>
              <w:fldChar w:fldCharType="separate"/>
            </w:r>
            <w:r w:rsidR="006D52C2">
              <w:rPr>
                <w:noProof/>
                <w:webHidden/>
              </w:rPr>
              <w:t>60</w:t>
            </w:r>
            <w:r w:rsidR="000A15D2">
              <w:rPr>
                <w:noProof/>
                <w:webHidden/>
              </w:rPr>
              <w:fldChar w:fldCharType="end"/>
            </w:r>
          </w:hyperlink>
        </w:p>
        <w:p w14:paraId="43683086"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56" w:history="1">
            <w:r w:rsidR="000A15D2" w:rsidRPr="00B766ED">
              <w:rPr>
                <w:rStyle w:val="Hyperlink"/>
                <w:noProof/>
              </w:rPr>
              <w:t>2.8. Porous Media Diffusion Models</w:t>
            </w:r>
            <w:r w:rsidR="000A15D2">
              <w:rPr>
                <w:noProof/>
                <w:webHidden/>
              </w:rPr>
              <w:tab/>
            </w:r>
            <w:r w:rsidR="000A15D2">
              <w:rPr>
                <w:noProof/>
                <w:webHidden/>
              </w:rPr>
              <w:fldChar w:fldCharType="begin"/>
            </w:r>
            <w:r w:rsidR="000A15D2">
              <w:rPr>
                <w:noProof/>
                <w:webHidden/>
              </w:rPr>
              <w:instrText xml:space="preserve"> PAGEREF _Toc531943756 \h </w:instrText>
            </w:r>
            <w:r w:rsidR="000A15D2">
              <w:rPr>
                <w:noProof/>
                <w:webHidden/>
              </w:rPr>
            </w:r>
            <w:r w:rsidR="000A15D2">
              <w:rPr>
                <w:noProof/>
                <w:webHidden/>
              </w:rPr>
              <w:fldChar w:fldCharType="separate"/>
            </w:r>
            <w:r w:rsidR="006D52C2">
              <w:rPr>
                <w:noProof/>
                <w:webHidden/>
              </w:rPr>
              <w:t>65</w:t>
            </w:r>
            <w:r w:rsidR="000A15D2">
              <w:rPr>
                <w:noProof/>
                <w:webHidden/>
              </w:rPr>
              <w:fldChar w:fldCharType="end"/>
            </w:r>
          </w:hyperlink>
        </w:p>
        <w:p w14:paraId="0F1A5861" w14:textId="77777777" w:rsidR="000A15D2" w:rsidRDefault="007B3686" w:rsidP="0012564F">
          <w:pPr>
            <w:pStyle w:val="TOC1"/>
            <w:tabs>
              <w:tab w:val="left" w:pos="1760"/>
              <w:tab w:val="right" w:leader="dot" w:pos="8630"/>
            </w:tabs>
            <w:spacing w:after="0"/>
            <w:ind w:firstLine="0"/>
            <w:rPr>
              <w:rFonts w:asciiTheme="minorHAnsi" w:hAnsiTheme="minorHAnsi"/>
              <w:noProof/>
              <w:sz w:val="22"/>
            </w:rPr>
          </w:pPr>
          <w:hyperlink w:anchor="_Toc531943757" w:history="1">
            <w:r w:rsidR="000A15D2" w:rsidRPr="00B766ED">
              <w:rPr>
                <w:rStyle w:val="Hyperlink"/>
                <w:noProof/>
              </w:rPr>
              <w:t>Chapter 3.</w:t>
            </w:r>
            <w:r w:rsidR="000A15D2">
              <w:rPr>
                <w:rFonts w:asciiTheme="minorHAnsi" w:hAnsiTheme="minorHAnsi"/>
                <w:noProof/>
                <w:sz w:val="22"/>
              </w:rPr>
              <w:tab/>
            </w:r>
            <w:r w:rsidR="000A15D2" w:rsidRPr="00B766ED">
              <w:rPr>
                <w:rStyle w:val="Hyperlink"/>
                <w:noProof/>
              </w:rPr>
              <w:t>Effects of Micro- and Nano-Filler Addition to Thermosetting Polymers on Moisture Absorption</w:t>
            </w:r>
            <w:r w:rsidR="000A15D2">
              <w:rPr>
                <w:noProof/>
                <w:webHidden/>
              </w:rPr>
              <w:tab/>
            </w:r>
            <w:r w:rsidR="000A15D2">
              <w:rPr>
                <w:noProof/>
                <w:webHidden/>
              </w:rPr>
              <w:fldChar w:fldCharType="begin"/>
            </w:r>
            <w:r w:rsidR="000A15D2">
              <w:rPr>
                <w:noProof/>
                <w:webHidden/>
              </w:rPr>
              <w:instrText xml:space="preserve"> PAGEREF _Toc531943757 \h </w:instrText>
            </w:r>
            <w:r w:rsidR="000A15D2">
              <w:rPr>
                <w:noProof/>
                <w:webHidden/>
              </w:rPr>
            </w:r>
            <w:r w:rsidR="000A15D2">
              <w:rPr>
                <w:noProof/>
                <w:webHidden/>
              </w:rPr>
              <w:fldChar w:fldCharType="separate"/>
            </w:r>
            <w:r w:rsidR="006D52C2">
              <w:rPr>
                <w:noProof/>
                <w:webHidden/>
              </w:rPr>
              <w:t>68</w:t>
            </w:r>
            <w:r w:rsidR="000A15D2">
              <w:rPr>
                <w:noProof/>
                <w:webHidden/>
              </w:rPr>
              <w:fldChar w:fldCharType="end"/>
            </w:r>
          </w:hyperlink>
        </w:p>
        <w:p w14:paraId="00BD3099"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58" w:history="1">
            <w:r w:rsidR="000A15D2" w:rsidRPr="00B766ED">
              <w:rPr>
                <w:rStyle w:val="Hyperlink"/>
                <w:noProof/>
              </w:rPr>
              <w:t>3.1. Effect of Different Filler Content in Epoxy</w:t>
            </w:r>
            <w:r w:rsidR="000A15D2">
              <w:rPr>
                <w:noProof/>
                <w:webHidden/>
              </w:rPr>
              <w:tab/>
            </w:r>
            <w:r w:rsidR="000A15D2">
              <w:rPr>
                <w:noProof/>
                <w:webHidden/>
              </w:rPr>
              <w:fldChar w:fldCharType="begin"/>
            </w:r>
            <w:r w:rsidR="000A15D2">
              <w:rPr>
                <w:noProof/>
                <w:webHidden/>
              </w:rPr>
              <w:instrText xml:space="preserve"> PAGEREF _Toc531943758 \h </w:instrText>
            </w:r>
            <w:r w:rsidR="000A15D2">
              <w:rPr>
                <w:noProof/>
                <w:webHidden/>
              </w:rPr>
            </w:r>
            <w:r w:rsidR="000A15D2">
              <w:rPr>
                <w:noProof/>
                <w:webHidden/>
              </w:rPr>
              <w:fldChar w:fldCharType="separate"/>
            </w:r>
            <w:r w:rsidR="006D52C2">
              <w:rPr>
                <w:noProof/>
                <w:webHidden/>
              </w:rPr>
              <w:t>71</w:t>
            </w:r>
            <w:r w:rsidR="000A15D2">
              <w:rPr>
                <w:noProof/>
                <w:webHidden/>
              </w:rPr>
              <w:fldChar w:fldCharType="end"/>
            </w:r>
          </w:hyperlink>
        </w:p>
        <w:p w14:paraId="74FE0943" w14:textId="66D53515" w:rsidR="000A15D2" w:rsidRDefault="007B3686" w:rsidP="0012564F">
          <w:pPr>
            <w:pStyle w:val="TOC3"/>
            <w:rPr>
              <w:rFonts w:asciiTheme="minorHAnsi" w:hAnsiTheme="minorHAnsi"/>
              <w:noProof/>
              <w:sz w:val="22"/>
            </w:rPr>
          </w:pPr>
          <w:hyperlink w:anchor="_Toc531943759" w:history="1">
            <w:r w:rsidR="000A15D2" w:rsidRPr="00B766ED">
              <w:rPr>
                <w:rStyle w:val="Hyperlink"/>
                <w:noProof/>
              </w:rPr>
              <w:t>i.</w:t>
            </w:r>
            <w:r w:rsidR="000A15D2">
              <w:rPr>
                <w:rStyle w:val="Hyperlink"/>
                <w:noProof/>
              </w:rPr>
              <w:t xml:space="preserve"> </w:t>
            </w:r>
            <w:r w:rsidR="000A15D2" w:rsidRPr="00B766ED">
              <w:rPr>
                <w:rStyle w:val="Hyperlink"/>
                <w:noProof/>
              </w:rPr>
              <w:t>Materials and Sample Preparation of I.30E Nanoclay/DGEBA Epoxy</w:t>
            </w:r>
            <w:r w:rsidR="000A15D2">
              <w:rPr>
                <w:noProof/>
                <w:webHidden/>
              </w:rPr>
              <w:tab/>
            </w:r>
            <w:r w:rsidR="000A15D2">
              <w:rPr>
                <w:noProof/>
                <w:webHidden/>
              </w:rPr>
              <w:fldChar w:fldCharType="begin"/>
            </w:r>
            <w:r w:rsidR="000A15D2">
              <w:rPr>
                <w:noProof/>
                <w:webHidden/>
              </w:rPr>
              <w:instrText xml:space="preserve"> PAGEREF _Toc531943759 \h </w:instrText>
            </w:r>
            <w:r w:rsidR="000A15D2">
              <w:rPr>
                <w:noProof/>
                <w:webHidden/>
              </w:rPr>
            </w:r>
            <w:r w:rsidR="000A15D2">
              <w:rPr>
                <w:noProof/>
                <w:webHidden/>
              </w:rPr>
              <w:fldChar w:fldCharType="separate"/>
            </w:r>
            <w:r w:rsidR="006D52C2">
              <w:rPr>
                <w:noProof/>
                <w:webHidden/>
              </w:rPr>
              <w:t>71</w:t>
            </w:r>
            <w:r w:rsidR="000A15D2">
              <w:rPr>
                <w:noProof/>
                <w:webHidden/>
              </w:rPr>
              <w:fldChar w:fldCharType="end"/>
            </w:r>
          </w:hyperlink>
        </w:p>
        <w:p w14:paraId="50B64B92" w14:textId="04F8F799" w:rsidR="000A15D2" w:rsidRDefault="007B3686" w:rsidP="0012564F">
          <w:pPr>
            <w:pStyle w:val="TOC3"/>
            <w:rPr>
              <w:rFonts w:asciiTheme="minorHAnsi" w:hAnsiTheme="minorHAnsi"/>
              <w:noProof/>
              <w:sz w:val="22"/>
            </w:rPr>
          </w:pPr>
          <w:hyperlink w:anchor="_Toc531943760" w:history="1">
            <w:r w:rsidR="000A15D2" w:rsidRPr="00B766ED">
              <w:rPr>
                <w:rStyle w:val="Hyperlink"/>
                <w:noProof/>
              </w:rPr>
              <w:t>ii.</w:t>
            </w:r>
            <w:r w:rsidR="000A15D2">
              <w:rPr>
                <w:rStyle w:val="Hyperlink"/>
                <w:noProof/>
              </w:rPr>
              <w:t xml:space="preserve"> </w:t>
            </w:r>
            <w:r w:rsidR="000A15D2" w:rsidRPr="00B766ED">
              <w:rPr>
                <w:rStyle w:val="Hyperlink"/>
                <w:noProof/>
              </w:rPr>
              <w:t>Experimental Results of I.30E Nanoclay/DGEBA Epoxy and Discussion</w:t>
            </w:r>
            <w:r w:rsidR="000A15D2">
              <w:rPr>
                <w:noProof/>
                <w:webHidden/>
              </w:rPr>
              <w:tab/>
            </w:r>
            <w:r w:rsidR="000A15D2">
              <w:rPr>
                <w:noProof/>
                <w:webHidden/>
              </w:rPr>
              <w:fldChar w:fldCharType="begin"/>
            </w:r>
            <w:r w:rsidR="000A15D2">
              <w:rPr>
                <w:noProof/>
                <w:webHidden/>
              </w:rPr>
              <w:instrText xml:space="preserve"> PAGEREF _Toc531943760 \h </w:instrText>
            </w:r>
            <w:r w:rsidR="000A15D2">
              <w:rPr>
                <w:noProof/>
                <w:webHidden/>
              </w:rPr>
            </w:r>
            <w:r w:rsidR="000A15D2">
              <w:rPr>
                <w:noProof/>
                <w:webHidden/>
              </w:rPr>
              <w:fldChar w:fldCharType="separate"/>
            </w:r>
            <w:r w:rsidR="006D52C2">
              <w:rPr>
                <w:noProof/>
                <w:webHidden/>
              </w:rPr>
              <w:t>71</w:t>
            </w:r>
            <w:r w:rsidR="000A15D2">
              <w:rPr>
                <w:noProof/>
                <w:webHidden/>
              </w:rPr>
              <w:fldChar w:fldCharType="end"/>
            </w:r>
          </w:hyperlink>
        </w:p>
        <w:p w14:paraId="7C7E0B8F" w14:textId="42144218" w:rsidR="000A15D2" w:rsidRDefault="007B3686" w:rsidP="0012564F">
          <w:pPr>
            <w:pStyle w:val="TOC3"/>
            <w:rPr>
              <w:rFonts w:asciiTheme="minorHAnsi" w:hAnsiTheme="minorHAnsi"/>
              <w:noProof/>
              <w:sz w:val="22"/>
            </w:rPr>
          </w:pPr>
          <w:hyperlink w:anchor="_Toc531943761" w:history="1">
            <w:r w:rsidR="000A15D2" w:rsidRPr="00B766ED">
              <w:rPr>
                <w:rStyle w:val="Hyperlink"/>
                <w:noProof/>
              </w:rPr>
              <w:t>iii.</w:t>
            </w:r>
            <w:r w:rsidR="000A15D2">
              <w:rPr>
                <w:rStyle w:val="Hyperlink"/>
                <w:noProof/>
              </w:rPr>
              <w:t xml:space="preserve"> </w:t>
            </w:r>
            <w:r w:rsidR="000A15D2" w:rsidRPr="00B766ED">
              <w:rPr>
                <w:rStyle w:val="Hyperlink"/>
                <w:noProof/>
              </w:rPr>
              <w:t>Materials and Sample Preparation of I.30E Nanoclay/EPON 862 Epoxy</w:t>
            </w:r>
            <w:r w:rsidR="000A15D2">
              <w:rPr>
                <w:noProof/>
                <w:webHidden/>
              </w:rPr>
              <w:tab/>
            </w:r>
            <w:r w:rsidR="000A15D2">
              <w:rPr>
                <w:noProof/>
                <w:webHidden/>
              </w:rPr>
              <w:fldChar w:fldCharType="begin"/>
            </w:r>
            <w:r w:rsidR="000A15D2">
              <w:rPr>
                <w:noProof/>
                <w:webHidden/>
              </w:rPr>
              <w:instrText xml:space="preserve"> PAGEREF _Toc531943761 \h </w:instrText>
            </w:r>
            <w:r w:rsidR="000A15D2">
              <w:rPr>
                <w:noProof/>
                <w:webHidden/>
              </w:rPr>
            </w:r>
            <w:r w:rsidR="000A15D2">
              <w:rPr>
                <w:noProof/>
                <w:webHidden/>
              </w:rPr>
              <w:fldChar w:fldCharType="separate"/>
            </w:r>
            <w:r w:rsidR="006D52C2">
              <w:rPr>
                <w:noProof/>
                <w:webHidden/>
              </w:rPr>
              <w:t>80</w:t>
            </w:r>
            <w:r w:rsidR="000A15D2">
              <w:rPr>
                <w:noProof/>
                <w:webHidden/>
              </w:rPr>
              <w:fldChar w:fldCharType="end"/>
            </w:r>
          </w:hyperlink>
        </w:p>
        <w:p w14:paraId="0A8E5FE5" w14:textId="58DA686F" w:rsidR="000A15D2" w:rsidRDefault="007B3686" w:rsidP="0012564F">
          <w:pPr>
            <w:pStyle w:val="TOC3"/>
            <w:rPr>
              <w:rFonts w:asciiTheme="minorHAnsi" w:hAnsiTheme="minorHAnsi"/>
              <w:noProof/>
              <w:sz w:val="22"/>
            </w:rPr>
          </w:pPr>
          <w:hyperlink w:anchor="_Toc531943762" w:history="1">
            <w:r w:rsidR="000A15D2" w:rsidRPr="00B766ED">
              <w:rPr>
                <w:rStyle w:val="Hyperlink"/>
                <w:noProof/>
              </w:rPr>
              <w:t>iv.</w:t>
            </w:r>
            <w:r w:rsidR="000A15D2">
              <w:rPr>
                <w:rStyle w:val="Hyperlink"/>
                <w:noProof/>
              </w:rPr>
              <w:t xml:space="preserve"> </w:t>
            </w:r>
            <w:r w:rsidR="000A15D2" w:rsidRPr="00B766ED">
              <w:rPr>
                <w:rStyle w:val="Hyperlink"/>
                <w:noProof/>
              </w:rPr>
              <w:t>Experimental Results of I.30E/EPON 862 and Discussion</w:t>
            </w:r>
            <w:r w:rsidR="000A15D2">
              <w:rPr>
                <w:noProof/>
                <w:webHidden/>
              </w:rPr>
              <w:tab/>
            </w:r>
            <w:r w:rsidR="000A15D2">
              <w:rPr>
                <w:noProof/>
                <w:webHidden/>
              </w:rPr>
              <w:fldChar w:fldCharType="begin"/>
            </w:r>
            <w:r w:rsidR="000A15D2">
              <w:rPr>
                <w:noProof/>
                <w:webHidden/>
              </w:rPr>
              <w:instrText xml:space="preserve"> PAGEREF _Toc531943762 \h </w:instrText>
            </w:r>
            <w:r w:rsidR="000A15D2">
              <w:rPr>
                <w:noProof/>
                <w:webHidden/>
              </w:rPr>
            </w:r>
            <w:r w:rsidR="000A15D2">
              <w:rPr>
                <w:noProof/>
                <w:webHidden/>
              </w:rPr>
              <w:fldChar w:fldCharType="separate"/>
            </w:r>
            <w:r w:rsidR="006D52C2">
              <w:rPr>
                <w:noProof/>
                <w:webHidden/>
              </w:rPr>
              <w:t>81</w:t>
            </w:r>
            <w:r w:rsidR="000A15D2">
              <w:rPr>
                <w:noProof/>
                <w:webHidden/>
              </w:rPr>
              <w:fldChar w:fldCharType="end"/>
            </w:r>
          </w:hyperlink>
        </w:p>
        <w:p w14:paraId="130179E2" w14:textId="49A32E7C" w:rsidR="000A15D2" w:rsidRDefault="007B3686" w:rsidP="0012564F">
          <w:pPr>
            <w:pStyle w:val="TOC3"/>
            <w:rPr>
              <w:rFonts w:asciiTheme="minorHAnsi" w:hAnsiTheme="minorHAnsi"/>
              <w:noProof/>
              <w:sz w:val="22"/>
            </w:rPr>
          </w:pPr>
          <w:hyperlink w:anchor="_Toc531943763" w:history="1">
            <w:r w:rsidR="000A15D2" w:rsidRPr="00B766ED">
              <w:rPr>
                <w:rStyle w:val="Hyperlink"/>
                <w:noProof/>
              </w:rPr>
              <w:t>v.</w:t>
            </w:r>
            <w:r w:rsidR="000A15D2">
              <w:rPr>
                <w:rStyle w:val="Hyperlink"/>
                <w:noProof/>
              </w:rPr>
              <w:t xml:space="preserve"> </w:t>
            </w:r>
            <w:r w:rsidR="000A15D2" w:rsidRPr="00B766ED">
              <w:rPr>
                <w:rStyle w:val="Hyperlink"/>
                <w:noProof/>
              </w:rPr>
              <w:t>Effect of resin type on the molecular interactions between water molecules and</w:t>
            </w:r>
            <w:r w:rsidR="000A15D2" w:rsidRPr="000A15D2">
              <w:rPr>
                <w:rStyle w:val="Hyperlink"/>
                <w:noProof/>
                <w:color w:val="FFFFFF" w:themeColor="background1"/>
              </w:rPr>
              <w:tab/>
            </w:r>
            <w:r w:rsidR="000A15D2" w:rsidRPr="00B766ED">
              <w:rPr>
                <w:rStyle w:val="Hyperlink"/>
                <w:noProof/>
              </w:rPr>
              <w:t xml:space="preserve"> </w:t>
            </w:r>
            <w:r w:rsidR="000A15D2">
              <w:rPr>
                <w:rStyle w:val="Hyperlink"/>
                <w:noProof/>
              </w:rPr>
              <w:br/>
            </w:r>
            <w:r w:rsidR="000A15D2" w:rsidRPr="00B766ED">
              <w:rPr>
                <w:rStyle w:val="Hyperlink"/>
                <w:noProof/>
              </w:rPr>
              <w:t>epoxy</w:t>
            </w:r>
            <w:r w:rsidR="000A15D2">
              <w:rPr>
                <w:noProof/>
                <w:webHidden/>
              </w:rPr>
              <w:tab/>
            </w:r>
            <w:r w:rsidR="000A15D2">
              <w:rPr>
                <w:noProof/>
                <w:webHidden/>
              </w:rPr>
              <w:tab/>
            </w:r>
            <w:r w:rsidR="000A15D2">
              <w:rPr>
                <w:noProof/>
                <w:webHidden/>
              </w:rPr>
              <w:fldChar w:fldCharType="begin"/>
            </w:r>
            <w:r w:rsidR="000A15D2">
              <w:rPr>
                <w:noProof/>
                <w:webHidden/>
              </w:rPr>
              <w:instrText xml:space="preserve"> PAGEREF _Toc531943763 \h </w:instrText>
            </w:r>
            <w:r w:rsidR="000A15D2">
              <w:rPr>
                <w:noProof/>
                <w:webHidden/>
              </w:rPr>
            </w:r>
            <w:r w:rsidR="000A15D2">
              <w:rPr>
                <w:noProof/>
                <w:webHidden/>
              </w:rPr>
              <w:fldChar w:fldCharType="separate"/>
            </w:r>
            <w:r w:rsidR="006D52C2">
              <w:rPr>
                <w:noProof/>
                <w:webHidden/>
              </w:rPr>
              <w:t>87</w:t>
            </w:r>
            <w:r w:rsidR="000A15D2">
              <w:rPr>
                <w:noProof/>
                <w:webHidden/>
              </w:rPr>
              <w:fldChar w:fldCharType="end"/>
            </w:r>
          </w:hyperlink>
        </w:p>
        <w:p w14:paraId="3AAD9497"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64" w:history="1">
            <w:r w:rsidR="000A15D2" w:rsidRPr="00B766ED">
              <w:rPr>
                <w:rStyle w:val="Hyperlink"/>
                <w:noProof/>
              </w:rPr>
              <w:t>3.2. Effects of Interfaces and Filler Types</w:t>
            </w:r>
            <w:r w:rsidR="000A15D2">
              <w:rPr>
                <w:noProof/>
                <w:webHidden/>
              </w:rPr>
              <w:tab/>
            </w:r>
            <w:r w:rsidR="000A15D2">
              <w:rPr>
                <w:noProof/>
                <w:webHidden/>
              </w:rPr>
              <w:fldChar w:fldCharType="begin"/>
            </w:r>
            <w:r w:rsidR="000A15D2">
              <w:rPr>
                <w:noProof/>
                <w:webHidden/>
              </w:rPr>
              <w:instrText xml:space="preserve"> PAGEREF _Toc531943764 \h </w:instrText>
            </w:r>
            <w:r w:rsidR="000A15D2">
              <w:rPr>
                <w:noProof/>
                <w:webHidden/>
              </w:rPr>
            </w:r>
            <w:r w:rsidR="000A15D2">
              <w:rPr>
                <w:noProof/>
                <w:webHidden/>
              </w:rPr>
              <w:fldChar w:fldCharType="separate"/>
            </w:r>
            <w:r w:rsidR="006D52C2">
              <w:rPr>
                <w:noProof/>
                <w:webHidden/>
              </w:rPr>
              <w:t>89</w:t>
            </w:r>
            <w:r w:rsidR="000A15D2">
              <w:rPr>
                <w:noProof/>
                <w:webHidden/>
              </w:rPr>
              <w:fldChar w:fldCharType="end"/>
            </w:r>
          </w:hyperlink>
        </w:p>
        <w:p w14:paraId="302A3541" w14:textId="6C1EB4BF" w:rsidR="000A15D2" w:rsidRDefault="007B3686" w:rsidP="0012564F">
          <w:pPr>
            <w:pStyle w:val="TOC3"/>
            <w:rPr>
              <w:rFonts w:asciiTheme="minorHAnsi" w:hAnsiTheme="minorHAnsi"/>
              <w:noProof/>
              <w:sz w:val="22"/>
            </w:rPr>
          </w:pPr>
          <w:hyperlink w:anchor="_Toc531943765" w:history="1">
            <w:r w:rsidR="000A15D2" w:rsidRPr="00B766ED">
              <w:rPr>
                <w:rStyle w:val="Hyperlink"/>
                <w:noProof/>
              </w:rPr>
              <w:t>i.</w:t>
            </w:r>
            <w:r w:rsidR="000A15D2">
              <w:rPr>
                <w:rFonts w:asciiTheme="minorHAnsi" w:hAnsiTheme="minorHAnsi"/>
                <w:noProof/>
                <w:sz w:val="22"/>
              </w:rPr>
              <w:t xml:space="preserve"> </w:t>
            </w:r>
            <w:r w:rsidR="000A15D2" w:rsidRPr="00B766ED">
              <w:rPr>
                <w:rStyle w:val="Hyperlink"/>
                <w:noProof/>
              </w:rPr>
              <w:t>Materials and Sample Preparation of APS/DGEBA Epoxy and nBS/DGEBA Epoxy</w:t>
            </w:r>
            <w:r w:rsidR="000A15D2">
              <w:rPr>
                <w:noProof/>
                <w:webHidden/>
              </w:rPr>
              <w:tab/>
            </w:r>
            <w:r w:rsidR="000A15D2">
              <w:rPr>
                <w:noProof/>
                <w:webHidden/>
              </w:rPr>
              <w:fldChar w:fldCharType="begin"/>
            </w:r>
            <w:r w:rsidR="000A15D2">
              <w:rPr>
                <w:noProof/>
                <w:webHidden/>
              </w:rPr>
              <w:instrText xml:space="preserve"> PAGEREF _Toc531943765 \h </w:instrText>
            </w:r>
            <w:r w:rsidR="000A15D2">
              <w:rPr>
                <w:noProof/>
                <w:webHidden/>
              </w:rPr>
            </w:r>
            <w:r w:rsidR="000A15D2">
              <w:rPr>
                <w:noProof/>
                <w:webHidden/>
              </w:rPr>
              <w:fldChar w:fldCharType="separate"/>
            </w:r>
            <w:r w:rsidR="006D52C2">
              <w:rPr>
                <w:noProof/>
                <w:webHidden/>
              </w:rPr>
              <w:t>89</w:t>
            </w:r>
            <w:r w:rsidR="000A15D2">
              <w:rPr>
                <w:noProof/>
                <w:webHidden/>
              </w:rPr>
              <w:fldChar w:fldCharType="end"/>
            </w:r>
          </w:hyperlink>
        </w:p>
        <w:p w14:paraId="5E49D4A1" w14:textId="40DB4EEE" w:rsidR="000A15D2" w:rsidRDefault="007B3686" w:rsidP="0012564F">
          <w:pPr>
            <w:pStyle w:val="TOC3"/>
            <w:rPr>
              <w:rFonts w:asciiTheme="minorHAnsi" w:hAnsiTheme="minorHAnsi"/>
              <w:noProof/>
              <w:sz w:val="22"/>
            </w:rPr>
          </w:pPr>
          <w:hyperlink w:anchor="_Toc531943766" w:history="1">
            <w:r w:rsidR="000A15D2" w:rsidRPr="00B766ED">
              <w:rPr>
                <w:rStyle w:val="Hyperlink"/>
                <w:noProof/>
              </w:rPr>
              <w:t>ii.Experimental Results of APS/DGEBA Epoxy and nBS/DGEBA Epoxy</w:t>
            </w:r>
            <w:r w:rsidR="000A15D2">
              <w:rPr>
                <w:rStyle w:val="Hyperlink"/>
                <w:noProof/>
              </w:rPr>
              <w:t xml:space="preserve"> </w:t>
            </w:r>
            <w:r w:rsidR="000A15D2" w:rsidRPr="00B766ED">
              <w:rPr>
                <w:rStyle w:val="Hyperlink"/>
                <w:noProof/>
              </w:rPr>
              <w:t>and</w:t>
            </w:r>
            <w:r w:rsidR="000A15D2" w:rsidRPr="000A15D2">
              <w:rPr>
                <w:rStyle w:val="Hyperlink"/>
                <w:noProof/>
                <w:color w:val="FFFFFF" w:themeColor="background1"/>
              </w:rPr>
              <w:tab/>
            </w:r>
            <w:r w:rsidR="000A15D2" w:rsidRPr="00B766ED">
              <w:rPr>
                <w:rStyle w:val="Hyperlink"/>
                <w:noProof/>
              </w:rPr>
              <w:t xml:space="preserve"> </w:t>
            </w:r>
            <w:r w:rsidR="000A15D2">
              <w:rPr>
                <w:rStyle w:val="Hyperlink"/>
                <w:noProof/>
              </w:rPr>
              <w:br/>
            </w:r>
            <w:r w:rsidR="000A15D2" w:rsidRPr="00B766ED">
              <w:rPr>
                <w:rStyle w:val="Hyperlink"/>
                <w:noProof/>
              </w:rPr>
              <w:t>Discussion</w:t>
            </w:r>
            <w:r w:rsidR="000A15D2">
              <w:rPr>
                <w:rStyle w:val="Hyperlink"/>
                <w:noProof/>
              </w:rPr>
              <w:tab/>
            </w:r>
            <w:r w:rsidR="000A15D2">
              <w:rPr>
                <w:noProof/>
                <w:webHidden/>
              </w:rPr>
              <w:tab/>
            </w:r>
            <w:r w:rsidR="000A15D2">
              <w:rPr>
                <w:noProof/>
                <w:webHidden/>
              </w:rPr>
              <w:fldChar w:fldCharType="begin"/>
            </w:r>
            <w:r w:rsidR="000A15D2">
              <w:rPr>
                <w:noProof/>
                <w:webHidden/>
              </w:rPr>
              <w:instrText xml:space="preserve"> PAGEREF _Toc531943766 \h </w:instrText>
            </w:r>
            <w:r w:rsidR="000A15D2">
              <w:rPr>
                <w:noProof/>
                <w:webHidden/>
              </w:rPr>
            </w:r>
            <w:r w:rsidR="000A15D2">
              <w:rPr>
                <w:noProof/>
                <w:webHidden/>
              </w:rPr>
              <w:fldChar w:fldCharType="separate"/>
            </w:r>
            <w:r w:rsidR="006D52C2">
              <w:rPr>
                <w:noProof/>
                <w:webHidden/>
              </w:rPr>
              <w:t>90</w:t>
            </w:r>
            <w:r w:rsidR="000A15D2">
              <w:rPr>
                <w:noProof/>
                <w:webHidden/>
              </w:rPr>
              <w:fldChar w:fldCharType="end"/>
            </w:r>
          </w:hyperlink>
        </w:p>
        <w:p w14:paraId="516F1268"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67" w:history="1">
            <w:r w:rsidR="000A15D2" w:rsidRPr="00B766ED">
              <w:rPr>
                <w:rStyle w:val="Hyperlink"/>
                <w:noProof/>
              </w:rPr>
              <w:t>3.3. Hollow Micro Glass Sphere/Epoxy Composite Layer on Neat Epoxy</w:t>
            </w:r>
            <w:r w:rsidR="000A15D2">
              <w:rPr>
                <w:noProof/>
                <w:webHidden/>
              </w:rPr>
              <w:tab/>
            </w:r>
            <w:r w:rsidR="000A15D2">
              <w:rPr>
                <w:noProof/>
                <w:webHidden/>
              </w:rPr>
              <w:fldChar w:fldCharType="begin"/>
            </w:r>
            <w:r w:rsidR="000A15D2">
              <w:rPr>
                <w:noProof/>
                <w:webHidden/>
              </w:rPr>
              <w:instrText xml:space="preserve"> PAGEREF _Toc531943767 \h </w:instrText>
            </w:r>
            <w:r w:rsidR="000A15D2">
              <w:rPr>
                <w:noProof/>
                <w:webHidden/>
              </w:rPr>
            </w:r>
            <w:r w:rsidR="000A15D2">
              <w:rPr>
                <w:noProof/>
                <w:webHidden/>
              </w:rPr>
              <w:fldChar w:fldCharType="separate"/>
            </w:r>
            <w:r w:rsidR="006D52C2">
              <w:rPr>
                <w:noProof/>
                <w:webHidden/>
              </w:rPr>
              <w:t>100</w:t>
            </w:r>
            <w:r w:rsidR="000A15D2">
              <w:rPr>
                <w:noProof/>
                <w:webHidden/>
              </w:rPr>
              <w:fldChar w:fldCharType="end"/>
            </w:r>
          </w:hyperlink>
        </w:p>
        <w:p w14:paraId="2D220B88" w14:textId="4256665E" w:rsidR="000A15D2" w:rsidRDefault="007B3686" w:rsidP="0012564F">
          <w:pPr>
            <w:pStyle w:val="TOC3"/>
            <w:rPr>
              <w:rFonts w:asciiTheme="minorHAnsi" w:hAnsiTheme="minorHAnsi"/>
              <w:noProof/>
              <w:sz w:val="22"/>
            </w:rPr>
          </w:pPr>
          <w:hyperlink w:anchor="_Toc531943768" w:history="1">
            <w:r w:rsidR="000A15D2" w:rsidRPr="00B766ED">
              <w:rPr>
                <w:rStyle w:val="Hyperlink"/>
                <w:noProof/>
              </w:rPr>
              <w:t>i.</w:t>
            </w:r>
            <w:r w:rsidR="000A15D2">
              <w:rPr>
                <w:rStyle w:val="Hyperlink"/>
                <w:noProof/>
              </w:rPr>
              <w:t xml:space="preserve"> </w:t>
            </w:r>
            <w:r w:rsidR="000A15D2" w:rsidRPr="00B766ED">
              <w:rPr>
                <w:rStyle w:val="Hyperlink"/>
                <w:noProof/>
              </w:rPr>
              <w:t xml:space="preserve">Materials and Sample Preparation of </w:t>
            </w:r>
            <w:r w:rsidR="000A15D2" w:rsidRPr="00B766ED">
              <w:rPr>
                <w:rStyle w:val="Hyperlink"/>
                <w:rFonts w:cs="Times New Roman"/>
                <w:noProof/>
              </w:rPr>
              <w:t>Micro Glass Sphere/EPON 862-EPON 862</w:t>
            </w:r>
            <w:r w:rsidR="000A15D2" w:rsidRPr="000A15D2">
              <w:rPr>
                <w:rStyle w:val="Hyperlink"/>
                <w:rFonts w:cs="Times New Roman"/>
                <w:noProof/>
                <w:color w:val="FFFFFF" w:themeColor="background1"/>
              </w:rPr>
              <w:tab/>
            </w:r>
            <w:r w:rsidR="000A15D2" w:rsidRPr="00B766ED">
              <w:rPr>
                <w:rStyle w:val="Hyperlink"/>
                <w:rFonts w:cs="Times New Roman"/>
                <w:noProof/>
              </w:rPr>
              <w:t xml:space="preserve"> </w:t>
            </w:r>
            <w:r w:rsidR="000A15D2" w:rsidRPr="00B766ED">
              <w:rPr>
                <w:rStyle w:val="Hyperlink"/>
                <w:noProof/>
              </w:rPr>
              <w:t>Multilayer Composite</w:t>
            </w:r>
            <w:r w:rsidR="000A15D2">
              <w:rPr>
                <w:noProof/>
                <w:webHidden/>
              </w:rPr>
              <w:tab/>
            </w:r>
            <w:r w:rsidR="000A15D2">
              <w:rPr>
                <w:noProof/>
                <w:webHidden/>
              </w:rPr>
              <w:fldChar w:fldCharType="begin"/>
            </w:r>
            <w:r w:rsidR="000A15D2">
              <w:rPr>
                <w:noProof/>
                <w:webHidden/>
              </w:rPr>
              <w:instrText xml:space="preserve"> PAGEREF _Toc531943768 \h </w:instrText>
            </w:r>
            <w:r w:rsidR="000A15D2">
              <w:rPr>
                <w:noProof/>
                <w:webHidden/>
              </w:rPr>
            </w:r>
            <w:r w:rsidR="000A15D2">
              <w:rPr>
                <w:noProof/>
                <w:webHidden/>
              </w:rPr>
              <w:fldChar w:fldCharType="separate"/>
            </w:r>
            <w:r w:rsidR="006D52C2">
              <w:rPr>
                <w:noProof/>
                <w:webHidden/>
              </w:rPr>
              <w:t>101</w:t>
            </w:r>
            <w:r w:rsidR="000A15D2">
              <w:rPr>
                <w:noProof/>
                <w:webHidden/>
              </w:rPr>
              <w:fldChar w:fldCharType="end"/>
            </w:r>
          </w:hyperlink>
        </w:p>
        <w:p w14:paraId="0E211B87" w14:textId="3FCB7BB5" w:rsidR="000A15D2" w:rsidRDefault="007B3686" w:rsidP="0012564F">
          <w:pPr>
            <w:pStyle w:val="TOC3"/>
            <w:rPr>
              <w:rFonts w:asciiTheme="minorHAnsi" w:hAnsiTheme="minorHAnsi"/>
              <w:noProof/>
              <w:sz w:val="22"/>
            </w:rPr>
          </w:pPr>
          <w:hyperlink w:anchor="_Toc531943769" w:history="1">
            <w:r w:rsidR="000A15D2" w:rsidRPr="00B766ED">
              <w:rPr>
                <w:rStyle w:val="Hyperlink"/>
                <w:noProof/>
              </w:rPr>
              <w:t>ii.</w:t>
            </w:r>
            <w:r w:rsidR="000A15D2">
              <w:rPr>
                <w:rStyle w:val="Hyperlink"/>
                <w:noProof/>
              </w:rPr>
              <w:t xml:space="preserve"> </w:t>
            </w:r>
            <w:r w:rsidR="000A15D2" w:rsidRPr="00B766ED">
              <w:rPr>
                <w:rStyle w:val="Hyperlink"/>
                <w:noProof/>
              </w:rPr>
              <w:t xml:space="preserve">Moisture Absorption Test Results of </w:t>
            </w:r>
            <w:r w:rsidR="000A15D2" w:rsidRPr="00B766ED">
              <w:rPr>
                <w:rStyle w:val="Hyperlink"/>
                <w:rFonts w:cs="Times New Roman"/>
                <w:noProof/>
              </w:rPr>
              <w:t>Micro Glass Sphere/EPON 862-EPON 862</w:t>
            </w:r>
            <w:r w:rsidR="000A15D2" w:rsidRPr="000A15D2">
              <w:rPr>
                <w:rStyle w:val="Hyperlink"/>
                <w:rFonts w:cs="Times New Roman"/>
                <w:noProof/>
                <w:color w:val="FFFFFF" w:themeColor="background1"/>
              </w:rPr>
              <w:tab/>
            </w:r>
            <w:r w:rsidR="000A15D2" w:rsidRPr="00B766ED">
              <w:rPr>
                <w:rStyle w:val="Hyperlink"/>
                <w:rFonts w:cs="Times New Roman"/>
                <w:noProof/>
              </w:rPr>
              <w:t xml:space="preserve"> </w:t>
            </w:r>
            <w:r w:rsidR="000A15D2" w:rsidRPr="00B766ED">
              <w:rPr>
                <w:rStyle w:val="Hyperlink"/>
                <w:noProof/>
              </w:rPr>
              <w:t>Multilayer Composite and Validation of Multilayer Absorption Model</w:t>
            </w:r>
            <w:r w:rsidR="000A15D2">
              <w:rPr>
                <w:noProof/>
                <w:webHidden/>
              </w:rPr>
              <w:tab/>
            </w:r>
            <w:r w:rsidR="000A15D2">
              <w:rPr>
                <w:noProof/>
                <w:webHidden/>
              </w:rPr>
              <w:fldChar w:fldCharType="begin"/>
            </w:r>
            <w:r w:rsidR="000A15D2">
              <w:rPr>
                <w:noProof/>
                <w:webHidden/>
              </w:rPr>
              <w:instrText xml:space="preserve"> PAGEREF _Toc531943769 \h </w:instrText>
            </w:r>
            <w:r w:rsidR="000A15D2">
              <w:rPr>
                <w:noProof/>
                <w:webHidden/>
              </w:rPr>
            </w:r>
            <w:r w:rsidR="000A15D2">
              <w:rPr>
                <w:noProof/>
                <w:webHidden/>
              </w:rPr>
              <w:fldChar w:fldCharType="separate"/>
            </w:r>
            <w:r w:rsidR="006D52C2">
              <w:rPr>
                <w:noProof/>
                <w:webHidden/>
              </w:rPr>
              <w:t>103</w:t>
            </w:r>
            <w:r w:rsidR="000A15D2">
              <w:rPr>
                <w:noProof/>
                <w:webHidden/>
              </w:rPr>
              <w:fldChar w:fldCharType="end"/>
            </w:r>
          </w:hyperlink>
        </w:p>
        <w:p w14:paraId="2729C996"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70" w:history="1">
            <w:r w:rsidR="000A15D2" w:rsidRPr="00B766ED">
              <w:rPr>
                <w:rStyle w:val="Hyperlink"/>
                <w:noProof/>
              </w:rPr>
              <w:t>3.4. Conclusion</w:t>
            </w:r>
            <w:r w:rsidR="000A15D2">
              <w:rPr>
                <w:noProof/>
                <w:webHidden/>
              </w:rPr>
              <w:tab/>
            </w:r>
            <w:r w:rsidR="000A15D2">
              <w:rPr>
                <w:noProof/>
                <w:webHidden/>
              </w:rPr>
              <w:fldChar w:fldCharType="begin"/>
            </w:r>
            <w:r w:rsidR="000A15D2">
              <w:rPr>
                <w:noProof/>
                <w:webHidden/>
              </w:rPr>
              <w:instrText xml:space="preserve"> PAGEREF _Toc531943770 \h </w:instrText>
            </w:r>
            <w:r w:rsidR="000A15D2">
              <w:rPr>
                <w:noProof/>
                <w:webHidden/>
              </w:rPr>
            </w:r>
            <w:r w:rsidR="000A15D2">
              <w:rPr>
                <w:noProof/>
                <w:webHidden/>
              </w:rPr>
              <w:fldChar w:fldCharType="separate"/>
            </w:r>
            <w:r w:rsidR="006D52C2">
              <w:rPr>
                <w:noProof/>
                <w:webHidden/>
              </w:rPr>
              <w:t>112</w:t>
            </w:r>
            <w:r w:rsidR="000A15D2">
              <w:rPr>
                <w:noProof/>
                <w:webHidden/>
              </w:rPr>
              <w:fldChar w:fldCharType="end"/>
            </w:r>
          </w:hyperlink>
        </w:p>
        <w:p w14:paraId="0927342C" w14:textId="6E10C0D8" w:rsidR="000A15D2" w:rsidRDefault="007B3686" w:rsidP="0012564F">
          <w:pPr>
            <w:pStyle w:val="TOC1"/>
            <w:tabs>
              <w:tab w:val="left" w:pos="1760"/>
              <w:tab w:val="right" w:leader="dot" w:pos="8630"/>
            </w:tabs>
            <w:spacing w:after="0"/>
            <w:ind w:firstLine="0"/>
            <w:rPr>
              <w:rFonts w:asciiTheme="minorHAnsi" w:hAnsiTheme="minorHAnsi"/>
              <w:noProof/>
              <w:sz w:val="22"/>
            </w:rPr>
          </w:pPr>
          <w:hyperlink w:anchor="_Toc531943771" w:history="1">
            <w:r w:rsidR="000A15D2" w:rsidRPr="00B766ED">
              <w:rPr>
                <w:rStyle w:val="Hyperlink"/>
                <w:noProof/>
              </w:rPr>
              <w:t>Chapter 4.</w:t>
            </w:r>
            <w:r w:rsidR="000A15D2">
              <w:rPr>
                <w:rFonts w:asciiTheme="minorHAnsi" w:hAnsiTheme="minorHAnsi"/>
                <w:noProof/>
                <w:sz w:val="22"/>
              </w:rPr>
              <w:tab/>
            </w:r>
            <w:r w:rsidR="000A15D2" w:rsidRPr="00B766ED">
              <w:rPr>
                <w:rStyle w:val="Hyperlink"/>
                <w:noProof/>
              </w:rPr>
              <w:t>Moisture Absorption Modeling of Highly Porous Polymers and Polymer Composites</w:t>
            </w:r>
            <w:r w:rsidR="000A15D2">
              <w:rPr>
                <w:noProof/>
                <w:webHidden/>
              </w:rPr>
              <w:tab/>
            </w:r>
            <w:r w:rsidR="000A15D2">
              <w:rPr>
                <w:noProof/>
                <w:webHidden/>
              </w:rPr>
              <w:tab/>
            </w:r>
            <w:r w:rsidR="000A15D2">
              <w:rPr>
                <w:noProof/>
                <w:webHidden/>
              </w:rPr>
              <w:fldChar w:fldCharType="begin"/>
            </w:r>
            <w:r w:rsidR="000A15D2">
              <w:rPr>
                <w:noProof/>
                <w:webHidden/>
              </w:rPr>
              <w:instrText xml:space="preserve"> PAGEREF _Toc531943771 \h </w:instrText>
            </w:r>
            <w:r w:rsidR="000A15D2">
              <w:rPr>
                <w:noProof/>
                <w:webHidden/>
              </w:rPr>
            </w:r>
            <w:r w:rsidR="000A15D2">
              <w:rPr>
                <w:noProof/>
                <w:webHidden/>
              </w:rPr>
              <w:fldChar w:fldCharType="separate"/>
            </w:r>
            <w:r w:rsidR="006D52C2">
              <w:rPr>
                <w:noProof/>
                <w:webHidden/>
              </w:rPr>
              <w:t>115</w:t>
            </w:r>
            <w:r w:rsidR="000A15D2">
              <w:rPr>
                <w:noProof/>
                <w:webHidden/>
              </w:rPr>
              <w:fldChar w:fldCharType="end"/>
            </w:r>
          </w:hyperlink>
        </w:p>
        <w:p w14:paraId="400923B2"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72" w:history="1">
            <w:r w:rsidR="000A15D2" w:rsidRPr="00B766ED">
              <w:rPr>
                <w:rStyle w:val="Hyperlink"/>
                <w:noProof/>
              </w:rPr>
              <w:t>4.1. Void Filling Hindered Diffusion Model Development</w:t>
            </w:r>
            <w:r w:rsidR="000A15D2">
              <w:rPr>
                <w:noProof/>
                <w:webHidden/>
              </w:rPr>
              <w:tab/>
            </w:r>
            <w:r w:rsidR="000A15D2">
              <w:rPr>
                <w:noProof/>
                <w:webHidden/>
              </w:rPr>
              <w:fldChar w:fldCharType="begin"/>
            </w:r>
            <w:r w:rsidR="000A15D2">
              <w:rPr>
                <w:noProof/>
                <w:webHidden/>
              </w:rPr>
              <w:instrText xml:space="preserve"> PAGEREF _Toc531943772 \h </w:instrText>
            </w:r>
            <w:r w:rsidR="000A15D2">
              <w:rPr>
                <w:noProof/>
                <w:webHidden/>
              </w:rPr>
            </w:r>
            <w:r w:rsidR="000A15D2">
              <w:rPr>
                <w:noProof/>
                <w:webHidden/>
              </w:rPr>
              <w:fldChar w:fldCharType="separate"/>
            </w:r>
            <w:r w:rsidR="006D52C2">
              <w:rPr>
                <w:noProof/>
                <w:webHidden/>
              </w:rPr>
              <w:t>116</w:t>
            </w:r>
            <w:r w:rsidR="000A15D2">
              <w:rPr>
                <w:noProof/>
                <w:webHidden/>
              </w:rPr>
              <w:fldChar w:fldCharType="end"/>
            </w:r>
          </w:hyperlink>
        </w:p>
        <w:p w14:paraId="39AB47D8"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73" w:history="1">
            <w:r w:rsidR="000A15D2" w:rsidRPr="00B766ED">
              <w:rPr>
                <w:rStyle w:val="Hyperlink"/>
                <w:noProof/>
              </w:rPr>
              <w:t>4.2. Void Filling Hindered Diffusion Model Validation</w:t>
            </w:r>
            <w:r w:rsidR="000A15D2">
              <w:rPr>
                <w:noProof/>
                <w:webHidden/>
              </w:rPr>
              <w:tab/>
            </w:r>
            <w:r w:rsidR="000A15D2">
              <w:rPr>
                <w:noProof/>
                <w:webHidden/>
              </w:rPr>
              <w:fldChar w:fldCharType="begin"/>
            </w:r>
            <w:r w:rsidR="000A15D2">
              <w:rPr>
                <w:noProof/>
                <w:webHidden/>
              </w:rPr>
              <w:instrText xml:space="preserve"> PAGEREF _Toc531943773 \h </w:instrText>
            </w:r>
            <w:r w:rsidR="000A15D2">
              <w:rPr>
                <w:noProof/>
                <w:webHidden/>
              </w:rPr>
            </w:r>
            <w:r w:rsidR="000A15D2">
              <w:rPr>
                <w:noProof/>
                <w:webHidden/>
              </w:rPr>
              <w:fldChar w:fldCharType="separate"/>
            </w:r>
            <w:r w:rsidR="006D52C2">
              <w:rPr>
                <w:noProof/>
                <w:webHidden/>
              </w:rPr>
              <w:t>122</w:t>
            </w:r>
            <w:r w:rsidR="000A15D2">
              <w:rPr>
                <w:noProof/>
                <w:webHidden/>
              </w:rPr>
              <w:fldChar w:fldCharType="end"/>
            </w:r>
          </w:hyperlink>
        </w:p>
        <w:p w14:paraId="7AEFFDAF" w14:textId="112AC891" w:rsidR="000A15D2" w:rsidRDefault="007B3686" w:rsidP="0012564F">
          <w:pPr>
            <w:pStyle w:val="TOC3"/>
            <w:rPr>
              <w:rFonts w:asciiTheme="minorHAnsi" w:hAnsiTheme="minorHAnsi"/>
              <w:noProof/>
              <w:sz w:val="22"/>
            </w:rPr>
          </w:pPr>
          <w:hyperlink w:anchor="_Toc531943774" w:history="1">
            <w:r w:rsidR="000A15D2" w:rsidRPr="00B766ED">
              <w:rPr>
                <w:rStyle w:val="Hyperlink"/>
                <w:noProof/>
              </w:rPr>
              <w:t>i. Materials and Sample Preparation of Rohacell Closed-Cell Structural Foam</w:t>
            </w:r>
            <w:r w:rsidR="000A15D2">
              <w:rPr>
                <w:noProof/>
                <w:webHidden/>
              </w:rPr>
              <w:tab/>
            </w:r>
            <w:r w:rsidR="000A15D2">
              <w:rPr>
                <w:noProof/>
                <w:webHidden/>
              </w:rPr>
              <w:fldChar w:fldCharType="begin"/>
            </w:r>
            <w:r w:rsidR="000A15D2">
              <w:rPr>
                <w:noProof/>
                <w:webHidden/>
              </w:rPr>
              <w:instrText xml:space="preserve"> PAGEREF _Toc531943774 \h </w:instrText>
            </w:r>
            <w:r w:rsidR="000A15D2">
              <w:rPr>
                <w:noProof/>
                <w:webHidden/>
              </w:rPr>
            </w:r>
            <w:r w:rsidR="000A15D2">
              <w:rPr>
                <w:noProof/>
                <w:webHidden/>
              </w:rPr>
              <w:fldChar w:fldCharType="separate"/>
            </w:r>
            <w:r w:rsidR="006D52C2">
              <w:rPr>
                <w:noProof/>
                <w:webHidden/>
              </w:rPr>
              <w:t>123</w:t>
            </w:r>
            <w:r w:rsidR="000A15D2">
              <w:rPr>
                <w:noProof/>
                <w:webHidden/>
              </w:rPr>
              <w:fldChar w:fldCharType="end"/>
            </w:r>
          </w:hyperlink>
        </w:p>
        <w:p w14:paraId="63E42912" w14:textId="7A5781BC" w:rsidR="000A15D2" w:rsidRDefault="007B3686" w:rsidP="0012564F">
          <w:pPr>
            <w:pStyle w:val="TOC3"/>
            <w:rPr>
              <w:rFonts w:asciiTheme="minorHAnsi" w:hAnsiTheme="minorHAnsi"/>
              <w:noProof/>
              <w:sz w:val="22"/>
            </w:rPr>
          </w:pPr>
          <w:hyperlink w:anchor="_Toc531943775" w:history="1">
            <w:r w:rsidR="000A15D2" w:rsidRPr="00B766ED">
              <w:rPr>
                <w:rStyle w:val="Hyperlink"/>
                <w:noProof/>
              </w:rPr>
              <w:t>ii.</w:t>
            </w:r>
            <w:r w:rsidR="000A15D2">
              <w:rPr>
                <w:rStyle w:val="Hyperlink"/>
                <w:noProof/>
              </w:rPr>
              <w:t xml:space="preserve"> </w:t>
            </w:r>
            <w:r w:rsidR="000A15D2" w:rsidRPr="00B766ED">
              <w:rPr>
                <w:rStyle w:val="Hyperlink"/>
                <w:noProof/>
              </w:rPr>
              <w:t>Characterization of as-received and heat treated foams</w:t>
            </w:r>
            <w:r w:rsidR="000A15D2">
              <w:rPr>
                <w:noProof/>
                <w:webHidden/>
              </w:rPr>
              <w:tab/>
            </w:r>
            <w:r w:rsidR="000A15D2">
              <w:rPr>
                <w:noProof/>
                <w:webHidden/>
              </w:rPr>
              <w:fldChar w:fldCharType="begin"/>
            </w:r>
            <w:r w:rsidR="000A15D2">
              <w:rPr>
                <w:noProof/>
                <w:webHidden/>
              </w:rPr>
              <w:instrText xml:space="preserve"> PAGEREF _Toc531943775 \h </w:instrText>
            </w:r>
            <w:r w:rsidR="000A15D2">
              <w:rPr>
                <w:noProof/>
                <w:webHidden/>
              </w:rPr>
            </w:r>
            <w:r w:rsidR="000A15D2">
              <w:rPr>
                <w:noProof/>
                <w:webHidden/>
              </w:rPr>
              <w:fldChar w:fldCharType="separate"/>
            </w:r>
            <w:r w:rsidR="006D52C2">
              <w:rPr>
                <w:noProof/>
                <w:webHidden/>
              </w:rPr>
              <w:t>124</w:t>
            </w:r>
            <w:r w:rsidR="000A15D2">
              <w:rPr>
                <w:noProof/>
                <w:webHidden/>
              </w:rPr>
              <w:fldChar w:fldCharType="end"/>
            </w:r>
          </w:hyperlink>
        </w:p>
        <w:p w14:paraId="4308732D"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76" w:history="1">
            <w:r w:rsidR="000A15D2" w:rsidRPr="00B766ED">
              <w:rPr>
                <w:rStyle w:val="Hyperlink"/>
                <w:noProof/>
              </w:rPr>
              <w:t>4.3. Moisture Absorption into Foams</w:t>
            </w:r>
            <w:r w:rsidR="000A15D2">
              <w:rPr>
                <w:noProof/>
                <w:webHidden/>
              </w:rPr>
              <w:tab/>
            </w:r>
            <w:r w:rsidR="000A15D2">
              <w:rPr>
                <w:noProof/>
                <w:webHidden/>
              </w:rPr>
              <w:fldChar w:fldCharType="begin"/>
            </w:r>
            <w:r w:rsidR="000A15D2">
              <w:rPr>
                <w:noProof/>
                <w:webHidden/>
              </w:rPr>
              <w:instrText xml:space="preserve"> PAGEREF _Toc531943776 \h </w:instrText>
            </w:r>
            <w:r w:rsidR="000A15D2">
              <w:rPr>
                <w:noProof/>
                <w:webHidden/>
              </w:rPr>
            </w:r>
            <w:r w:rsidR="000A15D2">
              <w:rPr>
                <w:noProof/>
                <w:webHidden/>
              </w:rPr>
              <w:fldChar w:fldCharType="separate"/>
            </w:r>
            <w:r w:rsidR="006D52C2">
              <w:rPr>
                <w:noProof/>
                <w:webHidden/>
              </w:rPr>
              <w:t>132</w:t>
            </w:r>
            <w:r w:rsidR="000A15D2">
              <w:rPr>
                <w:noProof/>
                <w:webHidden/>
              </w:rPr>
              <w:fldChar w:fldCharType="end"/>
            </w:r>
          </w:hyperlink>
        </w:p>
        <w:p w14:paraId="363764CF"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77" w:history="1">
            <w:r w:rsidR="000A15D2" w:rsidRPr="00B766ED">
              <w:rPr>
                <w:rStyle w:val="Hyperlink"/>
                <w:noProof/>
              </w:rPr>
              <w:t>4.4. Foam Core Sandwich Composites</w:t>
            </w:r>
            <w:r w:rsidR="000A15D2">
              <w:rPr>
                <w:noProof/>
                <w:webHidden/>
              </w:rPr>
              <w:tab/>
            </w:r>
            <w:r w:rsidR="000A15D2">
              <w:rPr>
                <w:noProof/>
                <w:webHidden/>
              </w:rPr>
              <w:fldChar w:fldCharType="begin"/>
            </w:r>
            <w:r w:rsidR="000A15D2">
              <w:rPr>
                <w:noProof/>
                <w:webHidden/>
              </w:rPr>
              <w:instrText xml:space="preserve"> PAGEREF _Toc531943777 \h </w:instrText>
            </w:r>
            <w:r w:rsidR="000A15D2">
              <w:rPr>
                <w:noProof/>
                <w:webHidden/>
              </w:rPr>
            </w:r>
            <w:r w:rsidR="000A15D2">
              <w:rPr>
                <w:noProof/>
                <w:webHidden/>
              </w:rPr>
              <w:fldChar w:fldCharType="separate"/>
            </w:r>
            <w:r w:rsidR="006D52C2">
              <w:rPr>
                <w:noProof/>
                <w:webHidden/>
              </w:rPr>
              <w:t>147</w:t>
            </w:r>
            <w:r w:rsidR="000A15D2">
              <w:rPr>
                <w:noProof/>
                <w:webHidden/>
              </w:rPr>
              <w:fldChar w:fldCharType="end"/>
            </w:r>
          </w:hyperlink>
        </w:p>
        <w:p w14:paraId="06231C6A" w14:textId="32E98CB1" w:rsidR="000A15D2" w:rsidRDefault="007B3686" w:rsidP="0012564F">
          <w:pPr>
            <w:pStyle w:val="TOC3"/>
            <w:rPr>
              <w:rFonts w:asciiTheme="minorHAnsi" w:hAnsiTheme="minorHAnsi"/>
              <w:noProof/>
              <w:sz w:val="22"/>
            </w:rPr>
          </w:pPr>
          <w:hyperlink w:anchor="_Toc531943778" w:history="1">
            <w:r w:rsidR="000A15D2" w:rsidRPr="00B766ED">
              <w:rPr>
                <w:rStyle w:val="Hyperlink"/>
                <w:noProof/>
              </w:rPr>
              <w:t>i.</w:t>
            </w:r>
            <w:r w:rsidR="000A15D2">
              <w:rPr>
                <w:rStyle w:val="Hyperlink"/>
                <w:noProof/>
              </w:rPr>
              <w:t xml:space="preserve"> </w:t>
            </w:r>
            <w:r w:rsidR="000A15D2" w:rsidRPr="00B766ED">
              <w:rPr>
                <w:rStyle w:val="Hyperlink"/>
                <w:noProof/>
              </w:rPr>
              <w:t>Materials and Sample Preparation of Rohacell Closed-Cell Structural Foam Core</w:t>
            </w:r>
            <w:r w:rsidR="000A15D2" w:rsidRPr="000A15D2">
              <w:rPr>
                <w:rStyle w:val="Hyperlink"/>
                <w:noProof/>
                <w:color w:val="FFFFFF" w:themeColor="background1"/>
              </w:rPr>
              <w:tab/>
            </w:r>
            <w:r w:rsidR="000A15D2">
              <w:rPr>
                <w:rStyle w:val="Hyperlink"/>
                <w:noProof/>
              </w:rPr>
              <w:t xml:space="preserve"> </w:t>
            </w:r>
            <w:r w:rsidR="000A15D2" w:rsidRPr="00B766ED">
              <w:rPr>
                <w:rStyle w:val="Hyperlink"/>
                <w:noProof/>
              </w:rPr>
              <w:t>Sandwich Composite</w:t>
            </w:r>
            <w:r w:rsidR="000A15D2">
              <w:rPr>
                <w:noProof/>
                <w:webHidden/>
              </w:rPr>
              <w:tab/>
            </w:r>
            <w:r w:rsidR="000A15D2">
              <w:rPr>
                <w:noProof/>
                <w:webHidden/>
              </w:rPr>
              <w:fldChar w:fldCharType="begin"/>
            </w:r>
            <w:r w:rsidR="000A15D2">
              <w:rPr>
                <w:noProof/>
                <w:webHidden/>
              </w:rPr>
              <w:instrText xml:space="preserve"> PAGEREF _Toc531943778 \h </w:instrText>
            </w:r>
            <w:r w:rsidR="000A15D2">
              <w:rPr>
                <w:noProof/>
                <w:webHidden/>
              </w:rPr>
            </w:r>
            <w:r w:rsidR="000A15D2">
              <w:rPr>
                <w:noProof/>
                <w:webHidden/>
              </w:rPr>
              <w:fldChar w:fldCharType="separate"/>
            </w:r>
            <w:r w:rsidR="006D52C2">
              <w:rPr>
                <w:noProof/>
                <w:webHidden/>
              </w:rPr>
              <w:t>147</w:t>
            </w:r>
            <w:r w:rsidR="000A15D2">
              <w:rPr>
                <w:noProof/>
                <w:webHidden/>
              </w:rPr>
              <w:fldChar w:fldCharType="end"/>
            </w:r>
          </w:hyperlink>
        </w:p>
        <w:p w14:paraId="0C05BF5D" w14:textId="2898B188" w:rsidR="000A15D2" w:rsidRDefault="007B3686" w:rsidP="0012564F">
          <w:pPr>
            <w:pStyle w:val="TOC3"/>
            <w:rPr>
              <w:rFonts w:asciiTheme="minorHAnsi" w:hAnsiTheme="minorHAnsi"/>
              <w:noProof/>
              <w:sz w:val="22"/>
            </w:rPr>
          </w:pPr>
          <w:hyperlink w:anchor="_Toc531943779" w:history="1">
            <w:r w:rsidR="000A15D2" w:rsidRPr="00B766ED">
              <w:rPr>
                <w:rStyle w:val="Hyperlink"/>
                <w:noProof/>
              </w:rPr>
              <w:t>ii.</w:t>
            </w:r>
            <w:r w:rsidR="000A15D2">
              <w:rPr>
                <w:rStyle w:val="Hyperlink"/>
                <w:noProof/>
              </w:rPr>
              <w:t xml:space="preserve"> </w:t>
            </w:r>
            <w:r w:rsidR="000A15D2" w:rsidRPr="00B766ED">
              <w:rPr>
                <w:rStyle w:val="Hyperlink"/>
                <w:noProof/>
              </w:rPr>
              <w:t>Moisture Absorption into Foam Core Sandwich Composites</w:t>
            </w:r>
            <w:r w:rsidR="000A15D2">
              <w:rPr>
                <w:noProof/>
                <w:webHidden/>
              </w:rPr>
              <w:tab/>
            </w:r>
            <w:r w:rsidR="000A15D2">
              <w:rPr>
                <w:noProof/>
                <w:webHidden/>
              </w:rPr>
              <w:fldChar w:fldCharType="begin"/>
            </w:r>
            <w:r w:rsidR="000A15D2">
              <w:rPr>
                <w:noProof/>
                <w:webHidden/>
              </w:rPr>
              <w:instrText xml:space="preserve"> PAGEREF _Toc531943779 \h </w:instrText>
            </w:r>
            <w:r w:rsidR="000A15D2">
              <w:rPr>
                <w:noProof/>
                <w:webHidden/>
              </w:rPr>
            </w:r>
            <w:r w:rsidR="000A15D2">
              <w:rPr>
                <w:noProof/>
                <w:webHidden/>
              </w:rPr>
              <w:fldChar w:fldCharType="separate"/>
            </w:r>
            <w:r w:rsidR="006D52C2">
              <w:rPr>
                <w:noProof/>
                <w:webHidden/>
              </w:rPr>
              <w:t>147</w:t>
            </w:r>
            <w:r w:rsidR="000A15D2">
              <w:rPr>
                <w:noProof/>
                <w:webHidden/>
              </w:rPr>
              <w:fldChar w:fldCharType="end"/>
            </w:r>
          </w:hyperlink>
        </w:p>
        <w:p w14:paraId="538B16BF"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80" w:history="1">
            <w:r w:rsidR="000A15D2" w:rsidRPr="00B766ED">
              <w:rPr>
                <w:rStyle w:val="Hyperlink"/>
                <w:noProof/>
              </w:rPr>
              <w:t>4.5. Conclusion</w:t>
            </w:r>
            <w:r w:rsidR="000A15D2">
              <w:rPr>
                <w:noProof/>
                <w:webHidden/>
              </w:rPr>
              <w:tab/>
            </w:r>
            <w:r w:rsidR="000A15D2">
              <w:rPr>
                <w:noProof/>
                <w:webHidden/>
              </w:rPr>
              <w:fldChar w:fldCharType="begin"/>
            </w:r>
            <w:r w:rsidR="000A15D2">
              <w:rPr>
                <w:noProof/>
                <w:webHidden/>
              </w:rPr>
              <w:instrText xml:space="preserve"> PAGEREF _Toc531943780 \h </w:instrText>
            </w:r>
            <w:r w:rsidR="000A15D2">
              <w:rPr>
                <w:noProof/>
                <w:webHidden/>
              </w:rPr>
            </w:r>
            <w:r w:rsidR="000A15D2">
              <w:rPr>
                <w:noProof/>
                <w:webHidden/>
              </w:rPr>
              <w:fldChar w:fldCharType="separate"/>
            </w:r>
            <w:r w:rsidR="006D52C2">
              <w:rPr>
                <w:noProof/>
                <w:webHidden/>
              </w:rPr>
              <w:t>149</w:t>
            </w:r>
            <w:r w:rsidR="000A15D2">
              <w:rPr>
                <w:noProof/>
                <w:webHidden/>
              </w:rPr>
              <w:fldChar w:fldCharType="end"/>
            </w:r>
          </w:hyperlink>
        </w:p>
        <w:p w14:paraId="19F46D90" w14:textId="77777777" w:rsidR="000A15D2" w:rsidRDefault="007B3686" w:rsidP="0012564F">
          <w:pPr>
            <w:pStyle w:val="TOC1"/>
            <w:tabs>
              <w:tab w:val="left" w:pos="1760"/>
              <w:tab w:val="right" w:leader="dot" w:pos="8630"/>
            </w:tabs>
            <w:spacing w:after="0"/>
            <w:ind w:firstLine="0"/>
            <w:rPr>
              <w:rFonts w:asciiTheme="minorHAnsi" w:hAnsiTheme="minorHAnsi"/>
              <w:noProof/>
              <w:sz w:val="22"/>
            </w:rPr>
          </w:pPr>
          <w:hyperlink w:anchor="_Toc531943781" w:history="1">
            <w:r w:rsidR="000A15D2" w:rsidRPr="00B766ED">
              <w:rPr>
                <w:rStyle w:val="Hyperlink"/>
                <w:noProof/>
              </w:rPr>
              <w:t>Chapter 5.</w:t>
            </w:r>
            <w:r w:rsidR="000A15D2">
              <w:rPr>
                <w:rFonts w:asciiTheme="minorHAnsi" w:hAnsiTheme="minorHAnsi"/>
                <w:noProof/>
                <w:sz w:val="22"/>
              </w:rPr>
              <w:tab/>
            </w:r>
            <w:r w:rsidR="000A15D2" w:rsidRPr="00B766ED">
              <w:rPr>
                <w:rStyle w:val="Hyperlink"/>
                <w:noProof/>
              </w:rPr>
              <w:t>Effect of Moisture Absorption on Mechanical Properties of Polymer and Polymer Composites</w:t>
            </w:r>
            <w:r w:rsidR="000A15D2">
              <w:rPr>
                <w:noProof/>
                <w:webHidden/>
              </w:rPr>
              <w:tab/>
            </w:r>
            <w:r w:rsidR="000A15D2">
              <w:rPr>
                <w:noProof/>
                <w:webHidden/>
              </w:rPr>
              <w:fldChar w:fldCharType="begin"/>
            </w:r>
            <w:r w:rsidR="000A15D2">
              <w:rPr>
                <w:noProof/>
                <w:webHidden/>
              </w:rPr>
              <w:instrText xml:space="preserve"> PAGEREF _Toc531943781 \h </w:instrText>
            </w:r>
            <w:r w:rsidR="000A15D2">
              <w:rPr>
                <w:noProof/>
                <w:webHidden/>
              </w:rPr>
            </w:r>
            <w:r w:rsidR="000A15D2">
              <w:rPr>
                <w:noProof/>
                <w:webHidden/>
              </w:rPr>
              <w:fldChar w:fldCharType="separate"/>
            </w:r>
            <w:r w:rsidR="006D52C2">
              <w:rPr>
                <w:noProof/>
                <w:webHidden/>
              </w:rPr>
              <w:t>153</w:t>
            </w:r>
            <w:r w:rsidR="000A15D2">
              <w:rPr>
                <w:noProof/>
                <w:webHidden/>
              </w:rPr>
              <w:fldChar w:fldCharType="end"/>
            </w:r>
          </w:hyperlink>
        </w:p>
        <w:p w14:paraId="511BEE6D"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82" w:history="1">
            <w:r w:rsidR="000A15D2" w:rsidRPr="00B766ED">
              <w:rPr>
                <w:rStyle w:val="Hyperlink"/>
                <w:noProof/>
              </w:rPr>
              <w:t>5.1. Mechanical Property Loss due to Moisture Ingress</w:t>
            </w:r>
            <w:r w:rsidR="000A15D2">
              <w:rPr>
                <w:noProof/>
                <w:webHidden/>
              </w:rPr>
              <w:tab/>
            </w:r>
            <w:r w:rsidR="000A15D2">
              <w:rPr>
                <w:noProof/>
                <w:webHidden/>
              </w:rPr>
              <w:fldChar w:fldCharType="begin"/>
            </w:r>
            <w:r w:rsidR="000A15D2">
              <w:rPr>
                <w:noProof/>
                <w:webHidden/>
              </w:rPr>
              <w:instrText xml:space="preserve"> PAGEREF _Toc531943782 \h </w:instrText>
            </w:r>
            <w:r w:rsidR="000A15D2">
              <w:rPr>
                <w:noProof/>
                <w:webHidden/>
              </w:rPr>
            </w:r>
            <w:r w:rsidR="000A15D2">
              <w:rPr>
                <w:noProof/>
                <w:webHidden/>
              </w:rPr>
              <w:fldChar w:fldCharType="separate"/>
            </w:r>
            <w:r w:rsidR="006D52C2">
              <w:rPr>
                <w:noProof/>
                <w:webHidden/>
              </w:rPr>
              <w:t>154</w:t>
            </w:r>
            <w:r w:rsidR="000A15D2">
              <w:rPr>
                <w:noProof/>
                <w:webHidden/>
              </w:rPr>
              <w:fldChar w:fldCharType="end"/>
            </w:r>
          </w:hyperlink>
        </w:p>
        <w:p w14:paraId="37969F85"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83" w:history="1">
            <w:r w:rsidR="000A15D2" w:rsidRPr="00B766ED">
              <w:rPr>
                <w:rStyle w:val="Hyperlink"/>
                <w:noProof/>
              </w:rPr>
              <w:t>5.2. Moisture Absorption and Flexure Modulus Correlation Models</w:t>
            </w:r>
            <w:r w:rsidR="000A15D2">
              <w:rPr>
                <w:noProof/>
                <w:webHidden/>
              </w:rPr>
              <w:tab/>
            </w:r>
            <w:r w:rsidR="000A15D2">
              <w:rPr>
                <w:noProof/>
                <w:webHidden/>
              </w:rPr>
              <w:fldChar w:fldCharType="begin"/>
            </w:r>
            <w:r w:rsidR="000A15D2">
              <w:rPr>
                <w:noProof/>
                <w:webHidden/>
              </w:rPr>
              <w:instrText xml:space="preserve"> PAGEREF _Toc531943783 \h </w:instrText>
            </w:r>
            <w:r w:rsidR="000A15D2">
              <w:rPr>
                <w:noProof/>
                <w:webHidden/>
              </w:rPr>
            </w:r>
            <w:r w:rsidR="000A15D2">
              <w:rPr>
                <w:noProof/>
                <w:webHidden/>
              </w:rPr>
              <w:fldChar w:fldCharType="separate"/>
            </w:r>
            <w:r w:rsidR="006D52C2">
              <w:rPr>
                <w:noProof/>
                <w:webHidden/>
              </w:rPr>
              <w:t>157</w:t>
            </w:r>
            <w:r w:rsidR="000A15D2">
              <w:rPr>
                <w:noProof/>
                <w:webHidden/>
              </w:rPr>
              <w:fldChar w:fldCharType="end"/>
            </w:r>
          </w:hyperlink>
        </w:p>
        <w:p w14:paraId="28727594" w14:textId="099E028F" w:rsidR="000A15D2" w:rsidRDefault="007B3686" w:rsidP="0012564F">
          <w:pPr>
            <w:pStyle w:val="TOC3"/>
            <w:rPr>
              <w:rFonts w:asciiTheme="minorHAnsi" w:hAnsiTheme="minorHAnsi"/>
              <w:noProof/>
              <w:sz w:val="22"/>
            </w:rPr>
          </w:pPr>
          <w:hyperlink w:anchor="_Toc531943784" w:history="1">
            <w:r w:rsidR="000A15D2" w:rsidRPr="00B766ED">
              <w:rPr>
                <w:rStyle w:val="Hyperlink"/>
                <w:noProof/>
              </w:rPr>
              <w:t>i.</w:t>
            </w:r>
            <w:r w:rsidR="000A15D2">
              <w:rPr>
                <w:rStyle w:val="Hyperlink"/>
                <w:noProof/>
              </w:rPr>
              <w:t xml:space="preserve"> </w:t>
            </w:r>
            <w:r w:rsidR="000A15D2" w:rsidRPr="00B766ED">
              <w:rPr>
                <w:rStyle w:val="Hyperlink"/>
                <w:noProof/>
              </w:rPr>
              <w:t>Reimschussell’s glass transition temperature model</w:t>
            </w:r>
            <w:r w:rsidR="000A15D2">
              <w:rPr>
                <w:noProof/>
                <w:webHidden/>
              </w:rPr>
              <w:tab/>
            </w:r>
            <w:r w:rsidR="000A15D2">
              <w:rPr>
                <w:noProof/>
                <w:webHidden/>
              </w:rPr>
              <w:fldChar w:fldCharType="begin"/>
            </w:r>
            <w:r w:rsidR="000A15D2">
              <w:rPr>
                <w:noProof/>
                <w:webHidden/>
              </w:rPr>
              <w:instrText xml:space="preserve"> PAGEREF _Toc531943784 \h </w:instrText>
            </w:r>
            <w:r w:rsidR="000A15D2">
              <w:rPr>
                <w:noProof/>
                <w:webHidden/>
              </w:rPr>
            </w:r>
            <w:r w:rsidR="000A15D2">
              <w:rPr>
                <w:noProof/>
                <w:webHidden/>
              </w:rPr>
              <w:fldChar w:fldCharType="separate"/>
            </w:r>
            <w:r w:rsidR="006D52C2">
              <w:rPr>
                <w:noProof/>
                <w:webHidden/>
              </w:rPr>
              <w:t>157</w:t>
            </w:r>
            <w:r w:rsidR="000A15D2">
              <w:rPr>
                <w:noProof/>
                <w:webHidden/>
              </w:rPr>
              <w:fldChar w:fldCharType="end"/>
            </w:r>
          </w:hyperlink>
        </w:p>
        <w:p w14:paraId="4A157473" w14:textId="3CD57509" w:rsidR="000A15D2" w:rsidRDefault="007B3686" w:rsidP="0012564F">
          <w:pPr>
            <w:pStyle w:val="TOC3"/>
            <w:rPr>
              <w:rFonts w:asciiTheme="minorHAnsi" w:hAnsiTheme="minorHAnsi"/>
              <w:noProof/>
              <w:sz w:val="22"/>
            </w:rPr>
          </w:pPr>
          <w:hyperlink w:anchor="_Toc531943785" w:history="1">
            <w:r w:rsidR="000A15D2" w:rsidRPr="00B766ED">
              <w:rPr>
                <w:rStyle w:val="Hyperlink"/>
                <w:noProof/>
              </w:rPr>
              <w:t>ii.</w:t>
            </w:r>
            <w:r w:rsidR="000A15D2">
              <w:rPr>
                <w:rStyle w:val="Hyperlink"/>
                <w:noProof/>
              </w:rPr>
              <w:t xml:space="preserve"> </w:t>
            </w:r>
            <w:r w:rsidR="000A15D2" w:rsidRPr="00B766ED">
              <w:rPr>
                <w:rStyle w:val="Hyperlink"/>
                <w:noProof/>
              </w:rPr>
              <w:t>H-Bond dissociation model</w:t>
            </w:r>
            <w:r w:rsidR="000A15D2">
              <w:rPr>
                <w:noProof/>
                <w:webHidden/>
              </w:rPr>
              <w:tab/>
            </w:r>
            <w:r w:rsidR="000A15D2">
              <w:rPr>
                <w:noProof/>
                <w:webHidden/>
              </w:rPr>
              <w:fldChar w:fldCharType="begin"/>
            </w:r>
            <w:r w:rsidR="000A15D2">
              <w:rPr>
                <w:noProof/>
                <w:webHidden/>
              </w:rPr>
              <w:instrText xml:space="preserve"> PAGEREF _Toc531943785 \h </w:instrText>
            </w:r>
            <w:r w:rsidR="000A15D2">
              <w:rPr>
                <w:noProof/>
                <w:webHidden/>
              </w:rPr>
            </w:r>
            <w:r w:rsidR="000A15D2">
              <w:rPr>
                <w:noProof/>
                <w:webHidden/>
              </w:rPr>
              <w:fldChar w:fldCharType="separate"/>
            </w:r>
            <w:r w:rsidR="006D52C2">
              <w:rPr>
                <w:noProof/>
                <w:webHidden/>
              </w:rPr>
              <w:t>158</w:t>
            </w:r>
            <w:r w:rsidR="000A15D2">
              <w:rPr>
                <w:noProof/>
                <w:webHidden/>
              </w:rPr>
              <w:fldChar w:fldCharType="end"/>
            </w:r>
          </w:hyperlink>
        </w:p>
        <w:p w14:paraId="342136C5" w14:textId="2D3630D7" w:rsidR="000A15D2" w:rsidRDefault="007B3686" w:rsidP="0012564F">
          <w:pPr>
            <w:pStyle w:val="TOC3"/>
            <w:rPr>
              <w:rFonts w:asciiTheme="minorHAnsi" w:hAnsiTheme="minorHAnsi"/>
              <w:noProof/>
              <w:sz w:val="22"/>
            </w:rPr>
          </w:pPr>
          <w:hyperlink w:anchor="_Toc531943786" w:history="1">
            <w:r w:rsidR="000A15D2" w:rsidRPr="00B766ED">
              <w:rPr>
                <w:rStyle w:val="Hyperlink"/>
                <w:noProof/>
              </w:rPr>
              <w:t>iii.</w:t>
            </w:r>
            <w:r w:rsidR="000A15D2">
              <w:rPr>
                <w:rStyle w:val="Hyperlink"/>
                <w:noProof/>
              </w:rPr>
              <w:t xml:space="preserve"> </w:t>
            </w:r>
            <w:r w:rsidR="000A15D2" w:rsidRPr="00B766ED">
              <w:rPr>
                <w:rStyle w:val="Hyperlink"/>
                <w:noProof/>
              </w:rPr>
              <w:t>Multiscale–Multiphysics computational model</w:t>
            </w:r>
            <w:r w:rsidR="000A15D2">
              <w:rPr>
                <w:noProof/>
                <w:webHidden/>
              </w:rPr>
              <w:tab/>
            </w:r>
            <w:r w:rsidR="000A15D2">
              <w:rPr>
                <w:noProof/>
                <w:webHidden/>
              </w:rPr>
              <w:fldChar w:fldCharType="begin"/>
            </w:r>
            <w:r w:rsidR="000A15D2">
              <w:rPr>
                <w:noProof/>
                <w:webHidden/>
              </w:rPr>
              <w:instrText xml:space="preserve"> PAGEREF _Toc531943786 \h </w:instrText>
            </w:r>
            <w:r w:rsidR="000A15D2">
              <w:rPr>
                <w:noProof/>
                <w:webHidden/>
              </w:rPr>
            </w:r>
            <w:r w:rsidR="000A15D2">
              <w:rPr>
                <w:noProof/>
                <w:webHidden/>
              </w:rPr>
              <w:fldChar w:fldCharType="separate"/>
            </w:r>
            <w:r w:rsidR="006D52C2">
              <w:rPr>
                <w:noProof/>
                <w:webHidden/>
              </w:rPr>
              <w:t>159</w:t>
            </w:r>
            <w:r w:rsidR="000A15D2">
              <w:rPr>
                <w:noProof/>
                <w:webHidden/>
              </w:rPr>
              <w:fldChar w:fldCharType="end"/>
            </w:r>
          </w:hyperlink>
        </w:p>
        <w:p w14:paraId="793EF8FB"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87" w:history="1">
            <w:r w:rsidR="000A15D2" w:rsidRPr="00B766ED">
              <w:rPr>
                <w:rStyle w:val="Hyperlink"/>
                <w:noProof/>
              </w:rPr>
              <w:t>5.3. Concentration Dependent Modulus Model: Theory Development</w:t>
            </w:r>
            <w:r w:rsidR="000A15D2">
              <w:rPr>
                <w:noProof/>
                <w:webHidden/>
              </w:rPr>
              <w:tab/>
            </w:r>
            <w:r w:rsidR="000A15D2">
              <w:rPr>
                <w:noProof/>
                <w:webHidden/>
              </w:rPr>
              <w:fldChar w:fldCharType="begin"/>
            </w:r>
            <w:r w:rsidR="000A15D2">
              <w:rPr>
                <w:noProof/>
                <w:webHidden/>
              </w:rPr>
              <w:instrText xml:space="preserve"> PAGEREF _Toc531943787 \h </w:instrText>
            </w:r>
            <w:r w:rsidR="000A15D2">
              <w:rPr>
                <w:noProof/>
                <w:webHidden/>
              </w:rPr>
            </w:r>
            <w:r w:rsidR="000A15D2">
              <w:rPr>
                <w:noProof/>
                <w:webHidden/>
              </w:rPr>
              <w:fldChar w:fldCharType="separate"/>
            </w:r>
            <w:r w:rsidR="006D52C2">
              <w:rPr>
                <w:noProof/>
                <w:webHidden/>
              </w:rPr>
              <w:t>160</w:t>
            </w:r>
            <w:r w:rsidR="000A15D2">
              <w:rPr>
                <w:noProof/>
                <w:webHidden/>
              </w:rPr>
              <w:fldChar w:fldCharType="end"/>
            </w:r>
          </w:hyperlink>
        </w:p>
        <w:p w14:paraId="7FE2B814" w14:textId="7C4E4FDE" w:rsidR="000A15D2" w:rsidRDefault="007B3686" w:rsidP="0012564F">
          <w:pPr>
            <w:pStyle w:val="TOC3"/>
            <w:rPr>
              <w:rFonts w:asciiTheme="minorHAnsi" w:hAnsiTheme="minorHAnsi"/>
              <w:noProof/>
              <w:sz w:val="22"/>
            </w:rPr>
          </w:pPr>
          <w:hyperlink w:anchor="_Toc531943788" w:history="1">
            <w:r w:rsidR="000A15D2" w:rsidRPr="00B766ED">
              <w:rPr>
                <w:rStyle w:val="Hyperlink"/>
                <w:noProof/>
              </w:rPr>
              <w:t>i.</w:t>
            </w:r>
            <w:r w:rsidR="000A15D2">
              <w:rPr>
                <w:rStyle w:val="Hyperlink"/>
                <w:noProof/>
              </w:rPr>
              <w:t xml:space="preserve"> </w:t>
            </w:r>
            <w:r w:rsidR="000A15D2" w:rsidRPr="00B766ED">
              <w:rPr>
                <w:rStyle w:val="Hyperlink"/>
                <w:noProof/>
              </w:rPr>
              <w:t>Materials and Sample Preparation</w:t>
            </w:r>
            <w:r w:rsidR="000A15D2">
              <w:rPr>
                <w:noProof/>
                <w:webHidden/>
              </w:rPr>
              <w:tab/>
            </w:r>
            <w:r w:rsidR="000A15D2">
              <w:rPr>
                <w:noProof/>
                <w:webHidden/>
              </w:rPr>
              <w:fldChar w:fldCharType="begin"/>
            </w:r>
            <w:r w:rsidR="000A15D2">
              <w:rPr>
                <w:noProof/>
                <w:webHidden/>
              </w:rPr>
              <w:instrText xml:space="preserve"> PAGEREF _Toc531943788 \h </w:instrText>
            </w:r>
            <w:r w:rsidR="000A15D2">
              <w:rPr>
                <w:noProof/>
                <w:webHidden/>
              </w:rPr>
            </w:r>
            <w:r w:rsidR="000A15D2">
              <w:rPr>
                <w:noProof/>
                <w:webHidden/>
              </w:rPr>
              <w:fldChar w:fldCharType="separate"/>
            </w:r>
            <w:r w:rsidR="006D52C2">
              <w:rPr>
                <w:noProof/>
                <w:webHidden/>
              </w:rPr>
              <w:t>161</w:t>
            </w:r>
            <w:r w:rsidR="000A15D2">
              <w:rPr>
                <w:noProof/>
                <w:webHidden/>
              </w:rPr>
              <w:fldChar w:fldCharType="end"/>
            </w:r>
          </w:hyperlink>
        </w:p>
        <w:p w14:paraId="37BCE40F" w14:textId="325969BC" w:rsidR="000A15D2" w:rsidRDefault="007B3686" w:rsidP="0012564F">
          <w:pPr>
            <w:pStyle w:val="TOC3"/>
            <w:rPr>
              <w:rFonts w:asciiTheme="minorHAnsi" w:hAnsiTheme="minorHAnsi"/>
              <w:noProof/>
              <w:sz w:val="22"/>
            </w:rPr>
          </w:pPr>
          <w:hyperlink w:anchor="_Toc531943789" w:history="1">
            <w:r w:rsidR="000A15D2" w:rsidRPr="00B766ED">
              <w:rPr>
                <w:rStyle w:val="Hyperlink"/>
                <w:noProof/>
              </w:rPr>
              <w:t>ii.</w:t>
            </w:r>
            <w:r w:rsidR="000A15D2">
              <w:rPr>
                <w:rStyle w:val="Hyperlink"/>
                <w:noProof/>
              </w:rPr>
              <w:t xml:space="preserve"> </w:t>
            </w:r>
            <w:r w:rsidR="000A15D2" w:rsidRPr="00B766ED">
              <w:rPr>
                <w:rStyle w:val="Hyperlink"/>
                <w:noProof/>
              </w:rPr>
              <w:t>EPON 862 moisture absorption results</w:t>
            </w:r>
            <w:r w:rsidR="000A15D2">
              <w:rPr>
                <w:noProof/>
                <w:webHidden/>
              </w:rPr>
              <w:tab/>
            </w:r>
            <w:r w:rsidR="000A15D2">
              <w:rPr>
                <w:noProof/>
                <w:webHidden/>
              </w:rPr>
              <w:fldChar w:fldCharType="begin"/>
            </w:r>
            <w:r w:rsidR="000A15D2">
              <w:rPr>
                <w:noProof/>
                <w:webHidden/>
              </w:rPr>
              <w:instrText xml:space="preserve"> PAGEREF _Toc531943789 \h </w:instrText>
            </w:r>
            <w:r w:rsidR="000A15D2">
              <w:rPr>
                <w:noProof/>
                <w:webHidden/>
              </w:rPr>
            </w:r>
            <w:r w:rsidR="000A15D2">
              <w:rPr>
                <w:noProof/>
                <w:webHidden/>
              </w:rPr>
              <w:fldChar w:fldCharType="separate"/>
            </w:r>
            <w:r w:rsidR="006D52C2">
              <w:rPr>
                <w:noProof/>
                <w:webHidden/>
              </w:rPr>
              <w:t>162</w:t>
            </w:r>
            <w:r w:rsidR="000A15D2">
              <w:rPr>
                <w:noProof/>
                <w:webHidden/>
              </w:rPr>
              <w:fldChar w:fldCharType="end"/>
            </w:r>
          </w:hyperlink>
        </w:p>
        <w:p w14:paraId="6485D29D"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90" w:history="1">
            <w:r w:rsidR="000A15D2" w:rsidRPr="00B766ED">
              <w:rPr>
                <w:rStyle w:val="Hyperlink"/>
                <w:noProof/>
              </w:rPr>
              <w:t>5.4. Concentration Dependent Modulus Model: Model Development</w:t>
            </w:r>
            <w:r w:rsidR="000A15D2">
              <w:rPr>
                <w:noProof/>
                <w:webHidden/>
              </w:rPr>
              <w:tab/>
            </w:r>
            <w:r w:rsidR="000A15D2">
              <w:rPr>
                <w:noProof/>
                <w:webHidden/>
              </w:rPr>
              <w:fldChar w:fldCharType="begin"/>
            </w:r>
            <w:r w:rsidR="000A15D2">
              <w:rPr>
                <w:noProof/>
                <w:webHidden/>
              </w:rPr>
              <w:instrText xml:space="preserve"> PAGEREF _Toc531943790 \h </w:instrText>
            </w:r>
            <w:r w:rsidR="000A15D2">
              <w:rPr>
                <w:noProof/>
                <w:webHidden/>
              </w:rPr>
            </w:r>
            <w:r w:rsidR="000A15D2">
              <w:rPr>
                <w:noProof/>
                <w:webHidden/>
              </w:rPr>
              <w:fldChar w:fldCharType="separate"/>
            </w:r>
            <w:r w:rsidR="006D52C2">
              <w:rPr>
                <w:noProof/>
                <w:webHidden/>
              </w:rPr>
              <w:t>168</w:t>
            </w:r>
            <w:r w:rsidR="000A15D2">
              <w:rPr>
                <w:noProof/>
                <w:webHidden/>
              </w:rPr>
              <w:fldChar w:fldCharType="end"/>
            </w:r>
          </w:hyperlink>
        </w:p>
        <w:p w14:paraId="7CEDAF97" w14:textId="71FA4ADC" w:rsidR="000A15D2" w:rsidRDefault="007B3686" w:rsidP="0012564F">
          <w:pPr>
            <w:pStyle w:val="TOC3"/>
            <w:rPr>
              <w:rFonts w:asciiTheme="minorHAnsi" w:hAnsiTheme="minorHAnsi"/>
              <w:noProof/>
              <w:sz w:val="22"/>
            </w:rPr>
          </w:pPr>
          <w:hyperlink w:anchor="_Toc531943791" w:history="1">
            <w:r w:rsidR="000A15D2" w:rsidRPr="00B766ED">
              <w:rPr>
                <w:rStyle w:val="Hyperlink"/>
                <w:noProof/>
              </w:rPr>
              <w:t>i.</w:t>
            </w:r>
            <w:r w:rsidR="000A15D2">
              <w:rPr>
                <w:rStyle w:val="Hyperlink"/>
                <w:noProof/>
              </w:rPr>
              <w:t xml:space="preserve"> </w:t>
            </w:r>
            <w:r w:rsidR="000A15D2" w:rsidRPr="00B766ED">
              <w:rPr>
                <w:rStyle w:val="Hyperlink"/>
                <w:noProof/>
              </w:rPr>
              <w:t>Tensile Modulus</w:t>
            </w:r>
            <w:r w:rsidR="000A15D2">
              <w:rPr>
                <w:noProof/>
                <w:webHidden/>
              </w:rPr>
              <w:tab/>
            </w:r>
            <w:r w:rsidR="000A15D2">
              <w:rPr>
                <w:noProof/>
                <w:webHidden/>
              </w:rPr>
              <w:fldChar w:fldCharType="begin"/>
            </w:r>
            <w:r w:rsidR="000A15D2">
              <w:rPr>
                <w:noProof/>
                <w:webHidden/>
              </w:rPr>
              <w:instrText xml:space="preserve"> PAGEREF _Toc531943791 \h </w:instrText>
            </w:r>
            <w:r w:rsidR="000A15D2">
              <w:rPr>
                <w:noProof/>
                <w:webHidden/>
              </w:rPr>
            </w:r>
            <w:r w:rsidR="000A15D2">
              <w:rPr>
                <w:noProof/>
                <w:webHidden/>
              </w:rPr>
              <w:fldChar w:fldCharType="separate"/>
            </w:r>
            <w:r w:rsidR="006D52C2">
              <w:rPr>
                <w:noProof/>
                <w:webHidden/>
              </w:rPr>
              <w:t>169</w:t>
            </w:r>
            <w:r w:rsidR="000A15D2">
              <w:rPr>
                <w:noProof/>
                <w:webHidden/>
              </w:rPr>
              <w:fldChar w:fldCharType="end"/>
            </w:r>
          </w:hyperlink>
        </w:p>
        <w:p w14:paraId="45763CE6" w14:textId="454B6261" w:rsidR="000A15D2" w:rsidRDefault="007B3686" w:rsidP="0012564F">
          <w:pPr>
            <w:pStyle w:val="TOC3"/>
            <w:rPr>
              <w:rFonts w:asciiTheme="minorHAnsi" w:hAnsiTheme="minorHAnsi"/>
              <w:noProof/>
              <w:sz w:val="22"/>
            </w:rPr>
          </w:pPr>
          <w:hyperlink w:anchor="_Toc531943792" w:history="1">
            <w:r w:rsidR="000A15D2" w:rsidRPr="00B766ED">
              <w:rPr>
                <w:rStyle w:val="Hyperlink"/>
                <w:noProof/>
              </w:rPr>
              <w:t>ii.</w:t>
            </w:r>
            <w:r w:rsidR="000A15D2">
              <w:rPr>
                <w:rStyle w:val="Hyperlink"/>
                <w:noProof/>
              </w:rPr>
              <w:t xml:space="preserve"> </w:t>
            </w:r>
            <w:r w:rsidR="000A15D2" w:rsidRPr="00B766ED">
              <w:rPr>
                <w:rStyle w:val="Hyperlink"/>
                <w:noProof/>
              </w:rPr>
              <w:t>Flexural Modulus</w:t>
            </w:r>
            <w:r w:rsidR="000A15D2">
              <w:rPr>
                <w:noProof/>
                <w:webHidden/>
              </w:rPr>
              <w:tab/>
            </w:r>
            <w:r w:rsidR="000A15D2">
              <w:rPr>
                <w:noProof/>
                <w:webHidden/>
              </w:rPr>
              <w:fldChar w:fldCharType="begin"/>
            </w:r>
            <w:r w:rsidR="000A15D2">
              <w:rPr>
                <w:noProof/>
                <w:webHidden/>
              </w:rPr>
              <w:instrText xml:space="preserve"> PAGEREF _Toc531943792 \h </w:instrText>
            </w:r>
            <w:r w:rsidR="000A15D2">
              <w:rPr>
                <w:noProof/>
                <w:webHidden/>
              </w:rPr>
            </w:r>
            <w:r w:rsidR="000A15D2">
              <w:rPr>
                <w:noProof/>
                <w:webHidden/>
              </w:rPr>
              <w:fldChar w:fldCharType="separate"/>
            </w:r>
            <w:r w:rsidR="006D52C2">
              <w:rPr>
                <w:noProof/>
                <w:webHidden/>
              </w:rPr>
              <w:t>169</w:t>
            </w:r>
            <w:r w:rsidR="000A15D2">
              <w:rPr>
                <w:noProof/>
                <w:webHidden/>
              </w:rPr>
              <w:fldChar w:fldCharType="end"/>
            </w:r>
          </w:hyperlink>
        </w:p>
        <w:p w14:paraId="640B25EF"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93" w:history="1">
            <w:r w:rsidR="000A15D2" w:rsidRPr="00B766ED">
              <w:rPr>
                <w:rStyle w:val="Hyperlink"/>
                <w:noProof/>
              </w:rPr>
              <w:t>5.5. Concentration Dependent Modulus Model: Validation</w:t>
            </w:r>
            <w:r w:rsidR="000A15D2">
              <w:rPr>
                <w:noProof/>
                <w:webHidden/>
              </w:rPr>
              <w:tab/>
            </w:r>
            <w:r w:rsidR="000A15D2">
              <w:rPr>
                <w:noProof/>
                <w:webHidden/>
              </w:rPr>
              <w:fldChar w:fldCharType="begin"/>
            </w:r>
            <w:r w:rsidR="000A15D2">
              <w:rPr>
                <w:noProof/>
                <w:webHidden/>
              </w:rPr>
              <w:instrText xml:space="preserve"> PAGEREF _Toc531943793 \h </w:instrText>
            </w:r>
            <w:r w:rsidR="000A15D2">
              <w:rPr>
                <w:noProof/>
                <w:webHidden/>
              </w:rPr>
            </w:r>
            <w:r w:rsidR="000A15D2">
              <w:rPr>
                <w:noProof/>
                <w:webHidden/>
              </w:rPr>
              <w:fldChar w:fldCharType="separate"/>
            </w:r>
            <w:r w:rsidR="006D52C2">
              <w:rPr>
                <w:noProof/>
                <w:webHidden/>
              </w:rPr>
              <w:t>170</w:t>
            </w:r>
            <w:r w:rsidR="000A15D2">
              <w:rPr>
                <w:noProof/>
                <w:webHidden/>
              </w:rPr>
              <w:fldChar w:fldCharType="end"/>
            </w:r>
          </w:hyperlink>
        </w:p>
        <w:p w14:paraId="1ABB2E9F" w14:textId="77777777" w:rsidR="000A15D2" w:rsidRDefault="007B3686" w:rsidP="0012564F">
          <w:pPr>
            <w:pStyle w:val="TOC2"/>
            <w:tabs>
              <w:tab w:val="right" w:leader="dot" w:pos="8630"/>
            </w:tabs>
            <w:spacing w:after="0"/>
            <w:ind w:left="0" w:firstLine="0"/>
            <w:rPr>
              <w:rFonts w:asciiTheme="minorHAnsi" w:hAnsiTheme="minorHAnsi"/>
              <w:noProof/>
              <w:sz w:val="22"/>
            </w:rPr>
          </w:pPr>
          <w:hyperlink w:anchor="_Toc531943794" w:history="1">
            <w:r w:rsidR="000A15D2" w:rsidRPr="00B766ED">
              <w:rPr>
                <w:rStyle w:val="Hyperlink"/>
                <w:noProof/>
              </w:rPr>
              <w:t>5.6. Conclusion</w:t>
            </w:r>
            <w:r w:rsidR="000A15D2">
              <w:rPr>
                <w:noProof/>
                <w:webHidden/>
              </w:rPr>
              <w:tab/>
            </w:r>
            <w:r w:rsidR="000A15D2">
              <w:rPr>
                <w:noProof/>
                <w:webHidden/>
              </w:rPr>
              <w:fldChar w:fldCharType="begin"/>
            </w:r>
            <w:r w:rsidR="000A15D2">
              <w:rPr>
                <w:noProof/>
                <w:webHidden/>
              </w:rPr>
              <w:instrText xml:space="preserve"> PAGEREF _Toc531943794 \h </w:instrText>
            </w:r>
            <w:r w:rsidR="000A15D2">
              <w:rPr>
                <w:noProof/>
                <w:webHidden/>
              </w:rPr>
            </w:r>
            <w:r w:rsidR="000A15D2">
              <w:rPr>
                <w:noProof/>
                <w:webHidden/>
              </w:rPr>
              <w:fldChar w:fldCharType="separate"/>
            </w:r>
            <w:r w:rsidR="006D52C2">
              <w:rPr>
                <w:noProof/>
                <w:webHidden/>
              </w:rPr>
              <w:t>180</w:t>
            </w:r>
            <w:r w:rsidR="000A15D2">
              <w:rPr>
                <w:noProof/>
                <w:webHidden/>
              </w:rPr>
              <w:fldChar w:fldCharType="end"/>
            </w:r>
          </w:hyperlink>
        </w:p>
        <w:p w14:paraId="19F859B6" w14:textId="77777777" w:rsidR="000A15D2" w:rsidRDefault="007B3686" w:rsidP="0012564F">
          <w:pPr>
            <w:pStyle w:val="TOC1"/>
            <w:tabs>
              <w:tab w:val="left" w:pos="1760"/>
              <w:tab w:val="right" w:leader="dot" w:pos="8630"/>
            </w:tabs>
            <w:spacing w:after="0"/>
            <w:ind w:firstLine="0"/>
            <w:rPr>
              <w:rFonts w:asciiTheme="minorHAnsi" w:hAnsiTheme="minorHAnsi"/>
              <w:noProof/>
              <w:sz w:val="22"/>
            </w:rPr>
          </w:pPr>
          <w:hyperlink w:anchor="_Toc531943795" w:history="1">
            <w:r w:rsidR="000A15D2" w:rsidRPr="00B766ED">
              <w:rPr>
                <w:rStyle w:val="Hyperlink"/>
                <w:noProof/>
              </w:rPr>
              <w:t>Chapter 6.</w:t>
            </w:r>
            <w:r w:rsidR="000A15D2">
              <w:rPr>
                <w:rFonts w:asciiTheme="minorHAnsi" w:hAnsiTheme="minorHAnsi"/>
                <w:noProof/>
                <w:sz w:val="22"/>
              </w:rPr>
              <w:tab/>
            </w:r>
            <w:r w:rsidR="000A15D2" w:rsidRPr="00B766ED">
              <w:rPr>
                <w:rStyle w:val="Hyperlink"/>
                <w:noProof/>
              </w:rPr>
              <w:t>Concluding Remarks</w:t>
            </w:r>
            <w:r w:rsidR="000A15D2">
              <w:rPr>
                <w:noProof/>
                <w:webHidden/>
              </w:rPr>
              <w:tab/>
            </w:r>
            <w:r w:rsidR="000A15D2">
              <w:rPr>
                <w:noProof/>
                <w:webHidden/>
              </w:rPr>
              <w:fldChar w:fldCharType="begin"/>
            </w:r>
            <w:r w:rsidR="000A15D2">
              <w:rPr>
                <w:noProof/>
                <w:webHidden/>
              </w:rPr>
              <w:instrText xml:space="preserve"> PAGEREF _Toc531943795 \h </w:instrText>
            </w:r>
            <w:r w:rsidR="000A15D2">
              <w:rPr>
                <w:noProof/>
                <w:webHidden/>
              </w:rPr>
            </w:r>
            <w:r w:rsidR="000A15D2">
              <w:rPr>
                <w:noProof/>
                <w:webHidden/>
              </w:rPr>
              <w:fldChar w:fldCharType="separate"/>
            </w:r>
            <w:r w:rsidR="006D52C2">
              <w:rPr>
                <w:noProof/>
                <w:webHidden/>
              </w:rPr>
              <w:t>182</w:t>
            </w:r>
            <w:r w:rsidR="000A15D2">
              <w:rPr>
                <w:noProof/>
                <w:webHidden/>
              </w:rPr>
              <w:fldChar w:fldCharType="end"/>
            </w:r>
          </w:hyperlink>
        </w:p>
        <w:p w14:paraId="61C48388" w14:textId="780A0D2F" w:rsidR="00D52FBD" w:rsidRDefault="007B3686" w:rsidP="0012564F">
          <w:pPr>
            <w:pStyle w:val="TOC2"/>
            <w:tabs>
              <w:tab w:val="right" w:leader="dot" w:pos="8630"/>
            </w:tabs>
            <w:spacing w:after="0"/>
            <w:ind w:left="0" w:firstLine="0"/>
            <w:sectPr w:rsidR="00D52FBD" w:rsidSect="00C46E11">
              <w:type w:val="continuous"/>
              <w:pgSz w:w="12240" w:h="15840"/>
              <w:pgMar w:top="1440" w:right="1440" w:bottom="1440" w:left="2160" w:header="720" w:footer="720" w:gutter="0"/>
              <w:pgNumType w:fmt="lowerRoman" w:start="6"/>
              <w:cols w:space="720"/>
              <w:docGrid w:linePitch="360"/>
            </w:sectPr>
          </w:pPr>
          <w:hyperlink w:anchor="_Toc531943796" w:history="1">
            <w:r w:rsidR="000A15D2" w:rsidRPr="00B766ED">
              <w:rPr>
                <w:rStyle w:val="Hyperlink"/>
                <w:noProof/>
              </w:rPr>
              <w:t>6.1. Research Proposals</w:t>
            </w:r>
            <w:r w:rsidR="000A15D2">
              <w:rPr>
                <w:noProof/>
                <w:webHidden/>
              </w:rPr>
              <w:tab/>
            </w:r>
            <w:r w:rsidR="000A15D2">
              <w:rPr>
                <w:noProof/>
                <w:webHidden/>
              </w:rPr>
              <w:fldChar w:fldCharType="begin"/>
            </w:r>
            <w:r w:rsidR="000A15D2">
              <w:rPr>
                <w:noProof/>
                <w:webHidden/>
              </w:rPr>
              <w:instrText xml:space="preserve"> PAGEREF _Toc531943796 \h </w:instrText>
            </w:r>
            <w:r w:rsidR="000A15D2">
              <w:rPr>
                <w:noProof/>
                <w:webHidden/>
              </w:rPr>
            </w:r>
            <w:r w:rsidR="000A15D2">
              <w:rPr>
                <w:noProof/>
                <w:webHidden/>
              </w:rPr>
              <w:fldChar w:fldCharType="separate"/>
            </w:r>
            <w:r w:rsidR="006D52C2">
              <w:rPr>
                <w:noProof/>
                <w:webHidden/>
              </w:rPr>
              <w:t>188</w:t>
            </w:r>
            <w:r w:rsidR="000A15D2">
              <w:rPr>
                <w:noProof/>
                <w:webHidden/>
              </w:rPr>
              <w:fldChar w:fldCharType="end"/>
            </w:r>
          </w:hyperlink>
          <w:r w:rsidR="005A3E52" w:rsidRPr="005A3E52">
            <w:rPr>
              <w:rFonts w:cs="Times New Roman"/>
              <w:b/>
              <w:bCs/>
              <w:noProof/>
            </w:rPr>
            <w:fldChar w:fldCharType="end"/>
          </w:r>
        </w:p>
      </w:sdtContent>
    </w:sdt>
    <w:p w14:paraId="3E4629BB" w14:textId="77777777" w:rsidR="00B128BF" w:rsidRDefault="00B128BF" w:rsidP="00B40667">
      <w:pPr>
        <w:pStyle w:val="Tableofcon"/>
        <w:sectPr w:rsidR="00B128BF" w:rsidSect="00C46E11">
          <w:type w:val="continuous"/>
          <w:pgSz w:w="12240" w:h="15840"/>
          <w:pgMar w:top="1440" w:right="1440" w:bottom="1440" w:left="2160" w:header="720" w:footer="720" w:gutter="0"/>
          <w:pgNumType w:fmt="lowerRoman" w:start="9"/>
          <w:cols w:space="720"/>
          <w:docGrid w:linePitch="360"/>
        </w:sectPr>
      </w:pPr>
    </w:p>
    <w:p w14:paraId="287B6BD7" w14:textId="77777777" w:rsidR="00D259FC" w:rsidRDefault="00C52882" w:rsidP="002D4F89">
      <w:pPr>
        <w:pStyle w:val="Tableofcon"/>
        <w:ind w:firstLine="0"/>
        <w:rPr>
          <w:noProof/>
        </w:rPr>
      </w:pPr>
      <w:r>
        <w:lastRenderedPageBreak/>
        <w:t>List of Tables</w:t>
      </w:r>
      <w:r w:rsidR="00E26C06">
        <w:rPr>
          <w:b w:val="0"/>
        </w:rPr>
        <w:fldChar w:fldCharType="begin"/>
      </w:r>
      <w:r w:rsidR="00E26C06">
        <w:rPr>
          <w:b w:val="0"/>
        </w:rPr>
        <w:instrText xml:space="preserve"> TOC \h \z \c "Table" </w:instrText>
      </w:r>
      <w:r w:rsidR="00E26C06">
        <w:rPr>
          <w:b w:val="0"/>
        </w:rPr>
        <w:fldChar w:fldCharType="separate"/>
      </w:r>
    </w:p>
    <w:p w14:paraId="21E4CCF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16" w:history="1">
        <w:r w:rsidR="00D259FC" w:rsidRPr="00B67D02">
          <w:rPr>
            <w:rStyle w:val="Hyperlink"/>
            <w:noProof/>
          </w:rPr>
          <w:t>Table 1</w:t>
        </w:r>
        <w:r w:rsidR="00D259FC" w:rsidRPr="00B67D02">
          <w:rPr>
            <w:rStyle w:val="Hyperlink"/>
            <w:rFonts w:eastAsia="Times New Roman"/>
            <w:noProof/>
          </w:rPr>
          <w:t xml:space="preserve">. Absorption parameters of the concentration profiles in </w:t>
        </w:r>
        <w:r w:rsidR="00D259FC" w:rsidRPr="00B67D02">
          <w:rPr>
            <w:rStyle w:val="Hyperlink"/>
            <w:noProof/>
          </w:rPr>
          <w:t>Figure 12</w:t>
        </w:r>
        <w:r w:rsidR="00D259FC" w:rsidRPr="00B67D02">
          <w:rPr>
            <w:rStyle w:val="Hyperlink"/>
            <w:rFonts w:eastAsia="Times New Roman"/>
            <w:noProof/>
          </w:rPr>
          <w:t>.</w:t>
        </w:r>
        <w:r w:rsidR="00D259FC">
          <w:rPr>
            <w:noProof/>
            <w:webHidden/>
          </w:rPr>
          <w:tab/>
        </w:r>
        <w:r w:rsidR="00D259FC">
          <w:rPr>
            <w:noProof/>
            <w:webHidden/>
          </w:rPr>
          <w:fldChar w:fldCharType="begin"/>
        </w:r>
        <w:r w:rsidR="00D259FC">
          <w:rPr>
            <w:noProof/>
            <w:webHidden/>
          </w:rPr>
          <w:instrText xml:space="preserve"> PAGEREF _Toc530997316 \h </w:instrText>
        </w:r>
        <w:r w:rsidR="00D259FC">
          <w:rPr>
            <w:noProof/>
            <w:webHidden/>
          </w:rPr>
        </w:r>
        <w:r w:rsidR="00D259FC">
          <w:rPr>
            <w:noProof/>
            <w:webHidden/>
          </w:rPr>
          <w:fldChar w:fldCharType="separate"/>
        </w:r>
        <w:r w:rsidR="006D52C2">
          <w:rPr>
            <w:noProof/>
            <w:webHidden/>
          </w:rPr>
          <w:t>45</w:t>
        </w:r>
        <w:r w:rsidR="00D259FC">
          <w:rPr>
            <w:noProof/>
            <w:webHidden/>
          </w:rPr>
          <w:fldChar w:fldCharType="end"/>
        </w:r>
      </w:hyperlink>
    </w:p>
    <w:p w14:paraId="619883A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17" w:history="1">
        <w:r w:rsidR="00D259FC" w:rsidRPr="00B67D02">
          <w:rPr>
            <w:rStyle w:val="Hyperlink"/>
            <w:noProof/>
          </w:rPr>
          <w:t>Table 2. Diffusion parameters of the synthetic data, initial guess, and model prediction</w:t>
        </w:r>
        <w:r w:rsidR="00D259FC">
          <w:rPr>
            <w:noProof/>
            <w:webHidden/>
          </w:rPr>
          <w:tab/>
        </w:r>
        <w:r w:rsidR="00D259FC">
          <w:rPr>
            <w:noProof/>
            <w:webHidden/>
          </w:rPr>
          <w:fldChar w:fldCharType="begin"/>
        </w:r>
        <w:r w:rsidR="00D259FC">
          <w:rPr>
            <w:noProof/>
            <w:webHidden/>
          </w:rPr>
          <w:instrText xml:space="preserve"> PAGEREF _Toc530997317 \h </w:instrText>
        </w:r>
        <w:r w:rsidR="00D259FC">
          <w:rPr>
            <w:noProof/>
            <w:webHidden/>
          </w:rPr>
        </w:r>
        <w:r w:rsidR="00D259FC">
          <w:rPr>
            <w:noProof/>
            <w:webHidden/>
          </w:rPr>
          <w:fldChar w:fldCharType="separate"/>
        </w:r>
        <w:r w:rsidR="006D52C2">
          <w:rPr>
            <w:noProof/>
            <w:webHidden/>
          </w:rPr>
          <w:t>54</w:t>
        </w:r>
        <w:r w:rsidR="00D259FC">
          <w:rPr>
            <w:noProof/>
            <w:webHidden/>
          </w:rPr>
          <w:fldChar w:fldCharType="end"/>
        </w:r>
      </w:hyperlink>
    </w:p>
    <w:p w14:paraId="32FFD95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18" w:history="1">
        <w:r w:rsidR="00D259FC" w:rsidRPr="00B67D02">
          <w:rPr>
            <w:rStyle w:val="Hyperlink"/>
            <w:noProof/>
          </w:rPr>
          <w:t>Table 3. Moisture absorption parameters of DGEBA epoxy with different clay loading.</w:t>
        </w:r>
        <w:r w:rsidR="00D259FC">
          <w:rPr>
            <w:noProof/>
            <w:webHidden/>
          </w:rPr>
          <w:tab/>
        </w:r>
        <w:r w:rsidR="00D259FC">
          <w:rPr>
            <w:noProof/>
            <w:webHidden/>
          </w:rPr>
          <w:fldChar w:fldCharType="begin"/>
        </w:r>
        <w:r w:rsidR="00D259FC">
          <w:rPr>
            <w:noProof/>
            <w:webHidden/>
          </w:rPr>
          <w:instrText xml:space="preserve"> PAGEREF _Toc530997318 \h </w:instrText>
        </w:r>
        <w:r w:rsidR="00D259FC">
          <w:rPr>
            <w:noProof/>
            <w:webHidden/>
          </w:rPr>
        </w:r>
        <w:r w:rsidR="00D259FC">
          <w:rPr>
            <w:noProof/>
            <w:webHidden/>
          </w:rPr>
          <w:fldChar w:fldCharType="separate"/>
        </w:r>
        <w:r w:rsidR="006D52C2">
          <w:rPr>
            <w:noProof/>
            <w:webHidden/>
          </w:rPr>
          <w:t>72</w:t>
        </w:r>
        <w:r w:rsidR="00D259FC">
          <w:rPr>
            <w:noProof/>
            <w:webHidden/>
          </w:rPr>
          <w:fldChar w:fldCharType="end"/>
        </w:r>
      </w:hyperlink>
    </w:p>
    <w:p w14:paraId="1C429F00"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19" w:history="1">
        <w:r w:rsidR="00D259FC" w:rsidRPr="00B67D02">
          <w:rPr>
            <w:rStyle w:val="Hyperlink"/>
            <w:noProof/>
          </w:rPr>
          <w:t xml:space="preserve">Table 4. Moisture absorption parameters of DGEBA epoxy with different clay loading (Change in </w:t>
        </w:r>
        <m:oMath>
          <m:r>
            <m:rPr>
              <m:sty m:val="bi"/>
            </m:rPr>
            <w:rPr>
              <w:rStyle w:val="Hyperlink"/>
              <w:rFonts w:ascii="Cambria Math" w:hAnsi="Cambria Math"/>
              <w:noProof/>
            </w:rPr>
            <m:t>Dz</m:t>
          </m:r>
        </m:oMath>
        <w:r w:rsidR="00D259FC" w:rsidRPr="00B67D02">
          <w:rPr>
            <w:rStyle w:val="Hyperlink"/>
            <w:noProof/>
          </w:rPr>
          <w:t xml:space="preserve"> follows the rule of mixture).</w:t>
        </w:r>
        <w:r w:rsidR="00D259FC">
          <w:rPr>
            <w:noProof/>
            <w:webHidden/>
          </w:rPr>
          <w:tab/>
        </w:r>
        <w:r w:rsidR="00D259FC">
          <w:rPr>
            <w:noProof/>
            <w:webHidden/>
          </w:rPr>
          <w:fldChar w:fldCharType="begin"/>
        </w:r>
        <w:r w:rsidR="00D259FC">
          <w:rPr>
            <w:noProof/>
            <w:webHidden/>
          </w:rPr>
          <w:instrText xml:space="preserve"> PAGEREF _Toc530997319 \h </w:instrText>
        </w:r>
        <w:r w:rsidR="00D259FC">
          <w:rPr>
            <w:noProof/>
            <w:webHidden/>
          </w:rPr>
        </w:r>
        <w:r w:rsidR="00D259FC">
          <w:rPr>
            <w:noProof/>
            <w:webHidden/>
          </w:rPr>
          <w:fldChar w:fldCharType="separate"/>
        </w:r>
        <w:r w:rsidR="006D52C2">
          <w:rPr>
            <w:noProof/>
            <w:webHidden/>
          </w:rPr>
          <w:t>73</w:t>
        </w:r>
        <w:r w:rsidR="00D259FC">
          <w:rPr>
            <w:noProof/>
            <w:webHidden/>
          </w:rPr>
          <w:fldChar w:fldCharType="end"/>
        </w:r>
      </w:hyperlink>
    </w:p>
    <w:p w14:paraId="42DA912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0" w:history="1">
        <w:r w:rsidR="00D259FC" w:rsidRPr="00B67D02">
          <w:rPr>
            <w:rStyle w:val="Hyperlink"/>
            <w:noProof/>
          </w:rPr>
          <w:t>Table 5. One-dimensional hindered diffusion moisture absorption parameters of EPON 862 epoxy with different clay loading where diffusion coefficient kept linearly decreasing.</w:t>
        </w:r>
        <w:r w:rsidR="00D259FC">
          <w:rPr>
            <w:noProof/>
            <w:webHidden/>
          </w:rPr>
          <w:tab/>
        </w:r>
        <w:r w:rsidR="00D259FC">
          <w:rPr>
            <w:noProof/>
            <w:webHidden/>
          </w:rPr>
          <w:fldChar w:fldCharType="begin"/>
        </w:r>
        <w:r w:rsidR="00D259FC">
          <w:rPr>
            <w:noProof/>
            <w:webHidden/>
          </w:rPr>
          <w:instrText xml:space="preserve"> PAGEREF _Toc530997320 \h </w:instrText>
        </w:r>
        <w:r w:rsidR="00D259FC">
          <w:rPr>
            <w:noProof/>
            <w:webHidden/>
          </w:rPr>
        </w:r>
        <w:r w:rsidR="00D259FC">
          <w:rPr>
            <w:noProof/>
            <w:webHidden/>
          </w:rPr>
          <w:fldChar w:fldCharType="separate"/>
        </w:r>
        <w:r w:rsidR="006D52C2">
          <w:rPr>
            <w:noProof/>
            <w:webHidden/>
          </w:rPr>
          <w:t>82</w:t>
        </w:r>
        <w:r w:rsidR="00D259FC">
          <w:rPr>
            <w:noProof/>
            <w:webHidden/>
          </w:rPr>
          <w:fldChar w:fldCharType="end"/>
        </w:r>
      </w:hyperlink>
    </w:p>
    <w:p w14:paraId="55FF49F3"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1" w:history="1">
        <w:r w:rsidR="00D259FC" w:rsidRPr="00B67D02">
          <w:rPr>
            <w:rStyle w:val="Hyperlink"/>
            <w:noProof/>
          </w:rPr>
          <w:t>Table 6. Moisture absorption parameters of DGEBA epoxy with different APS treated glass loading where diffusion coefficient kept linearly decreasing.</w:t>
        </w:r>
        <w:r w:rsidR="00D259FC">
          <w:rPr>
            <w:noProof/>
            <w:webHidden/>
          </w:rPr>
          <w:tab/>
        </w:r>
        <w:r w:rsidR="00D259FC">
          <w:rPr>
            <w:noProof/>
            <w:webHidden/>
          </w:rPr>
          <w:fldChar w:fldCharType="begin"/>
        </w:r>
        <w:r w:rsidR="00D259FC">
          <w:rPr>
            <w:noProof/>
            <w:webHidden/>
          </w:rPr>
          <w:instrText xml:space="preserve"> PAGEREF _Toc530997321 \h </w:instrText>
        </w:r>
        <w:r w:rsidR="00D259FC">
          <w:rPr>
            <w:noProof/>
            <w:webHidden/>
          </w:rPr>
        </w:r>
        <w:r w:rsidR="00D259FC">
          <w:rPr>
            <w:noProof/>
            <w:webHidden/>
          </w:rPr>
          <w:fldChar w:fldCharType="separate"/>
        </w:r>
        <w:r w:rsidR="006D52C2">
          <w:rPr>
            <w:noProof/>
            <w:webHidden/>
          </w:rPr>
          <w:t>92</w:t>
        </w:r>
        <w:r w:rsidR="00D259FC">
          <w:rPr>
            <w:noProof/>
            <w:webHidden/>
          </w:rPr>
          <w:fldChar w:fldCharType="end"/>
        </w:r>
      </w:hyperlink>
    </w:p>
    <w:p w14:paraId="3DC4E5B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2" w:history="1">
        <w:r w:rsidR="00D259FC" w:rsidRPr="00B67D02">
          <w:rPr>
            <w:rStyle w:val="Hyperlink"/>
            <w:noProof/>
          </w:rPr>
          <w:t>Table 7. Moisture absorption parameters of DGEBA epoxy with different nBS treated glass loading where diffusion coefficient kept linearly decreasing.</w:t>
        </w:r>
        <w:r w:rsidR="00D259FC">
          <w:rPr>
            <w:noProof/>
            <w:webHidden/>
          </w:rPr>
          <w:tab/>
        </w:r>
        <w:r w:rsidR="00D259FC">
          <w:rPr>
            <w:noProof/>
            <w:webHidden/>
          </w:rPr>
          <w:fldChar w:fldCharType="begin"/>
        </w:r>
        <w:r w:rsidR="00D259FC">
          <w:rPr>
            <w:noProof/>
            <w:webHidden/>
          </w:rPr>
          <w:instrText xml:space="preserve"> PAGEREF _Toc530997322 \h </w:instrText>
        </w:r>
        <w:r w:rsidR="00D259FC">
          <w:rPr>
            <w:noProof/>
            <w:webHidden/>
          </w:rPr>
        </w:r>
        <w:r w:rsidR="00D259FC">
          <w:rPr>
            <w:noProof/>
            <w:webHidden/>
          </w:rPr>
          <w:fldChar w:fldCharType="separate"/>
        </w:r>
        <w:r w:rsidR="006D52C2">
          <w:rPr>
            <w:noProof/>
            <w:webHidden/>
          </w:rPr>
          <w:t>94</w:t>
        </w:r>
        <w:r w:rsidR="00D259FC">
          <w:rPr>
            <w:noProof/>
            <w:webHidden/>
          </w:rPr>
          <w:fldChar w:fldCharType="end"/>
        </w:r>
      </w:hyperlink>
    </w:p>
    <w:p w14:paraId="45AE642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3" w:history="1">
        <w:r w:rsidR="00D259FC" w:rsidRPr="00B67D02">
          <w:rPr>
            <w:rStyle w:val="Hyperlink"/>
            <w:noProof/>
          </w:rPr>
          <w:t>Table 8. Moisture absorption parameters of glass sphere/epoxy layer and neat epoxy layer.</w:t>
        </w:r>
        <w:r w:rsidR="00D259FC">
          <w:rPr>
            <w:noProof/>
            <w:webHidden/>
          </w:rPr>
          <w:tab/>
        </w:r>
        <w:r w:rsidR="00D259FC">
          <w:rPr>
            <w:noProof/>
            <w:webHidden/>
          </w:rPr>
          <w:fldChar w:fldCharType="begin"/>
        </w:r>
        <w:r w:rsidR="00D259FC">
          <w:rPr>
            <w:noProof/>
            <w:webHidden/>
          </w:rPr>
          <w:instrText xml:space="preserve"> PAGEREF _Toc530997323 \h </w:instrText>
        </w:r>
        <w:r w:rsidR="00D259FC">
          <w:rPr>
            <w:noProof/>
            <w:webHidden/>
          </w:rPr>
        </w:r>
        <w:r w:rsidR="00D259FC">
          <w:rPr>
            <w:noProof/>
            <w:webHidden/>
          </w:rPr>
          <w:fldChar w:fldCharType="separate"/>
        </w:r>
        <w:r w:rsidR="006D52C2">
          <w:rPr>
            <w:noProof/>
            <w:webHidden/>
          </w:rPr>
          <w:t>105</w:t>
        </w:r>
        <w:r w:rsidR="00D259FC">
          <w:rPr>
            <w:noProof/>
            <w:webHidden/>
          </w:rPr>
          <w:fldChar w:fldCharType="end"/>
        </w:r>
      </w:hyperlink>
    </w:p>
    <w:p w14:paraId="4E459DA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4" w:history="1">
        <w:r w:rsidR="00D259FC" w:rsidRPr="00B67D02">
          <w:rPr>
            <w:rStyle w:val="Hyperlink"/>
            <w:noProof/>
          </w:rPr>
          <w:t>Table 9. Moisture absorption parameters of dispersed 21% and 40% vol. glass sphere/epoxy laminates</w:t>
        </w:r>
        <w:r w:rsidR="00D259FC">
          <w:rPr>
            <w:noProof/>
            <w:webHidden/>
          </w:rPr>
          <w:tab/>
        </w:r>
        <w:r w:rsidR="00D259FC">
          <w:rPr>
            <w:noProof/>
            <w:webHidden/>
          </w:rPr>
          <w:fldChar w:fldCharType="begin"/>
        </w:r>
        <w:r w:rsidR="00D259FC">
          <w:rPr>
            <w:noProof/>
            <w:webHidden/>
          </w:rPr>
          <w:instrText xml:space="preserve"> PAGEREF _Toc530997324 \h </w:instrText>
        </w:r>
        <w:r w:rsidR="00D259FC">
          <w:rPr>
            <w:noProof/>
            <w:webHidden/>
          </w:rPr>
        </w:r>
        <w:r w:rsidR="00D259FC">
          <w:rPr>
            <w:noProof/>
            <w:webHidden/>
          </w:rPr>
          <w:fldChar w:fldCharType="separate"/>
        </w:r>
        <w:r w:rsidR="006D52C2">
          <w:rPr>
            <w:noProof/>
            <w:webHidden/>
          </w:rPr>
          <w:t>108</w:t>
        </w:r>
        <w:r w:rsidR="00D259FC">
          <w:rPr>
            <w:noProof/>
            <w:webHidden/>
          </w:rPr>
          <w:fldChar w:fldCharType="end"/>
        </w:r>
      </w:hyperlink>
    </w:p>
    <w:p w14:paraId="5FBE46A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5" w:history="1">
        <w:r w:rsidR="00D259FC" w:rsidRPr="00B67D02">
          <w:rPr>
            <w:rStyle w:val="Hyperlink"/>
            <w:noProof/>
          </w:rPr>
          <w:t>Table 10. Sample Dimensions and Abbreviations of Rohacell Foams</w:t>
        </w:r>
        <w:r w:rsidR="00D259FC">
          <w:rPr>
            <w:noProof/>
            <w:webHidden/>
          </w:rPr>
          <w:tab/>
        </w:r>
        <w:r w:rsidR="00D259FC">
          <w:rPr>
            <w:noProof/>
            <w:webHidden/>
          </w:rPr>
          <w:fldChar w:fldCharType="begin"/>
        </w:r>
        <w:r w:rsidR="00D259FC">
          <w:rPr>
            <w:noProof/>
            <w:webHidden/>
          </w:rPr>
          <w:instrText xml:space="preserve"> PAGEREF _Toc530997325 \h </w:instrText>
        </w:r>
        <w:r w:rsidR="00D259FC">
          <w:rPr>
            <w:noProof/>
            <w:webHidden/>
          </w:rPr>
        </w:r>
        <w:r w:rsidR="00D259FC">
          <w:rPr>
            <w:noProof/>
            <w:webHidden/>
          </w:rPr>
          <w:fldChar w:fldCharType="separate"/>
        </w:r>
        <w:r w:rsidR="006D52C2">
          <w:rPr>
            <w:noProof/>
            <w:webHidden/>
          </w:rPr>
          <w:t>124</w:t>
        </w:r>
        <w:r w:rsidR="00D259FC">
          <w:rPr>
            <w:noProof/>
            <w:webHidden/>
          </w:rPr>
          <w:fldChar w:fldCharType="end"/>
        </w:r>
      </w:hyperlink>
    </w:p>
    <w:p w14:paraId="21A8F12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6" w:history="1">
        <w:r w:rsidR="00D259FC" w:rsidRPr="00B67D02">
          <w:rPr>
            <w:rStyle w:val="Hyperlink"/>
            <w:noProof/>
          </w:rPr>
          <w:t>Table 11. VFHDM absorption parameters for untreated and heat treated Rohacell foams</w:t>
        </w:r>
        <w:r w:rsidR="00D259FC">
          <w:rPr>
            <w:noProof/>
            <w:webHidden/>
          </w:rPr>
          <w:tab/>
        </w:r>
        <w:r w:rsidR="00D259FC">
          <w:rPr>
            <w:noProof/>
            <w:webHidden/>
          </w:rPr>
          <w:fldChar w:fldCharType="begin"/>
        </w:r>
        <w:r w:rsidR="00D259FC">
          <w:rPr>
            <w:noProof/>
            <w:webHidden/>
          </w:rPr>
          <w:instrText xml:space="preserve"> PAGEREF _Toc530997326 \h </w:instrText>
        </w:r>
        <w:r w:rsidR="00D259FC">
          <w:rPr>
            <w:noProof/>
            <w:webHidden/>
          </w:rPr>
        </w:r>
        <w:r w:rsidR="00D259FC">
          <w:rPr>
            <w:noProof/>
            <w:webHidden/>
          </w:rPr>
          <w:fldChar w:fldCharType="separate"/>
        </w:r>
        <w:r w:rsidR="006D52C2">
          <w:rPr>
            <w:noProof/>
            <w:webHidden/>
          </w:rPr>
          <w:t>134</w:t>
        </w:r>
        <w:r w:rsidR="00D259FC">
          <w:rPr>
            <w:noProof/>
            <w:webHidden/>
          </w:rPr>
          <w:fldChar w:fldCharType="end"/>
        </w:r>
      </w:hyperlink>
    </w:p>
    <w:p w14:paraId="6938040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7" w:history="1">
        <w:r w:rsidR="00D259FC" w:rsidRPr="00B67D02">
          <w:rPr>
            <w:rStyle w:val="Hyperlink"/>
            <w:noProof/>
          </w:rPr>
          <w:t>Table 12. Diffusion rate comparison between heat treated under 50 psi, 30 psi and as-received foams</w:t>
        </w:r>
        <w:r w:rsidR="00D259FC">
          <w:rPr>
            <w:noProof/>
            <w:webHidden/>
          </w:rPr>
          <w:tab/>
        </w:r>
        <w:r w:rsidR="00D259FC">
          <w:rPr>
            <w:noProof/>
            <w:webHidden/>
          </w:rPr>
          <w:fldChar w:fldCharType="begin"/>
        </w:r>
        <w:r w:rsidR="00D259FC">
          <w:rPr>
            <w:noProof/>
            <w:webHidden/>
          </w:rPr>
          <w:instrText xml:space="preserve"> PAGEREF _Toc530997327 \h </w:instrText>
        </w:r>
        <w:r w:rsidR="00D259FC">
          <w:rPr>
            <w:noProof/>
            <w:webHidden/>
          </w:rPr>
        </w:r>
        <w:r w:rsidR="00D259FC">
          <w:rPr>
            <w:noProof/>
            <w:webHidden/>
          </w:rPr>
          <w:fldChar w:fldCharType="separate"/>
        </w:r>
        <w:r w:rsidR="006D52C2">
          <w:rPr>
            <w:noProof/>
            <w:webHidden/>
          </w:rPr>
          <w:t>136</w:t>
        </w:r>
        <w:r w:rsidR="00D259FC">
          <w:rPr>
            <w:noProof/>
            <w:webHidden/>
          </w:rPr>
          <w:fldChar w:fldCharType="end"/>
        </w:r>
      </w:hyperlink>
    </w:p>
    <w:p w14:paraId="24FFC72E"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8" w:history="1">
        <w:r w:rsidR="00D259FC" w:rsidRPr="00B67D02">
          <w:rPr>
            <w:rStyle w:val="Hyperlink"/>
            <w:noProof/>
          </w:rPr>
          <w:t>Table 13. 1DHDM absorption parameters of EPON 862 at different relative humidity</w:t>
        </w:r>
        <w:r w:rsidR="00D259FC">
          <w:rPr>
            <w:noProof/>
            <w:webHidden/>
          </w:rPr>
          <w:tab/>
        </w:r>
        <w:r w:rsidR="00D259FC">
          <w:rPr>
            <w:noProof/>
            <w:webHidden/>
          </w:rPr>
          <w:fldChar w:fldCharType="begin"/>
        </w:r>
        <w:r w:rsidR="00D259FC">
          <w:rPr>
            <w:noProof/>
            <w:webHidden/>
          </w:rPr>
          <w:instrText xml:space="preserve"> PAGEREF _Toc530997328 \h </w:instrText>
        </w:r>
        <w:r w:rsidR="00D259FC">
          <w:rPr>
            <w:noProof/>
            <w:webHidden/>
          </w:rPr>
        </w:r>
        <w:r w:rsidR="00D259FC">
          <w:rPr>
            <w:noProof/>
            <w:webHidden/>
          </w:rPr>
          <w:fldChar w:fldCharType="separate"/>
        </w:r>
        <w:r w:rsidR="006D52C2">
          <w:rPr>
            <w:noProof/>
            <w:webHidden/>
          </w:rPr>
          <w:t>163</w:t>
        </w:r>
        <w:r w:rsidR="00D259FC">
          <w:rPr>
            <w:noProof/>
            <w:webHidden/>
          </w:rPr>
          <w:fldChar w:fldCharType="end"/>
        </w:r>
      </w:hyperlink>
    </w:p>
    <w:p w14:paraId="0388F77F"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29" w:history="1">
        <w:r w:rsidR="00D259FC" w:rsidRPr="00B67D02">
          <w:rPr>
            <w:rStyle w:val="Hyperlink"/>
            <w:noProof/>
          </w:rPr>
          <w:t>Table 14. Fiber contents and matrix type of the samples[154]</w:t>
        </w:r>
        <w:r w:rsidR="00D259FC">
          <w:rPr>
            <w:noProof/>
            <w:webHidden/>
          </w:rPr>
          <w:tab/>
        </w:r>
        <w:r w:rsidR="00D259FC">
          <w:rPr>
            <w:noProof/>
            <w:webHidden/>
          </w:rPr>
          <w:fldChar w:fldCharType="begin"/>
        </w:r>
        <w:r w:rsidR="00D259FC">
          <w:rPr>
            <w:noProof/>
            <w:webHidden/>
          </w:rPr>
          <w:instrText xml:space="preserve"> PAGEREF _Toc530997329 \h </w:instrText>
        </w:r>
        <w:r w:rsidR="00D259FC">
          <w:rPr>
            <w:noProof/>
            <w:webHidden/>
          </w:rPr>
        </w:r>
        <w:r w:rsidR="00D259FC">
          <w:rPr>
            <w:noProof/>
            <w:webHidden/>
          </w:rPr>
          <w:fldChar w:fldCharType="separate"/>
        </w:r>
        <w:r w:rsidR="006D52C2">
          <w:rPr>
            <w:noProof/>
            <w:webHidden/>
          </w:rPr>
          <w:t>176</w:t>
        </w:r>
        <w:r w:rsidR="00D259FC">
          <w:rPr>
            <w:noProof/>
            <w:webHidden/>
          </w:rPr>
          <w:fldChar w:fldCharType="end"/>
        </w:r>
      </w:hyperlink>
    </w:p>
    <w:p w14:paraId="388B7710" w14:textId="77777777" w:rsidR="00D259FC" w:rsidRDefault="007B3686" w:rsidP="00D259FC">
      <w:pPr>
        <w:pStyle w:val="TableofFigures"/>
        <w:tabs>
          <w:tab w:val="right" w:leader="dot" w:pos="8630"/>
        </w:tabs>
        <w:ind w:firstLine="0"/>
        <w:rPr>
          <w:rStyle w:val="Hyperlink"/>
          <w:noProof/>
        </w:rPr>
      </w:pPr>
      <w:hyperlink w:anchor="_Toc530997330" w:history="1">
        <w:r w:rsidR="00D259FC" w:rsidRPr="00B67D02">
          <w:rPr>
            <w:rStyle w:val="Hyperlink"/>
            <w:noProof/>
          </w:rPr>
          <w:t>Table 15. Absorption parameters of polymers used to validate the elastic modulus models</w:t>
        </w:r>
        <w:r w:rsidR="00D259FC">
          <w:rPr>
            <w:noProof/>
            <w:webHidden/>
          </w:rPr>
          <w:tab/>
        </w:r>
        <w:r w:rsidR="00D259FC">
          <w:rPr>
            <w:noProof/>
            <w:webHidden/>
          </w:rPr>
          <w:fldChar w:fldCharType="begin"/>
        </w:r>
        <w:r w:rsidR="00D259FC">
          <w:rPr>
            <w:noProof/>
            <w:webHidden/>
          </w:rPr>
          <w:instrText xml:space="preserve"> PAGEREF _Toc530997330 \h </w:instrText>
        </w:r>
        <w:r w:rsidR="00D259FC">
          <w:rPr>
            <w:noProof/>
            <w:webHidden/>
          </w:rPr>
        </w:r>
        <w:r w:rsidR="00D259FC">
          <w:rPr>
            <w:noProof/>
            <w:webHidden/>
          </w:rPr>
          <w:fldChar w:fldCharType="separate"/>
        </w:r>
        <w:r w:rsidR="006D52C2">
          <w:rPr>
            <w:noProof/>
            <w:webHidden/>
          </w:rPr>
          <w:t>204</w:t>
        </w:r>
        <w:r w:rsidR="00D259FC">
          <w:rPr>
            <w:noProof/>
            <w:webHidden/>
          </w:rPr>
          <w:fldChar w:fldCharType="end"/>
        </w:r>
      </w:hyperlink>
    </w:p>
    <w:p w14:paraId="3CD968D3" w14:textId="77777777" w:rsidR="00D259FC" w:rsidRDefault="00D259FC" w:rsidP="00D259FC">
      <w:pPr>
        <w:rPr>
          <w:noProof/>
        </w:rPr>
        <w:sectPr w:rsidR="00D259FC" w:rsidSect="003970CD">
          <w:pgSz w:w="12240" w:h="15840"/>
          <w:pgMar w:top="1440" w:right="1440" w:bottom="1440" w:left="2160" w:header="720" w:footer="720" w:gutter="0"/>
          <w:pgNumType w:fmt="lowerRoman" w:start="10"/>
          <w:cols w:space="720"/>
          <w:docGrid w:linePitch="360"/>
        </w:sectPr>
      </w:pPr>
    </w:p>
    <w:p w14:paraId="17140DAF" w14:textId="77777777" w:rsidR="00D259FC" w:rsidRDefault="00E26C06" w:rsidP="002D4F89">
      <w:pPr>
        <w:pStyle w:val="Tableofcon"/>
        <w:rPr>
          <w:noProof/>
        </w:rPr>
      </w:pPr>
      <w:r>
        <w:lastRenderedPageBreak/>
        <w:fldChar w:fldCharType="end"/>
      </w:r>
      <w:r w:rsidR="00C52882">
        <w:t>List of Figures</w:t>
      </w:r>
      <w:r w:rsidRPr="00CD597A">
        <w:fldChar w:fldCharType="begin"/>
      </w:r>
      <w:r>
        <w:instrText xml:space="preserve"> TOC \h \z \c "Figure" </w:instrText>
      </w:r>
      <w:r w:rsidRPr="00CD597A">
        <w:fldChar w:fldCharType="separate"/>
      </w:r>
    </w:p>
    <w:p w14:paraId="775DB14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57" w:history="1">
        <w:r w:rsidR="00D259FC" w:rsidRPr="00DA0262">
          <w:rPr>
            <w:rStyle w:val="Hyperlink"/>
            <w:noProof/>
          </w:rPr>
          <w:t>Figure 1. Typical Fickian moisture uptake curve.</w:t>
        </w:r>
        <w:r w:rsidR="00D259FC">
          <w:rPr>
            <w:noProof/>
            <w:webHidden/>
          </w:rPr>
          <w:tab/>
        </w:r>
        <w:r w:rsidR="00D259FC">
          <w:rPr>
            <w:noProof/>
            <w:webHidden/>
          </w:rPr>
          <w:fldChar w:fldCharType="begin"/>
        </w:r>
        <w:r w:rsidR="00D259FC">
          <w:rPr>
            <w:noProof/>
            <w:webHidden/>
          </w:rPr>
          <w:instrText xml:space="preserve"> PAGEREF _Toc530997357 \h </w:instrText>
        </w:r>
        <w:r w:rsidR="00D259FC">
          <w:rPr>
            <w:noProof/>
            <w:webHidden/>
          </w:rPr>
        </w:r>
        <w:r w:rsidR="00D259FC">
          <w:rPr>
            <w:noProof/>
            <w:webHidden/>
          </w:rPr>
          <w:fldChar w:fldCharType="separate"/>
        </w:r>
        <w:r w:rsidR="006D52C2">
          <w:rPr>
            <w:noProof/>
            <w:webHidden/>
          </w:rPr>
          <w:t>21</w:t>
        </w:r>
        <w:r w:rsidR="00D259FC">
          <w:rPr>
            <w:noProof/>
            <w:webHidden/>
          </w:rPr>
          <w:fldChar w:fldCharType="end"/>
        </w:r>
      </w:hyperlink>
    </w:p>
    <w:p w14:paraId="60673EFE"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58" w:history="1">
        <w:r w:rsidR="00D259FC" w:rsidRPr="00DA0262">
          <w:rPr>
            <w:rStyle w:val="Hyperlink"/>
            <w:noProof/>
          </w:rPr>
          <w:t>Figure 2. Typical Langmuir-type moisture uptake curve showing bound, unbound and total mass gain.</w:t>
        </w:r>
        <w:r w:rsidR="00D259FC">
          <w:rPr>
            <w:noProof/>
            <w:webHidden/>
          </w:rPr>
          <w:tab/>
        </w:r>
        <w:r w:rsidR="00D259FC">
          <w:rPr>
            <w:noProof/>
            <w:webHidden/>
          </w:rPr>
          <w:fldChar w:fldCharType="begin"/>
        </w:r>
        <w:r w:rsidR="00D259FC">
          <w:rPr>
            <w:noProof/>
            <w:webHidden/>
          </w:rPr>
          <w:instrText xml:space="preserve"> PAGEREF _Toc530997358 \h </w:instrText>
        </w:r>
        <w:r w:rsidR="00D259FC">
          <w:rPr>
            <w:noProof/>
            <w:webHidden/>
          </w:rPr>
        </w:r>
        <w:r w:rsidR="00D259FC">
          <w:rPr>
            <w:noProof/>
            <w:webHidden/>
          </w:rPr>
          <w:fldChar w:fldCharType="separate"/>
        </w:r>
        <w:r w:rsidR="006D52C2">
          <w:rPr>
            <w:noProof/>
            <w:webHidden/>
          </w:rPr>
          <w:t>25</w:t>
        </w:r>
        <w:r w:rsidR="00D259FC">
          <w:rPr>
            <w:noProof/>
            <w:webHidden/>
          </w:rPr>
          <w:fldChar w:fldCharType="end"/>
        </w:r>
      </w:hyperlink>
    </w:p>
    <w:p w14:paraId="73E891AD" w14:textId="405DCAF4" w:rsidR="00D259FC" w:rsidRDefault="007B3686" w:rsidP="00D259FC">
      <w:pPr>
        <w:pStyle w:val="TableofFigures"/>
        <w:tabs>
          <w:tab w:val="right" w:leader="dot" w:pos="8630"/>
        </w:tabs>
        <w:ind w:firstLine="0"/>
        <w:rPr>
          <w:rFonts w:asciiTheme="minorHAnsi" w:hAnsiTheme="minorHAnsi"/>
          <w:noProof/>
          <w:sz w:val="22"/>
        </w:rPr>
      </w:pPr>
      <w:hyperlink w:anchor="_Toc530997359" w:history="1">
        <w:r w:rsidR="00D259FC" w:rsidRPr="00DA0262">
          <w:rPr>
            <w:rStyle w:val="Hyperlink"/>
            <w:noProof/>
          </w:rPr>
          <w:t xml:space="preserve">Figure 3. The effect of change in </w:t>
        </w:r>
        <m:oMath>
          <m:r>
            <m:rPr>
              <m:sty m:val="bi"/>
            </m:rPr>
            <w:rPr>
              <w:rStyle w:val="Hyperlink"/>
              <w:rFonts w:ascii="Cambria Math" w:hAnsi="Cambria Math"/>
              <w:noProof/>
            </w:rPr>
            <m:t>β</m:t>
          </m:r>
        </m:oMath>
        <w:r w:rsidR="00D259FC" w:rsidRPr="00DA0262">
          <w:rPr>
            <w:rStyle w:val="Hyperlink"/>
            <w:noProof/>
          </w:rPr>
          <w:t>, rate of bound molecule to become unbound, on moisture absorption.</w:t>
        </w:r>
        <w:r w:rsidR="00D259FC">
          <w:rPr>
            <w:noProof/>
            <w:webHidden/>
          </w:rPr>
          <w:tab/>
        </w:r>
        <w:r w:rsidR="00D259FC">
          <w:rPr>
            <w:noProof/>
            <w:webHidden/>
          </w:rPr>
          <w:fldChar w:fldCharType="begin"/>
        </w:r>
        <w:r w:rsidR="00D259FC">
          <w:rPr>
            <w:noProof/>
            <w:webHidden/>
          </w:rPr>
          <w:instrText xml:space="preserve"> PAGEREF _Toc530997359 \h </w:instrText>
        </w:r>
        <w:r w:rsidR="00D259FC">
          <w:rPr>
            <w:noProof/>
            <w:webHidden/>
          </w:rPr>
        </w:r>
        <w:r w:rsidR="00D259FC">
          <w:rPr>
            <w:noProof/>
            <w:webHidden/>
          </w:rPr>
          <w:fldChar w:fldCharType="separate"/>
        </w:r>
        <w:r w:rsidR="006D52C2">
          <w:rPr>
            <w:noProof/>
            <w:webHidden/>
          </w:rPr>
          <w:t>27</w:t>
        </w:r>
        <w:r w:rsidR="00D259FC">
          <w:rPr>
            <w:noProof/>
            <w:webHidden/>
          </w:rPr>
          <w:fldChar w:fldCharType="end"/>
        </w:r>
      </w:hyperlink>
    </w:p>
    <w:p w14:paraId="3C29A045" w14:textId="4D9A731E" w:rsidR="00D259FC" w:rsidRDefault="007B3686" w:rsidP="00D259FC">
      <w:pPr>
        <w:pStyle w:val="TableofFigures"/>
        <w:tabs>
          <w:tab w:val="right" w:leader="dot" w:pos="8630"/>
        </w:tabs>
        <w:ind w:firstLine="0"/>
        <w:rPr>
          <w:rFonts w:asciiTheme="minorHAnsi" w:hAnsiTheme="minorHAnsi"/>
          <w:noProof/>
          <w:sz w:val="22"/>
        </w:rPr>
      </w:pPr>
      <w:hyperlink w:anchor="_Toc530997360" w:history="1">
        <w:r w:rsidR="00D259FC" w:rsidRPr="00DA0262">
          <w:rPr>
            <w:rStyle w:val="Hyperlink"/>
            <w:noProof/>
          </w:rPr>
          <w:t xml:space="preserve">Figure 4. The effect of change in </w:t>
        </w:r>
        <m:oMath>
          <m:r>
            <m:rPr>
              <m:sty m:val="bi"/>
            </m:rPr>
            <w:rPr>
              <w:rStyle w:val="Hyperlink"/>
              <w:rFonts w:ascii="Cambria Math" w:hAnsi="Cambria Math"/>
              <w:noProof/>
            </w:rPr>
            <m:t>β</m:t>
          </m:r>
        </m:oMath>
        <w:r w:rsidR="00D259FC" w:rsidRPr="00DA0262">
          <w:rPr>
            <w:rStyle w:val="Hyperlink"/>
            <w:noProof/>
          </w:rPr>
          <w:t>, rate of bound molecule to become unbound, on bound and unbound moisture absorption</w:t>
        </w:r>
        <w:r w:rsidR="00D259FC">
          <w:rPr>
            <w:noProof/>
            <w:webHidden/>
          </w:rPr>
          <w:tab/>
        </w:r>
        <w:r w:rsidR="00D259FC">
          <w:rPr>
            <w:noProof/>
            <w:webHidden/>
          </w:rPr>
          <w:fldChar w:fldCharType="begin"/>
        </w:r>
        <w:r w:rsidR="00D259FC">
          <w:rPr>
            <w:noProof/>
            <w:webHidden/>
          </w:rPr>
          <w:instrText xml:space="preserve"> PAGEREF _Toc530997360 \h </w:instrText>
        </w:r>
        <w:r w:rsidR="00D259FC">
          <w:rPr>
            <w:noProof/>
            <w:webHidden/>
          </w:rPr>
        </w:r>
        <w:r w:rsidR="00D259FC">
          <w:rPr>
            <w:noProof/>
            <w:webHidden/>
          </w:rPr>
          <w:fldChar w:fldCharType="separate"/>
        </w:r>
        <w:r w:rsidR="006D52C2">
          <w:rPr>
            <w:noProof/>
            <w:webHidden/>
          </w:rPr>
          <w:t>28</w:t>
        </w:r>
        <w:r w:rsidR="00D259FC">
          <w:rPr>
            <w:noProof/>
            <w:webHidden/>
          </w:rPr>
          <w:fldChar w:fldCharType="end"/>
        </w:r>
      </w:hyperlink>
    </w:p>
    <w:p w14:paraId="23F64BD0" w14:textId="393F1BB1" w:rsidR="00D259FC" w:rsidRDefault="007B3686" w:rsidP="00D259FC">
      <w:pPr>
        <w:pStyle w:val="TableofFigures"/>
        <w:tabs>
          <w:tab w:val="right" w:leader="dot" w:pos="8630"/>
        </w:tabs>
        <w:ind w:firstLine="0"/>
        <w:rPr>
          <w:rFonts w:asciiTheme="minorHAnsi" w:hAnsiTheme="minorHAnsi"/>
          <w:noProof/>
          <w:sz w:val="22"/>
        </w:rPr>
      </w:pPr>
      <w:hyperlink w:anchor="_Toc530997361" w:history="1">
        <w:r w:rsidR="00D259FC" w:rsidRPr="00DA0262">
          <w:rPr>
            <w:rStyle w:val="Hyperlink"/>
            <w:noProof/>
          </w:rPr>
          <w:t xml:space="preserve">Figure 5. The effect of change in </w:t>
        </w:r>
        <m:oMath>
          <m:r>
            <m:rPr>
              <m:sty m:val="bi"/>
            </m:rPr>
            <w:rPr>
              <w:rStyle w:val="Hyperlink"/>
              <w:rFonts w:ascii="Cambria Math" w:hAnsi="Cambria Math"/>
              <w:noProof/>
            </w:rPr>
            <m:t>γ</m:t>
          </m:r>
        </m:oMath>
        <w:r w:rsidR="00D259FC" w:rsidRPr="00DA0262">
          <w:rPr>
            <w:rStyle w:val="Hyperlink"/>
            <w:noProof/>
          </w:rPr>
          <w:t>, rate of unbound molecule to become bound, on moisture absorption</w:t>
        </w:r>
        <w:r w:rsidR="00D259FC">
          <w:rPr>
            <w:noProof/>
            <w:webHidden/>
          </w:rPr>
          <w:tab/>
        </w:r>
        <w:r w:rsidR="00D259FC">
          <w:rPr>
            <w:noProof/>
            <w:webHidden/>
          </w:rPr>
          <w:fldChar w:fldCharType="begin"/>
        </w:r>
        <w:r w:rsidR="00D259FC">
          <w:rPr>
            <w:noProof/>
            <w:webHidden/>
          </w:rPr>
          <w:instrText xml:space="preserve"> PAGEREF _Toc530997361 \h </w:instrText>
        </w:r>
        <w:r w:rsidR="00D259FC">
          <w:rPr>
            <w:noProof/>
            <w:webHidden/>
          </w:rPr>
        </w:r>
        <w:r w:rsidR="00D259FC">
          <w:rPr>
            <w:noProof/>
            <w:webHidden/>
          </w:rPr>
          <w:fldChar w:fldCharType="separate"/>
        </w:r>
        <w:r w:rsidR="006D52C2">
          <w:rPr>
            <w:noProof/>
            <w:webHidden/>
          </w:rPr>
          <w:t>29</w:t>
        </w:r>
        <w:r w:rsidR="00D259FC">
          <w:rPr>
            <w:noProof/>
            <w:webHidden/>
          </w:rPr>
          <w:fldChar w:fldCharType="end"/>
        </w:r>
      </w:hyperlink>
    </w:p>
    <w:p w14:paraId="3AC72EBF" w14:textId="45162E51" w:rsidR="00D259FC" w:rsidRDefault="007B3686" w:rsidP="00D259FC">
      <w:pPr>
        <w:pStyle w:val="TableofFigures"/>
        <w:tabs>
          <w:tab w:val="right" w:leader="dot" w:pos="8630"/>
        </w:tabs>
        <w:ind w:firstLine="0"/>
        <w:rPr>
          <w:rFonts w:asciiTheme="minorHAnsi" w:hAnsiTheme="minorHAnsi"/>
          <w:noProof/>
          <w:sz w:val="22"/>
        </w:rPr>
      </w:pPr>
      <w:hyperlink w:anchor="_Toc530997362" w:history="1">
        <w:r w:rsidR="00D259FC" w:rsidRPr="00DA0262">
          <w:rPr>
            <w:rStyle w:val="Hyperlink"/>
            <w:noProof/>
          </w:rPr>
          <w:t xml:space="preserve">Figure 6. The effect of change in </w:t>
        </w:r>
        <m:oMath>
          <m:r>
            <m:rPr>
              <m:sty m:val="bi"/>
            </m:rPr>
            <w:rPr>
              <w:rStyle w:val="Hyperlink"/>
              <w:rFonts w:ascii="Cambria Math" w:hAnsi="Cambria Math"/>
              <w:noProof/>
            </w:rPr>
            <m:t>γ</m:t>
          </m:r>
        </m:oMath>
        <w:r w:rsidR="00D259FC" w:rsidRPr="00DA0262">
          <w:rPr>
            <w:rStyle w:val="Hyperlink"/>
            <w:noProof/>
          </w:rPr>
          <w:t>, rate of unbound molecule to become bound, on bound and unbound moisture absorption</w:t>
        </w:r>
        <w:r w:rsidR="00D259FC">
          <w:rPr>
            <w:noProof/>
            <w:webHidden/>
          </w:rPr>
          <w:tab/>
        </w:r>
        <w:r w:rsidR="00D259FC">
          <w:rPr>
            <w:noProof/>
            <w:webHidden/>
          </w:rPr>
          <w:fldChar w:fldCharType="begin"/>
        </w:r>
        <w:r w:rsidR="00D259FC">
          <w:rPr>
            <w:noProof/>
            <w:webHidden/>
          </w:rPr>
          <w:instrText xml:space="preserve"> PAGEREF _Toc530997362 \h </w:instrText>
        </w:r>
        <w:r w:rsidR="00D259FC">
          <w:rPr>
            <w:noProof/>
            <w:webHidden/>
          </w:rPr>
        </w:r>
        <w:r w:rsidR="00D259FC">
          <w:rPr>
            <w:noProof/>
            <w:webHidden/>
          </w:rPr>
          <w:fldChar w:fldCharType="separate"/>
        </w:r>
        <w:r w:rsidR="006D52C2">
          <w:rPr>
            <w:noProof/>
            <w:webHidden/>
          </w:rPr>
          <w:t>30</w:t>
        </w:r>
        <w:r w:rsidR="00D259FC">
          <w:rPr>
            <w:noProof/>
            <w:webHidden/>
          </w:rPr>
          <w:fldChar w:fldCharType="end"/>
        </w:r>
      </w:hyperlink>
    </w:p>
    <w:p w14:paraId="06593A78"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63" w:history="1">
        <w:r w:rsidR="00D259FC" w:rsidRPr="00DA0262">
          <w:rPr>
            <w:rStyle w:val="Hyperlink"/>
            <w:noProof/>
          </w:rPr>
          <w:t>Figure 7. Effect of rate of conversion (bound</w:t>
        </w:r>
        <w:r w:rsidR="00D259FC" w:rsidRPr="00DA0262">
          <w:rPr>
            <w:rStyle w:val="Hyperlink"/>
            <w:noProof/>
          </w:rPr>
          <w:sym w:font="Wingdings" w:char="F0F3"/>
        </w:r>
        <w:r w:rsidR="00D259FC" w:rsidRPr="00DA0262">
          <w:rPr>
            <w:rStyle w:val="Hyperlink"/>
            <w:noProof/>
          </w:rPr>
          <w:t>unbound) on time to reach the equilibrium for the same hindrance coefficient (µ=0.143).</w:t>
        </w:r>
        <w:r w:rsidR="00D259FC">
          <w:rPr>
            <w:noProof/>
            <w:webHidden/>
          </w:rPr>
          <w:tab/>
        </w:r>
        <w:r w:rsidR="00D259FC">
          <w:rPr>
            <w:noProof/>
            <w:webHidden/>
          </w:rPr>
          <w:fldChar w:fldCharType="begin"/>
        </w:r>
        <w:r w:rsidR="00D259FC">
          <w:rPr>
            <w:noProof/>
            <w:webHidden/>
          </w:rPr>
          <w:instrText xml:space="preserve"> PAGEREF _Toc530997363 \h </w:instrText>
        </w:r>
        <w:r w:rsidR="00D259FC">
          <w:rPr>
            <w:noProof/>
            <w:webHidden/>
          </w:rPr>
        </w:r>
        <w:r w:rsidR="00D259FC">
          <w:rPr>
            <w:noProof/>
            <w:webHidden/>
          </w:rPr>
          <w:fldChar w:fldCharType="separate"/>
        </w:r>
        <w:r w:rsidR="006D52C2">
          <w:rPr>
            <w:noProof/>
            <w:webHidden/>
          </w:rPr>
          <w:t>31</w:t>
        </w:r>
        <w:r w:rsidR="00D259FC">
          <w:rPr>
            <w:noProof/>
            <w:webHidden/>
          </w:rPr>
          <w:fldChar w:fldCharType="end"/>
        </w:r>
      </w:hyperlink>
    </w:p>
    <w:p w14:paraId="2824C258"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64" w:history="1">
        <w:r w:rsidR="00D259FC" w:rsidRPr="00DA0262">
          <w:rPr>
            <w:rStyle w:val="Hyperlink"/>
            <w:noProof/>
          </w:rPr>
          <w:t>Figure 8. Experimental moisture absorption data of quartz/epoxy composite laminate of 6 months, Fickian and hindered diffusion model predictions</w:t>
        </w:r>
        <w:r w:rsidR="00D259FC">
          <w:rPr>
            <w:noProof/>
            <w:webHidden/>
          </w:rPr>
          <w:tab/>
        </w:r>
        <w:r w:rsidR="00D259FC">
          <w:rPr>
            <w:noProof/>
            <w:webHidden/>
          </w:rPr>
          <w:fldChar w:fldCharType="begin"/>
        </w:r>
        <w:r w:rsidR="00D259FC">
          <w:rPr>
            <w:noProof/>
            <w:webHidden/>
          </w:rPr>
          <w:instrText xml:space="preserve"> PAGEREF _Toc530997364 \h </w:instrText>
        </w:r>
        <w:r w:rsidR="00D259FC">
          <w:rPr>
            <w:noProof/>
            <w:webHidden/>
          </w:rPr>
        </w:r>
        <w:r w:rsidR="00D259FC">
          <w:rPr>
            <w:noProof/>
            <w:webHidden/>
          </w:rPr>
          <w:fldChar w:fldCharType="separate"/>
        </w:r>
        <w:r w:rsidR="006D52C2">
          <w:rPr>
            <w:noProof/>
            <w:webHidden/>
          </w:rPr>
          <w:t>34</w:t>
        </w:r>
        <w:r w:rsidR="00D259FC">
          <w:rPr>
            <w:noProof/>
            <w:webHidden/>
          </w:rPr>
          <w:fldChar w:fldCharType="end"/>
        </w:r>
      </w:hyperlink>
    </w:p>
    <w:p w14:paraId="25407F0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65" w:history="1">
        <w:r w:rsidR="00D259FC" w:rsidRPr="00DA0262">
          <w:rPr>
            <w:rStyle w:val="Hyperlink"/>
            <w:noProof/>
          </w:rPr>
          <w:t>Figure 9. Experimental moisture absorption data of quartz/epoxy composite laminate of 3 years, Fickian and hindered diffusion model predictions</w:t>
        </w:r>
        <w:r w:rsidR="00D259FC">
          <w:rPr>
            <w:noProof/>
            <w:webHidden/>
          </w:rPr>
          <w:tab/>
        </w:r>
        <w:r w:rsidR="00D259FC">
          <w:rPr>
            <w:noProof/>
            <w:webHidden/>
          </w:rPr>
          <w:fldChar w:fldCharType="begin"/>
        </w:r>
        <w:r w:rsidR="00D259FC">
          <w:rPr>
            <w:noProof/>
            <w:webHidden/>
          </w:rPr>
          <w:instrText xml:space="preserve"> PAGEREF _Toc530997365 \h </w:instrText>
        </w:r>
        <w:r w:rsidR="00D259FC">
          <w:rPr>
            <w:noProof/>
            <w:webHidden/>
          </w:rPr>
        </w:r>
        <w:r w:rsidR="00D259FC">
          <w:rPr>
            <w:noProof/>
            <w:webHidden/>
          </w:rPr>
          <w:fldChar w:fldCharType="separate"/>
        </w:r>
        <w:r w:rsidR="006D52C2">
          <w:rPr>
            <w:noProof/>
            <w:webHidden/>
          </w:rPr>
          <w:t>35</w:t>
        </w:r>
        <w:r w:rsidR="00D259FC">
          <w:rPr>
            <w:noProof/>
            <w:webHidden/>
          </w:rPr>
          <w:fldChar w:fldCharType="end"/>
        </w:r>
      </w:hyperlink>
    </w:p>
    <w:p w14:paraId="3655762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66" w:history="1">
        <w:r w:rsidR="00D259FC" w:rsidRPr="00DA0262">
          <w:rPr>
            <w:rStyle w:val="Hyperlink"/>
            <w:noProof/>
          </w:rPr>
          <w:t>Figure 10. Comparison between the first and second predictions of Fickian and hindered diffusion model</w:t>
        </w:r>
        <w:r w:rsidR="00D259FC">
          <w:rPr>
            <w:noProof/>
            <w:webHidden/>
          </w:rPr>
          <w:tab/>
        </w:r>
        <w:r w:rsidR="00D259FC">
          <w:rPr>
            <w:noProof/>
            <w:webHidden/>
          </w:rPr>
          <w:fldChar w:fldCharType="begin"/>
        </w:r>
        <w:r w:rsidR="00D259FC">
          <w:rPr>
            <w:noProof/>
            <w:webHidden/>
          </w:rPr>
          <w:instrText xml:space="preserve"> PAGEREF _Toc530997366 \h </w:instrText>
        </w:r>
        <w:r w:rsidR="00D259FC">
          <w:rPr>
            <w:noProof/>
            <w:webHidden/>
          </w:rPr>
        </w:r>
        <w:r w:rsidR="00D259FC">
          <w:rPr>
            <w:noProof/>
            <w:webHidden/>
          </w:rPr>
          <w:fldChar w:fldCharType="separate"/>
        </w:r>
        <w:r w:rsidR="006D52C2">
          <w:rPr>
            <w:noProof/>
            <w:webHidden/>
          </w:rPr>
          <w:t>36</w:t>
        </w:r>
        <w:r w:rsidR="00D259FC">
          <w:rPr>
            <w:noProof/>
            <w:webHidden/>
          </w:rPr>
          <w:fldChar w:fldCharType="end"/>
        </w:r>
      </w:hyperlink>
    </w:p>
    <w:p w14:paraId="07A26467"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67" w:history="1">
        <w:r w:rsidR="00D259FC" w:rsidRPr="00DA0262">
          <w:rPr>
            <w:rStyle w:val="Hyperlink"/>
            <w:noProof/>
          </w:rPr>
          <w:t>Figure 11. The representative figure for finite slab and the three-dimensional Fickian model geometry.</w:t>
        </w:r>
        <w:r w:rsidR="00D259FC">
          <w:rPr>
            <w:noProof/>
            <w:webHidden/>
          </w:rPr>
          <w:tab/>
        </w:r>
        <w:r w:rsidR="00D259FC">
          <w:rPr>
            <w:noProof/>
            <w:webHidden/>
          </w:rPr>
          <w:fldChar w:fldCharType="begin"/>
        </w:r>
        <w:r w:rsidR="00D259FC">
          <w:rPr>
            <w:noProof/>
            <w:webHidden/>
          </w:rPr>
          <w:instrText xml:space="preserve"> PAGEREF _Toc530997367 \h </w:instrText>
        </w:r>
        <w:r w:rsidR="00D259FC">
          <w:rPr>
            <w:noProof/>
            <w:webHidden/>
          </w:rPr>
        </w:r>
        <w:r w:rsidR="00D259FC">
          <w:rPr>
            <w:noProof/>
            <w:webHidden/>
          </w:rPr>
          <w:fldChar w:fldCharType="separate"/>
        </w:r>
        <w:r w:rsidR="006D52C2">
          <w:rPr>
            <w:noProof/>
            <w:webHidden/>
          </w:rPr>
          <w:t>38</w:t>
        </w:r>
        <w:r w:rsidR="00D259FC">
          <w:rPr>
            <w:noProof/>
            <w:webHidden/>
          </w:rPr>
          <w:fldChar w:fldCharType="end"/>
        </w:r>
      </w:hyperlink>
    </w:p>
    <w:p w14:paraId="7BF279AA" w14:textId="08BC7AEF" w:rsidR="00D259FC" w:rsidRDefault="007B3686" w:rsidP="00D259FC">
      <w:pPr>
        <w:pStyle w:val="TableofFigures"/>
        <w:tabs>
          <w:tab w:val="right" w:leader="dot" w:pos="8630"/>
        </w:tabs>
        <w:ind w:firstLine="0"/>
        <w:rPr>
          <w:rFonts w:asciiTheme="minorHAnsi" w:hAnsiTheme="minorHAnsi"/>
          <w:noProof/>
          <w:sz w:val="22"/>
        </w:rPr>
      </w:pPr>
      <w:hyperlink w:anchor="_Toc530997368" w:history="1">
        <w:r w:rsidR="00D259FC" w:rsidRPr="00DA0262">
          <w:rPr>
            <w:rStyle w:val="Hyperlink"/>
            <w:noProof/>
          </w:rPr>
          <w:t>Figure 12</w:t>
        </w:r>
        <w:r w:rsidR="00D259FC" w:rsidRPr="00DA0262">
          <w:rPr>
            <w:rStyle w:val="Hyperlink"/>
            <w:rFonts w:eastAsia="Times New Roman"/>
            <w:noProof/>
          </w:rPr>
          <w:t>. Concentration profile of anisotropic, isotropic, and one-dimensional quartz/BMI laminate at t=96, 384, and 864 days</w:t>
        </w:r>
        <w:r w:rsidR="00D259FC">
          <w:rPr>
            <w:noProof/>
            <w:webHidden/>
          </w:rPr>
          <w:tab/>
        </w:r>
        <w:r w:rsidR="00D259FC">
          <w:rPr>
            <w:noProof/>
            <w:webHidden/>
          </w:rPr>
          <w:fldChar w:fldCharType="begin"/>
        </w:r>
        <w:r w:rsidR="00D259FC">
          <w:rPr>
            <w:noProof/>
            <w:webHidden/>
          </w:rPr>
          <w:instrText xml:space="preserve"> PAGEREF _Toc530997368 \h </w:instrText>
        </w:r>
        <w:r w:rsidR="00D259FC">
          <w:rPr>
            <w:noProof/>
            <w:webHidden/>
          </w:rPr>
        </w:r>
        <w:r w:rsidR="00D259FC">
          <w:rPr>
            <w:noProof/>
            <w:webHidden/>
          </w:rPr>
          <w:fldChar w:fldCharType="separate"/>
        </w:r>
        <w:r w:rsidR="006D52C2">
          <w:rPr>
            <w:noProof/>
            <w:webHidden/>
          </w:rPr>
          <w:t>46</w:t>
        </w:r>
        <w:r w:rsidR="00D259FC">
          <w:rPr>
            <w:noProof/>
            <w:webHidden/>
          </w:rPr>
          <w:fldChar w:fldCharType="end"/>
        </w:r>
      </w:hyperlink>
    </w:p>
    <w:p w14:paraId="20325C15"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69" w:history="1">
        <w:r w:rsidR="00D259FC" w:rsidRPr="00DA0262">
          <w:rPr>
            <w:rStyle w:val="Hyperlink"/>
            <w:noProof/>
          </w:rPr>
          <w:t>Figure 13. Two stages of dual diffusivity model on non-Fickian mass gain</w:t>
        </w:r>
        <w:r w:rsidR="00D259FC">
          <w:rPr>
            <w:noProof/>
            <w:webHidden/>
          </w:rPr>
          <w:tab/>
        </w:r>
        <w:r w:rsidR="00D259FC">
          <w:rPr>
            <w:noProof/>
            <w:webHidden/>
          </w:rPr>
          <w:fldChar w:fldCharType="begin"/>
        </w:r>
        <w:r w:rsidR="00D259FC">
          <w:rPr>
            <w:noProof/>
            <w:webHidden/>
          </w:rPr>
          <w:instrText xml:space="preserve"> PAGEREF _Toc530997369 \h </w:instrText>
        </w:r>
        <w:r w:rsidR="00D259FC">
          <w:rPr>
            <w:noProof/>
            <w:webHidden/>
          </w:rPr>
        </w:r>
        <w:r w:rsidR="00D259FC">
          <w:rPr>
            <w:noProof/>
            <w:webHidden/>
          </w:rPr>
          <w:fldChar w:fldCharType="separate"/>
        </w:r>
        <w:r w:rsidR="006D52C2">
          <w:rPr>
            <w:noProof/>
            <w:webHidden/>
          </w:rPr>
          <w:t>49</w:t>
        </w:r>
        <w:r w:rsidR="00D259FC">
          <w:rPr>
            <w:noProof/>
            <w:webHidden/>
          </w:rPr>
          <w:fldChar w:fldCharType="end"/>
        </w:r>
      </w:hyperlink>
    </w:p>
    <w:p w14:paraId="470345B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0" w:history="1">
        <w:r w:rsidR="00D259FC" w:rsidRPr="00DA0262">
          <w:rPr>
            <w:rStyle w:val="Hyperlink"/>
            <w:noProof/>
          </w:rPr>
          <w:t>Figure 14. Absorption parameter recovery from thermo-gravimetric synthetic data.</w:t>
        </w:r>
        <w:r w:rsidR="00D259FC">
          <w:rPr>
            <w:noProof/>
            <w:webHidden/>
          </w:rPr>
          <w:tab/>
        </w:r>
        <w:r w:rsidR="00D259FC">
          <w:rPr>
            <w:noProof/>
            <w:webHidden/>
          </w:rPr>
          <w:fldChar w:fldCharType="begin"/>
        </w:r>
        <w:r w:rsidR="00D259FC">
          <w:rPr>
            <w:noProof/>
            <w:webHidden/>
          </w:rPr>
          <w:instrText xml:space="preserve"> PAGEREF _Toc530997370 \h </w:instrText>
        </w:r>
        <w:r w:rsidR="00D259FC">
          <w:rPr>
            <w:noProof/>
            <w:webHidden/>
          </w:rPr>
        </w:r>
        <w:r w:rsidR="00D259FC">
          <w:rPr>
            <w:noProof/>
            <w:webHidden/>
          </w:rPr>
          <w:fldChar w:fldCharType="separate"/>
        </w:r>
        <w:r w:rsidR="006D52C2">
          <w:rPr>
            <w:noProof/>
            <w:webHidden/>
          </w:rPr>
          <w:t>55</w:t>
        </w:r>
        <w:r w:rsidR="00D259FC">
          <w:rPr>
            <w:noProof/>
            <w:webHidden/>
          </w:rPr>
          <w:fldChar w:fldCharType="end"/>
        </w:r>
      </w:hyperlink>
    </w:p>
    <w:p w14:paraId="6395ED72"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1" w:history="1">
        <w:r w:rsidR="00D259FC" w:rsidRPr="00DA0262">
          <w:rPr>
            <w:rStyle w:val="Hyperlink"/>
            <w:noProof/>
          </w:rPr>
          <w:t>Figure 15. Variation in the least square error per data point during absorption parameter recovery</w:t>
        </w:r>
        <w:r w:rsidR="00D259FC">
          <w:rPr>
            <w:noProof/>
            <w:webHidden/>
          </w:rPr>
          <w:tab/>
        </w:r>
        <w:r w:rsidR="00D259FC">
          <w:rPr>
            <w:noProof/>
            <w:webHidden/>
          </w:rPr>
          <w:fldChar w:fldCharType="begin"/>
        </w:r>
        <w:r w:rsidR="00D259FC">
          <w:rPr>
            <w:noProof/>
            <w:webHidden/>
          </w:rPr>
          <w:instrText xml:space="preserve"> PAGEREF _Toc530997371 \h </w:instrText>
        </w:r>
        <w:r w:rsidR="00D259FC">
          <w:rPr>
            <w:noProof/>
            <w:webHidden/>
          </w:rPr>
        </w:r>
        <w:r w:rsidR="00D259FC">
          <w:rPr>
            <w:noProof/>
            <w:webHidden/>
          </w:rPr>
          <w:fldChar w:fldCharType="separate"/>
        </w:r>
        <w:r w:rsidR="006D52C2">
          <w:rPr>
            <w:noProof/>
            <w:webHidden/>
          </w:rPr>
          <w:t>56</w:t>
        </w:r>
        <w:r w:rsidR="00D259FC">
          <w:rPr>
            <w:noProof/>
            <w:webHidden/>
          </w:rPr>
          <w:fldChar w:fldCharType="end"/>
        </w:r>
      </w:hyperlink>
    </w:p>
    <w:p w14:paraId="09C30D3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2" w:history="1">
        <w:r w:rsidR="00D259FC" w:rsidRPr="00DA0262">
          <w:rPr>
            <w:rStyle w:val="Hyperlink"/>
            <w:noProof/>
          </w:rPr>
          <w:t xml:space="preserve">Figure 16. The representation of the model geometry (a) for a single coating layer of thickness </w:t>
        </w:r>
        <m:oMath>
          <m:r>
            <m:rPr>
              <m:sty m:val="bi"/>
            </m:rPr>
            <w:rPr>
              <w:rStyle w:val="Hyperlink"/>
              <w:rFonts w:ascii="Cambria Math" w:hAnsi="Cambria Math"/>
              <w:noProof/>
            </w:rPr>
            <m:t>a</m:t>
          </m:r>
        </m:oMath>
        <w:r w:rsidR="00D259FC" w:rsidRPr="00DA0262">
          <w:rPr>
            <w:rStyle w:val="Hyperlink"/>
            <w:noProof/>
          </w:rPr>
          <w:t xml:space="preserve">. The total sample thickness is </w:t>
        </w:r>
        <m:oMath>
          <m:r>
            <m:rPr>
              <m:sty m:val="bi"/>
            </m:rPr>
            <w:rPr>
              <w:rStyle w:val="Hyperlink"/>
              <w:rFonts w:ascii="Cambria Math" w:hAnsi="Cambria Math"/>
              <w:noProof/>
            </w:rPr>
            <m:t>b</m:t>
          </m:r>
        </m:oMath>
        <w:r w:rsidR="00D259FC" w:rsidRPr="00DA0262">
          <w:rPr>
            <w:rStyle w:val="Hyperlink"/>
            <w:noProof/>
          </w:rPr>
          <w:t xml:space="preserve">. (b) for a symmetric coating layer of thickness a. The total sample thickness is </w:t>
        </w:r>
        <m:oMath>
          <m:r>
            <m:rPr>
              <m:sty m:val="bi"/>
            </m:rPr>
            <w:rPr>
              <w:rStyle w:val="Hyperlink"/>
              <w:rFonts w:ascii="Cambria Math" w:hAnsi="Cambria Math"/>
              <w:noProof/>
            </w:rPr>
            <m:t>2</m:t>
          </m:r>
          <m:r>
            <m:rPr>
              <m:sty m:val="bi"/>
            </m:rPr>
            <w:rPr>
              <w:rStyle w:val="Hyperlink"/>
              <w:rFonts w:ascii="Cambria Math" w:hAnsi="Cambria Math"/>
              <w:noProof/>
            </w:rPr>
            <m:t>b</m:t>
          </m:r>
        </m:oMath>
        <w:r w:rsidR="00D259FC" w:rsidRPr="00DA0262">
          <w:rPr>
            <w:rStyle w:val="Hyperlink"/>
            <w:noProof/>
          </w:rPr>
          <w:t>.</w:t>
        </w:r>
        <w:r w:rsidR="00D259FC">
          <w:rPr>
            <w:noProof/>
            <w:webHidden/>
          </w:rPr>
          <w:tab/>
        </w:r>
        <w:r w:rsidR="00D259FC">
          <w:rPr>
            <w:noProof/>
            <w:webHidden/>
          </w:rPr>
          <w:fldChar w:fldCharType="begin"/>
        </w:r>
        <w:r w:rsidR="00D259FC">
          <w:rPr>
            <w:noProof/>
            <w:webHidden/>
          </w:rPr>
          <w:instrText xml:space="preserve"> PAGEREF _Toc530997372 \h </w:instrText>
        </w:r>
        <w:r w:rsidR="00D259FC">
          <w:rPr>
            <w:noProof/>
            <w:webHidden/>
          </w:rPr>
        </w:r>
        <w:r w:rsidR="00D259FC">
          <w:rPr>
            <w:noProof/>
            <w:webHidden/>
          </w:rPr>
          <w:fldChar w:fldCharType="separate"/>
        </w:r>
        <w:r w:rsidR="006D52C2">
          <w:rPr>
            <w:noProof/>
            <w:webHidden/>
          </w:rPr>
          <w:t>58</w:t>
        </w:r>
        <w:r w:rsidR="00D259FC">
          <w:rPr>
            <w:noProof/>
            <w:webHidden/>
          </w:rPr>
          <w:fldChar w:fldCharType="end"/>
        </w:r>
      </w:hyperlink>
    </w:p>
    <w:p w14:paraId="1ADE2EC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3" w:history="1">
        <w:r w:rsidR="00D259FC" w:rsidRPr="00DA0262">
          <w:rPr>
            <w:rStyle w:val="Hyperlink"/>
            <w:noProof/>
          </w:rPr>
          <w:t>Figure 17. Representative volume element of porous media</w:t>
        </w:r>
        <w:r w:rsidR="00D259FC">
          <w:rPr>
            <w:noProof/>
            <w:webHidden/>
          </w:rPr>
          <w:tab/>
        </w:r>
        <w:r w:rsidR="00D259FC">
          <w:rPr>
            <w:noProof/>
            <w:webHidden/>
          </w:rPr>
          <w:fldChar w:fldCharType="begin"/>
        </w:r>
        <w:r w:rsidR="00D259FC">
          <w:rPr>
            <w:noProof/>
            <w:webHidden/>
          </w:rPr>
          <w:instrText xml:space="preserve"> PAGEREF _Toc530997373 \h </w:instrText>
        </w:r>
        <w:r w:rsidR="00D259FC">
          <w:rPr>
            <w:noProof/>
            <w:webHidden/>
          </w:rPr>
        </w:r>
        <w:r w:rsidR="00D259FC">
          <w:rPr>
            <w:noProof/>
            <w:webHidden/>
          </w:rPr>
          <w:fldChar w:fldCharType="separate"/>
        </w:r>
        <w:r w:rsidR="006D52C2">
          <w:rPr>
            <w:noProof/>
            <w:webHidden/>
          </w:rPr>
          <w:t>66</w:t>
        </w:r>
        <w:r w:rsidR="00D259FC">
          <w:rPr>
            <w:noProof/>
            <w:webHidden/>
          </w:rPr>
          <w:fldChar w:fldCharType="end"/>
        </w:r>
      </w:hyperlink>
    </w:p>
    <w:p w14:paraId="58B451B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4" w:history="1">
        <w:r w:rsidR="00D259FC" w:rsidRPr="00DA0262">
          <w:rPr>
            <w:rStyle w:val="Hyperlink"/>
            <w:noProof/>
          </w:rPr>
          <w:t>Figure 18. Linear change of diffusion coefficients with nanoclay volume fraction</w:t>
        </w:r>
        <w:r w:rsidR="00D259FC">
          <w:rPr>
            <w:noProof/>
            <w:webHidden/>
          </w:rPr>
          <w:tab/>
        </w:r>
        <w:r w:rsidR="00D259FC">
          <w:rPr>
            <w:noProof/>
            <w:webHidden/>
          </w:rPr>
          <w:fldChar w:fldCharType="begin"/>
        </w:r>
        <w:r w:rsidR="00D259FC">
          <w:rPr>
            <w:noProof/>
            <w:webHidden/>
          </w:rPr>
          <w:instrText xml:space="preserve"> PAGEREF _Toc530997374 \h </w:instrText>
        </w:r>
        <w:r w:rsidR="00D259FC">
          <w:rPr>
            <w:noProof/>
            <w:webHidden/>
          </w:rPr>
        </w:r>
        <w:r w:rsidR="00D259FC">
          <w:rPr>
            <w:noProof/>
            <w:webHidden/>
          </w:rPr>
          <w:fldChar w:fldCharType="separate"/>
        </w:r>
        <w:r w:rsidR="006D52C2">
          <w:rPr>
            <w:noProof/>
            <w:webHidden/>
          </w:rPr>
          <w:t>73</w:t>
        </w:r>
        <w:r w:rsidR="00D259FC">
          <w:rPr>
            <w:noProof/>
            <w:webHidden/>
          </w:rPr>
          <w:fldChar w:fldCharType="end"/>
        </w:r>
      </w:hyperlink>
    </w:p>
    <w:p w14:paraId="18AEDA4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5" w:history="1">
        <w:r w:rsidR="00D259FC" w:rsidRPr="00DA0262">
          <w:rPr>
            <w:rStyle w:val="Hyperlink"/>
            <w:noProof/>
          </w:rPr>
          <w:t>Figure 19. Clay loading effect on moisture absorption of I.30E nanoclay/DGEBA epoxy composite.</w:t>
        </w:r>
        <w:r w:rsidR="00D259FC">
          <w:rPr>
            <w:noProof/>
            <w:webHidden/>
          </w:rPr>
          <w:tab/>
        </w:r>
        <w:r w:rsidR="00D259FC">
          <w:rPr>
            <w:noProof/>
            <w:webHidden/>
          </w:rPr>
          <w:fldChar w:fldCharType="begin"/>
        </w:r>
        <w:r w:rsidR="00D259FC">
          <w:rPr>
            <w:noProof/>
            <w:webHidden/>
          </w:rPr>
          <w:instrText xml:space="preserve"> PAGEREF _Toc530997375 \h </w:instrText>
        </w:r>
        <w:r w:rsidR="00D259FC">
          <w:rPr>
            <w:noProof/>
            <w:webHidden/>
          </w:rPr>
        </w:r>
        <w:r w:rsidR="00D259FC">
          <w:rPr>
            <w:noProof/>
            <w:webHidden/>
          </w:rPr>
          <w:fldChar w:fldCharType="separate"/>
        </w:r>
        <w:r w:rsidR="006D52C2">
          <w:rPr>
            <w:noProof/>
            <w:webHidden/>
          </w:rPr>
          <w:t>74</w:t>
        </w:r>
        <w:r w:rsidR="00D259FC">
          <w:rPr>
            <w:noProof/>
            <w:webHidden/>
          </w:rPr>
          <w:fldChar w:fldCharType="end"/>
        </w:r>
      </w:hyperlink>
    </w:p>
    <w:p w14:paraId="06F7B91F"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6" w:history="1">
        <w:r w:rsidR="00D259FC" w:rsidRPr="00DA0262">
          <w:rPr>
            <w:rStyle w:val="Hyperlink"/>
            <w:noProof/>
          </w:rPr>
          <w:t>Figure 20. Effect of nanoclay loading in DGEBA epoxy on hindrance coefficient.</w:t>
        </w:r>
        <w:r w:rsidR="00D259FC">
          <w:rPr>
            <w:noProof/>
            <w:webHidden/>
          </w:rPr>
          <w:tab/>
        </w:r>
        <w:r w:rsidR="00D259FC">
          <w:rPr>
            <w:noProof/>
            <w:webHidden/>
          </w:rPr>
          <w:fldChar w:fldCharType="begin"/>
        </w:r>
        <w:r w:rsidR="00D259FC">
          <w:rPr>
            <w:noProof/>
            <w:webHidden/>
          </w:rPr>
          <w:instrText xml:space="preserve"> PAGEREF _Toc530997376 \h </w:instrText>
        </w:r>
        <w:r w:rsidR="00D259FC">
          <w:rPr>
            <w:noProof/>
            <w:webHidden/>
          </w:rPr>
        </w:r>
        <w:r w:rsidR="00D259FC">
          <w:rPr>
            <w:noProof/>
            <w:webHidden/>
          </w:rPr>
          <w:fldChar w:fldCharType="separate"/>
        </w:r>
        <w:r w:rsidR="006D52C2">
          <w:rPr>
            <w:noProof/>
            <w:webHidden/>
          </w:rPr>
          <w:t>75</w:t>
        </w:r>
        <w:r w:rsidR="00D259FC">
          <w:rPr>
            <w:noProof/>
            <w:webHidden/>
          </w:rPr>
          <w:fldChar w:fldCharType="end"/>
        </w:r>
      </w:hyperlink>
    </w:p>
    <w:p w14:paraId="6885950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7" w:history="1">
        <w:r w:rsidR="00D259FC" w:rsidRPr="00DA0262">
          <w:rPr>
            <w:rStyle w:val="Hyperlink"/>
            <w:noProof/>
          </w:rPr>
          <w:t>Figure 21. Effect of nanoclay loading in DGEBA epoxy on maximum moisture content.</w:t>
        </w:r>
        <w:r w:rsidR="00D259FC">
          <w:rPr>
            <w:noProof/>
            <w:webHidden/>
          </w:rPr>
          <w:tab/>
        </w:r>
        <w:r w:rsidR="00D259FC">
          <w:rPr>
            <w:noProof/>
            <w:webHidden/>
          </w:rPr>
          <w:fldChar w:fldCharType="begin"/>
        </w:r>
        <w:r w:rsidR="00D259FC">
          <w:rPr>
            <w:noProof/>
            <w:webHidden/>
          </w:rPr>
          <w:instrText xml:space="preserve"> PAGEREF _Toc530997377 \h </w:instrText>
        </w:r>
        <w:r w:rsidR="00D259FC">
          <w:rPr>
            <w:noProof/>
            <w:webHidden/>
          </w:rPr>
        </w:r>
        <w:r w:rsidR="00D259FC">
          <w:rPr>
            <w:noProof/>
            <w:webHidden/>
          </w:rPr>
          <w:fldChar w:fldCharType="separate"/>
        </w:r>
        <w:r w:rsidR="006D52C2">
          <w:rPr>
            <w:noProof/>
            <w:webHidden/>
          </w:rPr>
          <w:t>76</w:t>
        </w:r>
        <w:r w:rsidR="00D259FC">
          <w:rPr>
            <w:noProof/>
            <w:webHidden/>
          </w:rPr>
          <w:fldChar w:fldCharType="end"/>
        </w:r>
      </w:hyperlink>
    </w:p>
    <w:p w14:paraId="67B230C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8" w:history="1">
        <w:r w:rsidR="00D259FC" w:rsidRPr="00DA0262">
          <w:rPr>
            <w:rStyle w:val="Hyperlink"/>
            <w:noProof/>
          </w:rPr>
          <w:t>Figure 22. Total, unbound, and bound moisture absorption of 2 wt.% I.30E/DGEBA composite</w:t>
        </w:r>
        <w:r w:rsidR="00D259FC">
          <w:rPr>
            <w:noProof/>
            <w:webHidden/>
          </w:rPr>
          <w:tab/>
        </w:r>
        <w:r w:rsidR="00D259FC">
          <w:rPr>
            <w:noProof/>
            <w:webHidden/>
          </w:rPr>
          <w:fldChar w:fldCharType="begin"/>
        </w:r>
        <w:r w:rsidR="00D259FC">
          <w:rPr>
            <w:noProof/>
            <w:webHidden/>
          </w:rPr>
          <w:instrText xml:space="preserve"> PAGEREF _Toc530997378 \h </w:instrText>
        </w:r>
        <w:r w:rsidR="00D259FC">
          <w:rPr>
            <w:noProof/>
            <w:webHidden/>
          </w:rPr>
        </w:r>
        <w:r w:rsidR="00D259FC">
          <w:rPr>
            <w:noProof/>
            <w:webHidden/>
          </w:rPr>
          <w:fldChar w:fldCharType="separate"/>
        </w:r>
        <w:r w:rsidR="006D52C2">
          <w:rPr>
            <w:noProof/>
            <w:webHidden/>
          </w:rPr>
          <w:t>78</w:t>
        </w:r>
        <w:r w:rsidR="00D259FC">
          <w:rPr>
            <w:noProof/>
            <w:webHidden/>
          </w:rPr>
          <w:fldChar w:fldCharType="end"/>
        </w:r>
      </w:hyperlink>
    </w:p>
    <w:p w14:paraId="3A067EAA"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79" w:history="1">
        <w:r w:rsidR="00D259FC" w:rsidRPr="00DA0262">
          <w:rPr>
            <w:rStyle w:val="Hyperlink"/>
            <w:noProof/>
          </w:rPr>
          <w:t>Figure 23. Effect of nanoclay loading in DGEBA epoxy on maximum unbound moisture content.</w:t>
        </w:r>
        <w:r w:rsidR="00D259FC">
          <w:rPr>
            <w:noProof/>
            <w:webHidden/>
          </w:rPr>
          <w:tab/>
        </w:r>
        <w:r w:rsidR="00D259FC">
          <w:rPr>
            <w:noProof/>
            <w:webHidden/>
          </w:rPr>
          <w:fldChar w:fldCharType="begin"/>
        </w:r>
        <w:r w:rsidR="00D259FC">
          <w:rPr>
            <w:noProof/>
            <w:webHidden/>
          </w:rPr>
          <w:instrText xml:space="preserve"> PAGEREF _Toc530997379 \h </w:instrText>
        </w:r>
        <w:r w:rsidR="00D259FC">
          <w:rPr>
            <w:noProof/>
            <w:webHidden/>
          </w:rPr>
        </w:r>
        <w:r w:rsidR="00D259FC">
          <w:rPr>
            <w:noProof/>
            <w:webHidden/>
          </w:rPr>
          <w:fldChar w:fldCharType="separate"/>
        </w:r>
        <w:r w:rsidR="006D52C2">
          <w:rPr>
            <w:noProof/>
            <w:webHidden/>
          </w:rPr>
          <w:t>78</w:t>
        </w:r>
        <w:r w:rsidR="00D259FC">
          <w:rPr>
            <w:noProof/>
            <w:webHidden/>
          </w:rPr>
          <w:fldChar w:fldCharType="end"/>
        </w:r>
      </w:hyperlink>
    </w:p>
    <w:p w14:paraId="26360BF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0" w:history="1">
        <w:r w:rsidR="00D259FC" w:rsidRPr="00DA0262">
          <w:rPr>
            <w:rStyle w:val="Hyperlink"/>
            <w:noProof/>
          </w:rPr>
          <w:t>Figure 24. Effect of nanoclay loading in DGEBA epoxy on maximum bound moisture content.</w:t>
        </w:r>
        <w:r w:rsidR="00D259FC">
          <w:rPr>
            <w:noProof/>
            <w:webHidden/>
          </w:rPr>
          <w:tab/>
        </w:r>
        <w:r w:rsidR="00D259FC">
          <w:rPr>
            <w:noProof/>
            <w:webHidden/>
          </w:rPr>
          <w:fldChar w:fldCharType="begin"/>
        </w:r>
        <w:r w:rsidR="00D259FC">
          <w:rPr>
            <w:noProof/>
            <w:webHidden/>
          </w:rPr>
          <w:instrText xml:space="preserve"> PAGEREF _Toc530997380 \h </w:instrText>
        </w:r>
        <w:r w:rsidR="00D259FC">
          <w:rPr>
            <w:noProof/>
            <w:webHidden/>
          </w:rPr>
        </w:r>
        <w:r w:rsidR="00D259FC">
          <w:rPr>
            <w:noProof/>
            <w:webHidden/>
          </w:rPr>
          <w:fldChar w:fldCharType="separate"/>
        </w:r>
        <w:r w:rsidR="006D52C2">
          <w:rPr>
            <w:noProof/>
            <w:webHidden/>
          </w:rPr>
          <w:t>79</w:t>
        </w:r>
        <w:r w:rsidR="00D259FC">
          <w:rPr>
            <w:noProof/>
            <w:webHidden/>
          </w:rPr>
          <w:fldChar w:fldCharType="end"/>
        </w:r>
      </w:hyperlink>
    </w:p>
    <w:p w14:paraId="0275ABCC"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1" w:history="1">
        <w:r w:rsidR="00D259FC" w:rsidRPr="00DA0262">
          <w:rPr>
            <w:rStyle w:val="Hyperlink"/>
            <w:noProof/>
          </w:rPr>
          <w:t>Figure 25. Linear change of diffusion coefficients of I.30E/EPON862 composite with nanoclay volume fraction</w:t>
        </w:r>
        <w:r w:rsidR="00D259FC">
          <w:rPr>
            <w:noProof/>
            <w:webHidden/>
          </w:rPr>
          <w:tab/>
        </w:r>
        <w:r w:rsidR="00D259FC">
          <w:rPr>
            <w:noProof/>
            <w:webHidden/>
          </w:rPr>
          <w:fldChar w:fldCharType="begin"/>
        </w:r>
        <w:r w:rsidR="00D259FC">
          <w:rPr>
            <w:noProof/>
            <w:webHidden/>
          </w:rPr>
          <w:instrText xml:space="preserve"> PAGEREF _Toc530997381 \h </w:instrText>
        </w:r>
        <w:r w:rsidR="00D259FC">
          <w:rPr>
            <w:noProof/>
            <w:webHidden/>
          </w:rPr>
        </w:r>
        <w:r w:rsidR="00D259FC">
          <w:rPr>
            <w:noProof/>
            <w:webHidden/>
          </w:rPr>
          <w:fldChar w:fldCharType="separate"/>
        </w:r>
        <w:r w:rsidR="006D52C2">
          <w:rPr>
            <w:noProof/>
            <w:webHidden/>
          </w:rPr>
          <w:t>82</w:t>
        </w:r>
        <w:r w:rsidR="00D259FC">
          <w:rPr>
            <w:noProof/>
            <w:webHidden/>
          </w:rPr>
          <w:fldChar w:fldCharType="end"/>
        </w:r>
      </w:hyperlink>
    </w:p>
    <w:p w14:paraId="774C52E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2" w:history="1">
        <w:r w:rsidR="00D259FC" w:rsidRPr="00DA0262">
          <w:rPr>
            <w:rStyle w:val="Hyperlink"/>
            <w:noProof/>
          </w:rPr>
          <w:t>Figure 26. Clay loading effect on moisture absorption of I.30E nanoclay/EPON 862 epoxy composite and the hindered diffusion fit while keeping the diffusion coefficient constant.</w:t>
        </w:r>
        <w:r w:rsidR="00D259FC">
          <w:rPr>
            <w:noProof/>
            <w:webHidden/>
          </w:rPr>
          <w:tab/>
        </w:r>
        <w:r w:rsidR="00D259FC">
          <w:rPr>
            <w:noProof/>
            <w:webHidden/>
          </w:rPr>
          <w:fldChar w:fldCharType="begin"/>
        </w:r>
        <w:r w:rsidR="00D259FC">
          <w:rPr>
            <w:noProof/>
            <w:webHidden/>
          </w:rPr>
          <w:instrText xml:space="preserve"> PAGEREF _Toc530997382 \h </w:instrText>
        </w:r>
        <w:r w:rsidR="00D259FC">
          <w:rPr>
            <w:noProof/>
            <w:webHidden/>
          </w:rPr>
        </w:r>
        <w:r w:rsidR="00D259FC">
          <w:rPr>
            <w:noProof/>
            <w:webHidden/>
          </w:rPr>
          <w:fldChar w:fldCharType="separate"/>
        </w:r>
        <w:r w:rsidR="006D52C2">
          <w:rPr>
            <w:noProof/>
            <w:webHidden/>
          </w:rPr>
          <w:t>83</w:t>
        </w:r>
        <w:r w:rsidR="00D259FC">
          <w:rPr>
            <w:noProof/>
            <w:webHidden/>
          </w:rPr>
          <w:fldChar w:fldCharType="end"/>
        </w:r>
      </w:hyperlink>
    </w:p>
    <w:p w14:paraId="46153EB0"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3" w:history="1">
        <w:r w:rsidR="00D259FC" w:rsidRPr="00DA0262">
          <w:rPr>
            <w:rStyle w:val="Hyperlink"/>
            <w:noProof/>
          </w:rPr>
          <w:t>Figure 27. Effect of nanoclay loading in EPON 862 epoxy on hindrance coefficient.</w:t>
        </w:r>
        <w:r w:rsidR="00D259FC">
          <w:rPr>
            <w:noProof/>
            <w:webHidden/>
          </w:rPr>
          <w:tab/>
        </w:r>
        <w:r w:rsidR="00D259FC">
          <w:rPr>
            <w:noProof/>
            <w:webHidden/>
          </w:rPr>
          <w:fldChar w:fldCharType="begin"/>
        </w:r>
        <w:r w:rsidR="00D259FC">
          <w:rPr>
            <w:noProof/>
            <w:webHidden/>
          </w:rPr>
          <w:instrText xml:space="preserve"> PAGEREF _Toc530997383 \h </w:instrText>
        </w:r>
        <w:r w:rsidR="00D259FC">
          <w:rPr>
            <w:noProof/>
            <w:webHidden/>
          </w:rPr>
        </w:r>
        <w:r w:rsidR="00D259FC">
          <w:rPr>
            <w:noProof/>
            <w:webHidden/>
          </w:rPr>
          <w:fldChar w:fldCharType="separate"/>
        </w:r>
        <w:r w:rsidR="006D52C2">
          <w:rPr>
            <w:noProof/>
            <w:webHidden/>
          </w:rPr>
          <w:t>84</w:t>
        </w:r>
        <w:r w:rsidR="00D259FC">
          <w:rPr>
            <w:noProof/>
            <w:webHidden/>
          </w:rPr>
          <w:fldChar w:fldCharType="end"/>
        </w:r>
      </w:hyperlink>
    </w:p>
    <w:p w14:paraId="3812BD88"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4" w:history="1">
        <w:r w:rsidR="00D259FC" w:rsidRPr="00DA0262">
          <w:rPr>
            <w:rStyle w:val="Hyperlink"/>
            <w:noProof/>
          </w:rPr>
          <w:t>Figure 28. Effect of nanoclay loading in EPON 862 epoxy on maximum moisture content.</w:t>
        </w:r>
        <w:r w:rsidR="00D259FC">
          <w:rPr>
            <w:noProof/>
            <w:webHidden/>
          </w:rPr>
          <w:tab/>
        </w:r>
        <w:r w:rsidR="00D259FC">
          <w:rPr>
            <w:noProof/>
            <w:webHidden/>
          </w:rPr>
          <w:fldChar w:fldCharType="begin"/>
        </w:r>
        <w:r w:rsidR="00D259FC">
          <w:rPr>
            <w:noProof/>
            <w:webHidden/>
          </w:rPr>
          <w:instrText xml:space="preserve"> PAGEREF _Toc530997384 \h </w:instrText>
        </w:r>
        <w:r w:rsidR="00D259FC">
          <w:rPr>
            <w:noProof/>
            <w:webHidden/>
          </w:rPr>
        </w:r>
        <w:r w:rsidR="00D259FC">
          <w:rPr>
            <w:noProof/>
            <w:webHidden/>
          </w:rPr>
          <w:fldChar w:fldCharType="separate"/>
        </w:r>
        <w:r w:rsidR="006D52C2">
          <w:rPr>
            <w:noProof/>
            <w:webHidden/>
          </w:rPr>
          <w:t>85</w:t>
        </w:r>
        <w:r w:rsidR="00D259FC">
          <w:rPr>
            <w:noProof/>
            <w:webHidden/>
          </w:rPr>
          <w:fldChar w:fldCharType="end"/>
        </w:r>
      </w:hyperlink>
    </w:p>
    <w:p w14:paraId="41FDCAD8"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5" w:history="1">
        <w:r w:rsidR="00D259FC" w:rsidRPr="00DA0262">
          <w:rPr>
            <w:rStyle w:val="Hyperlink"/>
            <w:noProof/>
          </w:rPr>
          <w:t>Figure 29. Effect of nanoclay loading in EPON 862 epoxy on maximum unbound moisture content.</w:t>
        </w:r>
        <w:r w:rsidR="00D259FC">
          <w:rPr>
            <w:noProof/>
            <w:webHidden/>
          </w:rPr>
          <w:tab/>
        </w:r>
        <w:r w:rsidR="00D259FC">
          <w:rPr>
            <w:noProof/>
            <w:webHidden/>
          </w:rPr>
          <w:fldChar w:fldCharType="begin"/>
        </w:r>
        <w:r w:rsidR="00D259FC">
          <w:rPr>
            <w:noProof/>
            <w:webHidden/>
          </w:rPr>
          <w:instrText xml:space="preserve"> PAGEREF _Toc530997385 \h </w:instrText>
        </w:r>
        <w:r w:rsidR="00D259FC">
          <w:rPr>
            <w:noProof/>
            <w:webHidden/>
          </w:rPr>
        </w:r>
        <w:r w:rsidR="00D259FC">
          <w:rPr>
            <w:noProof/>
            <w:webHidden/>
          </w:rPr>
          <w:fldChar w:fldCharType="separate"/>
        </w:r>
        <w:r w:rsidR="006D52C2">
          <w:rPr>
            <w:noProof/>
            <w:webHidden/>
          </w:rPr>
          <w:t>86</w:t>
        </w:r>
        <w:r w:rsidR="00D259FC">
          <w:rPr>
            <w:noProof/>
            <w:webHidden/>
          </w:rPr>
          <w:fldChar w:fldCharType="end"/>
        </w:r>
      </w:hyperlink>
    </w:p>
    <w:p w14:paraId="405BA26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6" w:history="1">
        <w:r w:rsidR="00D259FC" w:rsidRPr="00DA0262">
          <w:rPr>
            <w:rStyle w:val="Hyperlink"/>
            <w:noProof/>
          </w:rPr>
          <w:t>Figure 30. Effect of nanoclay loading in EPON 862 epoxy on maximum bound moisture content.</w:t>
        </w:r>
        <w:r w:rsidR="00D259FC">
          <w:rPr>
            <w:noProof/>
            <w:webHidden/>
          </w:rPr>
          <w:tab/>
        </w:r>
        <w:r w:rsidR="00D259FC">
          <w:rPr>
            <w:noProof/>
            <w:webHidden/>
          </w:rPr>
          <w:fldChar w:fldCharType="begin"/>
        </w:r>
        <w:r w:rsidR="00D259FC">
          <w:rPr>
            <w:noProof/>
            <w:webHidden/>
          </w:rPr>
          <w:instrText xml:space="preserve"> PAGEREF _Toc530997386 \h </w:instrText>
        </w:r>
        <w:r w:rsidR="00D259FC">
          <w:rPr>
            <w:noProof/>
            <w:webHidden/>
          </w:rPr>
        </w:r>
        <w:r w:rsidR="00D259FC">
          <w:rPr>
            <w:noProof/>
            <w:webHidden/>
          </w:rPr>
          <w:fldChar w:fldCharType="separate"/>
        </w:r>
        <w:r w:rsidR="006D52C2">
          <w:rPr>
            <w:noProof/>
            <w:webHidden/>
          </w:rPr>
          <w:t>87</w:t>
        </w:r>
        <w:r w:rsidR="00D259FC">
          <w:rPr>
            <w:noProof/>
            <w:webHidden/>
          </w:rPr>
          <w:fldChar w:fldCharType="end"/>
        </w:r>
      </w:hyperlink>
    </w:p>
    <w:p w14:paraId="16720C68"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7" w:history="1">
        <w:r w:rsidR="00D259FC" w:rsidRPr="00DA0262">
          <w:rPr>
            <w:rStyle w:val="Hyperlink"/>
            <w:noProof/>
          </w:rPr>
          <w:t>Figure 31. Schematics of a) Bisphenol-A and b) Bisphenol-F</w:t>
        </w:r>
        <w:r w:rsidR="00D259FC">
          <w:rPr>
            <w:noProof/>
            <w:webHidden/>
          </w:rPr>
          <w:tab/>
        </w:r>
        <w:r w:rsidR="00D259FC">
          <w:rPr>
            <w:noProof/>
            <w:webHidden/>
          </w:rPr>
          <w:fldChar w:fldCharType="begin"/>
        </w:r>
        <w:r w:rsidR="00D259FC">
          <w:rPr>
            <w:noProof/>
            <w:webHidden/>
          </w:rPr>
          <w:instrText xml:space="preserve"> PAGEREF _Toc530997387 \h </w:instrText>
        </w:r>
        <w:r w:rsidR="00D259FC">
          <w:rPr>
            <w:noProof/>
            <w:webHidden/>
          </w:rPr>
        </w:r>
        <w:r w:rsidR="00D259FC">
          <w:rPr>
            <w:noProof/>
            <w:webHidden/>
          </w:rPr>
          <w:fldChar w:fldCharType="separate"/>
        </w:r>
        <w:r w:rsidR="006D52C2">
          <w:rPr>
            <w:noProof/>
            <w:webHidden/>
          </w:rPr>
          <w:t>87</w:t>
        </w:r>
        <w:r w:rsidR="00D259FC">
          <w:rPr>
            <w:noProof/>
            <w:webHidden/>
          </w:rPr>
          <w:fldChar w:fldCharType="end"/>
        </w:r>
      </w:hyperlink>
    </w:p>
    <w:p w14:paraId="3052B418"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8" w:history="1">
        <w:r w:rsidR="00D259FC" w:rsidRPr="00DA0262">
          <w:rPr>
            <w:rStyle w:val="Hyperlink"/>
            <w:noProof/>
          </w:rPr>
          <w:t>Figure 32. Linear change of diffusion coefficients of APS glass/DGEBA and nBS glass/DGEBA composite with glass volume fraction</w:t>
        </w:r>
        <w:r w:rsidR="00D259FC">
          <w:rPr>
            <w:noProof/>
            <w:webHidden/>
          </w:rPr>
          <w:tab/>
        </w:r>
        <w:r w:rsidR="00D259FC">
          <w:rPr>
            <w:noProof/>
            <w:webHidden/>
          </w:rPr>
          <w:fldChar w:fldCharType="begin"/>
        </w:r>
        <w:r w:rsidR="00D259FC">
          <w:rPr>
            <w:noProof/>
            <w:webHidden/>
          </w:rPr>
          <w:instrText xml:space="preserve"> PAGEREF _Toc530997388 \h </w:instrText>
        </w:r>
        <w:r w:rsidR="00D259FC">
          <w:rPr>
            <w:noProof/>
            <w:webHidden/>
          </w:rPr>
        </w:r>
        <w:r w:rsidR="00D259FC">
          <w:rPr>
            <w:noProof/>
            <w:webHidden/>
          </w:rPr>
          <w:fldChar w:fldCharType="separate"/>
        </w:r>
        <w:r w:rsidR="006D52C2">
          <w:rPr>
            <w:noProof/>
            <w:webHidden/>
          </w:rPr>
          <w:t>91</w:t>
        </w:r>
        <w:r w:rsidR="00D259FC">
          <w:rPr>
            <w:noProof/>
            <w:webHidden/>
          </w:rPr>
          <w:fldChar w:fldCharType="end"/>
        </w:r>
      </w:hyperlink>
    </w:p>
    <w:p w14:paraId="6FD3CD0A"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89" w:history="1">
        <w:r w:rsidR="00D259FC" w:rsidRPr="00DA0262">
          <w:rPr>
            <w:rStyle w:val="Hyperlink"/>
            <w:noProof/>
          </w:rPr>
          <w:t>Figure 33. APS glass sphere loading effect on moisture absorption of DGEBA epoxy and the hindered diffusion recovery while keeping the diffusion coefficient linearly decreasing.</w:t>
        </w:r>
        <w:r w:rsidR="00D259FC">
          <w:rPr>
            <w:noProof/>
            <w:webHidden/>
          </w:rPr>
          <w:tab/>
        </w:r>
        <w:r w:rsidR="00D259FC">
          <w:rPr>
            <w:noProof/>
            <w:webHidden/>
          </w:rPr>
          <w:fldChar w:fldCharType="begin"/>
        </w:r>
        <w:r w:rsidR="00D259FC">
          <w:rPr>
            <w:noProof/>
            <w:webHidden/>
          </w:rPr>
          <w:instrText xml:space="preserve"> PAGEREF _Toc530997389 \h </w:instrText>
        </w:r>
        <w:r w:rsidR="00D259FC">
          <w:rPr>
            <w:noProof/>
            <w:webHidden/>
          </w:rPr>
        </w:r>
        <w:r w:rsidR="00D259FC">
          <w:rPr>
            <w:noProof/>
            <w:webHidden/>
          </w:rPr>
          <w:fldChar w:fldCharType="separate"/>
        </w:r>
        <w:r w:rsidR="006D52C2">
          <w:rPr>
            <w:noProof/>
            <w:webHidden/>
          </w:rPr>
          <w:t>93</w:t>
        </w:r>
        <w:r w:rsidR="00D259FC">
          <w:rPr>
            <w:noProof/>
            <w:webHidden/>
          </w:rPr>
          <w:fldChar w:fldCharType="end"/>
        </w:r>
      </w:hyperlink>
    </w:p>
    <w:p w14:paraId="2B6DEE0C"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0" w:history="1">
        <w:r w:rsidR="00D259FC" w:rsidRPr="00DA0262">
          <w:rPr>
            <w:rStyle w:val="Hyperlink"/>
            <w:noProof/>
          </w:rPr>
          <w:t>Figure 34. nBS glass sphere loading effect on moisture absorption of DGEBA epoxy and the hindered diffusion recovery while keeping the diffusion coefficient linearly decreasing.</w:t>
        </w:r>
        <w:r w:rsidR="00D259FC">
          <w:rPr>
            <w:noProof/>
            <w:webHidden/>
          </w:rPr>
          <w:tab/>
        </w:r>
        <w:r w:rsidR="00D259FC">
          <w:rPr>
            <w:noProof/>
            <w:webHidden/>
          </w:rPr>
          <w:fldChar w:fldCharType="begin"/>
        </w:r>
        <w:r w:rsidR="00D259FC">
          <w:rPr>
            <w:noProof/>
            <w:webHidden/>
          </w:rPr>
          <w:instrText xml:space="preserve"> PAGEREF _Toc530997390 \h </w:instrText>
        </w:r>
        <w:r w:rsidR="00D259FC">
          <w:rPr>
            <w:noProof/>
            <w:webHidden/>
          </w:rPr>
        </w:r>
        <w:r w:rsidR="00D259FC">
          <w:rPr>
            <w:noProof/>
            <w:webHidden/>
          </w:rPr>
          <w:fldChar w:fldCharType="separate"/>
        </w:r>
        <w:r w:rsidR="006D52C2">
          <w:rPr>
            <w:noProof/>
            <w:webHidden/>
          </w:rPr>
          <w:t>95</w:t>
        </w:r>
        <w:r w:rsidR="00D259FC">
          <w:rPr>
            <w:noProof/>
            <w:webHidden/>
          </w:rPr>
          <w:fldChar w:fldCharType="end"/>
        </w:r>
      </w:hyperlink>
    </w:p>
    <w:p w14:paraId="33520E1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1" w:history="1">
        <w:r w:rsidR="00D259FC" w:rsidRPr="00DA0262">
          <w:rPr>
            <w:rStyle w:val="Hyperlink"/>
            <w:noProof/>
          </w:rPr>
          <w:t>Figure 35. Effect of APS and nBS glass sphere loading in DGEBA epoxy on hindrance coefficient.</w:t>
        </w:r>
        <w:r w:rsidR="00D259FC">
          <w:rPr>
            <w:noProof/>
            <w:webHidden/>
          </w:rPr>
          <w:tab/>
        </w:r>
        <w:r w:rsidR="00D259FC">
          <w:rPr>
            <w:noProof/>
            <w:webHidden/>
          </w:rPr>
          <w:fldChar w:fldCharType="begin"/>
        </w:r>
        <w:r w:rsidR="00D259FC">
          <w:rPr>
            <w:noProof/>
            <w:webHidden/>
          </w:rPr>
          <w:instrText xml:space="preserve"> PAGEREF _Toc530997391 \h </w:instrText>
        </w:r>
        <w:r w:rsidR="00D259FC">
          <w:rPr>
            <w:noProof/>
            <w:webHidden/>
          </w:rPr>
        </w:r>
        <w:r w:rsidR="00D259FC">
          <w:rPr>
            <w:noProof/>
            <w:webHidden/>
          </w:rPr>
          <w:fldChar w:fldCharType="separate"/>
        </w:r>
        <w:r w:rsidR="006D52C2">
          <w:rPr>
            <w:noProof/>
            <w:webHidden/>
          </w:rPr>
          <w:t>96</w:t>
        </w:r>
        <w:r w:rsidR="00D259FC">
          <w:rPr>
            <w:noProof/>
            <w:webHidden/>
          </w:rPr>
          <w:fldChar w:fldCharType="end"/>
        </w:r>
      </w:hyperlink>
    </w:p>
    <w:p w14:paraId="6DF43A83"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2" w:history="1">
        <w:r w:rsidR="00D259FC" w:rsidRPr="00DA0262">
          <w:rPr>
            <w:rStyle w:val="Hyperlink"/>
            <w:noProof/>
          </w:rPr>
          <w:t>Figure 36. Effect of APS and nBS glass sphere loading in DGEBA epoxy on maximum moisture content.</w:t>
        </w:r>
        <w:r w:rsidR="00D259FC">
          <w:rPr>
            <w:noProof/>
            <w:webHidden/>
          </w:rPr>
          <w:tab/>
        </w:r>
        <w:r w:rsidR="00D259FC">
          <w:rPr>
            <w:noProof/>
            <w:webHidden/>
          </w:rPr>
          <w:fldChar w:fldCharType="begin"/>
        </w:r>
        <w:r w:rsidR="00D259FC">
          <w:rPr>
            <w:noProof/>
            <w:webHidden/>
          </w:rPr>
          <w:instrText xml:space="preserve"> PAGEREF _Toc530997392 \h </w:instrText>
        </w:r>
        <w:r w:rsidR="00D259FC">
          <w:rPr>
            <w:noProof/>
            <w:webHidden/>
          </w:rPr>
        </w:r>
        <w:r w:rsidR="00D259FC">
          <w:rPr>
            <w:noProof/>
            <w:webHidden/>
          </w:rPr>
          <w:fldChar w:fldCharType="separate"/>
        </w:r>
        <w:r w:rsidR="006D52C2">
          <w:rPr>
            <w:noProof/>
            <w:webHidden/>
          </w:rPr>
          <w:t>97</w:t>
        </w:r>
        <w:r w:rsidR="00D259FC">
          <w:rPr>
            <w:noProof/>
            <w:webHidden/>
          </w:rPr>
          <w:fldChar w:fldCharType="end"/>
        </w:r>
      </w:hyperlink>
    </w:p>
    <w:p w14:paraId="4D75947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3" w:history="1">
        <w:r w:rsidR="00D259FC" w:rsidRPr="00DA0262">
          <w:rPr>
            <w:rStyle w:val="Hyperlink"/>
            <w:noProof/>
          </w:rPr>
          <w:t>Figure 37. Effect of APS and nBS glass sphere loading in DGEBA epoxy on maximum unbound moisture content.</w:t>
        </w:r>
        <w:r w:rsidR="00D259FC">
          <w:rPr>
            <w:noProof/>
            <w:webHidden/>
          </w:rPr>
          <w:tab/>
        </w:r>
        <w:r w:rsidR="00D259FC">
          <w:rPr>
            <w:noProof/>
            <w:webHidden/>
          </w:rPr>
          <w:fldChar w:fldCharType="begin"/>
        </w:r>
        <w:r w:rsidR="00D259FC">
          <w:rPr>
            <w:noProof/>
            <w:webHidden/>
          </w:rPr>
          <w:instrText xml:space="preserve"> PAGEREF _Toc530997393 \h </w:instrText>
        </w:r>
        <w:r w:rsidR="00D259FC">
          <w:rPr>
            <w:noProof/>
            <w:webHidden/>
          </w:rPr>
        </w:r>
        <w:r w:rsidR="00D259FC">
          <w:rPr>
            <w:noProof/>
            <w:webHidden/>
          </w:rPr>
          <w:fldChar w:fldCharType="separate"/>
        </w:r>
        <w:r w:rsidR="006D52C2">
          <w:rPr>
            <w:noProof/>
            <w:webHidden/>
          </w:rPr>
          <w:t>98</w:t>
        </w:r>
        <w:r w:rsidR="00D259FC">
          <w:rPr>
            <w:noProof/>
            <w:webHidden/>
          </w:rPr>
          <w:fldChar w:fldCharType="end"/>
        </w:r>
      </w:hyperlink>
    </w:p>
    <w:p w14:paraId="32CDBA8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4" w:history="1">
        <w:r w:rsidR="00D259FC" w:rsidRPr="00DA0262">
          <w:rPr>
            <w:rStyle w:val="Hyperlink"/>
            <w:noProof/>
          </w:rPr>
          <w:t>Figure 38. Effect of APS and nBS glass sphere loading in DGEBA epoxy on maximum bound moisture content.</w:t>
        </w:r>
        <w:r w:rsidR="00D259FC">
          <w:rPr>
            <w:noProof/>
            <w:webHidden/>
          </w:rPr>
          <w:tab/>
        </w:r>
        <w:r w:rsidR="00D259FC">
          <w:rPr>
            <w:noProof/>
            <w:webHidden/>
          </w:rPr>
          <w:fldChar w:fldCharType="begin"/>
        </w:r>
        <w:r w:rsidR="00D259FC">
          <w:rPr>
            <w:noProof/>
            <w:webHidden/>
          </w:rPr>
          <w:instrText xml:space="preserve"> PAGEREF _Toc530997394 \h </w:instrText>
        </w:r>
        <w:r w:rsidR="00D259FC">
          <w:rPr>
            <w:noProof/>
            <w:webHidden/>
          </w:rPr>
        </w:r>
        <w:r w:rsidR="00D259FC">
          <w:rPr>
            <w:noProof/>
            <w:webHidden/>
          </w:rPr>
          <w:fldChar w:fldCharType="separate"/>
        </w:r>
        <w:r w:rsidR="006D52C2">
          <w:rPr>
            <w:noProof/>
            <w:webHidden/>
          </w:rPr>
          <w:t>99</w:t>
        </w:r>
        <w:r w:rsidR="00D259FC">
          <w:rPr>
            <w:noProof/>
            <w:webHidden/>
          </w:rPr>
          <w:fldChar w:fldCharType="end"/>
        </w:r>
      </w:hyperlink>
    </w:p>
    <w:p w14:paraId="197A8FD6"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5" w:history="1">
        <w:r w:rsidR="00D259FC" w:rsidRPr="00DA0262">
          <w:rPr>
            <w:rStyle w:val="Hyperlink"/>
            <w:noProof/>
          </w:rPr>
          <w:t>Figure 39. 2D chemical representation of a) APS, aminopropyltrimethoxysilane and b) nBS, n-butyltrimethoxysilane.</w:t>
        </w:r>
        <w:r w:rsidR="00D259FC">
          <w:rPr>
            <w:noProof/>
            <w:webHidden/>
          </w:rPr>
          <w:tab/>
        </w:r>
        <w:r w:rsidR="00D259FC">
          <w:rPr>
            <w:noProof/>
            <w:webHidden/>
          </w:rPr>
          <w:fldChar w:fldCharType="begin"/>
        </w:r>
        <w:r w:rsidR="00D259FC">
          <w:rPr>
            <w:noProof/>
            <w:webHidden/>
          </w:rPr>
          <w:instrText xml:space="preserve"> PAGEREF _Toc530997395 \h </w:instrText>
        </w:r>
        <w:r w:rsidR="00D259FC">
          <w:rPr>
            <w:noProof/>
            <w:webHidden/>
          </w:rPr>
        </w:r>
        <w:r w:rsidR="00D259FC">
          <w:rPr>
            <w:noProof/>
            <w:webHidden/>
          </w:rPr>
          <w:fldChar w:fldCharType="separate"/>
        </w:r>
        <w:r w:rsidR="006D52C2">
          <w:rPr>
            <w:noProof/>
            <w:webHidden/>
          </w:rPr>
          <w:t>100</w:t>
        </w:r>
        <w:r w:rsidR="00D259FC">
          <w:rPr>
            <w:noProof/>
            <w:webHidden/>
          </w:rPr>
          <w:fldChar w:fldCharType="end"/>
        </w:r>
      </w:hyperlink>
    </w:p>
    <w:p w14:paraId="0DECCBB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6" w:history="1">
        <w:r w:rsidR="00D259FC" w:rsidRPr="00DA0262">
          <w:rPr>
            <w:rStyle w:val="Hyperlink"/>
            <w:noProof/>
          </w:rPr>
          <w:t xml:space="preserve">Figure 40. Representative SEM image of glass spheres </w:t>
        </w:r>
        <w:r w:rsidR="00D259FC" w:rsidRPr="00DA0262">
          <w:rPr>
            <w:rStyle w:val="Hyperlink"/>
            <w:i/>
            <w:noProof/>
          </w:rPr>
          <w:t xml:space="preserve">a) </w:t>
        </w:r>
        <w:r w:rsidR="00D259FC" w:rsidRPr="00DA0262">
          <w:rPr>
            <w:rStyle w:val="Hyperlink"/>
            <w:noProof/>
          </w:rPr>
          <w:t xml:space="preserve">as received </w:t>
        </w:r>
        <w:r w:rsidR="00D259FC" w:rsidRPr="00DA0262">
          <w:rPr>
            <w:rStyle w:val="Hyperlink"/>
            <w:i/>
            <w:noProof/>
          </w:rPr>
          <w:t>b)</w:t>
        </w:r>
        <w:r w:rsidR="00D259FC" w:rsidRPr="00DA0262">
          <w:rPr>
            <w:rStyle w:val="Hyperlink"/>
            <w:noProof/>
          </w:rPr>
          <w:t xml:space="preserve"> sieved.</w:t>
        </w:r>
        <w:r w:rsidR="00D259FC">
          <w:rPr>
            <w:noProof/>
            <w:webHidden/>
          </w:rPr>
          <w:tab/>
        </w:r>
        <w:r w:rsidR="00D259FC">
          <w:rPr>
            <w:noProof/>
            <w:webHidden/>
          </w:rPr>
          <w:fldChar w:fldCharType="begin"/>
        </w:r>
        <w:r w:rsidR="00D259FC">
          <w:rPr>
            <w:noProof/>
            <w:webHidden/>
          </w:rPr>
          <w:instrText xml:space="preserve"> PAGEREF _Toc530997396 \h </w:instrText>
        </w:r>
        <w:r w:rsidR="00D259FC">
          <w:rPr>
            <w:noProof/>
            <w:webHidden/>
          </w:rPr>
        </w:r>
        <w:r w:rsidR="00D259FC">
          <w:rPr>
            <w:noProof/>
            <w:webHidden/>
          </w:rPr>
          <w:fldChar w:fldCharType="separate"/>
        </w:r>
        <w:r w:rsidR="006D52C2">
          <w:rPr>
            <w:noProof/>
            <w:webHidden/>
          </w:rPr>
          <w:t>102</w:t>
        </w:r>
        <w:r w:rsidR="00D259FC">
          <w:rPr>
            <w:noProof/>
            <w:webHidden/>
          </w:rPr>
          <w:fldChar w:fldCharType="end"/>
        </w:r>
      </w:hyperlink>
    </w:p>
    <w:p w14:paraId="504F6C6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7" w:history="1">
        <w:r w:rsidR="00D259FC" w:rsidRPr="00DA0262">
          <w:rPr>
            <w:rStyle w:val="Hyperlink"/>
            <w:noProof/>
          </w:rPr>
          <w:t>Figure 41. Hollow glass sphere size distribution.</w:t>
        </w:r>
        <w:r w:rsidR="00D259FC">
          <w:rPr>
            <w:noProof/>
            <w:webHidden/>
          </w:rPr>
          <w:tab/>
        </w:r>
        <w:r w:rsidR="00D259FC">
          <w:rPr>
            <w:noProof/>
            <w:webHidden/>
          </w:rPr>
          <w:fldChar w:fldCharType="begin"/>
        </w:r>
        <w:r w:rsidR="00D259FC">
          <w:rPr>
            <w:noProof/>
            <w:webHidden/>
          </w:rPr>
          <w:instrText xml:space="preserve"> PAGEREF _Toc530997397 \h </w:instrText>
        </w:r>
        <w:r w:rsidR="00D259FC">
          <w:rPr>
            <w:noProof/>
            <w:webHidden/>
          </w:rPr>
        </w:r>
        <w:r w:rsidR="00D259FC">
          <w:rPr>
            <w:noProof/>
            <w:webHidden/>
          </w:rPr>
          <w:fldChar w:fldCharType="separate"/>
        </w:r>
        <w:r w:rsidR="006D52C2">
          <w:rPr>
            <w:noProof/>
            <w:webHidden/>
          </w:rPr>
          <w:t>102</w:t>
        </w:r>
        <w:r w:rsidR="00D259FC">
          <w:rPr>
            <w:noProof/>
            <w:webHidden/>
          </w:rPr>
          <w:fldChar w:fldCharType="end"/>
        </w:r>
      </w:hyperlink>
    </w:p>
    <w:p w14:paraId="11FE146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8" w:history="1">
        <w:r w:rsidR="00D259FC" w:rsidRPr="00DA0262">
          <w:rPr>
            <w:rStyle w:val="Hyperlink"/>
            <w:noProof/>
          </w:rPr>
          <w:t xml:space="preserve">Figure 42. </w:t>
        </w:r>
        <w:r w:rsidR="00D259FC" w:rsidRPr="00DA0262">
          <w:rPr>
            <w:rStyle w:val="Hyperlink"/>
            <w:i/>
            <w:noProof/>
          </w:rPr>
          <w:t>a)</w:t>
        </w:r>
        <w:r w:rsidR="00D259FC" w:rsidRPr="00DA0262">
          <w:rPr>
            <w:rStyle w:val="Hyperlink"/>
            <w:noProof/>
          </w:rPr>
          <w:t xml:space="preserve"> Optical microscopy image of 6 immersion samples showing multilayer of 31% thick glass sphere/epoxy, and 69% thick epoxy </w:t>
        </w:r>
        <w:r w:rsidR="00D259FC" w:rsidRPr="00DA0262">
          <w:rPr>
            <w:rStyle w:val="Hyperlink"/>
            <w:i/>
            <w:noProof/>
          </w:rPr>
          <w:t xml:space="preserve">b) </w:t>
        </w:r>
        <w:r w:rsidR="00D259FC" w:rsidRPr="00DA0262">
          <w:rPr>
            <w:rStyle w:val="Hyperlink"/>
            <w:noProof/>
          </w:rPr>
          <w:t>a representative SEM image of a sample.</w:t>
        </w:r>
        <w:r w:rsidR="00D259FC">
          <w:rPr>
            <w:noProof/>
            <w:webHidden/>
          </w:rPr>
          <w:tab/>
        </w:r>
        <w:r w:rsidR="00D259FC">
          <w:rPr>
            <w:noProof/>
            <w:webHidden/>
          </w:rPr>
          <w:fldChar w:fldCharType="begin"/>
        </w:r>
        <w:r w:rsidR="00D259FC">
          <w:rPr>
            <w:noProof/>
            <w:webHidden/>
          </w:rPr>
          <w:instrText xml:space="preserve"> PAGEREF _Toc530997398 \h </w:instrText>
        </w:r>
        <w:r w:rsidR="00D259FC">
          <w:rPr>
            <w:noProof/>
            <w:webHidden/>
          </w:rPr>
        </w:r>
        <w:r w:rsidR="00D259FC">
          <w:rPr>
            <w:noProof/>
            <w:webHidden/>
          </w:rPr>
          <w:fldChar w:fldCharType="separate"/>
        </w:r>
        <w:r w:rsidR="006D52C2">
          <w:rPr>
            <w:noProof/>
            <w:webHidden/>
          </w:rPr>
          <w:t>104</w:t>
        </w:r>
        <w:r w:rsidR="00D259FC">
          <w:rPr>
            <w:noProof/>
            <w:webHidden/>
          </w:rPr>
          <w:fldChar w:fldCharType="end"/>
        </w:r>
      </w:hyperlink>
    </w:p>
    <w:p w14:paraId="5B62096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399" w:history="1">
        <w:r w:rsidR="00D259FC" w:rsidRPr="00DA0262">
          <w:rPr>
            <w:rStyle w:val="Hyperlink"/>
            <w:noProof/>
          </w:rPr>
          <w:t xml:space="preserve">Figure 43. </w:t>
        </w:r>
        <w:r w:rsidR="00D259FC" w:rsidRPr="00DA0262">
          <w:rPr>
            <w:rStyle w:val="Hyperlink"/>
            <w:i/>
            <w:noProof/>
          </w:rPr>
          <w:t>a)</w:t>
        </w:r>
        <w:r w:rsidR="00D259FC" w:rsidRPr="00DA0262">
          <w:rPr>
            <w:rStyle w:val="Hyperlink"/>
            <w:noProof/>
          </w:rPr>
          <w:t xml:space="preserve"> Optical microscopy image of 5 immersion samples showing multilayer of 57% thick glass sphere/epoxy, and 43% thick epoxy </w:t>
        </w:r>
        <w:r w:rsidR="00D259FC" w:rsidRPr="00DA0262">
          <w:rPr>
            <w:rStyle w:val="Hyperlink"/>
            <w:i/>
            <w:noProof/>
          </w:rPr>
          <w:t xml:space="preserve">b) </w:t>
        </w:r>
        <w:r w:rsidR="00D259FC" w:rsidRPr="00DA0262">
          <w:rPr>
            <w:rStyle w:val="Hyperlink"/>
            <w:noProof/>
          </w:rPr>
          <w:t>a representative SEM image of a sample.</w:t>
        </w:r>
        <w:r w:rsidR="00D259FC">
          <w:rPr>
            <w:noProof/>
            <w:webHidden/>
          </w:rPr>
          <w:tab/>
        </w:r>
        <w:r w:rsidR="00D259FC">
          <w:rPr>
            <w:noProof/>
            <w:webHidden/>
          </w:rPr>
          <w:fldChar w:fldCharType="begin"/>
        </w:r>
        <w:r w:rsidR="00D259FC">
          <w:rPr>
            <w:noProof/>
            <w:webHidden/>
          </w:rPr>
          <w:instrText xml:space="preserve"> PAGEREF _Toc530997399 \h </w:instrText>
        </w:r>
        <w:r w:rsidR="00D259FC">
          <w:rPr>
            <w:noProof/>
            <w:webHidden/>
          </w:rPr>
        </w:r>
        <w:r w:rsidR="00D259FC">
          <w:rPr>
            <w:noProof/>
            <w:webHidden/>
          </w:rPr>
          <w:fldChar w:fldCharType="separate"/>
        </w:r>
        <w:r w:rsidR="006D52C2">
          <w:rPr>
            <w:noProof/>
            <w:webHidden/>
          </w:rPr>
          <w:t>104</w:t>
        </w:r>
        <w:r w:rsidR="00D259FC">
          <w:rPr>
            <w:noProof/>
            <w:webHidden/>
          </w:rPr>
          <w:fldChar w:fldCharType="end"/>
        </w:r>
      </w:hyperlink>
    </w:p>
    <w:p w14:paraId="5B0FF85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0" w:history="1">
        <w:r w:rsidR="00D259FC" w:rsidRPr="00DA0262">
          <w:rPr>
            <w:rStyle w:val="Hyperlink"/>
            <w:noProof/>
          </w:rPr>
          <w:t xml:space="preserve">Figure 44. </w:t>
        </w:r>
        <w:r w:rsidR="00D259FC" w:rsidRPr="00DA0262">
          <w:rPr>
            <w:rStyle w:val="Hyperlink"/>
            <w:i/>
            <w:noProof/>
          </w:rPr>
          <w:t>a)</w:t>
        </w:r>
        <w:r w:rsidR="00D259FC" w:rsidRPr="00DA0262">
          <w:rPr>
            <w:rStyle w:val="Hyperlink"/>
            <w:noProof/>
          </w:rPr>
          <w:t xml:space="preserve"> Optical microscopy image of 6 immersion samples of 100% thick glass sphere/epoxy </w:t>
        </w:r>
        <w:r w:rsidR="00D259FC" w:rsidRPr="00DA0262">
          <w:rPr>
            <w:rStyle w:val="Hyperlink"/>
            <w:i/>
            <w:noProof/>
          </w:rPr>
          <w:t xml:space="preserve">b) </w:t>
        </w:r>
        <w:r w:rsidR="00D259FC" w:rsidRPr="00DA0262">
          <w:rPr>
            <w:rStyle w:val="Hyperlink"/>
            <w:noProof/>
          </w:rPr>
          <w:t>a representative SEM image of a sample.</w:t>
        </w:r>
        <w:r w:rsidR="00D259FC">
          <w:rPr>
            <w:noProof/>
            <w:webHidden/>
          </w:rPr>
          <w:tab/>
        </w:r>
        <w:r w:rsidR="00D259FC">
          <w:rPr>
            <w:noProof/>
            <w:webHidden/>
          </w:rPr>
          <w:fldChar w:fldCharType="begin"/>
        </w:r>
        <w:r w:rsidR="00D259FC">
          <w:rPr>
            <w:noProof/>
            <w:webHidden/>
          </w:rPr>
          <w:instrText xml:space="preserve"> PAGEREF _Toc530997400 \h </w:instrText>
        </w:r>
        <w:r w:rsidR="00D259FC">
          <w:rPr>
            <w:noProof/>
            <w:webHidden/>
          </w:rPr>
        </w:r>
        <w:r w:rsidR="00D259FC">
          <w:rPr>
            <w:noProof/>
            <w:webHidden/>
          </w:rPr>
          <w:fldChar w:fldCharType="separate"/>
        </w:r>
        <w:r w:rsidR="006D52C2">
          <w:rPr>
            <w:noProof/>
            <w:webHidden/>
          </w:rPr>
          <w:t>104</w:t>
        </w:r>
        <w:r w:rsidR="00D259FC">
          <w:rPr>
            <w:noProof/>
            <w:webHidden/>
          </w:rPr>
          <w:fldChar w:fldCharType="end"/>
        </w:r>
      </w:hyperlink>
    </w:p>
    <w:p w14:paraId="0EB79487"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1" w:history="1">
        <w:r w:rsidR="00D259FC" w:rsidRPr="00DA0262">
          <w:rPr>
            <w:rStyle w:val="Hyperlink"/>
            <w:noProof/>
          </w:rPr>
          <w:t>Figure 45. Experimental mass uptake data of 31%, 57%, and 100% thick glass sphere/epoxy layer-epoxy multilayer laminates and multilayer hindered diffusion model predictions.</w:t>
        </w:r>
        <w:r w:rsidR="00D259FC">
          <w:rPr>
            <w:noProof/>
            <w:webHidden/>
          </w:rPr>
          <w:tab/>
        </w:r>
        <w:r w:rsidR="00D259FC">
          <w:rPr>
            <w:noProof/>
            <w:webHidden/>
          </w:rPr>
          <w:fldChar w:fldCharType="begin"/>
        </w:r>
        <w:r w:rsidR="00D259FC">
          <w:rPr>
            <w:noProof/>
            <w:webHidden/>
          </w:rPr>
          <w:instrText xml:space="preserve"> PAGEREF _Toc530997401 \h </w:instrText>
        </w:r>
        <w:r w:rsidR="00D259FC">
          <w:rPr>
            <w:noProof/>
            <w:webHidden/>
          </w:rPr>
        </w:r>
        <w:r w:rsidR="00D259FC">
          <w:rPr>
            <w:noProof/>
            <w:webHidden/>
          </w:rPr>
          <w:fldChar w:fldCharType="separate"/>
        </w:r>
        <w:r w:rsidR="006D52C2">
          <w:rPr>
            <w:noProof/>
            <w:webHidden/>
          </w:rPr>
          <w:t>106</w:t>
        </w:r>
        <w:r w:rsidR="00D259FC">
          <w:rPr>
            <w:noProof/>
            <w:webHidden/>
          </w:rPr>
          <w:fldChar w:fldCharType="end"/>
        </w:r>
      </w:hyperlink>
    </w:p>
    <w:p w14:paraId="33C9ADE0"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2" w:history="1">
        <w:r w:rsidR="00D259FC" w:rsidRPr="00DA0262">
          <w:rPr>
            <w:rStyle w:val="Hyperlink"/>
            <w:noProof/>
          </w:rPr>
          <w:t>Figure 46. Multilayer HDM and 1D HDM predictions of 1mm thick 21% and 40% vol. glass sphere/epoxy layer-epoxy multilayer laminates and dispersed 21% and 40% vol. glass sphere/epoxy laminates, respectively.</w:t>
        </w:r>
        <w:r w:rsidR="00D259FC">
          <w:rPr>
            <w:noProof/>
            <w:webHidden/>
          </w:rPr>
          <w:tab/>
        </w:r>
        <w:r w:rsidR="00D259FC">
          <w:rPr>
            <w:noProof/>
            <w:webHidden/>
          </w:rPr>
          <w:fldChar w:fldCharType="begin"/>
        </w:r>
        <w:r w:rsidR="00D259FC">
          <w:rPr>
            <w:noProof/>
            <w:webHidden/>
          </w:rPr>
          <w:instrText xml:space="preserve"> PAGEREF _Toc530997402 \h </w:instrText>
        </w:r>
        <w:r w:rsidR="00D259FC">
          <w:rPr>
            <w:noProof/>
            <w:webHidden/>
          </w:rPr>
        </w:r>
        <w:r w:rsidR="00D259FC">
          <w:rPr>
            <w:noProof/>
            <w:webHidden/>
          </w:rPr>
          <w:fldChar w:fldCharType="separate"/>
        </w:r>
        <w:r w:rsidR="006D52C2">
          <w:rPr>
            <w:noProof/>
            <w:webHidden/>
          </w:rPr>
          <w:t>109</w:t>
        </w:r>
        <w:r w:rsidR="00D259FC">
          <w:rPr>
            <w:noProof/>
            <w:webHidden/>
          </w:rPr>
          <w:fldChar w:fldCharType="end"/>
        </w:r>
      </w:hyperlink>
    </w:p>
    <w:p w14:paraId="5B20320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3" w:history="1">
        <w:r w:rsidR="00D259FC" w:rsidRPr="00DA0262">
          <w:rPr>
            <w:rStyle w:val="Hyperlink"/>
            <w:noProof/>
          </w:rPr>
          <w:t xml:space="preserve">Figure 47. Concentration profiles of </w:t>
        </w:r>
        <w:r w:rsidR="00D259FC" w:rsidRPr="00DA0262">
          <w:rPr>
            <w:rStyle w:val="Hyperlink"/>
            <w:i/>
            <w:noProof/>
          </w:rPr>
          <w:t>a)</w:t>
        </w:r>
        <w:r w:rsidR="00D259FC" w:rsidRPr="00DA0262">
          <w:rPr>
            <w:rStyle w:val="Hyperlink"/>
            <w:noProof/>
          </w:rPr>
          <w:t xml:space="preserve"> 31% thick glass sphere/epoxy layer-epoxy multilayer composite (21% vol. glass sphere), </w:t>
        </w:r>
        <w:r w:rsidR="00D259FC" w:rsidRPr="00DA0262">
          <w:rPr>
            <w:rStyle w:val="Hyperlink"/>
            <w:i/>
            <w:noProof/>
          </w:rPr>
          <w:t>b)</w:t>
        </w:r>
        <w:r w:rsidR="00D259FC" w:rsidRPr="00DA0262">
          <w:rPr>
            <w:rStyle w:val="Hyperlink"/>
            <w:noProof/>
          </w:rPr>
          <w:t xml:space="preserve"> 57% thick glass sphere/epoxy layer-epoxy multilayer composite (40% vol. glass sphere), </w:t>
        </w:r>
        <w:r w:rsidR="00D259FC" w:rsidRPr="00DA0262">
          <w:rPr>
            <w:rStyle w:val="Hyperlink"/>
            <w:i/>
            <w:noProof/>
          </w:rPr>
          <w:t>c)</w:t>
        </w:r>
        <w:r w:rsidR="00D259FC" w:rsidRPr="00DA0262">
          <w:rPr>
            <w:rStyle w:val="Hyperlink"/>
            <w:noProof/>
          </w:rPr>
          <w:t xml:space="preserve"> dispersed 21% vol. glass sphere/epoxy composite, and </w:t>
        </w:r>
        <w:r w:rsidR="00D259FC" w:rsidRPr="00DA0262">
          <w:rPr>
            <w:rStyle w:val="Hyperlink"/>
            <w:i/>
            <w:noProof/>
          </w:rPr>
          <w:t>d)</w:t>
        </w:r>
        <w:r w:rsidR="00D259FC" w:rsidRPr="00DA0262">
          <w:rPr>
            <w:rStyle w:val="Hyperlink"/>
            <w:noProof/>
          </w:rPr>
          <w:t xml:space="preserve"> dispersed 40% vol. glass sphere/epoxy composite after 10 days of fully saturation.</w:t>
        </w:r>
        <w:r w:rsidR="00D259FC">
          <w:rPr>
            <w:noProof/>
            <w:webHidden/>
          </w:rPr>
          <w:tab/>
        </w:r>
        <w:r w:rsidR="00D259FC">
          <w:rPr>
            <w:noProof/>
            <w:webHidden/>
          </w:rPr>
          <w:fldChar w:fldCharType="begin"/>
        </w:r>
        <w:r w:rsidR="00D259FC">
          <w:rPr>
            <w:noProof/>
            <w:webHidden/>
          </w:rPr>
          <w:instrText xml:space="preserve"> PAGEREF _Toc530997403 \h </w:instrText>
        </w:r>
        <w:r w:rsidR="00D259FC">
          <w:rPr>
            <w:noProof/>
            <w:webHidden/>
          </w:rPr>
        </w:r>
        <w:r w:rsidR="00D259FC">
          <w:rPr>
            <w:noProof/>
            <w:webHidden/>
          </w:rPr>
          <w:fldChar w:fldCharType="separate"/>
        </w:r>
        <w:r w:rsidR="006D52C2">
          <w:rPr>
            <w:noProof/>
            <w:webHidden/>
          </w:rPr>
          <w:t>111</w:t>
        </w:r>
        <w:r w:rsidR="00D259FC">
          <w:rPr>
            <w:noProof/>
            <w:webHidden/>
          </w:rPr>
          <w:fldChar w:fldCharType="end"/>
        </w:r>
      </w:hyperlink>
    </w:p>
    <w:p w14:paraId="7D2B4313"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4" w:history="1">
        <w:r w:rsidR="00D259FC" w:rsidRPr="00DA0262">
          <w:rPr>
            <w:rStyle w:val="Hyperlink"/>
            <w:noProof/>
          </w:rPr>
          <w:t>Figure 48. Illustration of the proposed moisture absorption and desorption mechanism of voids</w:t>
        </w:r>
        <w:r w:rsidR="00D259FC">
          <w:rPr>
            <w:noProof/>
            <w:webHidden/>
          </w:rPr>
          <w:tab/>
        </w:r>
        <w:r w:rsidR="00D259FC">
          <w:rPr>
            <w:noProof/>
            <w:webHidden/>
          </w:rPr>
          <w:fldChar w:fldCharType="begin"/>
        </w:r>
        <w:r w:rsidR="00D259FC">
          <w:rPr>
            <w:noProof/>
            <w:webHidden/>
          </w:rPr>
          <w:instrText xml:space="preserve"> PAGEREF _Toc530997404 \h </w:instrText>
        </w:r>
        <w:r w:rsidR="00D259FC">
          <w:rPr>
            <w:noProof/>
            <w:webHidden/>
          </w:rPr>
        </w:r>
        <w:r w:rsidR="00D259FC">
          <w:rPr>
            <w:noProof/>
            <w:webHidden/>
          </w:rPr>
          <w:fldChar w:fldCharType="separate"/>
        </w:r>
        <w:r w:rsidR="006D52C2">
          <w:rPr>
            <w:noProof/>
            <w:webHidden/>
          </w:rPr>
          <w:t>117</w:t>
        </w:r>
        <w:r w:rsidR="00D259FC">
          <w:rPr>
            <w:noProof/>
            <w:webHidden/>
          </w:rPr>
          <w:fldChar w:fldCharType="end"/>
        </w:r>
      </w:hyperlink>
    </w:p>
    <w:p w14:paraId="7FB9339F"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5" w:history="1">
        <w:r w:rsidR="00D259FC" w:rsidRPr="00DA0262">
          <w:rPr>
            <w:rStyle w:val="Hyperlink"/>
            <w:noProof/>
          </w:rPr>
          <w:t xml:space="preserve">Figure 49. Representative 2D solid slab having </w:t>
        </w:r>
        <w:r w:rsidR="00D259FC" w:rsidRPr="00DA0262">
          <w:rPr>
            <w:rStyle w:val="Hyperlink"/>
            <w:i/>
            <w:noProof/>
          </w:rPr>
          <w:t>a)</w:t>
        </w:r>
        <w:r w:rsidR="00D259FC" w:rsidRPr="00DA0262">
          <w:rPr>
            <w:rStyle w:val="Hyperlink"/>
            <w:noProof/>
          </w:rPr>
          <w:t xml:space="preserve"> no void </w:t>
        </w:r>
        <w:r w:rsidR="00D259FC" w:rsidRPr="00DA0262">
          <w:rPr>
            <w:rStyle w:val="Hyperlink"/>
            <w:i/>
            <w:noProof/>
          </w:rPr>
          <w:t>b)</w:t>
        </w:r>
        <w:r w:rsidR="00D259FC" w:rsidRPr="00DA0262">
          <w:rPr>
            <w:rStyle w:val="Hyperlink"/>
            <w:noProof/>
          </w:rPr>
          <w:t xml:space="preserve"> void with a volume of </w:t>
        </w:r>
        <m:oMath>
          <m:r>
            <m:rPr>
              <m:sty m:val="bi"/>
            </m:rPr>
            <w:rPr>
              <w:rStyle w:val="Hyperlink"/>
              <w:rFonts w:ascii="Cambria Math" w:hAnsi="Cambria Math"/>
              <w:noProof/>
            </w:rPr>
            <m:t>Vv</m:t>
          </m:r>
        </m:oMath>
        <w:r w:rsidR="00D259FC">
          <w:rPr>
            <w:noProof/>
            <w:webHidden/>
          </w:rPr>
          <w:tab/>
        </w:r>
        <w:r w:rsidR="00D259FC">
          <w:rPr>
            <w:noProof/>
            <w:webHidden/>
          </w:rPr>
          <w:fldChar w:fldCharType="begin"/>
        </w:r>
        <w:r w:rsidR="00D259FC">
          <w:rPr>
            <w:noProof/>
            <w:webHidden/>
          </w:rPr>
          <w:instrText xml:space="preserve"> PAGEREF _Toc530997405 \h </w:instrText>
        </w:r>
        <w:r w:rsidR="00D259FC">
          <w:rPr>
            <w:noProof/>
            <w:webHidden/>
          </w:rPr>
        </w:r>
        <w:r w:rsidR="00D259FC">
          <w:rPr>
            <w:noProof/>
            <w:webHidden/>
          </w:rPr>
          <w:fldChar w:fldCharType="separate"/>
        </w:r>
        <w:r w:rsidR="006D52C2">
          <w:rPr>
            <w:noProof/>
            <w:webHidden/>
          </w:rPr>
          <w:t>118</w:t>
        </w:r>
        <w:r w:rsidR="00D259FC">
          <w:rPr>
            <w:noProof/>
            <w:webHidden/>
          </w:rPr>
          <w:fldChar w:fldCharType="end"/>
        </w:r>
      </w:hyperlink>
    </w:p>
    <w:p w14:paraId="7EFE678C"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6" w:history="1">
        <w:r w:rsidR="00D259FC" w:rsidRPr="00DA0262">
          <w:rPr>
            <w:rStyle w:val="Hyperlink"/>
            <w:noProof/>
          </w:rPr>
          <w:t>Figure 50. Moisture desorption steps in a representative water filled void</w:t>
        </w:r>
        <w:r w:rsidR="00D259FC">
          <w:rPr>
            <w:noProof/>
            <w:webHidden/>
          </w:rPr>
          <w:tab/>
        </w:r>
        <w:r w:rsidR="00D259FC">
          <w:rPr>
            <w:noProof/>
            <w:webHidden/>
          </w:rPr>
          <w:fldChar w:fldCharType="begin"/>
        </w:r>
        <w:r w:rsidR="00D259FC">
          <w:rPr>
            <w:noProof/>
            <w:webHidden/>
          </w:rPr>
          <w:instrText xml:space="preserve"> PAGEREF _Toc530997406 \h </w:instrText>
        </w:r>
        <w:r w:rsidR="00D259FC">
          <w:rPr>
            <w:noProof/>
            <w:webHidden/>
          </w:rPr>
        </w:r>
        <w:r w:rsidR="00D259FC">
          <w:rPr>
            <w:noProof/>
            <w:webHidden/>
          </w:rPr>
          <w:fldChar w:fldCharType="separate"/>
        </w:r>
        <w:r w:rsidR="006D52C2">
          <w:rPr>
            <w:noProof/>
            <w:webHidden/>
          </w:rPr>
          <w:t>120</w:t>
        </w:r>
        <w:r w:rsidR="00D259FC">
          <w:rPr>
            <w:noProof/>
            <w:webHidden/>
          </w:rPr>
          <w:fldChar w:fldCharType="end"/>
        </w:r>
      </w:hyperlink>
    </w:p>
    <w:p w14:paraId="00D771C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7" w:history="1">
        <w:r w:rsidR="00D259FC" w:rsidRPr="00DA0262">
          <w:rPr>
            <w:rStyle w:val="Hyperlink"/>
            <w:noProof/>
          </w:rPr>
          <w:t>Figure 51. ROHACELL® WF-71 Foam</w:t>
        </w:r>
        <w:r w:rsidR="00D259FC">
          <w:rPr>
            <w:noProof/>
            <w:webHidden/>
          </w:rPr>
          <w:tab/>
        </w:r>
        <w:r w:rsidR="00D259FC">
          <w:rPr>
            <w:noProof/>
            <w:webHidden/>
          </w:rPr>
          <w:fldChar w:fldCharType="begin"/>
        </w:r>
        <w:r w:rsidR="00D259FC">
          <w:rPr>
            <w:noProof/>
            <w:webHidden/>
          </w:rPr>
          <w:instrText xml:space="preserve"> PAGEREF _Toc530997407 \h </w:instrText>
        </w:r>
        <w:r w:rsidR="00D259FC">
          <w:rPr>
            <w:noProof/>
            <w:webHidden/>
          </w:rPr>
        </w:r>
        <w:r w:rsidR="00D259FC">
          <w:rPr>
            <w:noProof/>
            <w:webHidden/>
          </w:rPr>
          <w:fldChar w:fldCharType="separate"/>
        </w:r>
        <w:r w:rsidR="006D52C2">
          <w:rPr>
            <w:noProof/>
            <w:webHidden/>
          </w:rPr>
          <w:t>122</w:t>
        </w:r>
        <w:r w:rsidR="00D259FC">
          <w:rPr>
            <w:noProof/>
            <w:webHidden/>
          </w:rPr>
          <w:fldChar w:fldCharType="end"/>
        </w:r>
      </w:hyperlink>
    </w:p>
    <w:p w14:paraId="6433B162"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8" w:history="1">
        <w:r w:rsidR="00D259FC" w:rsidRPr="00DA0262">
          <w:rPr>
            <w:rStyle w:val="Hyperlink"/>
            <w:noProof/>
          </w:rPr>
          <w:t>Figure 52. Measured densities of untreated and heat treated Rohacell foams.</w:t>
        </w:r>
        <w:r w:rsidR="00D259FC">
          <w:rPr>
            <w:noProof/>
            <w:webHidden/>
          </w:rPr>
          <w:tab/>
        </w:r>
        <w:r w:rsidR="00D259FC">
          <w:rPr>
            <w:noProof/>
            <w:webHidden/>
          </w:rPr>
          <w:fldChar w:fldCharType="begin"/>
        </w:r>
        <w:r w:rsidR="00D259FC">
          <w:rPr>
            <w:noProof/>
            <w:webHidden/>
          </w:rPr>
          <w:instrText xml:space="preserve"> PAGEREF _Toc530997408 \h </w:instrText>
        </w:r>
        <w:r w:rsidR="00D259FC">
          <w:rPr>
            <w:noProof/>
            <w:webHidden/>
          </w:rPr>
        </w:r>
        <w:r w:rsidR="00D259FC">
          <w:rPr>
            <w:noProof/>
            <w:webHidden/>
          </w:rPr>
          <w:fldChar w:fldCharType="separate"/>
        </w:r>
        <w:r w:rsidR="006D52C2">
          <w:rPr>
            <w:noProof/>
            <w:webHidden/>
          </w:rPr>
          <w:t>125</w:t>
        </w:r>
        <w:r w:rsidR="00D259FC">
          <w:rPr>
            <w:noProof/>
            <w:webHidden/>
          </w:rPr>
          <w:fldChar w:fldCharType="end"/>
        </w:r>
      </w:hyperlink>
    </w:p>
    <w:p w14:paraId="2E28E64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09" w:history="1">
        <w:r w:rsidR="00D259FC" w:rsidRPr="00DA0262">
          <w:rPr>
            <w:rStyle w:val="Hyperlink"/>
            <w:noProof/>
          </w:rPr>
          <w:t xml:space="preserve">Figure 53. Representative SEM images of foam samples - as-received </w:t>
        </w:r>
        <w:r w:rsidR="00D259FC" w:rsidRPr="00DA0262">
          <w:rPr>
            <w:rStyle w:val="Hyperlink"/>
            <w:i/>
            <w:noProof/>
          </w:rPr>
          <w:t>a)</w:t>
        </w:r>
        <w:r w:rsidR="00D259FC" w:rsidRPr="00DA0262">
          <w:rPr>
            <w:rStyle w:val="Hyperlink"/>
            <w:noProof/>
          </w:rPr>
          <w:t xml:space="preserve"> 3mm </w:t>
        </w:r>
        <w:r w:rsidR="00D259FC" w:rsidRPr="00DA0262">
          <w:rPr>
            <w:rStyle w:val="Hyperlink"/>
            <w:i/>
            <w:noProof/>
          </w:rPr>
          <w:t>b)</w:t>
        </w:r>
        <w:r w:rsidR="00D259FC" w:rsidRPr="00DA0262">
          <w:rPr>
            <w:rStyle w:val="Hyperlink"/>
            <w:noProof/>
          </w:rPr>
          <w:t xml:space="preserve"> 6mm </w:t>
        </w:r>
        <w:r w:rsidR="00D259FC" w:rsidRPr="00DA0262">
          <w:rPr>
            <w:rStyle w:val="Hyperlink"/>
            <w:i/>
            <w:noProof/>
          </w:rPr>
          <w:t>c)</w:t>
        </w:r>
        <w:r w:rsidR="00D259FC" w:rsidRPr="00DA0262">
          <w:rPr>
            <w:rStyle w:val="Hyperlink"/>
            <w:noProof/>
          </w:rPr>
          <w:t xml:space="preserve"> 9mm</w:t>
        </w:r>
        <w:r w:rsidR="00D259FC">
          <w:rPr>
            <w:noProof/>
            <w:webHidden/>
          </w:rPr>
          <w:tab/>
        </w:r>
        <w:r w:rsidR="00D259FC">
          <w:rPr>
            <w:noProof/>
            <w:webHidden/>
          </w:rPr>
          <w:fldChar w:fldCharType="begin"/>
        </w:r>
        <w:r w:rsidR="00D259FC">
          <w:rPr>
            <w:noProof/>
            <w:webHidden/>
          </w:rPr>
          <w:instrText xml:space="preserve"> PAGEREF _Toc530997409 \h </w:instrText>
        </w:r>
        <w:r w:rsidR="00D259FC">
          <w:rPr>
            <w:noProof/>
            <w:webHidden/>
          </w:rPr>
        </w:r>
        <w:r w:rsidR="00D259FC">
          <w:rPr>
            <w:noProof/>
            <w:webHidden/>
          </w:rPr>
          <w:fldChar w:fldCharType="separate"/>
        </w:r>
        <w:r w:rsidR="006D52C2">
          <w:rPr>
            <w:noProof/>
            <w:webHidden/>
          </w:rPr>
          <w:t>127</w:t>
        </w:r>
        <w:r w:rsidR="00D259FC">
          <w:rPr>
            <w:noProof/>
            <w:webHidden/>
          </w:rPr>
          <w:fldChar w:fldCharType="end"/>
        </w:r>
      </w:hyperlink>
    </w:p>
    <w:p w14:paraId="72160EE5"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0" w:history="1">
        <w:r w:rsidR="00D259FC" w:rsidRPr="00DA0262">
          <w:rPr>
            <w:rStyle w:val="Hyperlink"/>
            <w:noProof/>
          </w:rPr>
          <w:t xml:space="preserve">Figure 54. Representative SEM images of foam samples – heat treated under 30 psi </w:t>
        </w:r>
        <w:r w:rsidR="00D259FC" w:rsidRPr="00DA0262">
          <w:rPr>
            <w:rStyle w:val="Hyperlink"/>
            <w:i/>
            <w:noProof/>
          </w:rPr>
          <w:t>a)</w:t>
        </w:r>
        <w:r w:rsidR="00D259FC" w:rsidRPr="00DA0262">
          <w:rPr>
            <w:rStyle w:val="Hyperlink"/>
            <w:noProof/>
          </w:rPr>
          <w:t xml:space="preserve"> 3mm </w:t>
        </w:r>
        <w:r w:rsidR="00D259FC" w:rsidRPr="00DA0262">
          <w:rPr>
            <w:rStyle w:val="Hyperlink"/>
            <w:i/>
            <w:noProof/>
          </w:rPr>
          <w:t>b)</w:t>
        </w:r>
        <w:r w:rsidR="00D259FC" w:rsidRPr="00DA0262">
          <w:rPr>
            <w:rStyle w:val="Hyperlink"/>
            <w:noProof/>
          </w:rPr>
          <w:t xml:space="preserve"> 6mm </w:t>
        </w:r>
        <w:r w:rsidR="00D259FC" w:rsidRPr="00DA0262">
          <w:rPr>
            <w:rStyle w:val="Hyperlink"/>
            <w:i/>
            <w:noProof/>
          </w:rPr>
          <w:t>c)</w:t>
        </w:r>
        <w:r w:rsidR="00D259FC" w:rsidRPr="00DA0262">
          <w:rPr>
            <w:rStyle w:val="Hyperlink"/>
            <w:noProof/>
          </w:rPr>
          <w:t xml:space="preserve"> 9mm</w:t>
        </w:r>
        <w:r w:rsidR="00D259FC">
          <w:rPr>
            <w:noProof/>
            <w:webHidden/>
          </w:rPr>
          <w:tab/>
        </w:r>
        <w:r w:rsidR="00D259FC">
          <w:rPr>
            <w:noProof/>
            <w:webHidden/>
          </w:rPr>
          <w:fldChar w:fldCharType="begin"/>
        </w:r>
        <w:r w:rsidR="00D259FC">
          <w:rPr>
            <w:noProof/>
            <w:webHidden/>
          </w:rPr>
          <w:instrText xml:space="preserve"> PAGEREF _Toc530997410 \h </w:instrText>
        </w:r>
        <w:r w:rsidR="00D259FC">
          <w:rPr>
            <w:noProof/>
            <w:webHidden/>
          </w:rPr>
        </w:r>
        <w:r w:rsidR="00D259FC">
          <w:rPr>
            <w:noProof/>
            <w:webHidden/>
          </w:rPr>
          <w:fldChar w:fldCharType="separate"/>
        </w:r>
        <w:r w:rsidR="006D52C2">
          <w:rPr>
            <w:noProof/>
            <w:webHidden/>
          </w:rPr>
          <w:t>128</w:t>
        </w:r>
        <w:r w:rsidR="00D259FC">
          <w:rPr>
            <w:noProof/>
            <w:webHidden/>
          </w:rPr>
          <w:fldChar w:fldCharType="end"/>
        </w:r>
      </w:hyperlink>
    </w:p>
    <w:p w14:paraId="53466BB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1" w:history="1">
        <w:r w:rsidR="00D259FC" w:rsidRPr="00DA0262">
          <w:rPr>
            <w:rStyle w:val="Hyperlink"/>
            <w:noProof/>
          </w:rPr>
          <w:t xml:space="preserve">Figure 55. Representative SEM images of foam samples – heat treated under 50 psi </w:t>
        </w:r>
        <w:r w:rsidR="00D259FC" w:rsidRPr="00DA0262">
          <w:rPr>
            <w:rStyle w:val="Hyperlink"/>
            <w:i/>
            <w:noProof/>
          </w:rPr>
          <w:t>a)</w:t>
        </w:r>
        <w:r w:rsidR="00D259FC" w:rsidRPr="00DA0262">
          <w:rPr>
            <w:rStyle w:val="Hyperlink"/>
            <w:noProof/>
          </w:rPr>
          <w:t xml:space="preserve"> 3mm </w:t>
        </w:r>
        <w:r w:rsidR="00D259FC" w:rsidRPr="00DA0262">
          <w:rPr>
            <w:rStyle w:val="Hyperlink"/>
            <w:i/>
            <w:noProof/>
          </w:rPr>
          <w:t>b)</w:t>
        </w:r>
        <w:r w:rsidR="00D259FC" w:rsidRPr="00DA0262">
          <w:rPr>
            <w:rStyle w:val="Hyperlink"/>
            <w:noProof/>
          </w:rPr>
          <w:t xml:space="preserve"> 6mm </w:t>
        </w:r>
        <w:r w:rsidR="00D259FC" w:rsidRPr="00DA0262">
          <w:rPr>
            <w:rStyle w:val="Hyperlink"/>
            <w:i/>
            <w:noProof/>
          </w:rPr>
          <w:t>c)</w:t>
        </w:r>
        <w:r w:rsidR="00D259FC" w:rsidRPr="00DA0262">
          <w:rPr>
            <w:rStyle w:val="Hyperlink"/>
            <w:noProof/>
          </w:rPr>
          <w:t xml:space="preserve"> 9mm</w:t>
        </w:r>
        <w:r w:rsidR="00D259FC">
          <w:rPr>
            <w:noProof/>
            <w:webHidden/>
          </w:rPr>
          <w:tab/>
        </w:r>
        <w:r w:rsidR="00D259FC">
          <w:rPr>
            <w:noProof/>
            <w:webHidden/>
          </w:rPr>
          <w:fldChar w:fldCharType="begin"/>
        </w:r>
        <w:r w:rsidR="00D259FC">
          <w:rPr>
            <w:noProof/>
            <w:webHidden/>
          </w:rPr>
          <w:instrText xml:space="preserve"> PAGEREF _Toc530997411 \h </w:instrText>
        </w:r>
        <w:r w:rsidR="00D259FC">
          <w:rPr>
            <w:noProof/>
            <w:webHidden/>
          </w:rPr>
        </w:r>
        <w:r w:rsidR="00D259FC">
          <w:rPr>
            <w:noProof/>
            <w:webHidden/>
          </w:rPr>
          <w:fldChar w:fldCharType="separate"/>
        </w:r>
        <w:r w:rsidR="006D52C2">
          <w:rPr>
            <w:noProof/>
            <w:webHidden/>
          </w:rPr>
          <w:t>129</w:t>
        </w:r>
        <w:r w:rsidR="00D259FC">
          <w:rPr>
            <w:noProof/>
            <w:webHidden/>
          </w:rPr>
          <w:fldChar w:fldCharType="end"/>
        </w:r>
      </w:hyperlink>
    </w:p>
    <w:p w14:paraId="4FA017F0"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2" w:history="1">
        <w:r w:rsidR="00D259FC" w:rsidRPr="00DA0262">
          <w:rPr>
            <w:rStyle w:val="Hyperlink"/>
            <w:noProof/>
          </w:rPr>
          <w:t>Figure 56. Average cell sizes of as-received and heat treated Rohacell foams</w:t>
        </w:r>
        <w:r w:rsidR="00D259FC">
          <w:rPr>
            <w:noProof/>
            <w:webHidden/>
          </w:rPr>
          <w:tab/>
        </w:r>
        <w:r w:rsidR="00D259FC">
          <w:rPr>
            <w:noProof/>
            <w:webHidden/>
          </w:rPr>
          <w:fldChar w:fldCharType="begin"/>
        </w:r>
        <w:r w:rsidR="00D259FC">
          <w:rPr>
            <w:noProof/>
            <w:webHidden/>
          </w:rPr>
          <w:instrText xml:space="preserve"> PAGEREF _Toc530997412 \h </w:instrText>
        </w:r>
        <w:r w:rsidR="00D259FC">
          <w:rPr>
            <w:noProof/>
            <w:webHidden/>
          </w:rPr>
        </w:r>
        <w:r w:rsidR="00D259FC">
          <w:rPr>
            <w:noProof/>
            <w:webHidden/>
          </w:rPr>
          <w:fldChar w:fldCharType="separate"/>
        </w:r>
        <w:r w:rsidR="006D52C2">
          <w:rPr>
            <w:noProof/>
            <w:webHidden/>
          </w:rPr>
          <w:t>130</w:t>
        </w:r>
        <w:r w:rsidR="00D259FC">
          <w:rPr>
            <w:noProof/>
            <w:webHidden/>
          </w:rPr>
          <w:fldChar w:fldCharType="end"/>
        </w:r>
      </w:hyperlink>
    </w:p>
    <w:p w14:paraId="4BC329B4"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3" w:history="1">
        <w:r w:rsidR="00D259FC" w:rsidRPr="00DA0262">
          <w:rPr>
            <w:rStyle w:val="Hyperlink"/>
            <w:noProof/>
          </w:rPr>
          <w:t>Figure 57. %Porosity of untreated and heat treated Rohacell foams (Calculated from density measurements).</w:t>
        </w:r>
        <w:r w:rsidR="00D259FC">
          <w:rPr>
            <w:noProof/>
            <w:webHidden/>
          </w:rPr>
          <w:tab/>
        </w:r>
        <w:r w:rsidR="00D259FC">
          <w:rPr>
            <w:noProof/>
            <w:webHidden/>
          </w:rPr>
          <w:fldChar w:fldCharType="begin"/>
        </w:r>
        <w:r w:rsidR="00D259FC">
          <w:rPr>
            <w:noProof/>
            <w:webHidden/>
          </w:rPr>
          <w:instrText xml:space="preserve"> PAGEREF _Toc530997413 \h </w:instrText>
        </w:r>
        <w:r w:rsidR="00D259FC">
          <w:rPr>
            <w:noProof/>
            <w:webHidden/>
          </w:rPr>
        </w:r>
        <w:r w:rsidR="00D259FC">
          <w:rPr>
            <w:noProof/>
            <w:webHidden/>
          </w:rPr>
          <w:fldChar w:fldCharType="separate"/>
        </w:r>
        <w:r w:rsidR="006D52C2">
          <w:rPr>
            <w:noProof/>
            <w:webHidden/>
          </w:rPr>
          <w:t>131</w:t>
        </w:r>
        <w:r w:rsidR="00D259FC">
          <w:rPr>
            <w:noProof/>
            <w:webHidden/>
          </w:rPr>
          <w:fldChar w:fldCharType="end"/>
        </w:r>
      </w:hyperlink>
    </w:p>
    <w:p w14:paraId="1923BE3A"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4" w:history="1">
        <w:r w:rsidR="00D259FC" w:rsidRPr="00DA0262">
          <w:rPr>
            <w:rStyle w:val="Hyperlink"/>
            <w:noProof/>
          </w:rPr>
          <w:t>Figure 58. %Porosity of untreated and heat treated Rohacell foams (Image Analysis).</w:t>
        </w:r>
        <w:r w:rsidR="00D259FC">
          <w:rPr>
            <w:noProof/>
            <w:webHidden/>
          </w:rPr>
          <w:tab/>
        </w:r>
        <w:r w:rsidR="00D259FC">
          <w:rPr>
            <w:noProof/>
            <w:webHidden/>
          </w:rPr>
          <w:fldChar w:fldCharType="begin"/>
        </w:r>
        <w:r w:rsidR="00D259FC">
          <w:rPr>
            <w:noProof/>
            <w:webHidden/>
          </w:rPr>
          <w:instrText xml:space="preserve"> PAGEREF _Toc530997414 \h </w:instrText>
        </w:r>
        <w:r w:rsidR="00D259FC">
          <w:rPr>
            <w:noProof/>
            <w:webHidden/>
          </w:rPr>
        </w:r>
        <w:r w:rsidR="00D259FC">
          <w:rPr>
            <w:noProof/>
            <w:webHidden/>
          </w:rPr>
          <w:fldChar w:fldCharType="separate"/>
        </w:r>
        <w:r w:rsidR="006D52C2">
          <w:rPr>
            <w:noProof/>
            <w:webHidden/>
          </w:rPr>
          <w:t>131</w:t>
        </w:r>
        <w:r w:rsidR="00D259FC">
          <w:rPr>
            <w:noProof/>
            <w:webHidden/>
          </w:rPr>
          <w:fldChar w:fldCharType="end"/>
        </w:r>
      </w:hyperlink>
    </w:p>
    <w:p w14:paraId="0B4576C3"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5" w:history="1">
        <w:r w:rsidR="00D259FC" w:rsidRPr="00DA0262">
          <w:rPr>
            <w:rStyle w:val="Hyperlink"/>
            <w:noProof/>
          </w:rPr>
          <w:t xml:space="preserve">Figure 59. Moisture uptake mass gain data of foams: </w:t>
        </w:r>
        <w:r w:rsidR="00D259FC" w:rsidRPr="00DA0262">
          <w:rPr>
            <w:rStyle w:val="Hyperlink"/>
            <w:i/>
            <w:noProof/>
          </w:rPr>
          <w:t>a)</w:t>
        </w:r>
        <w:r w:rsidR="00D259FC" w:rsidRPr="00DA0262">
          <w:rPr>
            <w:rStyle w:val="Hyperlink"/>
            <w:noProof/>
          </w:rPr>
          <w:t xml:space="preserve"> as-received </w:t>
        </w:r>
        <w:r w:rsidR="00D259FC" w:rsidRPr="00DA0262">
          <w:rPr>
            <w:rStyle w:val="Hyperlink"/>
            <w:i/>
            <w:noProof/>
          </w:rPr>
          <w:t>b)</w:t>
        </w:r>
        <w:r w:rsidR="00D259FC" w:rsidRPr="00DA0262">
          <w:rPr>
            <w:rStyle w:val="Hyperlink"/>
            <w:noProof/>
          </w:rPr>
          <w:t xml:space="preserve"> heat treated under 30 psi </w:t>
        </w:r>
        <w:r w:rsidR="00D259FC" w:rsidRPr="00DA0262">
          <w:rPr>
            <w:rStyle w:val="Hyperlink"/>
            <w:i/>
            <w:noProof/>
          </w:rPr>
          <w:t>c)</w:t>
        </w:r>
        <w:r w:rsidR="00D259FC" w:rsidRPr="00DA0262">
          <w:rPr>
            <w:rStyle w:val="Hyperlink"/>
            <w:noProof/>
          </w:rPr>
          <w:t xml:space="preserve"> heat treated under 50 psi</w:t>
        </w:r>
        <w:r w:rsidR="00D259FC">
          <w:rPr>
            <w:noProof/>
            <w:webHidden/>
          </w:rPr>
          <w:tab/>
        </w:r>
        <w:r w:rsidR="00D259FC">
          <w:rPr>
            <w:noProof/>
            <w:webHidden/>
          </w:rPr>
          <w:fldChar w:fldCharType="begin"/>
        </w:r>
        <w:r w:rsidR="00D259FC">
          <w:rPr>
            <w:noProof/>
            <w:webHidden/>
          </w:rPr>
          <w:instrText xml:space="preserve"> PAGEREF _Toc530997415 \h </w:instrText>
        </w:r>
        <w:r w:rsidR="00D259FC">
          <w:rPr>
            <w:noProof/>
            <w:webHidden/>
          </w:rPr>
        </w:r>
        <w:r w:rsidR="00D259FC">
          <w:rPr>
            <w:noProof/>
            <w:webHidden/>
          </w:rPr>
          <w:fldChar w:fldCharType="separate"/>
        </w:r>
        <w:r w:rsidR="006D52C2">
          <w:rPr>
            <w:noProof/>
            <w:webHidden/>
          </w:rPr>
          <w:t>133</w:t>
        </w:r>
        <w:r w:rsidR="00D259FC">
          <w:rPr>
            <w:noProof/>
            <w:webHidden/>
          </w:rPr>
          <w:fldChar w:fldCharType="end"/>
        </w:r>
      </w:hyperlink>
    </w:p>
    <w:p w14:paraId="02E9D975"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6" w:history="1">
        <w:r w:rsidR="00D259FC" w:rsidRPr="00DA0262">
          <w:rPr>
            <w:rStyle w:val="Hyperlink"/>
            <w:noProof/>
          </w:rPr>
          <w:t>Figure 60. Mass gain data and VFHDM predictions of 3mm, 6mm, and 9mm as-received Rohacell foams.</w:t>
        </w:r>
        <w:r w:rsidR="00D259FC">
          <w:rPr>
            <w:noProof/>
            <w:webHidden/>
          </w:rPr>
          <w:tab/>
        </w:r>
        <w:r w:rsidR="00D259FC">
          <w:rPr>
            <w:noProof/>
            <w:webHidden/>
          </w:rPr>
          <w:fldChar w:fldCharType="begin"/>
        </w:r>
        <w:r w:rsidR="00D259FC">
          <w:rPr>
            <w:noProof/>
            <w:webHidden/>
          </w:rPr>
          <w:instrText xml:space="preserve"> PAGEREF _Toc530997416 \h </w:instrText>
        </w:r>
        <w:r w:rsidR="00D259FC">
          <w:rPr>
            <w:noProof/>
            <w:webHidden/>
          </w:rPr>
        </w:r>
        <w:r w:rsidR="00D259FC">
          <w:rPr>
            <w:noProof/>
            <w:webHidden/>
          </w:rPr>
          <w:fldChar w:fldCharType="separate"/>
        </w:r>
        <w:r w:rsidR="006D52C2">
          <w:rPr>
            <w:noProof/>
            <w:webHidden/>
          </w:rPr>
          <w:t>137</w:t>
        </w:r>
        <w:r w:rsidR="00D259FC">
          <w:rPr>
            <w:noProof/>
            <w:webHidden/>
          </w:rPr>
          <w:fldChar w:fldCharType="end"/>
        </w:r>
      </w:hyperlink>
    </w:p>
    <w:p w14:paraId="6047FCF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7" w:history="1">
        <w:r w:rsidR="00D259FC" w:rsidRPr="00DA0262">
          <w:rPr>
            <w:rStyle w:val="Hyperlink"/>
            <w:noProof/>
          </w:rPr>
          <w:t xml:space="preserve">Figure 61. VFHDM predictions of </w:t>
        </w:r>
        <w:r w:rsidR="00D259FC" w:rsidRPr="00DA0262">
          <w:rPr>
            <w:rStyle w:val="Hyperlink"/>
            <w:i/>
            <w:noProof/>
          </w:rPr>
          <w:t>a)</w:t>
        </w:r>
        <w:r w:rsidR="00D259FC" w:rsidRPr="00DA0262">
          <w:rPr>
            <w:rStyle w:val="Hyperlink"/>
            <w:noProof/>
          </w:rPr>
          <w:t xml:space="preserve"> unbound </w:t>
        </w:r>
        <w:r w:rsidR="00D259FC" w:rsidRPr="00DA0262">
          <w:rPr>
            <w:rStyle w:val="Hyperlink"/>
            <w:i/>
            <w:noProof/>
          </w:rPr>
          <w:t>b)</w:t>
        </w:r>
        <w:r w:rsidR="00D259FC" w:rsidRPr="00DA0262">
          <w:rPr>
            <w:rStyle w:val="Hyperlink"/>
            <w:noProof/>
          </w:rPr>
          <w:t xml:space="preserve"> bound and </w:t>
        </w:r>
        <w:r w:rsidR="00D259FC" w:rsidRPr="00DA0262">
          <w:rPr>
            <w:rStyle w:val="Hyperlink"/>
            <w:i/>
            <w:noProof/>
          </w:rPr>
          <w:t xml:space="preserve">c) </w:t>
        </w:r>
        <w:r w:rsidR="00D259FC" w:rsidRPr="00DA0262">
          <w:rPr>
            <w:rStyle w:val="Hyperlink"/>
            <w:noProof/>
          </w:rPr>
          <w:t>trapped moisture absorption into as-received Rohacell foams.</w:t>
        </w:r>
        <w:r w:rsidR="00D259FC">
          <w:rPr>
            <w:noProof/>
            <w:webHidden/>
          </w:rPr>
          <w:tab/>
        </w:r>
        <w:r w:rsidR="00D259FC">
          <w:rPr>
            <w:noProof/>
            <w:webHidden/>
          </w:rPr>
          <w:fldChar w:fldCharType="begin"/>
        </w:r>
        <w:r w:rsidR="00D259FC">
          <w:rPr>
            <w:noProof/>
            <w:webHidden/>
          </w:rPr>
          <w:instrText xml:space="preserve"> PAGEREF _Toc530997417 \h </w:instrText>
        </w:r>
        <w:r w:rsidR="00D259FC">
          <w:rPr>
            <w:noProof/>
            <w:webHidden/>
          </w:rPr>
        </w:r>
        <w:r w:rsidR="00D259FC">
          <w:rPr>
            <w:noProof/>
            <w:webHidden/>
          </w:rPr>
          <w:fldChar w:fldCharType="separate"/>
        </w:r>
        <w:r w:rsidR="006D52C2">
          <w:rPr>
            <w:noProof/>
            <w:webHidden/>
          </w:rPr>
          <w:t>139</w:t>
        </w:r>
        <w:r w:rsidR="00D259FC">
          <w:rPr>
            <w:noProof/>
            <w:webHidden/>
          </w:rPr>
          <w:fldChar w:fldCharType="end"/>
        </w:r>
      </w:hyperlink>
    </w:p>
    <w:p w14:paraId="44C0C163"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8" w:history="1">
        <w:r w:rsidR="00D259FC" w:rsidRPr="00DA0262">
          <w:rPr>
            <w:rStyle w:val="Hyperlink"/>
            <w:noProof/>
          </w:rPr>
          <w:t>Figure 62. Mass gain data and VFHDM predictions of 3mm, 6mm, and 9mm Rohacell foams heat treated under 30 psi.</w:t>
        </w:r>
        <w:r w:rsidR="00D259FC">
          <w:rPr>
            <w:noProof/>
            <w:webHidden/>
          </w:rPr>
          <w:tab/>
        </w:r>
        <w:r w:rsidR="00D259FC">
          <w:rPr>
            <w:noProof/>
            <w:webHidden/>
          </w:rPr>
          <w:fldChar w:fldCharType="begin"/>
        </w:r>
        <w:r w:rsidR="00D259FC">
          <w:rPr>
            <w:noProof/>
            <w:webHidden/>
          </w:rPr>
          <w:instrText xml:space="preserve"> PAGEREF _Toc530997418 \h </w:instrText>
        </w:r>
        <w:r w:rsidR="00D259FC">
          <w:rPr>
            <w:noProof/>
            <w:webHidden/>
          </w:rPr>
        </w:r>
        <w:r w:rsidR="00D259FC">
          <w:rPr>
            <w:noProof/>
            <w:webHidden/>
          </w:rPr>
          <w:fldChar w:fldCharType="separate"/>
        </w:r>
        <w:r w:rsidR="006D52C2">
          <w:rPr>
            <w:noProof/>
            <w:webHidden/>
          </w:rPr>
          <w:t>140</w:t>
        </w:r>
        <w:r w:rsidR="00D259FC">
          <w:rPr>
            <w:noProof/>
            <w:webHidden/>
          </w:rPr>
          <w:fldChar w:fldCharType="end"/>
        </w:r>
      </w:hyperlink>
    </w:p>
    <w:p w14:paraId="31C7D725"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19" w:history="1">
        <w:r w:rsidR="00D259FC" w:rsidRPr="00DA0262">
          <w:rPr>
            <w:rStyle w:val="Hyperlink"/>
            <w:noProof/>
          </w:rPr>
          <w:t xml:space="preserve">Figure 63. VFHDM predictions of </w:t>
        </w:r>
        <w:r w:rsidR="00D259FC" w:rsidRPr="00DA0262">
          <w:rPr>
            <w:rStyle w:val="Hyperlink"/>
            <w:i/>
            <w:noProof/>
          </w:rPr>
          <w:t>a)</w:t>
        </w:r>
        <w:r w:rsidR="00D259FC" w:rsidRPr="00DA0262">
          <w:rPr>
            <w:rStyle w:val="Hyperlink"/>
            <w:noProof/>
          </w:rPr>
          <w:t xml:space="preserve"> unbound </w:t>
        </w:r>
        <w:r w:rsidR="00D259FC" w:rsidRPr="00DA0262">
          <w:rPr>
            <w:rStyle w:val="Hyperlink"/>
            <w:i/>
            <w:noProof/>
          </w:rPr>
          <w:t>b)</w:t>
        </w:r>
        <w:r w:rsidR="00D259FC" w:rsidRPr="00DA0262">
          <w:rPr>
            <w:rStyle w:val="Hyperlink"/>
            <w:noProof/>
          </w:rPr>
          <w:t xml:space="preserve"> bound and </w:t>
        </w:r>
        <w:r w:rsidR="00D259FC" w:rsidRPr="00DA0262">
          <w:rPr>
            <w:rStyle w:val="Hyperlink"/>
            <w:i/>
            <w:noProof/>
          </w:rPr>
          <w:t xml:space="preserve">c) </w:t>
        </w:r>
        <w:r w:rsidR="00D259FC" w:rsidRPr="00DA0262">
          <w:rPr>
            <w:rStyle w:val="Hyperlink"/>
            <w:noProof/>
          </w:rPr>
          <w:t>trapped moisture absorption into Rohacell foams heat treated under 30 psi.</w:t>
        </w:r>
        <w:r w:rsidR="00D259FC">
          <w:rPr>
            <w:noProof/>
            <w:webHidden/>
          </w:rPr>
          <w:tab/>
        </w:r>
        <w:r w:rsidR="00D259FC">
          <w:rPr>
            <w:noProof/>
            <w:webHidden/>
          </w:rPr>
          <w:fldChar w:fldCharType="begin"/>
        </w:r>
        <w:r w:rsidR="00D259FC">
          <w:rPr>
            <w:noProof/>
            <w:webHidden/>
          </w:rPr>
          <w:instrText xml:space="preserve"> PAGEREF _Toc530997419 \h </w:instrText>
        </w:r>
        <w:r w:rsidR="00D259FC">
          <w:rPr>
            <w:noProof/>
            <w:webHidden/>
          </w:rPr>
        </w:r>
        <w:r w:rsidR="00D259FC">
          <w:rPr>
            <w:noProof/>
            <w:webHidden/>
          </w:rPr>
          <w:fldChar w:fldCharType="separate"/>
        </w:r>
        <w:r w:rsidR="006D52C2">
          <w:rPr>
            <w:noProof/>
            <w:webHidden/>
          </w:rPr>
          <w:t>142</w:t>
        </w:r>
        <w:r w:rsidR="00D259FC">
          <w:rPr>
            <w:noProof/>
            <w:webHidden/>
          </w:rPr>
          <w:fldChar w:fldCharType="end"/>
        </w:r>
      </w:hyperlink>
    </w:p>
    <w:p w14:paraId="5A957AA9"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0" w:history="1">
        <w:r w:rsidR="00D259FC" w:rsidRPr="00DA0262">
          <w:rPr>
            <w:rStyle w:val="Hyperlink"/>
            <w:noProof/>
          </w:rPr>
          <w:t>Figure 64. Mass gain data and VFHDM predictions of 3mm, 6mm, and 9mm Rohacell foams heat treated under 50 psi.</w:t>
        </w:r>
        <w:r w:rsidR="00D259FC">
          <w:rPr>
            <w:noProof/>
            <w:webHidden/>
          </w:rPr>
          <w:tab/>
        </w:r>
        <w:r w:rsidR="00D259FC">
          <w:rPr>
            <w:noProof/>
            <w:webHidden/>
          </w:rPr>
          <w:fldChar w:fldCharType="begin"/>
        </w:r>
        <w:r w:rsidR="00D259FC">
          <w:rPr>
            <w:noProof/>
            <w:webHidden/>
          </w:rPr>
          <w:instrText xml:space="preserve"> PAGEREF _Toc530997420 \h </w:instrText>
        </w:r>
        <w:r w:rsidR="00D259FC">
          <w:rPr>
            <w:noProof/>
            <w:webHidden/>
          </w:rPr>
        </w:r>
        <w:r w:rsidR="00D259FC">
          <w:rPr>
            <w:noProof/>
            <w:webHidden/>
          </w:rPr>
          <w:fldChar w:fldCharType="separate"/>
        </w:r>
        <w:r w:rsidR="006D52C2">
          <w:rPr>
            <w:noProof/>
            <w:webHidden/>
          </w:rPr>
          <w:t>144</w:t>
        </w:r>
        <w:r w:rsidR="00D259FC">
          <w:rPr>
            <w:noProof/>
            <w:webHidden/>
          </w:rPr>
          <w:fldChar w:fldCharType="end"/>
        </w:r>
      </w:hyperlink>
    </w:p>
    <w:p w14:paraId="338F8587"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1" w:history="1">
        <w:r w:rsidR="00D259FC" w:rsidRPr="00DA0262">
          <w:rPr>
            <w:rStyle w:val="Hyperlink"/>
            <w:noProof/>
          </w:rPr>
          <w:t xml:space="preserve">Figure 65. VFHDM predictions of </w:t>
        </w:r>
        <w:r w:rsidR="00D259FC" w:rsidRPr="00DA0262">
          <w:rPr>
            <w:rStyle w:val="Hyperlink"/>
            <w:i/>
            <w:noProof/>
          </w:rPr>
          <w:t>a)</w:t>
        </w:r>
        <w:r w:rsidR="00D259FC" w:rsidRPr="00DA0262">
          <w:rPr>
            <w:rStyle w:val="Hyperlink"/>
            <w:noProof/>
          </w:rPr>
          <w:t xml:space="preserve"> unbound </w:t>
        </w:r>
        <w:r w:rsidR="00D259FC" w:rsidRPr="00DA0262">
          <w:rPr>
            <w:rStyle w:val="Hyperlink"/>
            <w:i/>
            <w:noProof/>
          </w:rPr>
          <w:t>b)</w:t>
        </w:r>
        <w:r w:rsidR="00D259FC" w:rsidRPr="00DA0262">
          <w:rPr>
            <w:rStyle w:val="Hyperlink"/>
            <w:noProof/>
          </w:rPr>
          <w:t xml:space="preserve"> bound and </w:t>
        </w:r>
        <w:r w:rsidR="00D259FC" w:rsidRPr="00DA0262">
          <w:rPr>
            <w:rStyle w:val="Hyperlink"/>
            <w:i/>
            <w:noProof/>
          </w:rPr>
          <w:t xml:space="preserve">c) </w:t>
        </w:r>
        <w:r w:rsidR="00D259FC" w:rsidRPr="00DA0262">
          <w:rPr>
            <w:rStyle w:val="Hyperlink"/>
            <w:noProof/>
          </w:rPr>
          <w:t>trapped moisture absorption into Rohacell foams heat treated under 50 psi</w:t>
        </w:r>
        <w:r w:rsidR="00D259FC">
          <w:rPr>
            <w:noProof/>
            <w:webHidden/>
          </w:rPr>
          <w:tab/>
        </w:r>
        <w:r w:rsidR="00D259FC">
          <w:rPr>
            <w:noProof/>
            <w:webHidden/>
          </w:rPr>
          <w:fldChar w:fldCharType="begin"/>
        </w:r>
        <w:r w:rsidR="00D259FC">
          <w:rPr>
            <w:noProof/>
            <w:webHidden/>
          </w:rPr>
          <w:instrText xml:space="preserve"> PAGEREF _Toc530997421 \h </w:instrText>
        </w:r>
        <w:r w:rsidR="00D259FC">
          <w:rPr>
            <w:noProof/>
            <w:webHidden/>
          </w:rPr>
        </w:r>
        <w:r w:rsidR="00D259FC">
          <w:rPr>
            <w:noProof/>
            <w:webHidden/>
          </w:rPr>
          <w:fldChar w:fldCharType="separate"/>
        </w:r>
        <w:r w:rsidR="006D52C2">
          <w:rPr>
            <w:noProof/>
            <w:webHidden/>
          </w:rPr>
          <w:t>146</w:t>
        </w:r>
        <w:r w:rsidR="00D259FC">
          <w:rPr>
            <w:noProof/>
            <w:webHidden/>
          </w:rPr>
          <w:fldChar w:fldCharType="end"/>
        </w:r>
      </w:hyperlink>
    </w:p>
    <w:p w14:paraId="2402679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2" w:history="1">
        <w:r w:rsidR="00D259FC" w:rsidRPr="00DA0262">
          <w:rPr>
            <w:rStyle w:val="Hyperlink"/>
            <w:noProof/>
          </w:rPr>
          <w:t>Figure 66. Mass gain data of Rohacell foam core sandwich composite manufactured under 30 psi pressure</w:t>
        </w:r>
        <w:r w:rsidR="00D259FC">
          <w:rPr>
            <w:noProof/>
            <w:webHidden/>
          </w:rPr>
          <w:tab/>
        </w:r>
        <w:r w:rsidR="00D259FC">
          <w:rPr>
            <w:noProof/>
            <w:webHidden/>
          </w:rPr>
          <w:fldChar w:fldCharType="begin"/>
        </w:r>
        <w:r w:rsidR="00D259FC">
          <w:rPr>
            <w:noProof/>
            <w:webHidden/>
          </w:rPr>
          <w:instrText xml:space="preserve"> PAGEREF _Toc530997422 \h </w:instrText>
        </w:r>
        <w:r w:rsidR="00D259FC">
          <w:rPr>
            <w:noProof/>
            <w:webHidden/>
          </w:rPr>
        </w:r>
        <w:r w:rsidR="00D259FC">
          <w:rPr>
            <w:noProof/>
            <w:webHidden/>
          </w:rPr>
          <w:fldChar w:fldCharType="separate"/>
        </w:r>
        <w:r w:rsidR="006D52C2">
          <w:rPr>
            <w:noProof/>
            <w:webHidden/>
          </w:rPr>
          <w:t>148</w:t>
        </w:r>
        <w:r w:rsidR="00D259FC">
          <w:rPr>
            <w:noProof/>
            <w:webHidden/>
          </w:rPr>
          <w:fldChar w:fldCharType="end"/>
        </w:r>
      </w:hyperlink>
    </w:p>
    <w:p w14:paraId="0B4D7DC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3" w:history="1">
        <w:r w:rsidR="00D259FC" w:rsidRPr="00DA0262">
          <w:rPr>
            <w:rStyle w:val="Hyperlink"/>
            <w:noProof/>
          </w:rPr>
          <w:t>Figure 67. Mass gain data of Rohacell foam core sandwich composite manufactured under 50 psi pressure</w:t>
        </w:r>
        <w:r w:rsidR="00D259FC">
          <w:rPr>
            <w:noProof/>
            <w:webHidden/>
          </w:rPr>
          <w:tab/>
        </w:r>
        <w:r w:rsidR="00D259FC">
          <w:rPr>
            <w:noProof/>
            <w:webHidden/>
          </w:rPr>
          <w:fldChar w:fldCharType="begin"/>
        </w:r>
        <w:r w:rsidR="00D259FC">
          <w:rPr>
            <w:noProof/>
            <w:webHidden/>
          </w:rPr>
          <w:instrText xml:space="preserve"> PAGEREF _Toc530997423 \h </w:instrText>
        </w:r>
        <w:r w:rsidR="00D259FC">
          <w:rPr>
            <w:noProof/>
            <w:webHidden/>
          </w:rPr>
        </w:r>
        <w:r w:rsidR="00D259FC">
          <w:rPr>
            <w:noProof/>
            <w:webHidden/>
          </w:rPr>
          <w:fldChar w:fldCharType="separate"/>
        </w:r>
        <w:r w:rsidR="006D52C2">
          <w:rPr>
            <w:noProof/>
            <w:webHidden/>
          </w:rPr>
          <w:t>149</w:t>
        </w:r>
        <w:r w:rsidR="00D259FC">
          <w:rPr>
            <w:noProof/>
            <w:webHidden/>
          </w:rPr>
          <w:fldChar w:fldCharType="end"/>
        </w:r>
      </w:hyperlink>
    </w:p>
    <w:p w14:paraId="36DFE8CE"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4" w:history="1">
        <w:r w:rsidR="00D259FC" w:rsidRPr="00DA0262">
          <w:rPr>
            <w:rStyle w:val="Hyperlink"/>
            <w:noProof/>
          </w:rPr>
          <w:t>Figure 68. Mass gain data and 1DHDM predictions of EPON 862 at Different Relative Humidity</w:t>
        </w:r>
        <w:r w:rsidR="00D259FC">
          <w:rPr>
            <w:noProof/>
            <w:webHidden/>
          </w:rPr>
          <w:tab/>
        </w:r>
        <w:r w:rsidR="00D259FC">
          <w:rPr>
            <w:noProof/>
            <w:webHidden/>
          </w:rPr>
          <w:fldChar w:fldCharType="begin"/>
        </w:r>
        <w:r w:rsidR="00D259FC">
          <w:rPr>
            <w:noProof/>
            <w:webHidden/>
          </w:rPr>
          <w:instrText xml:space="preserve"> PAGEREF _Toc530997424 \h </w:instrText>
        </w:r>
        <w:r w:rsidR="00D259FC">
          <w:rPr>
            <w:noProof/>
            <w:webHidden/>
          </w:rPr>
        </w:r>
        <w:r w:rsidR="00D259FC">
          <w:rPr>
            <w:noProof/>
            <w:webHidden/>
          </w:rPr>
          <w:fldChar w:fldCharType="separate"/>
        </w:r>
        <w:r w:rsidR="006D52C2">
          <w:rPr>
            <w:noProof/>
            <w:webHidden/>
          </w:rPr>
          <w:t>164</w:t>
        </w:r>
        <w:r w:rsidR="00D259FC">
          <w:rPr>
            <w:noProof/>
            <w:webHidden/>
          </w:rPr>
          <w:fldChar w:fldCharType="end"/>
        </w:r>
      </w:hyperlink>
    </w:p>
    <w:p w14:paraId="46F2FDA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5" w:history="1">
        <w:r w:rsidR="00D259FC" w:rsidRPr="00DA0262">
          <w:rPr>
            <w:rStyle w:val="Hyperlink"/>
            <w:noProof/>
          </w:rPr>
          <w:t>Figure 69. Change of diffusion coefficients with relative humidity</w:t>
        </w:r>
        <w:r w:rsidR="00D259FC">
          <w:rPr>
            <w:noProof/>
            <w:webHidden/>
          </w:rPr>
          <w:tab/>
        </w:r>
        <w:r w:rsidR="00D259FC">
          <w:rPr>
            <w:noProof/>
            <w:webHidden/>
          </w:rPr>
          <w:fldChar w:fldCharType="begin"/>
        </w:r>
        <w:r w:rsidR="00D259FC">
          <w:rPr>
            <w:noProof/>
            <w:webHidden/>
          </w:rPr>
          <w:instrText xml:space="preserve"> PAGEREF _Toc530997425 \h </w:instrText>
        </w:r>
        <w:r w:rsidR="00D259FC">
          <w:rPr>
            <w:noProof/>
            <w:webHidden/>
          </w:rPr>
        </w:r>
        <w:r w:rsidR="00D259FC">
          <w:rPr>
            <w:noProof/>
            <w:webHidden/>
          </w:rPr>
          <w:fldChar w:fldCharType="separate"/>
        </w:r>
        <w:r w:rsidR="006D52C2">
          <w:rPr>
            <w:noProof/>
            <w:webHidden/>
          </w:rPr>
          <w:t>164</w:t>
        </w:r>
        <w:r w:rsidR="00D259FC">
          <w:rPr>
            <w:noProof/>
            <w:webHidden/>
          </w:rPr>
          <w:fldChar w:fldCharType="end"/>
        </w:r>
      </w:hyperlink>
    </w:p>
    <w:p w14:paraId="72FAC3B1"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6" w:history="1">
        <w:r w:rsidR="00D259FC" w:rsidRPr="00DA0262">
          <w:rPr>
            <w:rStyle w:val="Hyperlink"/>
            <w:noProof/>
          </w:rPr>
          <w:t>Figure 70. Change in maximum moisture content with relative humidity</w:t>
        </w:r>
        <w:r w:rsidR="00D259FC">
          <w:rPr>
            <w:noProof/>
            <w:webHidden/>
          </w:rPr>
          <w:tab/>
        </w:r>
        <w:r w:rsidR="00D259FC">
          <w:rPr>
            <w:noProof/>
            <w:webHidden/>
          </w:rPr>
          <w:fldChar w:fldCharType="begin"/>
        </w:r>
        <w:r w:rsidR="00D259FC">
          <w:rPr>
            <w:noProof/>
            <w:webHidden/>
          </w:rPr>
          <w:instrText xml:space="preserve"> PAGEREF _Toc530997426 \h </w:instrText>
        </w:r>
        <w:r w:rsidR="00D259FC">
          <w:rPr>
            <w:noProof/>
            <w:webHidden/>
          </w:rPr>
        </w:r>
        <w:r w:rsidR="00D259FC">
          <w:rPr>
            <w:noProof/>
            <w:webHidden/>
          </w:rPr>
          <w:fldChar w:fldCharType="separate"/>
        </w:r>
        <w:r w:rsidR="006D52C2">
          <w:rPr>
            <w:noProof/>
            <w:webHidden/>
          </w:rPr>
          <w:t>165</w:t>
        </w:r>
        <w:r w:rsidR="00D259FC">
          <w:rPr>
            <w:noProof/>
            <w:webHidden/>
          </w:rPr>
          <w:fldChar w:fldCharType="end"/>
        </w:r>
      </w:hyperlink>
    </w:p>
    <w:p w14:paraId="19324215"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7" w:history="1">
        <w:r w:rsidR="00D259FC" w:rsidRPr="00DA0262">
          <w:rPr>
            <w:rStyle w:val="Hyperlink"/>
            <w:noProof/>
          </w:rPr>
          <w:t xml:space="preserve">Figure 71. Change in </w:t>
        </w:r>
        <w:r w:rsidR="00D259FC" w:rsidRPr="00DA0262">
          <w:rPr>
            <w:rStyle w:val="Hyperlink"/>
            <w:i/>
            <w:noProof/>
          </w:rPr>
          <w:t>a)</w:t>
        </w:r>
        <w:r w:rsidR="00D259FC" w:rsidRPr="00DA0262">
          <w:rPr>
            <w:rStyle w:val="Hyperlink"/>
            <w:noProof/>
          </w:rPr>
          <w:t xml:space="preserve">the rate of bound molecule to become unbound </w:t>
        </w:r>
        <w:r w:rsidR="00D259FC" w:rsidRPr="00DA0262">
          <w:rPr>
            <w:rStyle w:val="Hyperlink"/>
            <w:i/>
            <w:noProof/>
          </w:rPr>
          <w:t>b)</w:t>
        </w:r>
        <w:r w:rsidR="00D259FC" w:rsidRPr="00DA0262">
          <w:rPr>
            <w:rStyle w:val="Hyperlink"/>
            <w:noProof/>
          </w:rPr>
          <w:t xml:space="preserve">the rate of unbound molecule to become bound </w:t>
        </w:r>
        <w:r w:rsidR="00D259FC" w:rsidRPr="00DA0262">
          <w:rPr>
            <w:rStyle w:val="Hyperlink"/>
            <w:i/>
            <w:noProof/>
          </w:rPr>
          <w:t>c)</w:t>
        </w:r>
        <w:r w:rsidR="00D259FC" w:rsidRPr="00DA0262">
          <w:rPr>
            <w:rStyle w:val="Hyperlink"/>
            <w:noProof/>
          </w:rPr>
          <w:t>hindrance coefficient with relative humidity</w:t>
        </w:r>
        <w:r w:rsidR="00D259FC">
          <w:rPr>
            <w:noProof/>
            <w:webHidden/>
          </w:rPr>
          <w:tab/>
        </w:r>
        <w:r w:rsidR="00D259FC">
          <w:rPr>
            <w:noProof/>
            <w:webHidden/>
          </w:rPr>
          <w:fldChar w:fldCharType="begin"/>
        </w:r>
        <w:r w:rsidR="00D259FC">
          <w:rPr>
            <w:noProof/>
            <w:webHidden/>
          </w:rPr>
          <w:instrText xml:space="preserve"> PAGEREF _Toc530997427 \h </w:instrText>
        </w:r>
        <w:r w:rsidR="00D259FC">
          <w:rPr>
            <w:noProof/>
            <w:webHidden/>
          </w:rPr>
        </w:r>
        <w:r w:rsidR="00D259FC">
          <w:rPr>
            <w:noProof/>
            <w:webHidden/>
          </w:rPr>
          <w:fldChar w:fldCharType="separate"/>
        </w:r>
        <w:r w:rsidR="006D52C2">
          <w:rPr>
            <w:noProof/>
            <w:webHidden/>
          </w:rPr>
          <w:t>166</w:t>
        </w:r>
        <w:r w:rsidR="00D259FC">
          <w:rPr>
            <w:noProof/>
            <w:webHidden/>
          </w:rPr>
          <w:fldChar w:fldCharType="end"/>
        </w:r>
      </w:hyperlink>
    </w:p>
    <w:p w14:paraId="381DDEF2"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8" w:history="1">
        <w:r w:rsidR="00D259FC" w:rsidRPr="00DA0262">
          <w:rPr>
            <w:rStyle w:val="Hyperlink"/>
            <w:noProof/>
          </w:rPr>
          <w:t>Figure 72. Flexural modulus of samples conditioned at different relative humidity levels</w:t>
        </w:r>
        <w:r w:rsidR="00D259FC">
          <w:rPr>
            <w:noProof/>
            <w:webHidden/>
          </w:rPr>
          <w:tab/>
        </w:r>
        <w:r w:rsidR="00D259FC">
          <w:rPr>
            <w:noProof/>
            <w:webHidden/>
          </w:rPr>
          <w:fldChar w:fldCharType="begin"/>
        </w:r>
        <w:r w:rsidR="00D259FC">
          <w:rPr>
            <w:noProof/>
            <w:webHidden/>
          </w:rPr>
          <w:instrText xml:space="preserve"> PAGEREF _Toc530997428 \h </w:instrText>
        </w:r>
        <w:r w:rsidR="00D259FC">
          <w:rPr>
            <w:noProof/>
            <w:webHidden/>
          </w:rPr>
        </w:r>
        <w:r w:rsidR="00D259FC">
          <w:rPr>
            <w:noProof/>
            <w:webHidden/>
          </w:rPr>
          <w:fldChar w:fldCharType="separate"/>
        </w:r>
        <w:r w:rsidR="006D52C2">
          <w:rPr>
            <w:noProof/>
            <w:webHidden/>
          </w:rPr>
          <w:t>167</w:t>
        </w:r>
        <w:r w:rsidR="00D259FC">
          <w:rPr>
            <w:noProof/>
            <w:webHidden/>
          </w:rPr>
          <w:fldChar w:fldCharType="end"/>
        </w:r>
      </w:hyperlink>
    </w:p>
    <w:p w14:paraId="6CFEB00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29" w:history="1">
        <w:r w:rsidR="00D259FC" w:rsidRPr="00DA0262">
          <w:rPr>
            <w:rStyle w:val="Hyperlink"/>
            <w:noProof/>
          </w:rPr>
          <w:t>Figure 73. The correlation between the flexural modulus and maximum moisture content</w:t>
        </w:r>
        <w:r w:rsidR="00D259FC">
          <w:rPr>
            <w:noProof/>
            <w:webHidden/>
          </w:rPr>
          <w:tab/>
        </w:r>
        <w:r w:rsidR="00D259FC">
          <w:rPr>
            <w:noProof/>
            <w:webHidden/>
          </w:rPr>
          <w:fldChar w:fldCharType="begin"/>
        </w:r>
        <w:r w:rsidR="00D259FC">
          <w:rPr>
            <w:noProof/>
            <w:webHidden/>
          </w:rPr>
          <w:instrText xml:space="preserve"> PAGEREF _Toc530997429 \h </w:instrText>
        </w:r>
        <w:r w:rsidR="00D259FC">
          <w:rPr>
            <w:noProof/>
            <w:webHidden/>
          </w:rPr>
        </w:r>
        <w:r w:rsidR="00D259FC">
          <w:rPr>
            <w:noProof/>
            <w:webHidden/>
          </w:rPr>
          <w:fldChar w:fldCharType="separate"/>
        </w:r>
        <w:r w:rsidR="006D52C2">
          <w:rPr>
            <w:noProof/>
            <w:webHidden/>
          </w:rPr>
          <w:t>168</w:t>
        </w:r>
        <w:r w:rsidR="00D259FC">
          <w:rPr>
            <w:noProof/>
            <w:webHidden/>
          </w:rPr>
          <w:fldChar w:fldCharType="end"/>
        </w:r>
      </w:hyperlink>
    </w:p>
    <w:p w14:paraId="01B496C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0" w:history="1">
        <w:r w:rsidR="00D259FC" w:rsidRPr="00DA0262">
          <w:rPr>
            <w:rStyle w:val="Hyperlink"/>
            <w:noProof/>
          </w:rPr>
          <w:t>Figure 74. Maximum moisture content of samples conditioned at 20%, 50% and 80% relative humidity on the mass uptake cure of immersed samples</w:t>
        </w:r>
        <w:r w:rsidR="00D259FC">
          <w:rPr>
            <w:noProof/>
            <w:webHidden/>
          </w:rPr>
          <w:tab/>
        </w:r>
        <w:r w:rsidR="00D259FC">
          <w:rPr>
            <w:noProof/>
            <w:webHidden/>
          </w:rPr>
          <w:fldChar w:fldCharType="begin"/>
        </w:r>
        <w:r w:rsidR="00D259FC">
          <w:rPr>
            <w:noProof/>
            <w:webHidden/>
          </w:rPr>
          <w:instrText xml:space="preserve"> PAGEREF _Toc530997430 \h </w:instrText>
        </w:r>
        <w:r w:rsidR="00D259FC">
          <w:rPr>
            <w:noProof/>
            <w:webHidden/>
          </w:rPr>
        </w:r>
        <w:r w:rsidR="00D259FC">
          <w:rPr>
            <w:noProof/>
            <w:webHidden/>
          </w:rPr>
          <w:fldChar w:fldCharType="separate"/>
        </w:r>
        <w:r w:rsidR="006D52C2">
          <w:rPr>
            <w:noProof/>
            <w:webHidden/>
          </w:rPr>
          <w:t>171</w:t>
        </w:r>
        <w:r w:rsidR="00D259FC">
          <w:rPr>
            <w:noProof/>
            <w:webHidden/>
          </w:rPr>
          <w:fldChar w:fldCharType="end"/>
        </w:r>
      </w:hyperlink>
    </w:p>
    <w:p w14:paraId="0809F33E"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1" w:history="1">
        <w:r w:rsidR="00D259FC" w:rsidRPr="00DA0262">
          <w:rPr>
            <w:rStyle w:val="Hyperlink"/>
            <w:noProof/>
          </w:rPr>
          <w:t>Figure 75. Comparison between the transient and saturation moisture concentration</w:t>
        </w:r>
        <w:r w:rsidR="00D259FC">
          <w:rPr>
            <w:noProof/>
            <w:webHidden/>
          </w:rPr>
          <w:tab/>
        </w:r>
        <w:r w:rsidR="00D259FC">
          <w:rPr>
            <w:noProof/>
            <w:webHidden/>
          </w:rPr>
          <w:fldChar w:fldCharType="begin"/>
        </w:r>
        <w:r w:rsidR="00D259FC">
          <w:rPr>
            <w:noProof/>
            <w:webHidden/>
          </w:rPr>
          <w:instrText xml:space="preserve"> PAGEREF _Toc530997431 \h </w:instrText>
        </w:r>
        <w:r w:rsidR="00D259FC">
          <w:rPr>
            <w:noProof/>
            <w:webHidden/>
          </w:rPr>
        </w:r>
        <w:r w:rsidR="00D259FC">
          <w:rPr>
            <w:noProof/>
            <w:webHidden/>
          </w:rPr>
          <w:fldChar w:fldCharType="separate"/>
        </w:r>
        <w:r w:rsidR="006D52C2">
          <w:rPr>
            <w:noProof/>
            <w:webHidden/>
          </w:rPr>
          <w:t>173</w:t>
        </w:r>
        <w:r w:rsidR="00D259FC">
          <w:rPr>
            <w:noProof/>
            <w:webHidden/>
          </w:rPr>
          <w:fldChar w:fldCharType="end"/>
        </w:r>
      </w:hyperlink>
    </w:p>
    <w:p w14:paraId="00C550E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2" w:history="1">
        <w:r w:rsidR="00D259FC" w:rsidRPr="00DA0262">
          <w:rPr>
            <w:rStyle w:val="Hyperlink"/>
            <w:noProof/>
          </w:rPr>
          <w:t>Figure 76. Comparison between the modulus distribution during moisture absorption and at corresponding saturation level</w:t>
        </w:r>
        <w:r w:rsidR="00D259FC">
          <w:rPr>
            <w:noProof/>
            <w:webHidden/>
          </w:rPr>
          <w:tab/>
        </w:r>
        <w:r w:rsidR="00D259FC">
          <w:rPr>
            <w:noProof/>
            <w:webHidden/>
          </w:rPr>
          <w:fldChar w:fldCharType="begin"/>
        </w:r>
        <w:r w:rsidR="00D259FC">
          <w:rPr>
            <w:noProof/>
            <w:webHidden/>
          </w:rPr>
          <w:instrText xml:space="preserve"> PAGEREF _Toc530997432 \h </w:instrText>
        </w:r>
        <w:r w:rsidR="00D259FC">
          <w:rPr>
            <w:noProof/>
            <w:webHidden/>
          </w:rPr>
        </w:r>
        <w:r w:rsidR="00D259FC">
          <w:rPr>
            <w:noProof/>
            <w:webHidden/>
          </w:rPr>
          <w:fldChar w:fldCharType="separate"/>
        </w:r>
        <w:r w:rsidR="006D52C2">
          <w:rPr>
            <w:noProof/>
            <w:webHidden/>
          </w:rPr>
          <w:t>173</w:t>
        </w:r>
        <w:r w:rsidR="00D259FC">
          <w:rPr>
            <w:noProof/>
            <w:webHidden/>
          </w:rPr>
          <w:fldChar w:fldCharType="end"/>
        </w:r>
      </w:hyperlink>
    </w:p>
    <w:p w14:paraId="2CBE051B"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3" w:history="1">
        <w:r w:rsidR="00D259FC" w:rsidRPr="00DA0262">
          <w:rPr>
            <w:rStyle w:val="Hyperlink"/>
            <w:noProof/>
          </w:rPr>
          <w:t>Figure 77. Variation in elastic modulus and mass gain due to moisture absorption into EPON 862</w:t>
        </w:r>
        <w:r w:rsidR="00D259FC">
          <w:rPr>
            <w:noProof/>
            <w:webHidden/>
          </w:rPr>
          <w:tab/>
        </w:r>
        <w:r w:rsidR="00D259FC">
          <w:rPr>
            <w:noProof/>
            <w:webHidden/>
          </w:rPr>
          <w:fldChar w:fldCharType="begin"/>
        </w:r>
        <w:r w:rsidR="00D259FC">
          <w:rPr>
            <w:noProof/>
            <w:webHidden/>
          </w:rPr>
          <w:instrText xml:space="preserve"> PAGEREF _Toc530997433 \h </w:instrText>
        </w:r>
        <w:r w:rsidR="00D259FC">
          <w:rPr>
            <w:noProof/>
            <w:webHidden/>
          </w:rPr>
        </w:r>
        <w:r w:rsidR="00D259FC">
          <w:rPr>
            <w:noProof/>
            <w:webHidden/>
          </w:rPr>
          <w:fldChar w:fldCharType="separate"/>
        </w:r>
        <w:r w:rsidR="006D52C2">
          <w:rPr>
            <w:noProof/>
            <w:webHidden/>
          </w:rPr>
          <w:t>174</w:t>
        </w:r>
        <w:r w:rsidR="00D259FC">
          <w:rPr>
            <w:noProof/>
            <w:webHidden/>
          </w:rPr>
          <w:fldChar w:fldCharType="end"/>
        </w:r>
      </w:hyperlink>
    </w:p>
    <w:p w14:paraId="10D69ACF"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4" w:history="1">
        <w:r w:rsidR="00D259FC" w:rsidRPr="00DA0262">
          <w:rPr>
            <w:rStyle w:val="Hyperlink"/>
            <w:noProof/>
          </w:rPr>
          <w:t>Figure 78. Variation in elastic modulus and mass gain due to moisture absorption into polyamide-6.6</w:t>
        </w:r>
        <w:r w:rsidR="00D259FC">
          <w:rPr>
            <w:noProof/>
            <w:webHidden/>
          </w:rPr>
          <w:tab/>
        </w:r>
        <w:r w:rsidR="00D259FC">
          <w:rPr>
            <w:noProof/>
            <w:webHidden/>
          </w:rPr>
          <w:fldChar w:fldCharType="begin"/>
        </w:r>
        <w:r w:rsidR="00D259FC">
          <w:rPr>
            <w:noProof/>
            <w:webHidden/>
          </w:rPr>
          <w:instrText xml:space="preserve"> PAGEREF _Toc530997434 \h </w:instrText>
        </w:r>
        <w:r w:rsidR="00D259FC">
          <w:rPr>
            <w:noProof/>
            <w:webHidden/>
          </w:rPr>
        </w:r>
        <w:r w:rsidR="00D259FC">
          <w:rPr>
            <w:noProof/>
            <w:webHidden/>
          </w:rPr>
          <w:fldChar w:fldCharType="separate"/>
        </w:r>
        <w:r w:rsidR="006D52C2">
          <w:rPr>
            <w:noProof/>
            <w:webHidden/>
          </w:rPr>
          <w:t>175</w:t>
        </w:r>
        <w:r w:rsidR="00D259FC">
          <w:rPr>
            <w:noProof/>
            <w:webHidden/>
          </w:rPr>
          <w:fldChar w:fldCharType="end"/>
        </w:r>
      </w:hyperlink>
    </w:p>
    <w:p w14:paraId="13FD9F8D"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5" w:history="1">
        <w:r w:rsidR="00D259FC" w:rsidRPr="00DA0262">
          <w:rPr>
            <w:rStyle w:val="Hyperlink"/>
            <w:noProof/>
          </w:rPr>
          <w:t>Figure 79. Mass gain data and 1DHDM predictions of BFRP and BGRP samples.</w:t>
        </w:r>
        <w:r w:rsidR="00D259FC">
          <w:rPr>
            <w:noProof/>
            <w:webHidden/>
          </w:rPr>
          <w:tab/>
        </w:r>
        <w:r w:rsidR="00D259FC">
          <w:rPr>
            <w:noProof/>
            <w:webHidden/>
          </w:rPr>
          <w:fldChar w:fldCharType="begin"/>
        </w:r>
        <w:r w:rsidR="00D259FC">
          <w:rPr>
            <w:noProof/>
            <w:webHidden/>
          </w:rPr>
          <w:instrText xml:space="preserve"> PAGEREF _Toc530997435 \h </w:instrText>
        </w:r>
        <w:r w:rsidR="00D259FC">
          <w:rPr>
            <w:noProof/>
            <w:webHidden/>
          </w:rPr>
        </w:r>
        <w:r w:rsidR="00D259FC">
          <w:rPr>
            <w:noProof/>
            <w:webHidden/>
          </w:rPr>
          <w:fldChar w:fldCharType="separate"/>
        </w:r>
        <w:r w:rsidR="006D52C2">
          <w:rPr>
            <w:noProof/>
            <w:webHidden/>
          </w:rPr>
          <w:t>177</w:t>
        </w:r>
        <w:r w:rsidR="00D259FC">
          <w:rPr>
            <w:noProof/>
            <w:webHidden/>
          </w:rPr>
          <w:fldChar w:fldCharType="end"/>
        </w:r>
      </w:hyperlink>
    </w:p>
    <w:p w14:paraId="03DEA3BA" w14:textId="77777777" w:rsidR="00D259FC" w:rsidRDefault="007B3686" w:rsidP="00D259FC">
      <w:pPr>
        <w:pStyle w:val="TableofFigures"/>
        <w:tabs>
          <w:tab w:val="right" w:leader="dot" w:pos="8630"/>
        </w:tabs>
        <w:ind w:firstLine="0"/>
        <w:rPr>
          <w:rFonts w:asciiTheme="minorHAnsi" w:hAnsiTheme="minorHAnsi"/>
          <w:noProof/>
          <w:sz w:val="22"/>
        </w:rPr>
      </w:pPr>
      <w:hyperlink w:anchor="_Toc530997436" w:history="1">
        <w:r w:rsidR="00D259FC" w:rsidRPr="00DA0262">
          <w:rPr>
            <w:rStyle w:val="Hyperlink"/>
            <w:noProof/>
          </w:rPr>
          <w:t>Figure 80. Transient elastic modulus data and model prediction of BFRP and BGRP composites</w:t>
        </w:r>
        <w:r w:rsidR="00D259FC">
          <w:rPr>
            <w:noProof/>
            <w:webHidden/>
          </w:rPr>
          <w:tab/>
        </w:r>
        <w:r w:rsidR="00D259FC">
          <w:rPr>
            <w:noProof/>
            <w:webHidden/>
          </w:rPr>
          <w:fldChar w:fldCharType="begin"/>
        </w:r>
        <w:r w:rsidR="00D259FC">
          <w:rPr>
            <w:noProof/>
            <w:webHidden/>
          </w:rPr>
          <w:instrText xml:space="preserve"> PAGEREF _Toc530997436 \h </w:instrText>
        </w:r>
        <w:r w:rsidR="00D259FC">
          <w:rPr>
            <w:noProof/>
            <w:webHidden/>
          </w:rPr>
        </w:r>
        <w:r w:rsidR="00D259FC">
          <w:rPr>
            <w:noProof/>
            <w:webHidden/>
          </w:rPr>
          <w:fldChar w:fldCharType="separate"/>
        </w:r>
        <w:r w:rsidR="006D52C2">
          <w:rPr>
            <w:noProof/>
            <w:webHidden/>
          </w:rPr>
          <w:t>178</w:t>
        </w:r>
        <w:r w:rsidR="00D259FC">
          <w:rPr>
            <w:noProof/>
            <w:webHidden/>
          </w:rPr>
          <w:fldChar w:fldCharType="end"/>
        </w:r>
      </w:hyperlink>
    </w:p>
    <w:p w14:paraId="0F3BDAF2" w14:textId="7EFBAB2B" w:rsidR="00D259FC" w:rsidRDefault="007B3686" w:rsidP="00D259FC">
      <w:pPr>
        <w:pStyle w:val="TableofFigures"/>
        <w:tabs>
          <w:tab w:val="right" w:leader="dot" w:pos="8630"/>
        </w:tabs>
        <w:ind w:firstLine="0"/>
        <w:rPr>
          <w:rFonts w:asciiTheme="minorHAnsi" w:hAnsiTheme="minorHAnsi"/>
          <w:noProof/>
          <w:sz w:val="22"/>
        </w:rPr>
      </w:pPr>
      <w:hyperlink w:anchor="_Toc530997437" w:history="1">
        <w:r w:rsidR="00D259FC" w:rsidRPr="00DA0262">
          <w:rPr>
            <w:rStyle w:val="Hyperlink"/>
            <w:noProof/>
          </w:rPr>
          <w:t xml:space="preserve">Figure 81. Variation in elastic modulus and mass gain due to moisture absorption into </w:t>
        </w:r>
        <w:r w:rsidR="00CD7F12">
          <w:rPr>
            <w:rStyle w:val="Hyperlink"/>
            <w:noProof/>
          </w:rPr>
          <w:br/>
        </w:r>
        <w:r w:rsidR="00D259FC" w:rsidRPr="00DA0262">
          <w:rPr>
            <w:rStyle w:val="Hyperlink"/>
            <w:noProof/>
          </w:rPr>
          <w:t>nylon 6</w:t>
        </w:r>
        <w:r w:rsidR="00D259FC">
          <w:rPr>
            <w:noProof/>
            <w:webHidden/>
          </w:rPr>
          <w:tab/>
        </w:r>
        <w:r w:rsidR="00D259FC">
          <w:rPr>
            <w:noProof/>
            <w:webHidden/>
          </w:rPr>
          <w:fldChar w:fldCharType="begin"/>
        </w:r>
        <w:r w:rsidR="00D259FC">
          <w:rPr>
            <w:noProof/>
            <w:webHidden/>
          </w:rPr>
          <w:instrText xml:space="preserve"> PAGEREF _Toc530997437 \h </w:instrText>
        </w:r>
        <w:r w:rsidR="00D259FC">
          <w:rPr>
            <w:noProof/>
            <w:webHidden/>
          </w:rPr>
        </w:r>
        <w:r w:rsidR="00D259FC">
          <w:rPr>
            <w:noProof/>
            <w:webHidden/>
          </w:rPr>
          <w:fldChar w:fldCharType="separate"/>
        </w:r>
        <w:r w:rsidR="006D52C2">
          <w:rPr>
            <w:noProof/>
            <w:webHidden/>
          </w:rPr>
          <w:t>179</w:t>
        </w:r>
        <w:r w:rsidR="00D259FC">
          <w:rPr>
            <w:noProof/>
            <w:webHidden/>
          </w:rPr>
          <w:fldChar w:fldCharType="end"/>
        </w:r>
      </w:hyperlink>
    </w:p>
    <w:p w14:paraId="43A6E2CE" w14:textId="71528617" w:rsidR="00E03D3D" w:rsidRPr="00CD597A" w:rsidRDefault="00E26C06" w:rsidP="00E26C06">
      <w:pPr>
        <w:rPr>
          <w:rFonts w:cs="Times New Roman"/>
          <w:szCs w:val="24"/>
        </w:rPr>
        <w:sectPr w:rsidR="00E03D3D" w:rsidRPr="00CD597A" w:rsidSect="003970CD">
          <w:pgSz w:w="12240" w:h="15840"/>
          <w:pgMar w:top="1440" w:right="1440" w:bottom="1440" w:left="2160" w:header="720" w:footer="720" w:gutter="0"/>
          <w:pgNumType w:fmt="lowerRoman" w:start="12"/>
          <w:cols w:space="720"/>
          <w:docGrid w:linePitch="360"/>
        </w:sectPr>
      </w:pPr>
      <w:r w:rsidRPr="00CD597A">
        <w:fldChar w:fldCharType="end"/>
      </w:r>
    </w:p>
    <w:p w14:paraId="49562271" w14:textId="77777777" w:rsidR="00B128BF" w:rsidRDefault="00B128BF" w:rsidP="004749FF">
      <w:pPr>
        <w:pStyle w:val="Tableofcon"/>
        <w:sectPr w:rsidR="00B128BF" w:rsidSect="00C46E11">
          <w:type w:val="continuous"/>
          <w:pgSz w:w="12240" w:h="15840"/>
          <w:pgMar w:top="1440" w:right="1440" w:bottom="1440" w:left="2160" w:header="720" w:footer="720" w:gutter="0"/>
          <w:pgNumType w:fmt="lowerRoman" w:start="16"/>
          <w:cols w:space="720"/>
          <w:docGrid w:linePitch="360"/>
        </w:sectPr>
      </w:pPr>
    </w:p>
    <w:p w14:paraId="17C53723" w14:textId="284710A4" w:rsidR="00D60753" w:rsidRDefault="00C52882" w:rsidP="004749FF">
      <w:pPr>
        <w:pStyle w:val="Tableofcon"/>
      </w:pPr>
      <w:r w:rsidRPr="004749FF">
        <w:lastRenderedPageBreak/>
        <w:t>Abstract</w:t>
      </w:r>
    </w:p>
    <w:p w14:paraId="40CD9A24" w14:textId="1F34DDDF" w:rsidR="00810364" w:rsidRDefault="00907874" w:rsidP="00ED437B">
      <w:pPr>
        <w:rPr>
          <w:rFonts w:cs="Times New Roman"/>
          <w:szCs w:val="24"/>
        </w:rPr>
      </w:pPr>
      <w:r>
        <w:rPr>
          <w:rFonts w:cs="Times New Roman"/>
          <w:szCs w:val="24"/>
        </w:rPr>
        <w:t xml:space="preserve"> </w:t>
      </w:r>
      <w:r w:rsidR="002D3A39">
        <w:rPr>
          <w:rFonts w:cs="Times New Roman"/>
          <w:szCs w:val="24"/>
        </w:rPr>
        <w:t>Molecular diffusion i</w:t>
      </w:r>
      <w:r w:rsidR="002D3A39" w:rsidRPr="002D3A39">
        <w:rPr>
          <w:rFonts w:cs="Times New Roman"/>
          <w:szCs w:val="24"/>
        </w:rPr>
        <w:t>s the transfer or movement of individual molecules through a fluid</w:t>
      </w:r>
      <w:r w:rsidR="002D3A39">
        <w:rPr>
          <w:rFonts w:cs="Times New Roman"/>
          <w:szCs w:val="24"/>
        </w:rPr>
        <w:t xml:space="preserve"> or a solid</w:t>
      </w:r>
      <w:r w:rsidR="002D3A39" w:rsidRPr="002D3A39">
        <w:rPr>
          <w:rFonts w:cs="Times New Roman"/>
          <w:szCs w:val="24"/>
        </w:rPr>
        <w:t xml:space="preserve"> by means of random, individual movements of the molecules</w:t>
      </w:r>
      <w:r w:rsidR="002D3A39">
        <w:t>. Even though moisture can diffuse into all materials above the absolute zero temperature, p</w:t>
      </w:r>
      <w:r w:rsidR="009877BF">
        <w:t xml:space="preserve">olymers are </w:t>
      </w:r>
      <w:r w:rsidR="002D3A39">
        <w:t>particularly susceptible</w:t>
      </w:r>
      <w:r w:rsidR="009877BF">
        <w:t xml:space="preserve"> to moisture ingress in high</w:t>
      </w:r>
      <w:r w:rsidR="005A6B4E">
        <w:t>ly</w:t>
      </w:r>
      <w:r w:rsidR="009877BF">
        <w:t xml:space="preserve"> humid environments. </w:t>
      </w:r>
      <w:r w:rsidR="009877BF">
        <w:rPr>
          <w:rFonts w:cs="Times New Roman"/>
          <w:szCs w:val="24"/>
        </w:rPr>
        <w:t>Fickian or non-Fickian diffusion models have often been utilized</w:t>
      </w:r>
      <w:r w:rsidR="00B874C2" w:rsidRPr="00B874C2">
        <w:rPr>
          <w:rFonts w:cs="Times New Roman"/>
          <w:szCs w:val="24"/>
        </w:rPr>
        <w:t xml:space="preserve"> </w:t>
      </w:r>
      <w:r w:rsidR="00B874C2">
        <w:rPr>
          <w:rFonts w:cs="Times New Roman"/>
          <w:szCs w:val="24"/>
        </w:rPr>
        <w:t>to characterize the effect of moisture absorption</w:t>
      </w:r>
      <w:r w:rsidR="009877BF">
        <w:rPr>
          <w:rFonts w:cs="Times New Roman"/>
          <w:szCs w:val="24"/>
        </w:rPr>
        <w:t>.</w:t>
      </w:r>
      <w:r w:rsidR="00810364">
        <w:rPr>
          <w:rFonts w:cs="Times New Roman"/>
          <w:szCs w:val="24"/>
        </w:rPr>
        <w:t xml:space="preserve"> Type, orientation, and homogeneity of reinforcement and type, microstructure, and dimensions of polymer control the</w:t>
      </w:r>
      <w:r w:rsidR="009877BF">
        <w:rPr>
          <w:rFonts w:cs="Times New Roman"/>
          <w:szCs w:val="24"/>
        </w:rPr>
        <w:t xml:space="preserve"> </w:t>
      </w:r>
      <w:r w:rsidR="00810364">
        <w:rPr>
          <w:rFonts w:cs="Times New Roman"/>
          <w:szCs w:val="24"/>
        </w:rPr>
        <w:t>e</w:t>
      </w:r>
      <w:r w:rsidR="009877BF" w:rsidRPr="00810364">
        <w:rPr>
          <w:rFonts w:cs="Times New Roman"/>
          <w:szCs w:val="24"/>
        </w:rPr>
        <w:t>ffectiveness of each model on describing t</w:t>
      </w:r>
      <w:r w:rsidR="00810364" w:rsidRPr="00810364">
        <w:rPr>
          <w:rFonts w:cs="Times New Roman"/>
          <w:szCs w:val="24"/>
        </w:rPr>
        <w:t>he moisture absorption dynamics.</w:t>
      </w:r>
    </w:p>
    <w:p w14:paraId="2B341B59" w14:textId="7D5E3DC0" w:rsidR="00A43FFF" w:rsidRDefault="00D13730" w:rsidP="00ED437B">
      <w:r>
        <w:t xml:space="preserve">In </w:t>
      </w:r>
      <w:r w:rsidR="001B0575">
        <w:fldChar w:fldCharType="begin"/>
      </w:r>
      <w:r w:rsidR="001B0575">
        <w:instrText xml:space="preserve"> REF _Ref520894051 \r \h </w:instrText>
      </w:r>
      <w:r w:rsidR="001B0575">
        <w:fldChar w:fldCharType="separate"/>
      </w:r>
      <w:r w:rsidR="006D52C2">
        <w:t>Chapter 3</w:t>
      </w:r>
      <w:r w:rsidR="001B0575">
        <w:fldChar w:fldCharType="end"/>
      </w:r>
      <w:r w:rsidR="001B0575">
        <w:t xml:space="preserve"> </w:t>
      </w:r>
      <w:r>
        <w:t>of this dissertation, e</w:t>
      </w:r>
      <w:r w:rsidR="00ED437B">
        <w:t>ffect</w:t>
      </w:r>
      <w:r w:rsidR="00A5133D">
        <w:t>s</w:t>
      </w:r>
      <w:r w:rsidR="00ED437B">
        <w:t xml:space="preserve"> of additive content in I.30E nanoclay/DGEBA epoxy and I.30E nanoclay/DGEBF epoxy (EPON 862) nanocomposites, and APS or </w:t>
      </w:r>
      <w:proofErr w:type="spellStart"/>
      <w:r w:rsidR="00ED437B">
        <w:t>nBS</w:t>
      </w:r>
      <w:proofErr w:type="spellEnd"/>
      <w:r w:rsidR="00ED437B">
        <w:t xml:space="preserve"> treated glass sphere/DGEBA epoxy composites </w:t>
      </w:r>
      <w:r w:rsidR="00A5133D">
        <w:t>are</w:t>
      </w:r>
      <w:r w:rsidR="00ED437B">
        <w:t xml:space="preserve"> investigated using m</w:t>
      </w:r>
      <w:r w:rsidR="00E224EF">
        <w:t xml:space="preserve">oisture absorption </w:t>
      </w:r>
      <w:r w:rsidR="00ED437B">
        <w:t xml:space="preserve">data </w:t>
      </w:r>
      <w:r w:rsidR="00E224EF">
        <w:t xml:space="preserve">and </w:t>
      </w:r>
      <w:r w:rsidR="00A43FFF">
        <w:t>one-dimen</w:t>
      </w:r>
      <w:r w:rsidR="00ED437B">
        <w:t xml:space="preserve">sional hindered diffusion model. </w:t>
      </w:r>
      <w:r w:rsidR="00E224EF">
        <w:t>Impermeable additives</w:t>
      </w:r>
      <w:r w:rsidR="00A43FFF" w:rsidRPr="008A555B">
        <w:t xml:space="preserve"> in epoxy result</w:t>
      </w:r>
      <w:r w:rsidR="00A43FFF">
        <w:t>ed</w:t>
      </w:r>
      <w:r w:rsidR="00A43FFF" w:rsidRPr="008A555B">
        <w:t xml:space="preserve"> in a linear </w:t>
      </w:r>
      <w:r w:rsidR="00A43FFF">
        <w:t xml:space="preserve">decrease in diffusion coefficient with respect to the additive content following the rule of mixture. </w:t>
      </w:r>
      <w:r w:rsidR="00ED437B">
        <w:t>Impermeable additive</w:t>
      </w:r>
      <w:r w:rsidR="00DF5935">
        <w:t>s</w:t>
      </w:r>
      <w:r w:rsidR="00ED437B">
        <w:t xml:space="preserve"> also</w:t>
      </w:r>
      <w:r w:rsidR="00A43FFF">
        <w:t xml:space="preserve"> </w:t>
      </w:r>
      <w:r w:rsidR="00ED437B">
        <w:t>caused</w:t>
      </w:r>
      <w:r w:rsidR="00A43FFF">
        <w:t xml:space="preserve"> a linear decrease in</w:t>
      </w:r>
      <w:r>
        <w:t xml:space="preserve"> the </w:t>
      </w:r>
      <w:r w:rsidR="00A43FFF">
        <w:t xml:space="preserve">maximum moisture content of </w:t>
      </w:r>
      <w:r w:rsidR="00E224EF">
        <w:t xml:space="preserve">the </w:t>
      </w:r>
      <w:r w:rsidR="00A43FFF">
        <w:t>composites.</w:t>
      </w:r>
      <w:r w:rsidR="00ED437B">
        <w:t xml:space="preserve"> I.30E nanoclay addition into DGEBA epoxy lead to a more-Fickian absorption whereas increasing additive content in I.30E nanoclay/DGEBF epoxy (EPON 862) nanocomposite, and APS or </w:t>
      </w:r>
      <w:proofErr w:type="spellStart"/>
      <w:r w:rsidR="00ED437B">
        <w:t>nBS</w:t>
      </w:r>
      <w:proofErr w:type="spellEnd"/>
      <w:r w:rsidR="00ED437B">
        <w:t xml:space="preserve"> treated glass sphere/DGEBA epoxy composites shifted the absorption behavior to </w:t>
      </w:r>
      <w:r>
        <w:t xml:space="preserve">a </w:t>
      </w:r>
      <w:r w:rsidR="00ED437B">
        <w:t>more non-Fickian</w:t>
      </w:r>
      <w:r>
        <w:t xml:space="preserve"> behavior</w:t>
      </w:r>
      <w:r w:rsidR="00ED437B">
        <w:t xml:space="preserve">. </w:t>
      </w:r>
    </w:p>
    <w:p w14:paraId="6D66BD4F" w14:textId="2EE3DCCB" w:rsidR="00F45FBD" w:rsidRDefault="00D13730" w:rsidP="00ED437B">
      <w:r>
        <w:t>In</w:t>
      </w:r>
      <w:r w:rsidR="00CB7EF4">
        <w:t xml:space="preserve"> </w:t>
      </w:r>
      <w:r w:rsidR="00CB7EF4">
        <w:fldChar w:fldCharType="begin"/>
      </w:r>
      <w:r w:rsidR="00CB7EF4">
        <w:instrText xml:space="preserve"> REF _Ref520894051 \r \h </w:instrText>
      </w:r>
      <w:r w:rsidR="00CB7EF4">
        <w:fldChar w:fldCharType="separate"/>
      </w:r>
      <w:r w:rsidR="006D52C2">
        <w:t>Chapter 3</w:t>
      </w:r>
      <w:r w:rsidR="00CB7EF4">
        <w:fldChar w:fldCharType="end"/>
      </w:r>
      <w:r>
        <w:t>, c</w:t>
      </w:r>
      <w:r w:rsidR="00F45FBD">
        <w:t>apabilities of m</w:t>
      </w:r>
      <w:r w:rsidR="00F45FBD" w:rsidRPr="00F45FBD">
        <w:t>ultilayer hindered diffusion model, a modified version of hindered diffusion model considering the discrete change in absorption properties</w:t>
      </w:r>
      <w:r w:rsidR="00F45FBD">
        <w:t xml:space="preserve">, </w:t>
      </w:r>
      <w:r w:rsidR="00A5133D">
        <w:t>are</w:t>
      </w:r>
      <w:r w:rsidR="00F45FBD">
        <w:t xml:space="preserve"> tested by using the moisture absorption mass gain data of hollow glass sphere/EPON 862-</w:t>
      </w:r>
      <w:r w:rsidR="00F45FBD">
        <w:lastRenderedPageBreak/>
        <w:t xml:space="preserve">EPON 862 multilayer composites. </w:t>
      </w:r>
      <w:r>
        <w:t>It was shown that the m</w:t>
      </w:r>
      <w:r w:rsidR="00F45FBD" w:rsidRPr="00F45FBD">
        <w:t>ultilayer hindered diffusion model</w:t>
      </w:r>
      <w:r w:rsidR="00F45FBD">
        <w:t xml:space="preserve"> accurately recovered the absorption behavior of multilayer composites having different layer thicknesses.</w:t>
      </w:r>
    </w:p>
    <w:p w14:paraId="491ADFC6" w14:textId="75755412" w:rsidR="00166AFE" w:rsidRDefault="00D13730" w:rsidP="00166AFE">
      <w:r>
        <w:t>In</w:t>
      </w:r>
      <w:r w:rsidR="00CB7EF4">
        <w:t xml:space="preserve"> </w:t>
      </w:r>
      <w:r w:rsidR="00CB7EF4">
        <w:fldChar w:fldCharType="begin"/>
      </w:r>
      <w:r w:rsidR="00CB7EF4">
        <w:instrText xml:space="preserve"> REF _Ref520894063 \r \h </w:instrText>
      </w:r>
      <w:r w:rsidR="00CB7EF4">
        <w:fldChar w:fldCharType="separate"/>
      </w:r>
      <w:r w:rsidR="006D52C2">
        <w:t>Chapter 4</w:t>
      </w:r>
      <w:r w:rsidR="00CB7EF4">
        <w:fldChar w:fldCharType="end"/>
      </w:r>
      <w:r>
        <w:t>, h</w:t>
      </w:r>
      <w:r w:rsidR="00166AFE">
        <w:t xml:space="preserve">indered diffusion model </w:t>
      </w:r>
      <w:r>
        <w:t xml:space="preserve">was </w:t>
      </w:r>
      <w:r w:rsidR="00166AFE">
        <w:t xml:space="preserve">extended to </w:t>
      </w:r>
      <w:r>
        <w:t xml:space="preserve">a new </w:t>
      </w:r>
      <w:r w:rsidR="00166AFE" w:rsidRPr="00CB7EF4">
        <w:rPr>
          <w:i/>
        </w:rPr>
        <w:t>void filling</w:t>
      </w:r>
      <w:r w:rsidR="00166AFE">
        <w:t xml:space="preserve"> hindered diffusion model</w:t>
      </w:r>
      <w:r w:rsidR="00DF5935">
        <w:t xml:space="preserve"> to</w:t>
      </w:r>
      <w:r w:rsidR="00166AFE">
        <w:t xml:space="preserve"> </w:t>
      </w:r>
      <w:r w:rsidR="00806B05" w:rsidRPr="005A3E52">
        <w:rPr>
          <w:rFonts w:cs="Times New Roman"/>
          <w:szCs w:val="24"/>
        </w:rPr>
        <w:t xml:space="preserve">illustrate the effect of </w:t>
      </w:r>
      <w:r w:rsidR="00806B05">
        <w:rPr>
          <w:rFonts w:cs="Times New Roman"/>
          <w:szCs w:val="24"/>
        </w:rPr>
        <w:t>porosity and microstructure on moisture absorption</w:t>
      </w:r>
      <w:r w:rsidR="00806B05" w:rsidRPr="005A3E52">
        <w:rPr>
          <w:rFonts w:cs="Times New Roman"/>
          <w:szCs w:val="24"/>
        </w:rPr>
        <w:t>.</w:t>
      </w:r>
      <w:r w:rsidR="00806B05">
        <w:rPr>
          <w:rFonts w:cs="Times New Roman"/>
          <w:szCs w:val="24"/>
        </w:rPr>
        <w:t xml:space="preserve"> </w:t>
      </w:r>
      <w:r w:rsidR="00166AFE">
        <w:t xml:space="preserve">Moisture absorption tests on </w:t>
      </w:r>
      <w:r w:rsidR="00166AFE" w:rsidRPr="00E40180">
        <w:t>ROHACELL® WF-71</w:t>
      </w:r>
      <w:r w:rsidR="00166AFE">
        <w:t xml:space="preserve"> </w:t>
      </w:r>
      <w:r w:rsidR="00810364">
        <w:t xml:space="preserve">closed-cell foam </w:t>
      </w:r>
      <w:r w:rsidR="00166AFE">
        <w:t xml:space="preserve">showed </w:t>
      </w:r>
      <w:r w:rsidR="00810364">
        <w:t>up to 62% change in the maximum absorbed moisture due to</w:t>
      </w:r>
      <w:r w:rsidR="00166AFE">
        <w:t xml:space="preserve"> </w:t>
      </w:r>
      <w:r>
        <w:t xml:space="preserve">the effect of </w:t>
      </w:r>
      <w:r w:rsidR="00166AFE">
        <w:t>thickness of the foam.</w:t>
      </w:r>
      <w:r w:rsidR="00806B05">
        <w:t xml:space="preserve"> </w:t>
      </w:r>
      <w:r w:rsidR="00810364">
        <w:t>Thickness of closed-cell foams changes the foam porosity by t</w:t>
      </w:r>
      <w:r w:rsidR="00166AFE">
        <w:t xml:space="preserve">he </w:t>
      </w:r>
      <w:r w:rsidR="00FC6235">
        <w:t>open-cell</w:t>
      </w:r>
      <w:r>
        <w:t>s</w:t>
      </w:r>
      <w:r w:rsidR="00166AFE">
        <w:t xml:space="preserve"> on the surface to the closed</w:t>
      </w:r>
      <w:r w:rsidR="00810364">
        <w:t>-</w:t>
      </w:r>
      <w:r w:rsidR="00166AFE">
        <w:t>cell ratio.</w:t>
      </w:r>
      <w:r w:rsidR="00810364">
        <w:t xml:space="preserve"> The distinct absorption behaviors due to the thickness of foams are </w:t>
      </w:r>
      <w:r w:rsidR="00166AFE">
        <w:t xml:space="preserve">accurately predicted </w:t>
      </w:r>
      <w:r w:rsidR="00810364">
        <w:t>by the void filling hindered diffusion model by defining the moisture absorbed by the pores as trapped moisture. Effect</w:t>
      </w:r>
      <w:r w:rsidR="00DF5935">
        <w:t>s</w:t>
      </w:r>
      <w:r w:rsidR="00810364">
        <w:t xml:space="preserve"> of heat treatment and pressure on moistur</w:t>
      </w:r>
      <w:r w:rsidR="00DF5935">
        <w:t>e absorption behavior of foams are</w:t>
      </w:r>
      <w:r w:rsidR="00810364">
        <w:t xml:space="preserve"> also investigated. </w:t>
      </w:r>
      <w:r w:rsidR="00A5133D">
        <w:t>R</w:t>
      </w:r>
      <w:r w:rsidR="00810364">
        <w:t xml:space="preserve">esults of void filling hindered diffusion model predictions are found to be consistent with the experimental observation such as </w:t>
      </w:r>
      <w:r w:rsidR="00906E63">
        <w:t xml:space="preserve">decrease in </w:t>
      </w:r>
      <w:r w:rsidR="00810364">
        <w:t>cell s</w:t>
      </w:r>
      <w:r w:rsidR="00906E63">
        <w:t>ize</w:t>
      </w:r>
      <w:r w:rsidR="00810364">
        <w:t>, porosity</w:t>
      </w:r>
      <w:r>
        <w:t>,</w:t>
      </w:r>
      <w:r w:rsidR="00810364">
        <w:t xml:space="preserve"> and thickness.</w:t>
      </w:r>
    </w:p>
    <w:p w14:paraId="2EEF85FE" w14:textId="18353DAC" w:rsidR="002D3A39" w:rsidRDefault="00D13730" w:rsidP="00907874">
      <w:pPr>
        <w:rPr>
          <w:rFonts w:cs="Times New Roman"/>
          <w:szCs w:val="24"/>
        </w:rPr>
        <w:sectPr w:rsidR="002D3A39" w:rsidSect="003970CD">
          <w:pgSz w:w="12240" w:h="15840"/>
          <w:pgMar w:top="1440" w:right="1440" w:bottom="1440" w:left="2160" w:header="720" w:footer="720" w:gutter="0"/>
          <w:pgNumType w:fmt="lowerRoman" w:start="19"/>
          <w:cols w:space="720"/>
          <w:docGrid w:linePitch="360"/>
        </w:sectPr>
      </w:pPr>
      <w:r>
        <w:t>M</w:t>
      </w:r>
      <w:r w:rsidR="00E224EF">
        <w:t xml:space="preserve">oisture induced damage such as </w:t>
      </w:r>
      <w:r w:rsidR="00E224EF" w:rsidRPr="00DD5DDA">
        <w:rPr>
          <w:szCs w:val="24"/>
        </w:rPr>
        <w:t>swelling</w:t>
      </w:r>
      <w:r w:rsidR="00E224EF">
        <w:rPr>
          <w:szCs w:val="24"/>
        </w:rPr>
        <w:t>, micro cracks, delamination,</w:t>
      </w:r>
      <w:r w:rsidR="00E224EF" w:rsidRPr="00DD5DDA">
        <w:rPr>
          <w:szCs w:val="24"/>
        </w:rPr>
        <w:t xml:space="preserve"> residual stresses</w:t>
      </w:r>
      <w:r w:rsidR="00980A92">
        <w:rPr>
          <w:szCs w:val="24"/>
        </w:rPr>
        <w:t>,</w:t>
      </w:r>
      <w:r w:rsidR="00E224EF" w:rsidRPr="00407B39">
        <w:rPr>
          <w:szCs w:val="24"/>
        </w:rPr>
        <w:t xml:space="preserve"> </w:t>
      </w:r>
      <w:r w:rsidR="00E224EF">
        <w:rPr>
          <w:szCs w:val="24"/>
        </w:rPr>
        <w:t>and plasticization of the polymer limit the intended design life due to subsequent electrical, optical, thermal</w:t>
      </w:r>
      <w:r w:rsidR="00980A92">
        <w:rPr>
          <w:szCs w:val="24"/>
        </w:rPr>
        <w:t>,</w:t>
      </w:r>
      <w:r w:rsidR="00E224EF">
        <w:rPr>
          <w:szCs w:val="24"/>
        </w:rPr>
        <w:t xml:space="preserve"> and </w:t>
      </w:r>
      <w:r w:rsidR="00E224EF" w:rsidRPr="00494575">
        <w:rPr>
          <w:szCs w:val="24"/>
        </w:rPr>
        <w:t xml:space="preserve">mechanical </w:t>
      </w:r>
      <w:r w:rsidR="00E224EF">
        <w:rPr>
          <w:szCs w:val="24"/>
        </w:rPr>
        <w:t xml:space="preserve">property changes. </w:t>
      </w:r>
      <w:r>
        <w:rPr>
          <w:szCs w:val="24"/>
        </w:rPr>
        <w:t>In</w:t>
      </w:r>
      <w:r w:rsidR="00CB7EF4">
        <w:rPr>
          <w:szCs w:val="24"/>
        </w:rPr>
        <w:t xml:space="preserve"> </w:t>
      </w:r>
      <w:r w:rsidR="00CB7EF4">
        <w:rPr>
          <w:szCs w:val="24"/>
        </w:rPr>
        <w:fldChar w:fldCharType="begin"/>
      </w:r>
      <w:r w:rsidR="00CB7EF4">
        <w:rPr>
          <w:szCs w:val="24"/>
        </w:rPr>
        <w:instrText xml:space="preserve"> REF _Ref520893882 \r \h </w:instrText>
      </w:r>
      <w:r w:rsidR="00CB7EF4">
        <w:rPr>
          <w:szCs w:val="24"/>
        </w:rPr>
      </w:r>
      <w:r w:rsidR="00CB7EF4">
        <w:rPr>
          <w:szCs w:val="24"/>
        </w:rPr>
        <w:fldChar w:fldCharType="separate"/>
      </w:r>
      <w:r w:rsidR="006D52C2">
        <w:rPr>
          <w:szCs w:val="24"/>
        </w:rPr>
        <w:t>Chapter 5</w:t>
      </w:r>
      <w:r w:rsidR="00CB7EF4">
        <w:rPr>
          <w:szCs w:val="24"/>
        </w:rPr>
        <w:fldChar w:fldCharType="end"/>
      </w:r>
      <w:r>
        <w:rPr>
          <w:szCs w:val="24"/>
        </w:rPr>
        <w:t xml:space="preserve">, </w:t>
      </w:r>
      <w:r>
        <w:t>a</w:t>
      </w:r>
      <w:r w:rsidR="002D3A39">
        <w:t xml:space="preserve"> new comprehensive modulus degradation model where the modulus varies inversely linear with the moisture concentration is introduced</w:t>
      </w:r>
      <w:r w:rsidR="00410E88">
        <w:t xml:space="preserve"> and validated by</w:t>
      </w:r>
      <w:r w:rsidR="002D3A39">
        <w:t xml:space="preserve"> </w:t>
      </w:r>
      <w:r w:rsidR="00410E88">
        <w:t>e</w:t>
      </w:r>
      <w:r w:rsidR="002D3A39">
        <w:t>xperimental data of tensile or flexural modulus and moisture absorption from three different published studies</w:t>
      </w:r>
      <w:r w:rsidR="00410E88">
        <w:t>.</w:t>
      </w:r>
    </w:p>
    <w:p w14:paraId="6CB2DC3F" w14:textId="77777777" w:rsidR="00B128BF" w:rsidRDefault="00B128BF" w:rsidP="00C730E9">
      <w:pPr>
        <w:pStyle w:val="Heading1"/>
        <w:sectPr w:rsidR="00B128BF" w:rsidSect="00C46E11">
          <w:type w:val="continuous"/>
          <w:pgSz w:w="12240" w:h="15840"/>
          <w:pgMar w:top="1440" w:right="1440" w:bottom="1440" w:left="2160" w:header="720" w:footer="720" w:gutter="0"/>
          <w:pgNumType w:start="1"/>
          <w:cols w:space="720"/>
          <w:docGrid w:linePitch="360"/>
        </w:sectPr>
      </w:pPr>
      <w:bookmarkStart w:id="4" w:name="_Ref523397939"/>
    </w:p>
    <w:p w14:paraId="55D6C2CC" w14:textId="31C6C24E" w:rsidR="006A743A" w:rsidRDefault="008C231E" w:rsidP="00C730E9">
      <w:pPr>
        <w:pStyle w:val="Heading1"/>
      </w:pPr>
      <w:bookmarkStart w:id="5" w:name="_Toc531943725"/>
      <w:r>
        <w:lastRenderedPageBreak/>
        <w:t>Introduction</w:t>
      </w:r>
      <w:bookmarkEnd w:id="4"/>
      <w:bookmarkEnd w:id="5"/>
    </w:p>
    <w:p w14:paraId="423170B6" w14:textId="75F7F9EA" w:rsidR="00F77E87" w:rsidRPr="00C730E9" w:rsidRDefault="00D2198E" w:rsidP="008C52C1">
      <w:r>
        <w:t>Thermal motion of all fluid particles above absolute zero is called molecular diffusion. Diffusion helps to define the flow of particles from a low concentration medium to high concentration one when there is a concentration difference between systems. When the concentration gradient between the systems is zero</w:t>
      </w:r>
      <w:r w:rsidR="00AC540E">
        <w:t>,</w:t>
      </w:r>
      <w:r>
        <w:t xml:space="preserve"> diffusion is reduced to self-diffusion which is random molecular motion</w:t>
      </w:r>
      <w:r w:rsidR="00263A3C">
        <w:t xml:space="preserve"> (</w:t>
      </w:r>
      <w:r>
        <w:t>Brownian motion</w:t>
      </w:r>
      <w:r w:rsidR="00263A3C">
        <w:t>)</w:t>
      </w:r>
      <w:r>
        <w:t xml:space="preserve"> where </w:t>
      </w:r>
      <w:r w:rsidR="00263A3C">
        <w:t xml:space="preserve">the </w:t>
      </w:r>
      <w:r>
        <w:t xml:space="preserve">net flux is zero. In this case, the penetrating molecules are uniformly distributed in the medium and the system is in equilibrium. The rate of movement of fluid particles depends on the viscosity of the fluid, temperature and molecular size of the particles. Thus, penetrating molecules and </w:t>
      </w:r>
      <w:r w:rsidR="000428E0">
        <w:t>environmental conditions result</w:t>
      </w:r>
      <w:r>
        <w:t xml:space="preserve"> in distinctive molecular diffusion</w:t>
      </w:r>
      <w:r w:rsidR="00263A3C">
        <w:t xml:space="preserve"> for each medium</w:t>
      </w:r>
      <w:r>
        <w:t>.</w:t>
      </w:r>
    </w:p>
    <w:p w14:paraId="3C51ACAE" w14:textId="767902CC" w:rsidR="00D2198E" w:rsidRDefault="007021F2" w:rsidP="00BB2C1B">
      <w:pPr>
        <w:pStyle w:val="Heading2"/>
        <w:rPr>
          <w:rFonts w:eastAsiaTheme="minorEastAsia"/>
        </w:rPr>
      </w:pPr>
      <w:bookmarkStart w:id="6" w:name="_Toc531943726"/>
      <w:r>
        <w:rPr>
          <w:rFonts w:eastAsiaTheme="minorEastAsia"/>
        </w:rPr>
        <w:t xml:space="preserve">1.1. </w:t>
      </w:r>
      <w:r w:rsidR="00D2198E">
        <w:rPr>
          <w:rFonts w:eastAsiaTheme="minorEastAsia"/>
        </w:rPr>
        <w:t>Factors Effecting Liquid Absorption in Polymers and Polymer Composites</w:t>
      </w:r>
      <w:bookmarkEnd w:id="6"/>
    </w:p>
    <w:p w14:paraId="245A56C5" w14:textId="04D21FA9" w:rsidR="00D2198E" w:rsidRDefault="00D2198E" w:rsidP="00C730E9">
      <w:r>
        <w:t xml:space="preserve">Polymers and polymer composites are well-known for their susceptibility to absorb different types of liquids due to their organic molecular structure. Water molecules are </w:t>
      </w:r>
      <w:r w:rsidR="00A5133D">
        <w:t>one of</w:t>
      </w:r>
      <w:r>
        <w:t xml:space="preserve"> the smallest and readily available liquid penetrant. </w:t>
      </w:r>
      <w:r w:rsidR="00263A3C">
        <w:t>Utilization</w:t>
      </w:r>
      <w:r>
        <w:t xml:space="preserve"> of polymers in wet and humid environment results in water absorption into the various </w:t>
      </w:r>
      <w:r w:rsidRPr="001C2267">
        <w:t>polymers</w:t>
      </w:r>
      <w:r w:rsidR="00263A3C">
        <w:t xml:space="preserve">, ranging from </w:t>
      </w:r>
      <w:r w:rsidR="00095966">
        <w:t>0.1 wt.% to more than 1000 wt.%</w:t>
      </w:r>
      <w:r>
        <w:t xml:space="preserve"> </w:t>
      </w:r>
      <w:r>
        <w:fldChar w:fldCharType="begin" w:fldLock="1"/>
      </w:r>
      <w:r w:rsidR="00430285">
        <w:instrText>ADDIN CSL_CITATION {"citationItems":[{"id":"ITEM-1","itemData":{"DOI":"10.1002/pen.24469","ISSN":"0032-3888","abstract":"Moisture absorption is known to detrimentally affect the mechanical integrity and durability of polymeric materials. Consequently, accurately characterizing the moisture diffusion into these materials is critical when predicting their service life behavior. The hindered diffusion model (HDM), that is, Langmuir?type absorption, has been widely used to successfully describe both Fickian and anomalous absorption behavior of polymeric materials. In this article, proper use of both exact and approximate solutions of the HDM model is illustrated on two material systems: nanoclay/epoxy composites and thin epoxy laminates. A parameter recovery technique, based on a modified version of the steepest descent search, is shown to accurately recover all absorption parameters simultaneously from experimental data. The absorption behavior predicted by the recovered parameters is then validated by long?term absorption data not used in the recovery process. The errors induced by approximate solutions are observed to be material?dependent and could be substantially larger compared to the exact solution. In addition, a novel method to computationally accelerate the recovery of the absorption parameters is proposed. The new technique uses the approximate absorption parameters as the initial guess. It is shown that this approach substantially reduces the computational effort by decreasing the number of iterations without compromising from accuracy. POLYM. ENG. SCI., 57:921?931, 2017. ? 2016 Society of Plastics Engineers","author":[{"dropping-particle":"","family":"Guloglu","given":"Gorkem E.","non-dropping-particle":"","parse-names":false,"suffix":""},{"dropping-particle":"","family":"Hamidi","given":"Youssef K.","non-dropping-particle":"","parse-names":false,"suffix":""},{"dropping-particle":"","family":"Altan","given":"M. Cengiz","non-dropping-particle":"","parse-names":false,"suffix":""}],"container-title":"Polymer Engineering &amp; Science","id":"ITEM-1","issue":"9","issued":{"date-parts":[["2016","10","18"]]},"note":"doi: 10.1002/pen.24469","page":"921-931","publisher":"Wiley-Blackwell","title":"Fast recovery of non</w:instrText>
      </w:r>
      <w:r w:rsidR="00430285">
        <w:rPr>
          <w:rFonts w:ascii="Cambria Math" w:hAnsi="Cambria Math" w:cs="Cambria Math"/>
        </w:rPr>
        <w:instrText>‐</w:instrText>
      </w:r>
      <w:r w:rsidR="00430285">
        <w:instrText>fickian moisture absorption parameters for polymers and polymer composites","type":"article-journal","volume":"57"},"uris":["http://www.mendeley.com/documents/?uuid=122f51aa-f81c-4b81-bb6c-253a3d6e49ba"]},{"id":"ITEM-2","itemData":{"DOI":"10.1016/j.compscitech.2009.08.013","ISSN":"02663538","abstract":"The peculiarities of moisture absorption of epoxy-nanoclay composite are estimated in the paper. Second Fick's law of diffusion was used to predict moisture diffusivity and equilibrium moisture content using accelerated analytical procedure. It was experimentally confirmed that sorption process in NC passes more slowly than in pure epoxy resin, for the highest filler content diffusivity reduces about half of diffusivity as for epoxy resin. The deviation from mixture rule was obtained for the equilibrium moisture content and the estimation of interphase content in composite was undertaken. It was determined that the higher content of interphase consistently leads to greater moisture absorption. © 2009 Elsevier Ltd. All rights reserved.","author":[{"dropping-particle":"","family":"Glaskova","given":"T.","non-dropping-particle":"","parse-names":false,"suffix":""},{"dropping-particle":"","family":"Aniskevich","given":"A.","non-dropping-particle":"","parse-names":false,"suffix":""}],"container-title":"Composites Science and Technology","id":"ITEM-2","issue":"15-16","issued":{"date-parts":[["2009"]]},"page":"2711-2715","publisher":"Elsevier Ltd","title":"Moisture absorption by epoxy/montmorillonite nanocomposite","type":"article-journal","volume":"69"},"uris":["http://www.mendeley.com/documents/?uuid=0838729a-9dc0-4cd6-8d1a-fbbcefed5385"]},{"id":"ITEM-3","itemData":{"DOI":"10.1016/j.matdes.2010.02.030","ISBN":"0261-3069","ISSN":"02641275","abstract":"In this research, aging behaviors of short jute fiber/Polylactide (PLA) composite material in hygrothermal environment were investigated. The material was fabricated by using film stacking hot pressed method. The aging was carried out for uncoated samples and adhesive tape coated samples in saturated vapor at 70°C. Moisture absorption rates of the samples were measured during the aging process. It is found that the moisture absorption process of uncoated samples includes three stages: a short and quick moisture uptaking stage, a slow stable uptaking stage and an abrupt very quick moisture uptaking stage. Microstructures of the samples in different aging stages were observed. The main defects occurred during the aging process include pores, microcracks, delamination and complete relaxation in the whole structure. The results reveal that the moisture absorption and aging process can be effectively retarded by coating. The molecular weight measurement by gel permission chromatography (GPC) indicated that the PLA matrix was severely degraded in hygrothermal environment. Tensile strength severely decreased after aging. © 2010 Elsevier Ltd.","author":[{"dropping-particle":"","family":"Hu","given":"Rui-Hua","non-dropping-particle":"","parse-names":false,"suffix":""},{"dropping-particle":"","family":"Sun","given":"Min-Young","non-dropping-particle":"","parse-names":false,"suffix":""},{"dropping-particle":"","family":"Lim","given":"Jae-Kyoo","non-dropping-particle":"","parse-names":false,"suffix":""}],"container-title":"Materials and Design","id":"ITEM-3","issue":"7","issued":{"date-parts":[["2010"]]},"page":"3167-3173","publisher":"Elsevier Ltd","title":"Moisture absorption, tensile strength and microstructure evolution of short jute fiber/polylactide composite in hygrothermal environment","type":"article-journal","volume":"31"},"uris":["http://www.mendeley.com/documents/?uuid=5c670bbc-43e3-4b71-9d15-5c03ec2b6182"]},{"id":"ITEM-4","itemData":{"DOI":"10.1016/j.compstruct.2005.09.008","ISBN":"2392842396","ISSN":"02638223","abstract":"Novel aluminised E-glass fibre reinforced unsaturated polyester composites, originally formulated for enhanced thermal and electrical shielding properties were evaluated in terms of their water absorption. One of the major obstacles delaying the acceptance of novel composites in engineering applications is the degradation of the polymer matrix material by moisture, which effects the physical and mechanical performance over time. The objective of this study was to characterise and quantify the degree of water absorption of novel aluminised E-glass reinforced unsaturated polyester composites. Aluminised E-glass composites were compared alongside their unmetallised E-glass counterparts. Two sets of temperature were used for this study. Results show that aluminised E-glass significantly reduces the saturation point compared to unmetallised E-glass. The differences between aluminised and unmetallised are correlated to fibre coatings. At elevated temperatures the aluminised E-glass sample is unstable and exhibits significantly higher water absorption indicating that a new failure mechanism is occurring. © 2005 Elsevier Ltd. All rights reserved.","author":[{"dropping-particle":"","family":"Errajhi","given":"Osama A.Z.","non-dropping-particle":"","parse-names":false,"suffix":""},{"dropping-particle":"","family":"Osborne","given":"J. R.F.","non-dropping-particle":"","parse-names":false,"suffix":""},{"dropping-particle":"","family":"Richardson","given":"M. O.W.","non-dropping-particle":"","parse-names":false,"suffix":""},{"dropping-particle":"","family":"Dhakal","given":"H. N.","non-dropping-particle":"","parse-names":false,"suffix":""}],"container-title":"Composite Structures","id":"ITEM-4","issue":"3-4","issued":{"date-parts":[["2005"]]},"page":"333-336","title":"Water absorption characteristics of aluminised E-glass fibre reinforced unsaturated polyester composites","type":"article-journal","volume":"71"},"uris":["http://www.mendeley.com/documents/?uuid=77928e04-3ae6-449f-93c7-7f3a976cdea2"]},{"id":"ITEM-5","itemData":{"DOI":"10.1177/0892705715604679","ISSN":"0892-7057","author":[{"dropping-particle":"","family":"Sajna","given":"VP","non-dropping-particle":"","parse-names":false,"suffix":""},{"dropping-particle":"","family":"Mohanty","given":"Smita","non-dropping-particle":"","parse-names":false,"suffix":""},{"dropping-particle":"","family":"Nayak","given":"Sanjay K","non-dropping-particle":"","parse-names":false,"suffix":""}],"container-title":"Journal of Thermoplastic Composite Materials","id":"ITEM-5","issue":"4","issued":{"date-parts":[["2017"]]},"page":"521-544","title":"Moisture absorption behavior of hybrid bionanocomposites of polylactic acid and evaluation of physicochemical properties","type":"article-journal","volume":"30"},"uris":["http://www.mendeley.com/documents/?uuid=a921e37e-b0db-499e-852c-9a11957a122f"]},{"id":"ITEM-6","itemData":{"DOI":"10.1002/app.39331","ISBN":"0021-8995","ISSN":"00218995","abstract":"As a means of characterizing the diffusion parameters of fiber reinforced polymer {(FRP)} composites within a relatively short time frame, the potential use of short term tests on epoxy films to predict the long-term behavior is investigated. Reference is made to the literature to assess the effectiveness of Fickian and anomalous diffusion models to describe solution uptake in epoxies. The influence of differing exposure conditions on the diffusion in epoxies, in particular the effect of solution type and temperature, are explored. Experimental results, where the solution uptake in desiccated {(D)} or undesiccated {(U)} thin films of a commercially available epoxy matrix subjected to water {(W),} salt water {(SW),} or alkali concrete pore solution {(CPS)} at either 20 or {60{\\textdegree}C,} are also presented. It was found that the type of solution did not significantly influence the diffusion behavior at {20{\\textdegree}C} and that the mass uptake profile was anomalous. Exposure to {60{\\textdegree}C} accelerated the initial diffusion behavior and appeared to raise the level of saturation. In spite of the accelerated approach, conclusive values of uptake at saturation remained elusive even at an exposure period of 5 years. This finding questions the viability of using short-term thin film results to predict the long-term mechanical performance of {FRP} materials. {©} 2013 Wiley Periodicals, Inc. J. Appl. Polym. Sci. 130: 1898–1908, 2013","author":[{"dropping-particle":"","family":"Scott","given":"P.","non-dropping-particle":"","parse-names":false,"suffix":""},{"dropping-particle":"","family":"Lees","given":"J. M.","non-dropping-particle":"","parse-names":false,"suffix":""}],"container-title":"Journal of Applied Polymer Science","id":"ITEM-6","issue":"3","issued":{"date-parts":[["2013"]]},"page":"1898-1908","title":"Water, salt water, and alkaline solution uptake in epoxy thin films","type":"article-journal","volume":"130"},"uris":["http://www.mendeley.com/documents/?uuid=b76f429d-5d0d-497e-b47f-1bd664e7f60a"]},{"id":"ITEM-7","itemData":{"DOI":"10.1177/002199837901300205","ISSN":"0021-9983","abstract":"Moisture absorption of graphite-epoxy composites immersed in liquids and in himid air were investigated. The moisture content as a function of time and temperature was measured for three materials: Fiberite T300/1034, Hercules AS/3501-5 and Narmco T300/5208. Tests were per formed a) with the materials immersed in No. 2 diesel fuel, in jet A fuel, in aviation oil, in saturated salt water, and in distilled water (in the range of 300 to 322 K) and b)with the materials exposed to humid air (in the range 322 to 366 K). The results obtained were compared to available composite and neat resin data.","author":[{"dropping-particle":"","family":"Loos","given":"Alfred C","non-dropping-particle":"","parse-names":false,"suffix":""},{"dropping-particle":"","family":"Springer","given":"George S","non-dropping-particle":"","parse-names":false,"suffix":""}],"container-title":"Journal of Composite Materials","id":"ITEM-7","issue":"2","issued":{"date-parts":[["1979","4","1"]]},"note":"doi: 10.1177/002199837901300205","page":"131-147","publisher":"SAGE Publications Ltd STM","title":"Moisture Absorption of Graphite-Epoxy Composites Immersed in Liquids and in Humid Air","type":"article-journal","volume":"13"},"uris":["http://www.mendeley.com/documents/?uuid=6f46b69a-aa9a-466d-87d2-755da9d3aa92"]},{"id":"ITEM-8","itemData":{"DOI":"10.1177/0021998313477963","ISBN":"0021998313477","ISSN":"00219983","abstract":"In this work, moisture penetration in glass fiber-reinforced polymers was systematically investigated through both experiments and theoretical approaches. The diffusivities of the neat resin and those of unidirectional composite plates containing various glass fiber volume fractions have been identified through the analysis of hygro-thermal aging tests. The main aim of the present paper consists in comparing the evolutions, as a function of the fiber volume fractions, of the moisture diffusion coefficients deduced from experiments to the corresponding values, predicted by the many traditional scale transition relations available in the literature.","author":[{"dropping-particle":"","family":"Dana","given":"Hossein Ramezani","non-dropping-particle":"","parse-names":false,"suffix":""},{"dropping-particle":"","family":"Perronnet","given":"Annick","non-dropping-particle":"","parse-names":false,"suffix":""},{"dropping-particle":"","family":"Fréour","given":"Sylvain","non-dropping-particle":"","parse-names":false,"suffix":""},{"dropping-particle":"","family":"Casari","given":"Pascal","non-dropping-particle":"","parse-names":false,"suffix":""},{"dropping-particle":"","family":"Jacquemin","given":"Frédéric","non-dropping-particle":"","parse-names":false,"suffix":""}],"container-title":"Journal of Composite Materials","id":"ITEM-8","issue":"9","issued":{"date-parts":[["2013"]]},"page":"1081-1092","title":"Identification of moisture diffusion parameters in organic matrix composites","type":"article-journal","volume":"47"},"uris":["http://www.mendeley.com/documents/?uuid=b1451785-61e4-41d5-8f97-493db89cb0c8"]},{"id":"ITEM-9","itemData":{"DOI":"10.1177/0021998313487238","ISBN":"0021-9983","ISSN":"1530793X","abstract":"Flax and jute fibres are inexpensive and easily available bast fibres and they are extensively used as reinforcement in polymer matrix composites. However, due to their susceptibility to moisture absorption, their application is restricted to non-structural interior products. In this study, flax- and jute fibre-reinforced bioresin-based epoxy biocomposites were fabricated using hand lay-up method and their nanoindentation and flexural properties were investigated. In order to study the effects of water absorption on the nanoindentation and flexural properties, the biocomposites were subjected to water immersion tests by immersing specimens in a de-ionised water bath at 25celcius for a period of 961 h. The nanoindentation behaviour and flexural properties of water-immersed specimens were evaluated and compared alongside with dry specimens. The percentage of moisture uptake and diffusion coefficient (D) was recorded higher for jute-reinforced specimens compared with flax. The flexural properties for both types of specimens were found to decrease with increase in percentage moisture uptake. Comparison of flexural strength and flexural modulus between flax dry and flax wet biocomposites showed that wet samples lost almost 40% of strength and 69% of modulus compared with dry flax samples. The jute wet samples lost 60% of strength and 80% of modulus compared with dry samples. The nanohardness value decreased from 0.207 to 0.135 GPa for dry flax sample after immersion in water.","author":[{"dropping-particle":"","family":"Dhakal","given":"H. N.","non-dropping-particle":"","parse-names":false,"suffix":""},{"dropping-particle":"","family":"Zhang","given":"Z. Y.","non-dropping-particle":"","parse-names":false,"suffix":""},{"dropping-particle":"","family":"Bennett","given":"N.","non-dropping-particle":"","parse-names":false,"suffix":""},{"dropping-particle":"","family":"Lopez-Arraiza","given":"A.","non-dropping-particle":"","parse-names":false,"suffix":""},{"dropping-particle":"","family":"Vallejo","given":"F. J.","non-dropping-particle":"","parse-names":false,"suffix":""}],"container-title":"Journal of Composite Materials","id":"ITEM-9","issue":"11","issued":{"date-parts":[["2014"]]},"page":"1399-1406","title":"Effects of water immersion ageing on the mechanical properties of flax and jute fibre biocomposites evaluated by nanoindentation and flexural testing","type":"article-journal","volume":"48"},"uris":["http://www.mendeley.com/documents/?uuid=f6d63eaf-53be-41d7-82ba-bc11eee7c206"]},{"id":"ITEM-10","itemData":{"DOI":"10.1002/pen.11078","ISSN":"00323888","abstract":"Moisture diffusion was studied through vinyl ester samples containing up to 5 wt% of organically treated montmorillonite. Two different kinds of clay surface treatment were employed to make the clay compatible with DerakaneTM 411-350 vinyl ester resin. The nanocomposites were characterized using differential scanning calorimetry (DSC), mechanical property measurements, X-ray diffraction (XRD) and transmission electron microscopy (TEM). TEM pictures showed that the clay platelets were either exfoliated or intercalated, and the two different surface treatments resulted in different dispersion characteristics. All the samples were post cured, and the diffusivity of moisture was measured by soaking the samples in 25°C water and noting the increase in weight with increasing time of immersion. It was found that water diffusivity decreased with increasing clay content, and it was reduced to half its value in the neat resin when the clay content was only 1 wt% regardless of the nature of clay surface treatment. However, the equilibrium moisture content, the glass transition temperature, and the elastic modulus all increased with increasing amounts of clay.","author":[{"dropping-particle":"","family":"Shah","given":"Apoorva P.","non-dropping-particle":"","parse-names":false,"suffix":""},{"dropping-particle":"","family":"Gupta","given":"Rakesh K.","non-dropping-particle":"","parse-names":false,"suffix":""},{"dropping-particle":"","family":"Gangarao","given":"Hota V.S.","non-dropping-particle":"","parse-names":false,"suffix":""},{"dropping-particle":"","family":"Powell","given":"Clois E.","non-dropping-particle":"","parse-names":false,"suffix":""}],"container-title":"Polymer Engineering and Science","id":"ITEM-10","issue":"9","issued":{"date-parts":[["2002"]]},"page":"1852-1863","title":"Moisture diffusion through vinyl ester nanocomposites made with montmorillonite clay","type":"article-journal","volume":"42"},"uris":["http://www.mendeley.com/documents/?uuid=33d95d73-773f-443a-9a3c-90cf550ef636"]},{"id":"ITEM-11","itemData":{"DOI":"10.1002/vnl.21367","ISSN":"1083-5601","abstract":"This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extrusion","type":"article-journal","volume":"20"},"uris":["http://www.mendeley.com/documents/?uuid=debfc98f-1b18-4d0e-b233-d509b4caa2be"]},{"id":"ITEM-12","itemData":{"DOI":"10.1177/0731684404030730","ISSN":"07316844","abstract":"The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Composites","id":"ITEM-12","issue":"7","issued":{"date-parts":[["2004"]]},"page":"729-737","title":"Effects of moisture conditioning methods on mechanical properties of injection molded nylon 6","type":"article-journal","volume":"23"},"uris":["http://www.mendeley.com/documents/?uuid=1d0000b6-54ff-42a1-80e6-75c75ede87f6"]},{"id":"ITEM-13","itemData":{"DOI":"10.1177/0021998308096668","ISSN":"00219983","abstract":"Ring-shaped glass fiber/polyester composite specimens cut from composite pipes with various lengths and cut edge quality were immersed into deionized water, and their water absorption was noted regularly by registering their mass gain. Monotonic ring compression tests were performed to monitor the stiffness properties during the water absorption process. Effect of specimen length and cut edge sealing with the matrix material of the pipe on the water absorption process was analyzed. Water absorption curves were fitted to the experimental data with very high correlation coefficients. Specimen types with cut edge sealing were found to absorb significantly less water than the other types, and the absorbed water showed a nonlinear monotonic decreasing tendency with specimen length. Mechanical properties were found to be only slightly affected by moisture probably because of the small amount of absorbed water. © 2008 SAGE Publications Los Angeles, London, New Delhi and Singapore.","author":[{"dropping-particle":"","family":"Czél","given":"G.","non-dropping-particle":"","parse-names":false,"suffix":""},{"dropping-particle":"","family":"Czigány","given":"T.","non-dropping-particle":"","parse-names":false,"suffix":""}],"container-title":"Journal of Composite Materials","id":"ITEM-13","issue":"26","issued":{"date-parts":[["2008"]]},"page":"2815-2827","title":"A study of water absorption and mechanical properties of glass fiber/polyester composite pipes - Effects of specimen geometry and preparation","type":"article-journal","volume":"42"},"uris":["http://www.mendeley.com/documents/?uuid=995983cc-f92a-40d2-9697-39d8b5765fe3"]},{"id":"ITEM-14","itemData":{"DOI":"10.1023/A:1021130019435","ISBN":"0022-2461","ISSN":"00222461","abstract":"The effects of environmental aging and accelerated aging on tensile and flexural behavior of bamboo fiber reinforced polypropylene composite (BFRP) and bamboo-glass fiber reinforced polypropylene hybrid composite (BGRP), all with a 30% (by mass) fiber content, were studied by exposing the samples in water at 25degreesC for up to 1600 h and at 75degreesC for up to 600 h. Reduction in tensile strength for BFRP and BGRP was 12.2% and 7.5%, respectively, after aging at 25degreesC for about 1200 h. Tensile and flexural strength of BFRP and BGRP were reduced by 32%, 11.7%, and 27%, 7.5% respectively, after aging at 75degreesC for 600 h. While the strengths of the bamboo fiber reinforced composites reduce with sorption time and temperature, the environmental degradation process can be delayed by adding a small amount of glass fiber. Moisture sorption and strength reduction are further suppressed by using maleic anhydride polypropylene (MAPP) as a coupling agent in both types of composite system. (C) 2003 Kluwer Academic Publishers.","author":[{"dropping-particle":"","family":"Thwe","given":"Moe Moe","non-dropping-particle":"","parse-names":false,"suffix":""},{"dropping-particle":"","family":"Liao","given":"Kin","non-dropping-particle":"","parse-names":false,"suffix":""}],"container-title":"Journal of Materials Science","id":"ITEM-14","issue":"2","issued":{"date-parts":[["2003"]]},"page":"363-376","title":"Environmental effects on bamboo-glass/polypropylene hybrid composites","type":"article-journal","volume":"38"},"uris":["http://www.mendeley.com/documents/?uuid=bc8cf068-fddb-4700-8ef9-5bf8357cbebd"]},{"id":"ITEM-15","itemData":{"DOI":"10.1016/j.compositesa.2008.08.003","ISBN":"1359-835X","ISSN":"1359835X","abstract":"This paper describes the influence of fibre length, fibre beating and hygrothermal ageing on tensile strength (TS), Young's modulus (YM), failure strain (FS) and impact strength (IS) of Kraft fibre reinforced polypropylene (PP) composites. TS, YM and IS of composites were found to decrease and FS increased with decreasing fibre length. Modest levels of fibre beating increased the TS of composites, which is believed to be due to improved interfacial bonding. During hygrothermal ageing, the diffusion coefficient increased with increased ageing temperature. Composites without coupling agent showed higher water uptake and diffusion coefficient than those with coupling agent. TS and YM were found to decrease for hygrothermal ageing due to fibre damage and reduced fibre matrix interfacial bonding, whilst FS and IS were found to increase due to the plasticizing effect of water. © 2008 Elsevier Ltd. All rights reserved.","author":[{"dropping-particle":"","family":"Beg","given":"M. D H","non-dropping-particle":"","parse-names":false,"suffix":""},{"dropping-particle":"","family":"Pickering","given":"K. L.","non-dropping-particle":"","parse-names":false,"suffix":""}],"container-title":"Composites Part A: Applied Science and Manufacturing","id":"ITEM-15","issue":"11","issued":{"date-parts":[["2008"]]},"page":"1748-1755","publisher":"Elsevier Ltd","title":"Mechanical performance of Kraft fibre reinforced polypropylene composites: Influence of fibre length, fibre beating and hygrothermal ageing","type":"article-journal","volume":"39"},"uris":["http://www.mendeley.com/documents/?uuid=5c762795-b048-463e-931a-d11bec27fbbe"]},{"id":"ITEM-16","itemData":{"DOI":"10.1177/0892705707083949","ISBN":"0892705707083","ISSN":"08927057","PMID":"12","author":[{"dropping-particle":"","family":"Hargitai","given":"Hajnalka","non-dropping-particle":"","parse-names":false,"suffix":""},{"dropping-particle":"","family":"Rácz","given":"Ilona","non-dropping-particle":"","parse-names":false,"suffix":""},{"dropping-particle":"","family":"Anandjiwala","given":"Rajesh D.","non-dropping-particle":"","parse-names":false,"suffix":""}],"container-title":"Journal of Thermoplastic Composite Materials","id":"ITEM-16","issue":"2","issued":{"date-parts":[["2008"]]},"page":"165-174","title":"Development of HEMP fiber reinforced polypropylene composites","type":"article-journal","volume":"21"},"uris":["http://www.mendeley.com/documents/?uuid=2257c251-0f25-4bc6-a7e1-f64b30c55977"]},{"id":"ITEM-17","itemData":{"DOI":"10.1177/0731684405055462","ISBN":"0731-6844","ISSN":"07316844","abstract":"The effects of hygrothermal aging on thermal and mechanical properties, and on the microstructure of pultruded unidirectional carbon fiber/vinyl ester resin (CF/VE) composites were investigated. The composite specimens were immersed in distilled water and salt solution at 95 and 65 degrees C for more than 1000 h and the moisture absorption was recorded. The diffusion rate of moisture into the composite was found to fit Fickian's diffusion model. SEM observation revealed that the fiber-matrix interface was weakened due to the invasion of moisture leading to debonding. Three-point flexural and interlaminar shear tests showed that both flexural strength and interlaminar shear strength (ILSS) of the composite specimens deteriorated to some extent after hygrothermal aging, while stiffness was less affected. Dynamic mechanical thermal analysis (DMTA) results indicated that the glass transition temperature of the matrix underwent complicated changes, which was attributed to the combinational effects of plasticization and the formation of hydrogen bonds in the systems.","author":[{"dropping-particle":"","family":"Yu","given":"Yunhua","non-dropping-particle":"","parse-names":false,"suffix":""},{"dropping-particle":"","family":"Yang","given":"Xiaoping","non-dropping-particle":"","parse-names":false,"suffix":""},{"dropping-particle":"","family":"Wang","given":"Lili","non-dropping-particle":"","parse-names":false,"suffix":""},{"dropping-particle":"","family":"Liu","given":"Hongliang","non-dropping-particle":"","parse-names":false,"suffix":""}],"container-title":"Journal of Reinforced Plastics and Composites","id":"ITEM-17","issue":"2","issued":{"date-parts":[["2006"]]},"page":"149-160","title":"Hygrothermal aging on pultruded carbon fiber/vinyl ester resin composite for sucker rod application","type":"article-journal","volume":"25"},"uris":["http://www.mendeley.com/documents/?uuid=3cc26fcf-555c-4c39-afff-fcd8c4fea1b4"]},{"id":"ITEM-18","itemData":{"DOI":"10.1016/j.polymer.2005.09.008","ISBN":"0032-3861","ISSN":"00323861","abstract":"The classic Fickian approach for describing the kinetics of liquid diffusion/absorption in solids was supplemented some 25 years ago by the 2-phase model of Carter and Kibler, referred to by them (modestly) as 'Langmuir-type'. Their theory assumes the existence of 'mobile' and 'bound' diffusant molecules. In this contribution, we have studied water uptake by an epoxy resin, using gravimetry, and found a good, overall, empirical agreement with the Carter and Kibler description. The 'mobile' and 'bound' components have also been considered separately. In addition, deuterium NMR analysis has been employed to study the mobility of water absorbed. Analysis and decomposition of spectra permitted us to assign two signals to the fractions of 'mobile' and 'bound' water. We suggest that the 'mobile' phase corresponds to diffusing molecules, whereas the 'bound' phase corresponds to 'clusters'. © 2005 Elsevier Ltd. All rights reserved.","author":[{"dropping-particle":"","family":"Popineau","given":"Sylvain","non-dropping-particle":"","parse-names":false,"suffix":""},{"dropping-particle":"","family":"Rondeau-Mouro","given":"Corinne","non-dropping-particle":"","parse-names":false,"suffix":""},{"dropping-particle":"","family":"Sulpice-Gaillet","given":"Christine","non-dropping-particle":"","parse-names":false,"suffix":""},{"dropping-particle":"","family":"Shanahan","given":"Martin E.R.","non-dropping-particle":"","parse-names":false,"suffix":""}],"container-title":"Polymer","id":"ITEM-18","issue":"24","issued":{"date-parts":[["2005"]]},"page":"10733-10740","title":"Free/bound water absorption in an epoxy adhesive","type":"article-journal","volume":"46"},"uris":["http://www.mendeley.com/documents/?uuid=328bff83-ec4d-44bb-8b60-7f35dcdaf9ce"]}],"mendeley":{"formattedCitation":"[1–18]","plainTextFormattedCitation":"[1–18]","previouslyFormattedCitation":"[1,2,11–18,3–10]"},"properties":{"noteIndex":0},"schema":"https://github.com/citation-style-language/schema/raw/master/csl-citation.json"}</w:instrText>
      </w:r>
      <w:r>
        <w:fldChar w:fldCharType="separate"/>
      </w:r>
      <w:r w:rsidR="00430285" w:rsidRPr="00430285">
        <w:rPr>
          <w:noProof/>
        </w:rPr>
        <w:t>[1–18]</w:t>
      </w:r>
      <w:r>
        <w:fldChar w:fldCharType="end"/>
      </w:r>
      <w:r>
        <w:t xml:space="preserve">. </w:t>
      </w:r>
      <w:r w:rsidR="00244777">
        <w:t>A number of researchers have reported the amount of moisture absorption by such polymers and their composites over long periods of time. In many cas</w:t>
      </w:r>
      <w:r w:rsidR="000428E0">
        <w:t>es, the test samples are expos</w:t>
      </w:r>
      <w:r w:rsidR="00244777">
        <w:t>ed to</w:t>
      </w:r>
      <w:r w:rsidR="00A5133D">
        <w:t xml:space="preserve"> a</w:t>
      </w:r>
      <w:r w:rsidR="00244777">
        <w:t xml:space="preserve"> humid environment or immersed into water until the maximum amount of water intake is achieved for that particular material. </w:t>
      </w:r>
      <w:proofErr w:type="spellStart"/>
      <w:r>
        <w:t>Popineau</w:t>
      </w:r>
      <w:proofErr w:type="spellEnd"/>
      <w:r>
        <w:t xml:space="preserve"> et al. </w:t>
      </w:r>
      <w:r>
        <w:fldChar w:fldCharType="begin" w:fldLock="1"/>
      </w:r>
      <w:r w:rsidR="00430285">
        <w:instrText>ADDIN CSL_CITATION {"citationItems":[{"id":"ITEM-1","itemData":{"DOI":"10.1016/j.polymer.2005.09.008","ISBN":"0032-3861","ISSN":"00323861","abstract":"The classic Fickian approach for describing the kinetics of liquid diffusion/absorption in solids was supplemented some 25 years ago by the 2-phase model of Carter and Kibler, referred to by them (modestly) as 'Langmuir-type'. Their theory assumes the existence of 'mobile' and 'bound' diffusant molecules. In this contribution, we have studied water uptake by an epoxy resin, using gravimetry, and found a good, overall, empirical agreement with the Carter and Kibler description. The 'mobile' and 'bound' components have also been considered separately. In addition, deuterium NMR analysis has been employed to study the mobility of water absorbed. Analysis and decomposition of spectra permitted us to assign two signals to the fractions of 'mobile' and 'bound' water. We suggest that the 'mobile' phase corresponds to diffusing molecules, whereas the 'bound' phase corresponds to 'clusters'. © 2005 Elsevier Ltd. All rights reserved.","author":[{"dropping-particle":"","family":"Popineau","given":"Sylvain","non-dropping-particle":"","parse-names":false,"suffix":""},{"dropping-particle":"","family":"Rondeau-Mouro","given":"Corinne","non-dropping-particle":"","parse-names":false,"suffix":""},{"dropping-particle":"","family":"Sulpice-Gaillet","given":"Christine","non-dropping-particle":"","parse-names":false,"suffix":""},{"dropping-particle":"","family":"Shanahan","given":"Martin E.R.","non-dropping-particle":"","parse-names":false,"suffix":""}],"container-title":"Polymer","id":"ITEM-1","issue":"24","issued":{"date-parts":[["2005"]]},"page":"10733-10740","title":"Free/bound water absorption in an epoxy adhesive","type":"article-journal","volume":"46"},"uris":["http://www.mendeley.com/documents/?uuid=328bff83-ec4d-44bb-8b60-7f35dcdaf9ce"]}],"mendeley":{"formattedCitation":"[10]","plainTextFormattedCitation":"[10]","previouslyFormattedCitation":"[18]"},"properties":{"noteIndex":0},"schema":"https://github.com/citation-style-language/schema/raw/master/csl-citation.json"}</w:instrText>
      </w:r>
      <w:r>
        <w:fldChar w:fldCharType="separate"/>
      </w:r>
      <w:r w:rsidR="00430285" w:rsidRPr="00430285">
        <w:rPr>
          <w:noProof/>
        </w:rPr>
        <w:t>[10]</w:t>
      </w:r>
      <w:r>
        <w:fldChar w:fldCharType="end"/>
      </w:r>
      <w:r>
        <w:t xml:space="preserve"> reported that EC2216 epoxy resin absorbs 8.9-10.2 wt.% moisture in equilibrium. </w:t>
      </w:r>
      <w:r w:rsidR="00244777">
        <w:t xml:space="preserve">A long-term study is recently published by </w:t>
      </w:r>
      <w:r>
        <w:t xml:space="preserve">Grace </w:t>
      </w:r>
      <w:r>
        <w:fldChar w:fldCharType="begin" w:fldLock="1"/>
      </w:r>
      <w:r w:rsidR="00B274D5">
        <w:instrText>ADDIN CSL_CITATION {"citationItems":[{"id":"ITEM-1","itemData":{"DOI":"10.1007/s10853-015-9407-0","ISSN":"15734803","abstract":"The slow approach to equilibrium concentration indicative of non-Fickian diffusion in polymer composites necessitates experimental time frames which are often of limited feasibility. As a result, experimental studies are terminated prematurely due to time constraints or incorrect identification of equilibrium. Here, the three-dimensional anisotropic diffusion behaviors of six-, twelve-, and forty-ply quartz-reinforced bismaleimide laminates are quantified through a 5-year, full-immersion gravimetric absorption study. The applicability of the three-dimensional hindered diffusion model is investigated, while projections of future absorption behavior made at 21~ months are revisited in light of 3~ years of additional data. The mathematical equivalency of the hindered diffusion model and a diffusion relaxation model under certain conditions is discussed. Moisture content rises continuously throughout the 5-year experiment for all samples. In the six-ply case, the standard termination criterion for the equilibrium condition is met before 6~months and 1.38~% moisture content by weight. Actual moisture content reaches 1.56~% after 5~years. The hindered diffusion model and associated forward projections of moisture content are found to conform well to experimental results.","author":[{"dropping-particle":"","family":"Grace","given":"Landon R.","non-dropping-particle":"","parse-names":false,"suffix":""}],"container-title":"Journal of Materials Science","id":"ITEM-1","issue":"2","issued":{"date-parts":[["2016"]]},"page":"845-853","publisher":"Springer US","title":"Projecting long-term non-Fickian diffusion behavior in polymeric composites based on short-term data: a 5-year validation study","type":"article-journal","volume":"51"},"uris":["http://www.mendeley.com/documents/?uuid=eeefc967-315c-41fa-9185-750d30e176bf"]}],"mendeley":{"formattedCitation":"[19]","plainTextFormattedCitation":"[19]","previouslyFormattedCitation":"[19]"},"properties":{"noteIndex":0},"schema":"https://github.com/citation-style-language/schema/raw/master/csl-citation.json"}</w:instrText>
      </w:r>
      <w:r>
        <w:fldChar w:fldCharType="separate"/>
      </w:r>
      <w:r w:rsidRPr="00454ED5">
        <w:rPr>
          <w:noProof/>
        </w:rPr>
        <w:t>[19]</w:t>
      </w:r>
      <w:r>
        <w:fldChar w:fldCharType="end"/>
      </w:r>
      <w:r w:rsidR="00244777">
        <w:t>, where he</w:t>
      </w:r>
      <w:r>
        <w:t xml:space="preserve"> investigated the moisture absorption behavior of quartz/BMI composite laminates. </w:t>
      </w:r>
      <w:r w:rsidR="00244777">
        <w:t xml:space="preserve">It was </w:t>
      </w:r>
      <w:r>
        <w:t xml:space="preserve">reported that </w:t>
      </w:r>
      <w:r>
        <w:lastRenderedPageBreak/>
        <w:t>6-ply, 12-ply</w:t>
      </w:r>
      <w:r w:rsidR="008A1D6F">
        <w:t>,</w:t>
      </w:r>
      <w:r>
        <w:t xml:space="preserve"> and 40-ply quartz/BMI composites absorbed 1.7 wt</w:t>
      </w:r>
      <w:proofErr w:type="gramStart"/>
      <w:r>
        <w:t>.%</w:t>
      </w:r>
      <w:proofErr w:type="gramEnd"/>
      <w:r>
        <w:t>, 1.7 wt.%</w:t>
      </w:r>
      <w:r w:rsidR="008A1D6F">
        <w:t>,</w:t>
      </w:r>
      <w:r>
        <w:t xml:space="preserve"> and 1.8 wt.% moisture in 5 years</w:t>
      </w:r>
      <w:r w:rsidR="00545B90">
        <w:t xml:space="preserve">. </w:t>
      </w:r>
      <w:proofErr w:type="spellStart"/>
      <w:r>
        <w:t>Joliff</w:t>
      </w:r>
      <w:proofErr w:type="spellEnd"/>
      <w:r>
        <w:t xml:space="preserve"> et al. </w:t>
      </w:r>
      <w:r>
        <w:fldChar w:fldCharType="begin" w:fldLock="1"/>
      </w:r>
      <w:r w:rsidR="00B274D5">
        <w:instrText>ADDIN CSL_CITATION {"citationItems":[{"id":"ITEM-1","itemData":{"DOI":"10.1016/j.compstruct.2012.09.044","ISSN":"02638223","abstract":"This paper deals with the study of water diffusion in unidirectional composite associating experimental data, analytical and numerical models. A fibre/matrix interphase with a gradient of molecular mobility is characterized by microthermal analysis. The fibre dispersion observed by optical microscopy shows an important heterogeneity and many contacts between fibres. This particular fibre distribution as well as the interphase thickness have been considered to model our composite microstructure accurately. Diffusion kinetic parameters from water absorption measurements on both the resin and the UD composite were then used in the finite element analysis of the composite. The comparison between experimental data, analytical and numerical models show the influence of fibre distribution and interphase properties on water diffusion kinetic. An average water diffusion coefficient is then identified for the interphase. © 2012 Elsevier Ltd.","author":[{"dropping-particle":"","family":"Joliff","given":"Y.","non-dropping-particle":"","parse-names":false,"suffix":""},{"dropping-particle":"","family":"Belec","given":"L.","non-dropping-particle":"","parse-names":false,"suffix":""},{"dropping-particle":"","family":"Chailan","given":"J. F.","non-dropping-particle":"","parse-names":false,"suffix":""}],"container-title":"Composite Structures","id":"ITEM-1","issued":{"date-parts":[["2013"]]},"page":"296-303","publisher":"Elsevier Ltd","title":"Modified water diffusion kinetics in an unidirectional glass/fibre composite due to the interphase area: Experimental, analytical and numerical approach","type":"article-journal","volume":"97"},"uris":["http://www.mendeley.com/documents/?uuid=557a22c0-5af1-4f68-b7c0-ea88569db519"]}],"mendeley":{"formattedCitation":"[20]","plainTextFormattedCitation":"[20]","previouslyFormattedCitation":"[20]"},"properties":{"noteIndex":0},"schema":"https://github.com/citation-style-language/schema/raw/master/csl-citation.json"}</w:instrText>
      </w:r>
      <w:r>
        <w:fldChar w:fldCharType="separate"/>
      </w:r>
      <w:r w:rsidRPr="00454ED5">
        <w:rPr>
          <w:noProof/>
        </w:rPr>
        <w:t>[20]</w:t>
      </w:r>
      <w:r>
        <w:fldChar w:fldCharType="end"/>
      </w:r>
      <w:r>
        <w:t xml:space="preserve"> studied the molecular diffusion kinetics of water molecules into DGEBA epoxy and glass/epoxy composite. The researchers stated that resin absorbed 2.3 wt</w:t>
      </w:r>
      <w:proofErr w:type="gramStart"/>
      <w:r w:rsidR="000E4F70">
        <w:t>.%</w:t>
      </w:r>
      <w:proofErr w:type="gramEnd"/>
      <w:r>
        <w:t xml:space="preserve"> water whereas the composite absorbed 0.6 wt.% water at </w:t>
      </w:r>
      <w:r w:rsidR="00244777">
        <w:t xml:space="preserve">full saturation (i.e., absorption </w:t>
      </w:r>
      <w:r>
        <w:t>equilibrium</w:t>
      </w:r>
      <w:r w:rsidR="00244777">
        <w:t>)</w:t>
      </w:r>
      <w:r>
        <w:t xml:space="preserve">. </w:t>
      </w:r>
    </w:p>
    <w:p w14:paraId="38BF88F3" w14:textId="4F1628A9" w:rsidR="00D2198E" w:rsidRDefault="00D2198E" w:rsidP="00C730E9">
      <w:r>
        <w:t xml:space="preserve">In addition to susceptibility to water, polymers are also known to absorb different types of liquids such as </w:t>
      </w:r>
      <w:r w:rsidRPr="00494575">
        <w:t>alcohol, hydraulic fluid</w:t>
      </w:r>
      <w:r w:rsidR="00980A92">
        <w:t>,</w:t>
      </w:r>
      <w:r w:rsidRPr="00494575">
        <w:t xml:space="preserve"> and anti-icing fluid.</w:t>
      </w:r>
      <w:r>
        <w:t xml:space="preserve"> Scott and Lees </w:t>
      </w:r>
      <w:r>
        <w:fldChar w:fldCharType="begin" w:fldLock="1"/>
      </w:r>
      <w:r w:rsidR="00430285">
        <w:instrText>ADDIN CSL_CITATION {"citationItems":[{"id":"ITEM-1","itemData":{"DOI":"10.1002/app.39331","ISBN":"0021-8995","ISSN":"00218995","abstract":"As a means of characterizing the diffusion parameters of fiber reinforced polymer {(FRP)} composites within a relatively short time frame, the potential use of short term tests on epoxy films to predict the long-term behavior is investigated. Reference is made to the literature to assess the effectiveness of Fickian and anomalous diffusion models to describe solution uptake in epoxies. The influence of differing exposure conditions on the diffusion in epoxies, in particular the effect of solution type and temperature, are explored. Experimental results, where the solution uptake in desiccated {(D)} or undesiccated {(U)} thin films of a commercially available epoxy matrix subjected to water {(W),} salt water {(SW),} or alkali concrete pore solution {(CPS)} at either 20 or {60{\\textdegree}C,} are also presented. It was found that the type of solution did not significantly influence the diffusion behavior at {20{\\textdegree}C} and that the mass uptake profile was anomalous. Exposure to {60{\\textdegree}C} accelerated the initial diffusion behavior and appeared to raise the level of saturation. In spite of the accelerated approach, conclusive values of uptake at saturation remained elusive even at an exposure period of 5 years. This finding questions the viability of using short-term thin film results to predict the long-term mechanical performance of {FRP} materials. {©} 2013 Wiley Periodicals, Inc. J. Appl. Polym. Sci. 130: 1898–1908, 2013","author":[{"dropping-particle":"","family":"Scott","given":"P.","non-dropping-particle":"","parse-names":false,"suffix":""},{"dropping-particle":"","family":"Lees","given":"J. M.","non-dropping-particle":"","parse-names":false,"suffix":""}],"container-title":"Journal of Applied Polymer Science","id":"ITEM-1","issue":"3","issued":{"date-parts":[["2013"]]},"page":"1898-1908","title":"Water, salt water, and alkaline solution uptake in epoxy thin films","type":"article-journal","volume":"130"},"uris":["http://www.mendeley.com/documents/?uuid=25f2de7d-5834-46be-9f76-c5534c6cfe27"]}],"mendeley":{"formattedCitation":"[14]","plainTextFormattedCitation":"[14]","previouslyFormattedCitation":"[6]"},"properties":{"noteIndex":0},"schema":"https://github.com/citation-style-language/schema/raw/master/csl-citation.json"}</w:instrText>
      </w:r>
      <w:r>
        <w:fldChar w:fldCharType="separate"/>
      </w:r>
      <w:r w:rsidR="00430285" w:rsidRPr="00430285">
        <w:rPr>
          <w:noProof/>
        </w:rPr>
        <w:t>[14]</w:t>
      </w:r>
      <w:r>
        <w:fldChar w:fldCharType="end"/>
      </w:r>
      <w:r>
        <w:t xml:space="preserve"> investigated </w:t>
      </w:r>
      <w:r w:rsidRPr="00494575">
        <w:t xml:space="preserve">the </w:t>
      </w:r>
      <w:r>
        <w:t>absorption</w:t>
      </w:r>
      <w:r w:rsidRPr="00494575">
        <w:t xml:space="preserve"> of water, salt water</w:t>
      </w:r>
      <w:r w:rsidR="00980A92">
        <w:t>,</w:t>
      </w:r>
      <w:r w:rsidR="001636E2">
        <w:t xml:space="preserve"> </w:t>
      </w:r>
      <w:r w:rsidRPr="00494575">
        <w:t>and alkaline solution in</w:t>
      </w:r>
      <w:r>
        <w:t>to</w:t>
      </w:r>
      <w:r w:rsidRPr="00494575">
        <w:t xml:space="preserve"> thin </w:t>
      </w:r>
      <w:r>
        <w:t xml:space="preserve">EPR4434/EPH943 </w:t>
      </w:r>
      <w:r w:rsidRPr="00494575">
        <w:t xml:space="preserve">epoxy </w:t>
      </w:r>
      <w:r w:rsidR="00860CC5">
        <w:t>plate</w:t>
      </w:r>
      <w:r w:rsidRPr="00494575">
        <w:t xml:space="preserve">s. </w:t>
      </w:r>
      <w:r>
        <w:t xml:space="preserve">Salt water absorption and alkaline solution absorption are reported to be almost identical at </w:t>
      </w:r>
      <w:r w:rsidRPr="00494575">
        <w:t>20</w:t>
      </w:r>
      <m:oMath>
        <m:r>
          <m:rPr>
            <m:sty m:val="p"/>
          </m:rPr>
          <w:rPr>
            <w:rFonts w:ascii="Cambria Math" w:hAnsi="Cambria Math"/>
          </w:rPr>
          <m:t>℃</m:t>
        </m:r>
      </m:oMath>
      <w:r w:rsidRPr="00494575">
        <w:t xml:space="preserve">. </w:t>
      </w:r>
      <w:r>
        <w:t xml:space="preserve">The epoxy </w:t>
      </w:r>
      <w:r w:rsidR="00860CC5">
        <w:t>plate</w:t>
      </w:r>
      <w:r>
        <w:t>s absorbed 3.9 wt</w:t>
      </w:r>
      <w:proofErr w:type="gramStart"/>
      <w:r w:rsidR="00BB50FB">
        <w:t>.</w:t>
      </w:r>
      <w:r>
        <w:t>%</w:t>
      </w:r>
      <w:proofErr w:type="gramEnd"/>
      <w:r>
        <w:t xml:space="preserve"> saltwater in 500 days. In addition, they reported that the epoxy </w:t>
      </w:r>
      <w:r w:rsidR="00860CC5">
        <w:t>plate</w:t>
      </w:r>
      <w:r>
        <w:t xml:space="preserve">s absorbed 4% more water than alkaline solution and salt water. </w:t>
      </w:r>
      <w:proofErr w:type="spellStart"/>
      <w:r w:rsidRPr="00494575">
        <w:t>Helmroth</w:t>
      </w:r>
      <w:proofErr w:type="spellEnd"/>
      <w:r w:rsidRPr="00494575">
        <w:t xml:space="preserve"> </w:t>
      </w:r>
      <w:r>
        <w:t xml:space="preserve">et al. </w:t>
      </w:r>
      <w:r>
        <w:fldChar w:fldCharType="begin" w:fldLock="1"/>
      </w:r>
      <w:r w:rsidR="00B274D5">
        <w:instrText>ADDIN CSL_CITATION {"citationItems":[{"id":"ITEM-1","itemData":{"DOI":"10.1002/app.12802","ISBN":"0021-8995","ISSN":"00218995","abstract":"This article describes the simultaneous diffusion of a migrant and a solvent in low density polyethylene (LDPE). The migrant (Irganox 1076) moves out of the slab, while the solvent (isooctane, n-heptane or cyclohexane) moves inwards. Solvent absorption was measured separately by following the increase of the mass of the slab in time. It can be described by the Fick diffusion equation with a diffusivity depending on the solvent concentration, and an interface concentration depending on time. The final absorptions were 12% for isooctane, 14% for n-heptane, and 29% for cyclohexane. Additive concentrations in the slab were determined at different positions by microtoming. Experiments were done for several Contacting times. The concentration profiles were strongly affected by the solvent. A larger local solvent concentration increases the diffusivity of the migrant. The Fick equation with a migrant diffusivity depending on the solvent concentration gives a good description for the results with isooctane and n-heptane. The description is less good for the measurements with cyclohexane (when the polymer swells strongly). (C) 2003 Wiley Periodicals, Inc.","author":[{"dropping-particle":"","family":"Helmroth","given":"I. E.","non-dropping-particle":"","parse-names":false,"suffix":""},{"dropping-particle":"","family":"Dekker","given":"M.","non-dropping-particle":"","parse-names":false,"suffix":""},{"dropping-particle":"","family":"Hankemeier","given":"Th","non-dropping-particle":"","parse-names":false,"suffix":""}],"container-title":"Journal of Applied Polymer Science","id":"ITEM-1","issue":"6","issued":{"date-parts":[["2003"]]},"page":"1609-1617","title":"Additive diffusion from LDPE slabs into contacting solvents as a function of solvent absorption","type":"article-journal","volume":"90"},"uris":["http://www.mendeley.com/documents/?uuid=085a103b-6e2d-4bb0-b690-2d09cd2f594b"]}],"mendeley":{"formattedCitation":"[21]","plainTextFormattedCitation":"[21]","previouslyFormattedCitation":"[21]"},"properties":{"noteIndex":0},"schema":"https://github.com/citation-style-language/schema/raw/master/csl-citation.json"}</w:instrText>
      </w:r>
      <w:r>
        <w:fldChar w:fldCharType="separate"/>
      </w:r>
      <w:r w:rsidRPr="00454ED5">
        <w:rPr>
          <w:noProof/>
        </w:rPr>
        <w:t>[21]</w:t>
      </w:r>
      <w:r>
        <w:fldChar w:fldCharType="end"/>
      </w:r>
      <w:r>
        <w:t>,</w:t>
      </w:r>
      <w:r w:rsidRPr="00494575">
        <w:t xml:space="preserve"> </w:t>
      </w:r>
      <w:r>
        <w:t>reported</w:t>
      </w:r>
      <w:r w:rsidRPr="00494575">
        <w:t xml:space="preserve"> that LDPE absorbs almost 30% of cyclohexane, 14% of n-heptane</w:t>
      </w:r>
      <w:r w:rsidR="008A1D6F">
        <w:t>,</w:t>
      </w:r>
      <w:r w:rsidRPr="00494575">
        <w:t xml:space="preserve"> and 12% of isooctane</w:t>
      </w:r>
      <w:r>
        <w:t xml:space="preserve"> by weight</w:t>
      </w:r>
      <w:r w:rsidRPr="00494575">
        <w:t xml:space="preserve"> in 32 hours at 40</w:t>
      </w:r>
      <m:oMath>
        <m:r>
          <m:rPr>
            <m:sty m:val="p"/>
          </m:rPr>
          <w:rPr>
            <w:rFonts w:ascii="Cambria Math" w:hAnsi="Cambria Math"/>
          </w:rPr>
          <m:t>℃</m:t>
        </m:r>
      </m:oMath>
      <w:r w:rsidRPr="00494575">
        <w:t xml:space="preserve">. </w:t>
      </w:r>
      <w:r>
        <w:t xml:space="preserve">Absorption of other types of liquids such as </w:t>
      </w:r>
      <w:r w:rsidRPr="0018425A">
        <w:t>No. 2 diesel fuel</w:t>
      </w:r>
      <w:r>
        <w:t xml:space="preserve"> </w:t>
      </w:r>
      <w:r>
        <w:fldChar w:fldCharType="begin" w:fldLock="1"/>
      </w:r>
      <w:r w:rsidR="00430285">
        <w:instrText>ADDIN CSL_CITATION {"citationItems":[{"id":"ITEM-1","itemData":{"DOI":"10.1177/002199837901300205","ISSN":"0021-9983","abstract":"Moisture absorption of graphite-epoxy composites immersed in liquids and in himid air were investigated. The moisture content as a function of time and temperature was measured for three materials: Fiberite T300/1034, Hercules AS/3501-5 and Narmco T300/5208. Tests were per formed a) with the materials immersed in No. 2 diesel fuel, in jet A fuel, in aviation oil, in saturated salt water, and in distilled water (in the range of 300 to 322 K) and b)with the materials exposed to humid air (in the range 322 to 366 K). The results obtained were compared to available composite and neat resin data.","author":[{"dropping-particle":"","family":"Loos","given":"Alfred C","non-dropping-particle":"","parse-names":false,"suffix":""},{"dropping-particle":"","family":"Springer","given":"George S","non-dropping-particle":"","parse-names":false,"suffix":""}],"container-title":"Journal of Composite Materials","id":"ITEM-1","issue":"2","issued":{"date-parts":[["1979","4","1"]]},"note":"doi: 10.1177/002199837901300205","page":"131-147","publisher":"SAGE Publications Ltd STM","title":"Moisture Absorption of Graphite-Epoxy Composites Immersed in Liquids and in Humid Air","type":"article-journal","volume":"13"},"uris":["http://www.mendeley.com/documents/?uuid=6f46b69a-aa9a-466d-87d2-755da9d3aa92"]},{"id":"ITEM-2","itemData":{"DOI":"10.1002/app.39654","ISBN":"0021-8995","ISSN":"00218995","abstract":"We present an experimental study on the rheological properties of a commonly used epoxy resin system (EPIKOTE-862 resin and EPIKURE-W curing agent), exposed to a variety of fluids typical of aerospace operations (jet fuel, hydraulic fluids, deicing, detergents, etc.), for a period of up to 6 months, at room temperature for most conditions, and with no concurrent mechanical loading or prior degradation. The specimens were subjected to stress and frequency sweeps with a shear rheometer, while a limited set received also a temperature sweep in a range consistent with aircraft operations. Results indicate that the treated resin samples are linear viscoelastic under these testing conditions. The resin has reasonable chemical resistance to most contaminants of this study, with the exception of two commonly used detergents: an aircraft surface cleaning compound, Penair C5572, and a nonionic detergent, Methyl Ethyl Ketone (MEK). The durability change of the first compound appears triggered by high temperatures only, while the second compound causes a very drastic stiffness loss under several conditions. This drop of performance occurs within a 3-months period, with no apparent color change or fracture that could prompt visual inspection and repair. (c) 2013 Wiley Periodicals, Inc. J. Appl. Polym. Sci. 130: 3961-3971, 2013","author":[{"dropping-particle":"","family":"Moffet","given":"Mitchell L.","non-dropping-particle":"","parse-names":false,"suffix":""},{"dropping-particle":"","family":"Saponara","given":"Valeria","non-dropping-particle":"La","parse-names":false,"suffix":""}],"container-title":"Journal of Applied Polymer Science","id":"ITEM-2","issue":"6","issued":{"date-parts":[["2013"]]},"page":"3961-3971","title":"Rheological properties of neat epoxy exposed to in-service aerospace contaminants","type":"article-journal","volume":"130"},"uris":["http://www.mendeley.com/documents/?uuid=303f1c7e-bf1c-45a1-9210-b7752cd5998e"]}],"mendeley":{"formattedCitation":"[15,22]","plainTextFormattedCitation":"[15,22]","previouslyFormattedCitation":"[7,22]"},"properties":{"noteIndex":0},"schema":"https://github.com/citation-style-language/schema/raw/master/csl-citation.json"}</w:instrText>
      </w:r>
      <w:r>
        <w:fldChar w:fldCharType="separate"/>
      </w:r>
      <w:r w:rsidR="00430285" w:rsidRPr="00430285">
        <w:rPr>
          <w:noProof/>
        </w:rPr>
        <w:t>[15,22]</w:t>
      </w:r>
      <w:r>
        <w:fldChar w:fldCharType="end"/>
      </w:r>
      <w:r>
        <w:t xml:space="preserve">, jet </w:t>
      </w:r>
      <w:r w:rsidRPr="0018425A">
        <w:t>fuel</w:t>
      </w:r>
      <w:r>
        <w:t xml:space="preserve"> </w:t>
      </w:r>
      <w:r>
        <w:fldChar w:fldCharType="begin" w:fldLock="1"/>
      </w:r>
      <w:r w:rsidR="00430285">
        <w:instrText>ADDIN CSL_CITATION {"citationItems":[{"id":"ITEM-1","itemData":{"DOI":"10.1177/002199837901300205","ISSN":"0021-9983","abstract":"Moisture absorption of graphite-epoxy composites immersed in liquids and in himid air were investigated. The moisture content as a function of time and temperature was measured for three materials: Fiberite T300/1034, Hercules AS/3501-5 and Narmco T300/5208. Tests were per formed a) with the materials immersed in No. 2 diesel fuel, in jet A fuel, in aviation oil, in saturated salt water, and in distilled water (in the range of 300 to 322 K) and b)with the materials exposed to humid air (in the range 322 to 366 K). The results obtained were compared to available composite and neat resin data.","author":[{"dropping-particle":"","family":"Loos","given":"Alfred C","non-dropping-particle":"","parse-names":false,"suffix":""},{"dropping-particle":"","family":"Springer","given":"George S","non-dropping-particle":"","parse-names":false,"suffix":""}],"container-title":"Journal of Composite Materials","id":"ITEM-1","issue":"2","issued":{"date-parts":[["1979","4","1"]]},"note":"doi: 10.1177/002199837901300205","page":"131-147","publisher":"SAGE Publications Ltd STM","title":"Moisture Absorption of Graphite-Epoxy Composites Immersed in Liquids and in Humid Air","type":"article-journal","volume":"13"},"uris":["http://www.mendeley.com/documents/?uuid=6f46b69a-aa9a-466d-87d2-755da9d3aa92"]},{"id":"ITEM-2","itemData":{"DOI":"10.1002/app.39654","ISBN":"0021-8995","ISSN":"00218995","abstract":"We present an experimental study on the rheological properties of a commonly used epoxy resin system (EPIKOTE-862 resin and EPIKURE-W curing agent), exposed to a variety of fluids typical of aerospace operations (jet fuel, hydraulic fluids, deicing, detergents, etc.), for a period of up to 6 months, at room temperature for most conditions, and with no concurrent mechanical loading or prior degradation. The specimens were subjected to stress and frequency sweeps with a shear rheometer, while a limited set received also a temperature sweep in a range consistent with aircraft operations. Results indicate that the treated resin samples are linear viscoelastic under these testing conditions. The resin has reasonable chemical resistance to most contaminants of this study, with the exception of two commonly used detergents: an aircraft surface cleaning compound, Penair C5572, and a nonionic detergent, Methyl Ethyl Ketone (MEK). The durability change of the first compound appears triggered by high temperatures only, while the second compound causes a very drastic stiffness loss under several conditions. This drop of performance occurs within a 3-months period, with no apparent color change or fracture that could prompt visual inspection and repair. (c) 2013 Wiley Periodicals, Inc. J. Appl. Polym. Sci. 130: 3961-3971, 2013","author":[{"dropping-particle":"","family":"Moffet","given":"Mitchell L.","non-dropping-particle":"","parse-names":false,"suffix":""},{"dropping-particle":"","family":"Saponara","given":"Valeria","non-dropping-particle":"La","parse-names":false,"suffix":""}],"container-title":"Journal of Applied Polymer Science","id":"ITEM-2","issue":"6","issued":{"date-parts":[["2013"]]},"page":"3961-3971","title":"Rheological properties of neat epoxy exposed to in-service aerospace contaminants","type":"article-journal","volume":"130"},"uris":["http://www.mendeley.com/documents/?uuid=303f1c7e-bf1c-45a1-9210-b7752cd5998e"]},{"id":"ITEM-3","itemData":{"DOI":"10.1016/j.compstruct.2011.03.005","ISBN":"02638223","ISSN":"02638223","abstract":"Polymer-matrix composite structures in service may be affected by different environmental conditions that modify their mechanical performance, thermal stability, and flammability potential. In this study, epoxy-based structural adhesive and carbon/epoxy specimens were degraded at three conditioning temperatures, by water and commercial fluids typical of aerospace operations: jet fuel, anti-icing additive and hydraulic fluid. Two well-established simple diffusion models (Fickian, Langmuir) were used to interpret the mass uptake data and assess the suitability of such models for these tests. Despite limitations inherent in these models, reasonably good fits were obtained for adhesive and carbon/epoxy specimens immersed in water or anti-icing additive. We report the respective strengths of association of the two models with the individual specimens' data, and boxplots for the diffusivity changes among the three conditioning temperatures. An Arrhenius trend for the diffusivity of adhesive specimens treated in anti-icing shows that this temperature dependence may not be a good approximation for this problem. The degradation of these materials in hydraulic fluid is very complex, as indicated by the extensive swelling and the color change, and these models could not successfully fit the gravimetric data. These new results could aid researchers in multiphysics modeling of degraded composite structures. © 2011 Elsevier Ltd.","author":[{"dropping-particle":"","family":"Saponara","given":"Valeria","non-dropping-particle":"La","parse-names":false,"suffix":""}],"container-title":"Composite Structures","id":"ITEM-3","issue":"9","issued":{"date-parts":[["2011"]]},"page":"2180-2195","publisher":"Elsevier Ltd","title":"Environmental and chemical degradation of carbon/epoxy and structural adhesive for aerospace applications: Fickian and anomalous diffusion, Arrhenius kinetics","type":"article-journal","volume":"93"},"uris":["http://www.mendeley.com/documents/?uuid=ed0aa69b-df5e-468a-bf5b-722a2a19eca1"]}],"mendeley":{"formattedCitation":"[15,22,23]","plainTextFormattedCitation":"[15,22,23]","previouslyFormattedCitation":"[7,22,23]"},"properties":{"noteIndex":0},"schema":"https://github.com/citation-style-language/schema/raw/master/csl-citation.json"}</w:instrText>
      </w:r>
      <w:r>
        <w:fldChar w:fldCharType="separate"/>
      </w:r>
      <w:r w:rsidR="00430285" w:rsidRPr="00430285">
        <w:rPr>
          <w:noProof/>
        </w:rPr>
        <w:t>[15,22,23]</w:t>
      </w:r>
      <w:r>
        <w:fldChar w:fldCharType="end"/>
      </w:r>
      <w:r w:rsidRPr="0018425A">
        <w:t xml:space="preserve">, </w:t>
      </w:r>
      <w:r>
        <w:t xml:space="preserve">de-icing fluid </w:t>
      </w:r>
      <w:r>
        <w:fldChar w:fldCharType="begin" w:fldLock="1"/>
      </w:r>
      <w:r w:rsidR="007961A0">
        <w:instrText>ADDIN CSL_CITATION {"citationItems":[{"id":"ITEM-1","itemData":{"DOI":"10.1002/app.39654","ISBN":"0021-8995","ISSN":"00218995","abstract":"We present an experimental study on the rheological properties of a commonly used epoxy resin system (EPIKOTE-862 resin and EPIKURE-W curing agent), exposed to a variety of fluids typical of aerospace operations (jet fuel, hydraulic fluids, deicing, detergents, etc.), for a period of up to 6 months, at room temperature for most conditions, and with no concurrent mechanical loading or prior degradation. The specimens were subjected to stress and frequency sweeps with a shear rheometer, while a limited set received also a temperature sweep in a range consistent with aircraft operations. Results indicate that the treated resin samples are linear viscoelastic under these testing conditions. The resin has reasonable chemical resistance to most contaminants of this study, with the exception of two commonly used detergents: an aircraft surface cleaning compound, Penair C5572, and a nonionic detergent, Methyl Ethyl Ketone (MEK). The durability change of the first compound appears triggered by high temperatures only, while the second compound causes a very drastic stiffness loss under several conditions. This drop of performance occurs within a 3-months period, with no apparent color change or fracture that could prompt visual inspection and repair. (c) 2013 Wiley Periodicals, Inc. J. Appl. Polym. Sci. 130: 3961-3971, 2013","author":[{"dropping-particle":"","family":"Moffet","given":"Mitchell L.","non-dropping-particle":"","parse-names":false,"suffix":""},{"dropping-particle":"","family":"Saponara","given":"Valeria","non-dropping-particle":"La","parse-names":false,"suffix":""}],"container-title":"Journal of Applied Polymer Science","id":"ITEM-1","issue":"6","issued":{"date-parts":[["2013"]]},"page":"3961-3971","title":"Rheological properties of neat epoxy exposed to in-service aerospace contaminants","type":"article-journal","volume":"130"},"uris":["http://www.mendeley.com/documents/?uuid=303f1c7e-bf1c-45a1-9210-b7752cd5998e"]},{"id":"ITEM-2","itemData":{"DOI":"10.1016/j.compstruct.2011.03.005","ISBN":"02638223","ISSN":"02638223","abstract":"Polymer-matrix composite structures in service may be affected by different environmental conditions that modify their mechanical performance, thermal stability, and flammability potential. In this study, epoxy-based structural adhesive and carbon/epoxy specimens were degraded at three conditioning temperatures, by water and commercial fluids typical of aerospace operations: jet fuel, anti-icing additive and hydraulic fluid. Two well-established simple diffusion models (Fickian, Langmuir) were used to interpret the mass uptake data and assess the suitability of such models for these tests. Despite limitations inherent in these models, reasonably good fits were obtained for adhesive and carbon/epoxy specimens immersed in water or anti-icing additive. We report the respective strengths of association of the two models with the individual specimens' data, and boxplots for the diffusivity changes among the three conditioning temperatures. An Arrhenius trend for the diffusivity of adhesive specimens treated in anti-icing shows that this temperature dependence may not be a good approximation for this problem. The degradation of these materials in hydraulic fluid is very complex, as indicated by the extensive swelling and the color change, and these models could not successfully fit the gravimetric data. These new results could aid researchers in multiphysics modeling of degraded composite structures. © 2011 Elsevier Ltd.","author":[{"dropping-particle":"","family":"Saponara","given":"Valeria","non-dropping-particle":"La","parse-names":false,"suffix":""}],"container-title":"Composite Structures","id":"ITEM-2","issue":"9","issued":{"date-parts":[["2011"]]},"page":"2180-2195","publisher":"Elsevier Ltd","title":"Environmental and chemical degradation of carbon/epoxy and structural adhesive for aerospace applications: Fickian and anomalous diffusion, Arrhenius kinetics","type":"article-journal","volume":"93"},"uris":["http://www.mendeley.com/documents/?uuid=ed0aa69b-df5e-468a-bf5b-722a2a19eca1"]}],"mendeley":{"formattedCitation":"[22,23]","plainTextFormattedCitation":"[22,23]","previouslyFormattedCitation":"[22,23]"},"properties":{"noteIndex":0},"schema":"https://github.com/citation-style-language/schema/raw/master/csl-citation.json"}</w:instrText>
      </w:r>
      <w:r>
        <w:fldChar w:fldCharType="separate"/>
      </w:r>
      <w:r w:rsidRPr="00454ED5">
        <w:rPr>
          <w:noProof/>
        </w:rPr>
        <w:t>[22,23]</w:t>
      </w:r>
      <w:r>
        <w:fldChar w:fldCharType="end"/>
      </w:r>
      <w:r>
        <w:t xml:space="preserve">, hydraulic fluid </w:t>
      </w:r>
      <w:r>
        <w:fldChar w:fldCharType="begin" w:fldLock="1"/>
      </w:r>
      <w:r w:rsidR="00B274D5">
        <w:instrText>ADDIN CSL_CITATION {"citationItems":[{"id":"ITEM-1","itemData":{"DOI":"10.1016/j.compstruct.2011.03.005","ISBN":"02638223","ISSN":"02638223","abstract":"Polymer-matrix composite structures in service may be affected by different environmental conditions that modify their mechanical performance, thermal stability, and flammability potential. In this study, epoxy-based structural adhesive and carbon/epoxy specimens were degraded at three conditioning temperatures, by water and commercial fluids typical of aerospace operations: jet fuel, anti-icing additive and hydraulic fluid. Two well-established simple diffusion models (Fickian, Langmuir) were used to interpret the mass uptake data and assess the suitability of such models for these tests. Despite limitations inherent in these models, reasonably good fits were obtained for adhesive and carbon/epoxy specimens immersed in water or anti-icing additive. We report the respective strengths of association of the two models with the individual specimens' data, and boxplots for the diffusivity changes among the three conditioning temperatures. An Arrhenius trend for the diffusivity of adhesive specimens treated in anti-icing shows that this temperature dependence may not be a good approximation for this problem. The degradation of these materials in hydraulic fluid is very complex, as indicated by the extensive swelling and the color change, and these models could not successfully fit the gravimetric data. These new results could aid researchers in multiphysics modeling of degraded composite structures. © 2011 Elsevier Ltd.","author":[{"dropping-particle":"","family":"Saponara","given":"Valeria","non-dropping-particle":"La","parse-names":false,"suffix":""}],"container-title":"Composite Structures","id":"ITEM-1","issue":"9","issued":{"date-parts":[["2011"]]},"page":"2180-2195","publisher":"Elsevier Ltd","title":"Environmental and chemical degradation of carbon/epoxy and structural adhesive for aerospace applications: Fickian and anomalous diffusion, Arrhenius kinetics","type":"article-journal","volume":"93"},"uris":["http://www.mendeley.com/documents/?uuid=ed0aa69b-df5e-468a-bf5b-722a2a19eca1"]}],"mendeley":{"formattedCitation":"[23]","plainTextFormattedCitation":"[23]","previouslyFormattedCitation":"[23]"},"properties":{"noteIndex":0},"schema":"https://github.com/citation-style-language/schema/raw/master/csl-citation.json"}</w:instrText>
      </w:r>
      <w:r>
        <w:fldChar w:fldCharType="separate"/>
      </w:r>
      <w:r w:rsidRPr="00454ED5">
        <w:rPr>
          <w:noProof/>
        </w:rPr>
        <w:t>[23]</w:t>
      </w:r>
      <w:r>
        <w:fldChar w:fldCharType="end"/>
      </w:r>
      <w:r w:rsidR="008A1D6F">
        <w:t>,</w:t>
      </w:r>
      <w:r>
        <w:t xml:space="preserve"> </w:t>
      </w:r>
      <w:r w:rsidRPr="0018425A">
        <w:t>and aviation oi</w:t>
      </w:r>
      <w:r>
        <w:t xml:space="preserve">l </w:t>
      </w:r>
      <w:r>
        <w:fldChar w:fldCharType="begin" w:fldLock="1"/>
      </w:r>
      <w:r w:rsidR="00430285">
        <w:instrText>ADDIN CSL_CITATION {"citationItems":[{"id":"ITEM-1","itemData":{"DOI":"10.1177/002199837901300205","ISSN":"0021-9983","abstract":"Moisture absorption of graphite-epoxy composites immersed in liquids and in himid air were investigated. The moisture content as a function of time and temperature was measured for three materials: Fiberite T300/1034, Hercules AS/3501-5 and Narmco T300/5208. Tests were per formed a) with the materials immersed in No. 2 diesel fuel, in jet A fuel, in aviation oil, in saturated salt water, and in distilled water (in the range of 300 to 322 K) and b)with the materials exposed to humid air (in the range 322 to 366 K). The results obtained were compared to available composite and neat resin data.","author":[{"dropping-particle":"","family":"Loos","given":"Alfred C","non-dropping-particle":"","parse-names":false,"suffix":""},{"dropping-particle":"","family":"Springer","given":"George S","non-dropping-particle":"","parse-names":false,"suffix":""}],"container-title":"Journal of Composite Materials","id":"ITEM-1","issue":"2","issued":{"date-parts":[["1979","4","1"]]},"note":"doi: 10.1177/002199837901300205","page":"131-147","publisher":"SAGE Publications Ltd STM","title":"Moisture Absorption of Graphite-Epoxy Composites Immersed in Liquids and in Humid Air","type":"article-journal","volume":"13"},"uris":["http://www.mendeley.com/documents/?uuid=6f46b69a-aa9a-466d-87d2-755da9d3aa92"]},{"id":"ITEM-2","itemData":{"DOI":"10.1002/app.39654","ISBN":"0021-8995","ISSN":"00218995","abstract":"We present an experimental study on the rheological properties of a commonly used epoxy resin system (EPIKOTE-862 resin and EPIKURE-W curing agent), exposed to a variety of fluids typical of aerospace operations (jet fuel, hydraulic fluids, deicing, detergents, etc.), for a period of up to 6 months, at room temperature for most conditions, and with no concurrent mechanical loading or prior degradation. The specimens were subjected to stress and frequency sweeps with a shear rheometer, while a limited set received also a temperature sweep in a range consistent with aircraft operations. Results indicate that the treated resin samples are linear viscoelastic under these testing conditions. The resin has reasonable chemical resistance to most contaminants of this study, with the exception of two commonly used detergents: an aircraft surface cleaning compound, Penair C5572, and a nonionic detergent, Methyl Ethyl Ketone (MEK). The durability change of the first compound appears triggered by high temperatures only, while the second compound causes a very drastic stiffness loss under several conditions. This drop of performance occurs within a 3-months period, with no apparent color change or fracture that could prompt visual inspection and repair. (c) 2013 Wiley Periodicals, Inc. J. Appl. Polym. Sci. 130: 3961-3971, 2013","author":[{"dropping-particle":"","family":"Moffet","given":"Mitchell L.","non-dropping-particle":"","parse-names":false,"suffix":""},{"dropping-particle":"","family":"Saponara","given":"Valeria","non-dropping-particle":"La","parse-names":false,"suffix":""}],"container-title":"Journal of Applied Polymer Science","id":"ITEM-2","issue":"6","issued":{"date-parts":[["2013"]]},"page":"3961-3971","title":"Rheological properties of neat epoxy exposed to in-service aerospace contaminants","type":"article-journal","volume":"130"},"uris":["http://www.mendeley.com/documents/?uuid=303f1c7e-bf1c-45a1-9210-b7752cd5998e"]}],"mendeley":{"formattedCitation":"[15,22]","plainTextFormattedCitation":"[15,22]","previouslyFormattedCitation":"[7,22]"},"properties":{"noteIndex":0},"schema":"https://github.com/citation-style-language/schema/raw/master/csl-citation.json"}</w:instrText>
      </w:r>
      <w:r>
        <w:fldChar w:fldCharType="separate"/>
      </w:r>
      <w:r w:rsidR="00430285" w:rsidRPr="00430285">
        <w:rPr>
          <w:noProof/>
        </w:rPr>
        <w:t>[15,22]</w:t>
      </w:r>
      <w:r>
        <w:fldChar w:fldCharType="end"/>
      </w:r>
      <w:r>
        <w:t xml:space="preserve"> were also investigated. It is observed that each penetrant/medium pair has distinctive diffusion kinetics. </w:t>
      </w:r>
    </w:p>
    <w:p w14:paraId="26F5B3C3" w14:textId="453B8F47" w:rsidR="00D2198E" w:rsidRDefault="00D2198E" w:rsidP="00C730E9">
      <w:r>
        <w:t xml:space="preserve">The medium that the molecules are diffusing into also affects the absorption kinetics. Dana et al. </w:t>
      </w:r>
      <w:r>
        <w:fldChar w:fldCharType="begin" w:fldLock="1"/>
      </w:r>
      <w:r w:rsidR="00430285">
        <w:instrText>ADDIN CSL_CITATION {"citationItems":[{"id":"ITEM-1","itemData":{"DOI":"10.1177/0021998313477963","ISBN":"0021998313477","ISSN":"00219983","abstract":"In this work, moisture penetration in glass fiber-reinforced polymers was systematically investigated through both experiments and theoretical approaches. The diffusivities of the neat resin and those of unidirectional composite plates containing various glass fiber volume fractions have been identified through the analysis of hygro-thermal aging tests. The main aim of the present paper consists in comparing the evolutions, as a function of the fiber volume fractions, of the moisture diffusion coefficients deduced from experiments to the corresponding values, predicted by the many traditional scale transition relations available in the literature.","author":[{"dropping-particle":"","family":"Dana","given":"Hossein Ramezani","non-dropping-particle":"","parse-names":false,"suffix":""},{"dropping-particle":"","family":"Perronnet","given":"Annick","non-dropping-particle":"","parse-names":false,"suffix":""},{"dropping-particle":"","family":"Fréour","given":"Sylvain","non-dropping-particle":"","parse-names":false,"suffix":""},{"dropping-particle":"","family":"Casari","given":"Pascal","non-dropping-particle":"","parse-names":false,"suffix":""},{"dropping-particle":"","family":"Jacquemin","given":"Frédéric","non-dropping-particle":"","parse-names":false,"suffix":""}],"container-title":"Journal of Composite Materials","id":"ITEM-1","issue":"9","issued":{"date-parts":[["2013"]]},"page":"1081-1092","title":"Identification of moisture diffusion parameters in organic matrix composites","type":"article-journal","volume":"47"},"uris":["http://www.mendeley.com/documents/?uuid=b1451785-61e4-41d5-8f97-493db89cb0c8"]}],"mendeley":{"formattedCitation":"[16]","plainTextFormattedCitation":"[16]","previouslyFormattedCitation":"[8]"},"properties":{"noteIndex":0},"schema":"https://github.com/citation-style-language/schema/raw/master/csl-citation.json"}</w:instrText>
      </w:r>
      <w:r>
        <w:fldChar w:fldCharType="separate"/>
      </w:r>
      <w:r w:rsidR="00430285" w:rsidRPr="00430285">
        <w:rPr>
          <w:noProof/>
        </w:rPr>
        <w:t>[16]</w:t>
      </w:r>
      <w:r>
        <w:fldChar w:fldCharType="end"/>
      </w:r>
      <w:r>
        <w:t xml:space="preserve"> reported that </w:t>
      </w:r>
      <w:proofErr w:type="spellStart"/>
      <w:r>
        <w:t>ortho-phtalic</w:t>
      </w:r>
      <w:proofErr w:type="spellEnd"/>
      <w:r>
        <w:t xml:space="preserve"> polyester resin absorbs 0.73 wt.% of moisture at 23</w:t>
      </w:r>
      <m:oMath>
        <m:r>
          <m:rPr>
            <m:sty m:val="p"/>
          </m:rPr>
          <w:rPr>
            <w:rFonts w:ascii="Cambria Math" w:hAnsi="Cambria Math"/>
          </w:rPr>
          <m:t>℃</m:t>
        </m:r>
      </m:oMath>
      <w:r>
        <w:t xml:space="preserve"> and 80%</w:t>
      </w:r>
      <w:r w:rsidR="00AC540E">
        <w:t xml:space="preserve"> </w:t>
      </w:r>
      <w:r>
        <w:t>RH</w:t>
      </w:r>
      <w:r w:rsidR="00F21C11">
        <w:t>,</w:t>
      </w:r>
      <w:r>
        <w:t xml:space="preserve"> whereas addition of 53% and 41% E-glass fibers by volume into the matrix lead to decrease in absorbed moisture by 59% and 72%, respectively. Moreover, </w:t>
      </w:r>
      <w:proofErr w:type="spellStart"/>
      <w:r>
        <w:t>Dhakal</w:t>
      </w:r>
      <w:proofErr w:type="spellEnd"/>
      <w:r>
        <w:t xml:space="preserve"> et al. </w:t>
      </w:r>
      <w:r>
        <w:fldChar w:fldCharType="begin" w:fldLock="1"/>
      </w:r>
      <w:r w:rsidR="00430285">
        <w:instrText>ADDIN CSL_CITATION {"citationItems":[{"id":"ITEM-1","itemData":{"DOI":"10.1177/0021998313487238","ISBN":"0021-9983","ISSN":"1530793X","abstract":"Flax and jute fibres are inexpensive and easily available bast fibres and they are extensively used as reinforcement in polymer matrix composites. However, due to their susceptibility to moisture absorption, their application is restricted to non-structural interior products. In this study, flax- and jute fibre-reinforced bioresin-based epoxy biocomposites were fabricated using hand lay-up method and their nanoindentation and flexural properties were investigated. In order to study the effects of water absorption on the nanoindentation and flexural properties, the biocomposites were subjected to water immersion tests by immersing specimens in a de-ionised water bath at 25celcius for a period of 961 h. The nanoindentation behaviour and flexural properties of water-immersed specimens were evaluated and compared alongside with dry specimens. The percentage of moisture uptake and diffusion coefficient (D) was recorded higher for jute-reinforced specimens compared with flax. The flexural properties for both types of specimens were found to decrease with increase in percentage moisture uptake. Comparison of flexural strength and flexural modulus between flax dry and flax wet biocomposites showed that wet samples lost almost 40% of strength and 69% of modulus compared with dry flax samples. The jute wet samples lost 60% of strength and 80% of modulus compared with dry samples. The nanohardness value decreased from 0.207 to 0.135 GPa for dry flax sample after immersion in water.","author":[{"dropping-particle":"","family":"Dhakal","given":"H. N.","non-dropping-particle":"","parse-names":false,"suffix":""},{"dropping-particle":"","family":"Zhang","given":"Z. Y.","non-dropping-particle":"","parse-names":false,"suffix":""},{"dropping-particle":"","family":"Bennett","given":"N.","non-dropping-particle":"","parse-names":false,"suffix":""},{"dropping-particle":"","family":"Lopez-Arraiza","given":"A.","non-dropping-particle":"","parse-names":false,"suffix":""},{"dropping-particle":"","family":"Vallejo","given":"F. J.","non-dropping-particle":"","parse-names":false,"suffix":""}],"container-title":"Journal of Composite Materials","id":"ITEM-1","issue":"11","issued":{"date-parts":[["2014"]]},"page":"1399-1406","title":"Effects of water immersion ageing on the mechanical properties of flax and jute fibre biocomposites evaluated by nanoindentation and flexural testing","type":"article-journal","volume":"48"},"uris":["http://www.mendeley.com/documents/?uuid=f6d63eaf-53be-41d7-82ba-bc11eee7c206"]}],"mendeley":{"formattedCitation":"[17]","plainTextFormattedCitation":"[17]","previouslyFormattedCitation":"[9]"},"properties":{"noteIndex":0},"schema":"https://github.com/citation-style-language/schema/raw/master/csl-citation.json"}</w:instrText>
      </w:r>
      <w:r>
        <w:fldChar w:fldCharType="separate"/>
      </w:r>
      <w:r w:rsidR="00430285" w:rsidRPr="00430285">
        <w:rPr>
          <w:noProof/>
        </w:rPr>
        <w:t>[17]</w:t>
      </w:r>
      <w:r>
        <w:fldChar w:fldCharType="end"/>
      </w:r>
      <w:r>
        <w:t xml:space="preserve"> investigated the effect of fiber type in bio-based epoxy resin (Super Sap TM100/1000) to illustrate the change in moisture absorption due to modification </w:t>
      </w:r>
      <w:r w:rsidR="00F21C11">
        <w:t xml:space="preserve">of the </w:t>
      </w:r>
      <w:r w:rsidR="00F21C11">
        <w:lastRenderedPageBreak/>
        <w:t>resin</w:t>
      </w:r>
      <w:r>
        <w:t>. Addition of flux, jute</w:t>
      </w:r>
      <w:r w:rsidR="00980A92">
        <w:t>,</w:t>
      </w:r>
      <w:r>
        <w:t xml:space="preserve"> and glass fiber into bio-based epoxy matrix resulted in 9.6%, 14.41% and 0.99% moisture absorption by weight, respectively. Other researchers also experimented on moisture absorption into various mediums such as </w:t>
      </w:r>
      <w:r w:rsidRPr="00F27DEE">
        <w:t>vinyl ester</w:t>
      </w:r>
      <w:r>
        <w:t xml:space="preserve"> </w:t>
      </w:r>
      <w:r w:rsidRPr="00F27DEE">
        <w:fldChar w:fldCharType="begin" w:fldLock="1"/>
      </w:r>
      <w:r w:rsidR="00430285">
        <w:instrText>ADDIN CSL_CITATION {"citationItems":[{"id":"ITEM-1","itemData":{"DOI":"10.1002/pen.11078","ISSN":"00323888","abstract":"Moisture diffusion was studied through vinyl ester samples containing up to 5 wt% of organically treated montmorillonite. Two different kinds of clay surface treatment were employed to make the clay compatible with DerakaneTM 411-350 vinyl ester resin. The nanocomposites were characterized using differential scanning calorimetry (DSC), mechanical property measurements, X-ray diffraction (XRD) and transmission electron microscopy (TEM). TEM pictures showed that the clay platelets were either exfoliated or intercalated, and the two different surface treatments resulted in different dispersion characteristics. All the samples were post cured, and the diffusivity of moisture was measured by soaking the samples in 25°C water and noting the increase in weight with increasing time of immersion. It was found that water diffusivity decreased with increasing clay content, and it was reduced to half its value in the neat resin when the clay content was only 1 wt% regardless of the nature of clay surface treatment. However, the equilibrium moisture content, the glass transition temperature, and the elastic modulus all increased with increasing amounts of clay.","author":[{"dropping-particle":"","family":"Shah","given":"Apoorva P.","non-dropping-particle":"","parse-names":false,"suffix":""},{"dropping-particle":"","family":"Gupta","given":"Rakesh K.","non-dropping-particle":"","parse-names":false,"suffix":""},{"dropping-particle":"","family":"Gangarao","given":"Hota V.S.","non-dropping-particle":"","parse-names":false,"suffix":""},{"dropping-particle":"","family":"Powell","given":"Clois E.","non-dropping-particle":"","parse-names":false,"suffix":""}],"container-title":"Polymer Engineering and Science","id":"ITEM-1","issue":"9","issued":{"date-parts":[["2002"]]},"page":"1852-1863","title":"Moisture diffusion through vinyl ester nanocomposites made with montmorillonite clay","type":"article-journal","volume":"42"},"uris":["http://www.mendeley.com/documents/?uuid=33d95d73-773f-443a-9a3c-90cf550ef636"]},{"id":"ITEM-2","itemData":{"DOI":"10.1002/vnl.21367","ISSN":"1083-5601","abstract":"This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Technology","id":"ITEM-2","issue":"3","issued":{"date-parts":[["2014","5","22"]]},"note":"doi: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[3,18]","plainTextFormattedCitation":"[3,18]","previouslyFormattedCitation":"[10,11]"},"properties":{"noteIndex":0},"schema":"https://github.com/citation-style-language/schema/raw/master/csl-citation.json"}</w:instrText>
      </w:r>
      <w:r w:rsidRPr="00F27DEE">
        <w:fldChar w:fldCharType="separate"/>
      </w:r>
      <w:r w:rsidR="00430285" w:rsidRPr="00430285">
        <w:rPr>
          <w:noProof/>
        </w:rPr>
        <w:t>[3,18]</w:t>
      </w:r>
      <w:r w:rsidRPr="00F27DEE">
        <w:fldChar w:fldCharType="end"/>
      </w:r>
      <w:r>
        <w:t>, nylon 6</w:t>
      </w:r>
      <w:r w:rsidRPr="00F27DEE">
        <w:t xml:space="preserve"> </w:t>
      </w:r>
      <w:r w:rsidRPr="00F27DEE">
        <w:fldChar w:fldCharType="begin" w:fldLock="1"/>
      </w:r>
      <w:r w:rsidR="00430285">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1d0000b6-54ff-42a1-80e6-75c75ede87f6"]}],"mendeley":{"formattedCitation":"[4]","plainTextFormattedCitation":"[4]","previouslyFormattedCitation":"[12]"},"properties":{"noteIndex":0},"schema":"https://github.com/citation-style-language/schema/raw/master/csl-citation.json"}</w:instrText>
      </w:r>
      <w:r w:rsidRPr="00F27DEE">
        <w:fldChar w:fldCharType="separate"/>
      </w:r>
      <w:r w:rsidR="00430285" w:rsidRPr="00430285">
        <w:rPr>
          <w:noProof/>
        </w:rPr>
        <w:t>[4]</w:t>
      </w:r>
      <w:r w:rsidRPr="00F27DEE">
        <w:fldChar w:fldCharType="end"/>
      </w:r>
      <w:r w:rsidRPr="00F27DEE">
        <w:t>, polyester</w:t>
      </w:r>
      <w:r>
        <w:t xml:space="preserve"> </w:t>
      </w:r>
      <w:r w:rsidRPr="00F27DEE">
        <w:fldChar w:fldCharType="begin" w:fldLock="1"/>
      </w:r>
      <w:r w:rsidR="00430285">
        <w:instrText>ADDIN CSL_CITATION {"citationItems":[{"id":"ITEM-1","itemData":{"DOI":"10.1177/0021998308096668","ISSN":"00219983","abstract":"Ring-shaped glass fiber/polyester composite specimens cut from composite pipes with various lengths and cut edge quality were immersed into deionized water, and their water absorption was noted regularly by registering their mass gain. Monotonic ring compression tests were performed to monitor the stiffness properties during the water absorption process. Effect of specimen length and cut edge sealing with the matrix material of the pipe on the water absorption process was analyzed. Water absorption curves were fitted to the experimental data with very high correlation coefficients. Specimen types with cut edge sealing were found to absorb significantly less water than the other types, and the absorbed water showed a nonlinear monotonic decreasing tendency with specimen length. Mechanical properties were found to be only slightly affected by moisture probably because of the small amount of absorbed water. © 2008 SAGE Publications Los Angeles, London, New Delhi and Singapore.","author":[{"dropping-particle":"","family":"Czél","given":"G.","non-dropping-particle":"","parse-names":false,"suffix":""},{"dropping-particle":"","family":"Czigány","given":"T.","non-dropping-particle":"","parse-names":false,"suffix":""}],"container-title":"Journal of Composite Materials","id":"ITEM-1","issue":"26","issued":{"date-parts":[["2008"]]},"page":"2815-2827","title":"A study of water absorption and mechanical properties of glass fiber/polyester composite pipes - Effects of specimen geometry and preparation","type":"article-journal","volume":"42"},"uris":["http://www.mendeley.com/documents/?uuid=995983cc-f92a-40d2-9697-39d8b5765fe3"]}],"mendeley":{"formattedCitation":"[5]","plainTextFormattedCitation":"[5]","previouslyFormattedCitation":"[13]"},"properties":{"noteIndex":0},"schema":"https://github.com/citation-style-language/schema/raw/master/csl-citation.json"}</w:instrText>
      </w:r>
      <w:r w:rsidRPr="00F27DEE">
        <w:fldChar w:fldCharType="separate"/>
      </w:r>
      <w:r w:rsidR="00430285" w:rsidRPr="00430285">
        <w:rPr>
          <w:noProof/>
        </w:rPr>
        <w:t>[5]</w:t>
      </w:r>
      <w:r w:rsidRPr="00F27DEE">
        <w:fldChar w:fldCharType="end"/>
      </w:r>
      <w:r w:rsidRPr="00F27DEE">
        <w:t>, polypropylene</w:t>
      </w:r>
      <w:r>
        <w:t xml:space="preserve"> </w:t>
      </w:r>
      <w:r>
        <w:fldChar w:fldCharType="begin" w:fldLock="1"/>
      </w:r>
      <w:r w:rsidR="00430285">
        <w:instrText>ADDIN CSL_CITATION {"citationItems":[{"id":"ITEM-1","itemData":{"DOI":"10.1023/A:1021130019435","ISBN":"0022-2461","ISSN":"00222461","abstract":"The effects of environmental aging and accelerated aging on tensile and flexural behavior of bamboo fiber reinforced polypropylene composite (BFRP) and bamboo-glass fiber reinforced polypropylene hybrid composite (BGRP), all with a 30% (by mass) fiber content, were studied by exposing the samples in water at 25degreesC for up to 1600 h and at 75degreesC for up to 600 h. Reduction in tensile strength for BFRP and BGRP was 12.2% and 7.5%, respectively, after aging at 25degreesC for about 1200 h. Tensile and flexural strength of BFRP and BGRP were reduced by 32%, 11.7%, and 27%, 7.5% respectively, after aging at 75degreesC for 600 h. While the strengths of the bamboo fiber reinforced composites reduce with sorption time and temperature, the environmental degradation process can be delayed by adding a small amount of glass fiber. Moisture sorption and strength reduction are further suppressed by using maleic anhydride polypropylene (MAPP) as a coupling agent in both types of composite system. (C) 2003 Kluwer Academic Publishers.","author":[{"dropping-particle":"","family":"Thwe","given":"Moe Moe","non-dropping-particle":"","parse-names":false,"suffix":""},{"dropping-particle":"","family":"Liao","given":"Kin","non-dropping-particle":"","parse-names":false,"suffix":""}],"container-title":"Journal of Materials Science","id":"ITEM-1","issue":"2","issued":{"date-parts":[["2003"]]},"page":"363-376","title":"Environmental effects on bamboo-glass/polypropylene hybrid composites","type":"article-journal","volume":"38"},"uris":["http://www.mendeley.com/documents/?uuid=bc8cf068-fddb-4700-8ef9-5bf8357cbebd"]},{"id":"ITEM-2","itemData":{"DOI":"10.1016/j.compositesa.2008.08.003","ISBN":"1359-835X","ISSN":"1359835X","abstract":"This paper describes the influence of fibre length, fibre beating and hygrothermal ageing on tensile strength (TS), Young's modulus (YM), failure strain (FS) and impact strength (IS) of Kraft fibre reinforced polypropylene (PP) composites. TS, YM and IS of composites were found to decrease and FS increased with decreasing fibre length. Modest levels of fibre beating increased the TS of composites, which is believed to be due to improved interfacial bonding. During hygrothermal ageing, the diffusion coefficient increased with increased ageing temperature. Composites without coupling agent showed higher water uptake and diffusion coefficient than those with coupling agent. TS and YM were found to decrease for hygrothermal ageing due to fibre damage and reduced fibre matrix interfacial bonding, whilst FS and IS were found to increase due to the plasticizing effect of water. © 2008 Elsevier Ltd. All rights reserved.","author":[{"dropping-particle":"","family":"Beg","given":"M. D H","non-dropping-particle":"","parse-names":false,"suffix":""},{"dropping-particle":"","family":"Pickering","given":"K. L.","non-dropping-particle":"","parse-names":false,"suffix":""}],"container-title":"Composites Part A: Applied Science and Manufacturing","id":"ITEM-2","issue":"11","issued":{"date-parts":[["2008"]]},"page":"1748-1755","publisher":"Elsevier Ltd","title":"Mechanical performance of Kraft fibre reinforced polypropylene composites: Influence of fibre length, fibre beating and hygrothermal ageing","type":"article-journal","volume":"39"},"uris":["http://www.mendeley.com/documents/?uuid=5c762795-b048-463e-931a-d11bec27fbbe"]},{"id":"ITEM-3","itemData":{"DOI":"10.1177/0892705707083949","ISBN":"0892705707083","ISSN":"08927057","PMID":"12","author":[{"dropping-particle":"","family":"Hargitai","given":"Hajnalka","non-dropping-particle":"","parse-names":false,"suffix":""},{"dropping-particle":"","family":"Rácz","given":"Ilona","non-dropping-particle":"","parse-names":false,"suffix":""},{"dropping-particle":"","family":"Anandjiwala","given":"Rajesh D.","non-dropping-particle":"","parse-names":false,"suffix":""}],"container-title":"Journal of Thermoplastic Composite Materials","id":"ITEM-3","issue":"2","issued":{"date-parts":[["2008"]]},"page":"165-174","title":"Development of HEMP fiber reinforced polypropylene composites","type":"article-journal","volume":"21"},"uris":["http://www.mendeley.com/documents/?uuid=2257c251-0f25-4bc6-a7e1-f64b30c55977"]}],"mendeley":{"formattedCitation":"[6–8]","plainTextFormattedCitation":"[6–8]","previouslyFormattedCitation":"[14–16]"},"properties":{"noteIndex":0},"schema":"https://github.com/citation-style-language/schema/raw/master/csl-citation.json"}</w:instrText>
      </w:r>
      <w:r>
        <w:fldChar w:fldCharType="separate"/>
      </w:r>
      <w:r w:rsidR="00430285" w:rsidRPr="00430285">
        <w:rPr>
          <w:noProof/>
        </w:rPr>
        <w:t>[6–8]</w:t>
      </w:r>
      <w:r>
        <w:fldChar w:fldCharType="end"/>
      </w:r>
      <w:r w:rsidRPr="00F27DEE">
        <w:t xml:space="preserve"> </w:t>
      </w:r>
      <w:r>
        <w:t xml:space="preserve">and reported distinct moisture absorption kinetics. </w:t>
      </w:r>
    </w:p>
    <w:p w14:paraId="3AFDFF61" w14:textId="2022C306" w:rsidR="00D2198E" w:rsidRDefault="00D2198E" w:rsidP="00C730E9">
      <w:r>
        <w:t xml:space="preserve">Furthermore, diffusion is influenced by the environmental effects as well. Relative humidity and temperature are </w:t>
      </w:r>
      <w:r w:rsidR="00F21C11">
        <w:t>among the most important and</w:t>
      </w:r>
      <w:r>
        <w:t xml:space="preserve"> influential environmental effects. </w:t>
      </w:r>
      <w:proofErr w:type="spellStart"/>
      <w:r>
        <w:t>Jia</w:t>
      </w:r>
      <w:proofErr w:type="spellEnd"/>
      <w:r>
        <w:t xml:space="preserve"> et al. </w:t>
      </w:r>
      <w:r>
        <w:fldChar w:fldCharType="begin" w:fldLock="1"/>
      </w:r>
      <w:r w:rsidR="00430285">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1d0000b6-54ff-42a1-80e6-75c75ede87f6"]}],"mendeley":{"formattedCitation":"[4]","plainTextFormattedCitation":"[4]","previouslyFormattedCitation":"[12]"},"properties":{"noteIndex":0},"schema":"https://github.com/citation-style-language/schema/raw/master/csl-citation.json"}</w:instrText>
      </w:r>
      <w:r>
        <w:fldChar w:fldCharType="separate"/>
      </w:r>
      <w:r w:rsidR="00430285" w:rsidRPr="00430285">
        <w:rPr>
          <w:noProof/>
        </w:rPr>
        <w:t>[4]</w:t>
      </w:r>
      <w:r>
        <w:fldChar w:fldCharType="end"/>
      </w:r>
      <w:r>
        <w:t xml:space="preserve"> researched on the moisture absorption kinetics of nylon 6 in various temperatures and relative humidity. They reported that fully immersed nylon 6 absorbs 8.9 wt</w:t>
      </w:r>
      <w:proofErr w:type="gramStart"/>
      <w:r>
        <w:t>.%</w:t>
      </w:r>
      <w:proofErr w:type="gramEnd"/>
      <w:r>
        <w:t xml:space="preserve"> water at 100</w:t>
      </w:r>
      <m:oMath>
        <m:r>
          <m:rPr>
            <m:sty m:val="p"/>
          </m:rPr>
          <w:rPr>
            <w:rFonts w:ascii="Cambria Math" w:hAnsi="Cambria Math"/>
          </w:rPr>
          <m:t>℃</m:t>
        </m:r>
      </m:oMath>
      <w:r>
        <w:t xml:space="preserve"> whereas only 1.4 wt.% at 23</w:t>
      </w:r>
      <m:oMath>
        <m:r>
          <m:rPr>
            <m:sty m:val="p"/>
          </m:rPr>
          <w:rPr>
            <w:rFonts w:ascii="Cambria Math" w:hAnsi="Cambria Math"/>
          </w:rPr>
          <m:t>℃</m:t>
        </m:r>
      </m:oMath>
      <w:r>
        <w:t xml:space="preserve"> in 11 hrs. Moreover, Jia et al. also investigated the effect of relative humidity on moisture absorption into the nylon 6 and reported that fully immersed samples absorbed 11.0% water by weight while samples kept at 50% relative humidity absorbed only 1.5% water by weight in 1050 hrs. Yu et al. </w:t>
      </w:r>
      <w:r>
        <w:fldChar w:fldCharType="begin" w:fldLock="1"/>
      </w:r>
      <w:r w:rsidR="00430285">
        <w:instrText>ADDIN CSL_CITATION {"citationItems":[{"id":"ITEM-1","itemData":{"DOI":"10.1177/0731684405055462","ISBN":"0731-6844","ISSN":"07316844","abstract":"The effects of hygrothermal aging on thermal and mechanical properties, and on the microstructure of pultruded unidirectional carbon fiber/vinyl ester resin (CF/VE) composites were investigated. The composite specimens were immersed in distilled water and salt solution at 95 and 65 degrees C for more than 1000 h and the moisture absorption was recorded. The diffusion rate of moisture into the composite was found to fit Fickian's diffusion model. SEM observation revealed that the fiber-matrix interface was weakened due to the invasion of moisture leading to debonding. Three-point flexural and interlaminar shear tests showed that both flexural strength and interlaminar shear strength (ILSS) of the composite specimens deteriorated to some extent after hygrothermal aging, while stiffness was less affected. Dynamic mechanical thermal analysis (DMTA) results indicated that the glass transition temperature of the matrix underwent complicated changes, which was attributed to the combinational effects of plasticization and the formation of hydrogen bonds in the systems.","author":[{"dropping-particle":"","family":"Yu","given":"Yunhua","non-dropping-particle":"","parse-names":false,"suffix":""},{"dropping-particle":"","family":"Yang","given":"Xiaoping","non-dropping-particle":"","parse-names":false,"suffix":""},{"dropping-particle":"","family":"Wang","given":"Lili","non-dropping-particle":"","parse-names":false,"suffix":""},{"dropping-particle":"","family":"Liu","given":"Hongliang","non-dropping-particle":"","parse-names":false,"suffix":""}],"container-title":"Journal of Reinforced Plastics and Composites","id":"ITEM-1","issue":"2","issued":{"date-parts":[["2006"]]},"page":"149-160","title":"Hygrothermal aging on pultruded carbon fiber/vinyl ester resin composite for sucker rod application","type":"article-journal","volume":"25"},"uris":["http://www.mendeley.com/documents/?uuid=3cc26fcf-555c-4c39-afff-fcd8c4fea1b4"]}],"mendeley":{"formattedCitation":"[9]","plainTextFormattedCitation":"[9]","previouslyFormattedCitation":"[17]"},"properties":{"noteIndex":0},"schema":"https://github.com/citation-style-language/schema/raw/master/csl-citation.json"}</w:instrText>
      </w:r>
      <w:r>
        <w:fldChar w:fldCharType="separate"/>
      </w:r>
      <w:r w:rsidR="00430285" w:rsidRPr="00430285">
        <w:rPr>
          <w:noProof/>
        </w:rPr>
        <w:t>[9]</w:t>
      </w:r>
      <w:r>
        <w:fldChar w:fldCharType="end"/>
      </w:r>
      <w:r>
        <w:t xml:space="preserve"> also state that carbon fiber reinforced vinyl ester composite absorbs 1.05 wt.% water at 95</w:t>
      </w:r>
      <m:oMath>
        <m:r>
          <m:rPr>
            <m:sty m:val="p"/>
          </m:rPr>
          <w:rPr>
            <w:rFonts w:ascii="Cambria Math" w:hAnsi="Cambria Math"/>
          </w:rPr>
          <m:t>℃</m:t>
        </m:r>
      </m:oMath>
      <w:r>
        <w:t xml:space="preserve"> as it only absorbs 0.77 wt.% water at 65</w:t>
      </w:r>
      <m:oMath>
        <m:r>
          <m:rPr>
            <m:sty m:val="p"/>
          </m:rPr>
          <w:rPr>
            <w:rFonts w:ascii="Cambria Math" w:hAnsi="Cambria Math"/>
          </w:rPr>
          <m:t>℃</m:t>
        </m:r>
      </m:oMath>
      <w:r>
        <w:t xml:space="preserve">. Loos and Springer </w:t>
      </w:r>
      <w:r>
        <w:fldChar w:fldCharType="begin" w:fldLock="1"/>
      </w:r>
      <w:r w:rsidR="00430285">
        <w:instrText>ADDIN CSL_CITATION {"citationItems":[{"id":"ITEM-1","itemData":{"DOI":"10.1177/002199837901300205","ISSN":"0021-9983","abstract":"Moisture absorption of graphite-epoxy composites immersed in liquids and in himid air were investigated. The moisture content as a function of time and temperature was measured for three materials: Fiberite T300/1034, Hercules AS/3501-5 and Narmco T300/5208. Tests were per formed a) with the materials immersed in No. 2 diesel fuel, in jet A fuel, in aviation oil, in saturated salt water, and in distilled water (in the range of 300 to 322 K) and b)with the materials exposed to humid air (in the range 322 to 366 K). The results obtained were compared to available composite and neat resin data.","author":[{"dropping-particle":"","family":"Loos","given":"Alfred C","non-dropping-particle":"","parse-names":false,"suffix":""},{"dropping-particle":"","family":"Springer","given":"George S","non-dropping-particle":"","parse-names":false,"suffix":""}],"container-title":"Journal of Composite Materials","id":"ITEM-1","issue":"2","issued":{"date-parts":[["1979","4","1"]]},"note":"doi: 10.1177/002199837901300205","page":"131-147","publisher":"SAGE Publications Ltd STM","title":"Moisture Absorption of Graphite-Epoxy Composites Immersed in Liquids and in Humid Air","type":"article-journal","volume":"13"},"uris":["http://www.mendeley.com/documents/?uuid=6f46b69a-aa9a-466d-87d2-755da9d3aa92"]}],"mendeley":{"formattedCitation":"[15]","plainTextFormattedCitation":"[15]","previouslyFormattedCitation":"[7]"},"properties":{"noteIndex":0},"schema":"https://github.com/citation-style-language/schema/raw/master/csl-citation.json"}</w:instrText>
      </w:r>
      <w:r>
        <w:fldChar w:fldCharType="separate"/>
      </w:r>
      <w:r w:rsidR="00430285" w:rsidRPr="00430285">
        <w:rPr>
          <w:noProof/>
        </w:rPr>
        <w:t>[15]</w:t>
      </w:r>
      <w:r>
        <w:fldChar w:fldCharType="end"/>
      </w:r>
      <w:r>
        <w:t xml:space="preserve"> </w:t>
      </w:r>
      <w:r w:rsidR="00F21C11">
        <w:t xml:space="preserve">presented results of </w:t>
      </w:r>
      <w:r>
        <w:t>abs</w:t>
      </w:r>
      <w:r w:rsidR="00AC540E">
        <w:t xml:space="preserve">orption of 4 different liquids — </w:t>
      </w:r>
      <w:r>
        <w:t>dis</w:t>
      </w:r>
      <w:r w:rsidRPr="0018425A">
        <w:t>tilled water, a saturated salt water solution, No. 2 diesel fuel, jet A fuel, and aviation oil</w:t>
      </w:r>
      <w:r w:rsidR="00AC540E">
        <w:t xml:space="preserve"> — </w:t>
      </w:r>
      <w:r>
        <w:t>into</w:t>
      </w:r>
      <w:r w:rsidR="00AC540E">
        <w:t xml:space="preserve"> </w:t>
      </w:r>
      <w:r>
        <w:t>three different commonly used graphite/epoxy composites. They showed that the diffusivity decreases with decreasing conditioning temperature and maximum moisture content increases with increasing relative humidity for all cases. Test temperature affects the kinetic energy of the penetrating particle which in turn influence the diffusion rate and the amount of molecule that can diffuse into the medium. Furthermore, increasing relative humidity causes an increase in</w:t>
      </w:r>
      <w:r w:rsidR="00A5133D">
        <w:t xml:space="preserve"> the</w:t>
      </w:r>
      <w:r>
        <w:t xml:space="preserve"> number of penetrating molecules (concentration) to diffuse into the medium. Increasing </w:t>
      </w:r>
      <w:r>
        <w:lastRenderedPageBreak/>
        <w:t>the amount of penetrating molecules in contact with the available surface of the medium, escalates the flux resulting in faster diffusion.</w:t>
      </w:r>
    </w:p>
    <w:p w14:paraId="104AEA10" w14:textId="106389DB" w:rsidR="00B578C0" w:rsidRPr="00C730E9" w:rsidRDefault="00D2198E" w:rsidP="00C730E9">
      <w:r>
        <w:t>Many factors affect the absorption kinetics of polymers. Knowing that the liquid absorption causes damages on the medium, diverse absorption kinetics will result in different type and level of degradation on the polymer. Degree and type of the damage depend on the amount of moisture absorbed, pene</w:t>
      </w:r>
      <w:r w:rsidR="00C730E9">
        <w:t>trating liquid and the polymer.</w:t>
      </w:r>
    </w:p>
    <w:p w14:paraId="1C92FCDF" w14:textId="0CEB9E3C" w:rsidR="00D2198E" w:rsidRDefault="007021F2" w:rsidP="00BB2C1B">
      <w:pPr>
        <w:pStyle w:val="Heading2"/>
        <w:rPr>
          <w:rFonts w:eastAsiaTheme="minorEastAsia"/>
        </w:rPr>
      </w:pPr>
      <w:bookmarkStart w:id="7" w:name="_Toc531943727"/>
      <w:r>
        <w:rPr>
          <w:rFonts w:eastAsiaTheme="minorEastAsia"/>
        </w:rPr>
        <w:t xml:space="preserve">1.2. </w:t>
      </w:r>
      <w:r w:rsidR="00D2198E">
        <w:rPr>
          <w:rFonts w:eastAsiaTheme="minorEastAsia"/>
        </w:rPr>
        <w:t>Adverse Effects of Liquid Penetrants on Polymers and Polymer Composites</w:t>
      </w:r>
      <w:bookmarkEnd w:id="7"/>
    </w:p>
    <w:p w14:paraId="4DFBB4D4" w14:textId="4159BA66" w:rsidR="00D2198E" w:rsidRPr="000C1342" w:rsidRDefault="00D2198E" w:rsidP="00B63058">
      <w:pPr>
        <w:pStyle w:val="Heading3"/>
      </w:pPr>
      <w:bookmarkStart w:id="8" w:name="_Toc531943728"/>
      <w:r>
        <w:t>Microstructural damage and changes induced by liquid absorption</w:t>
      </w:r>
      <w:bookmarkEnd w:id="8"/>
    </w:p>
    <w:p w14:paraId="4C54FD3C" w14:textId="1B804910" w:rsidR="00D2198E" w:rsidRPr="00494575" w:rsidRDefault="00D2198E" w:rsidP="00C730E9">
      <w:r w:rsidRPr="000C1342">
        <w:t>Due to their high performance, polymer composit</w:t>
      </w:r>
      <w:r w:rsidR="00F21C11">
        <w:t>e</w:t>
      </w:r>
      <w:r w:rsidRPr="000C1342">
        <w:t>s have been gaining wide industrial use in commercial, military, and space applications</w:t>
      </w:r>
      <w:r>
        <w:t xml:space="preserve"> </w:t>
      </w:r>
      <w:r>
        <w:fldChar w:fldCharType="begin" w:fldLock="1"/>
      </w:r>
      <w:r w:rsidR="007961A0">
        <w:instrText>ADDIN CSL_CITATION {"citationItems":[{"id":"ITEM-1","itemData":{"DOI":"10.1081/E-ECHP-120039238","ISBN":"0-8247-5563-4","author":[{"dropping-particle":"","family":"Hamidi","given":"Youssef","non-dropping-particle":"","parse-names":false,"suffix":""},{"dropping-particle":"","family":"Altan","given":"M","non-dropping-particle":"","parse-names":false,"suffix":""},{"dropping-particle":"","family":"Grady","given":"P. B.","non-dropping-particle":"","parse-names":false,"suffix":""}],"id":"ITEM-1","issued":{"date-parts":[["2005","3","5"]]},"number-of-pages":"2313-2322","title":"Polymer Composites. In: Encyclopedia of Chemical Processing","type":"book"},"uris":["http://www.mendeley.com/documents/?uuid=c3abea9d-3298-46df-a893-dff9e4281750"]},{"id":"ITEM-2","itemData":{"ISBN":"0203428501 9780203428504","abstract":"The Fifth Edition of Principles of Polymer Systems has been completely revised and updatd. The chemical engineering perspective has been retained and strengthened, and the broad applications of polymers in chemistry and materials science has been addressed. The theoretical basis for various topics has been deepend and strengthened and several new topics are addressed. Chapter 3 has been expanded to include sections on the following: Conformation of Single Chains in Solution, Phase Separation in Polymer Mixtures, Transitions in Pure Polymers, Block Copolymers and Gels. Chapter 7 has expanded to.","author":[{"dropping-particle":"","family":"Rodriguez","given":"Ferdinand","non-dropping-particle":"","parse-names":false,"suffix":""},{"dropping-particle":"","family":"Rodriguez","given":"Ferdinand","non-dropping-particle":"","parse-names":false,"suffix":""}],"id":"ITEM-2","issued":{"date-parts":[["2003"]]},"language":"English","publisher":"Taylor &amp; Francis","publisher-place":"New York","title":"Principles of polymer systems","type":"article"},"uris":["http://www.mendeley.com/documents/?uuid=6d0f7d37-e897-4c63-a092-e700d675958b"]}],"mendeley":{"formattedCitation":"[24,25]","plainTextFormattedCitation":"[24,25]","previouslyFormattedCitation":"[24,25]"},"properties":{"noteIndex":0},"schema":"https://github.com/citation-style-language/schema/raw/master/csl-citation.json"}</w:instrText>
      </w:r>
      <w:r>
        <w:fldChar w:fldCharType="separate"/>
      </w:r>
      <w:r w:rsidRPr="00454ED5">
        <w:rPr>
          <w:noProof/>
        </w:rPr>
        <w:t>[24,25]</w:t>
      </w:r>
      <w:r>
        <w:fldChar w:fldCharType="end"/>
      </w:r>
      <w:r w:rsidRPr="000C1342">
        <w:t xml:space="preserve">. </w:t>
      </w:r>
      <w:r>
        <w:t xml:space="preserve">Moisture susceptibility of polymers lead researchers to investigate the moisture induced degradation in polymer and polymer composites. Microstructural changes due to moisture absorption results in </w:t>
      </w:r>
      <w:r w:rsidRPr="00DD5DDA">
        <w:t>plasticization of the polymer, swelling</w:t>
      </w:r>
      <w:r w:rsidR="00980A92">
        <w:t>,</w:t>
      </w:r>
      <w:r w:rsidRPr="00DD5DDA">
        <w:t xml:space="preserve"> and residual stresses</w:t>
      </w:r>
      <w:r>
        <w:t xml:space="preserve"> </w:t>
      </w:r>
      <w:r w:rsidRPr="00DD5DDA">
        <w:fldChar w:fldCharType="begin" w:fldLock="1"/>
      </w:r>
      <w:r w:rsidR="0043028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joints","type":"article-journal","volume":"55"},"uris":["http://www.mendeley.com/documents/?uuid=b629acb3-b997-4858-b3e0-5716ad601362"]},{"id":"ITEM-2","itemData":{"DOI":"10.1016/j.compscitech.2010.01.021","ISSN":"02663538","abstract":"Composite structures in service are typically subjected to different environmental conditions, which may affect their mechanical performance as well as their flammability potential. This study investigates the degradation encountered by lap joints made with woven carbon/epoxy and epoxy-based adhesive, treated in water or anti-icing additive or jet fuel or hydraulic fluid. Gravimetric tests were carried out, and degradation was observed with changes in color, mass, microscopic features and mechanical properties, with the support of statistics. This investigation proves that the performance of the epoxy-based structural adhesive deteriorates considerably when the adhesive is contaminated by hydraulic fluid and anti-icing additive, while the carbon/epoxy weave appears affected by anti-icing additive at a lesser rate. © 2010.","author":[{"dropping-particle":"","family":"Sugita","given":"Yoshino","non-dropping-particle":"","parse-names":false,"suffix":""},{"dropping-particle":"","family":"Winkelmann","given":"Charles","non-dropping-particle":"","parse-names":false,"suffix":""},{"dropping-particle":"","family":"Saponara","given":"Valeria","non-dropping-particle":"La","parse-names":false,"suffix":""}],"container-title":"Composites Science and Technology","id":"ITEM-2","issue":"5","issued":{"date-parts":[["2010"]]},"page":"829-839","publisher":"Elsevier Ltd","title":"Environmental and chemical degradation of carbon/epoxy lap joints for aerospace applications, and effects on their mechanical performance","type":"article-journal","volume":"70"},"uris":["http://www.mendeley.com/documents/?uuid=35e5d106-21c3-4d3f-bb37-871f228d63f4"]},{"id":"ITEM-3","itemData":{"DOI":"10.1016/j.compscitech.2014.01.017","ISBN":"0266-3538","ISSN":"02663538","abstract":"The environmental degradation of the mechanical properties of pultruded jute and jute/glass hybrid reinforced polyester composites with high fibre volume fraction (0.70) has been investigated with special focus on the effects of water ageing and moderate temperature (up to 80. °C). Water absorption tests were conducted by immersing specimens in distilled water at room temperature until saturation (4076. h). Water absorption curves and characteristic parameters such as coefficient of diffusion and equilibrium moisture content were determined. The composites exhibited a deviation from the Fickian behaviour with a positive role played by the addition of glass fibres in terms of moisture resistance. The influence of water uptake on tensile and flexural properties of composites was evaluated and a significant reduction in both strength and modulus was observed, with a superior strength retention offered by hybrid composites. Acoustic emission (AE) and scanning electron microscopy enabled to identify the weakening of fibre/matrix interface induced by water ageing. The effects of temperature were mitigated by glass fibres if compared with the higher degradation experienced by jute fibres. © 2014 Elsevier Ltd.","author":[{"dropping-particle":"","family":"Akil","given":"Hazizan Md","non-dropping-particle":"","parse-names":false,"suffix":""},{"dropping-particle":"","family":"Santulli","given":"Carlo","non-dropping-particle":"","parse-names":false,"suffix":""},{"dropping-particle":"","family":"Sarasini","given":"Fabrizio","non-dropping-particle":"","parse-names":false,"suffix":""},{"dropping-particle":"","family":"Tirillò","given":"Jacopo","non-dropping-particle":"","parse-names":false,"suffix":""},{"dropping-particle":"","family":"Valente","given":"Teodoro","non-dropping-particle":"","parse-names":false,"suffix":""}],"container-title":"Composites Science and Technology","id":"ITEM-3","issued":{"date-parts":[["2014"]]},"page":"62-70","publisher":"Elsevier Ltd","title":"Environmental effects on the mechanical behaviour of pultruded jute/glass fibre-reinforced polyester hybrid composites","type":"article-journal","volume":"94"},"uris":["http://www.mendeley.com/documents/?uuid=6b082c79-c64b-4ae0-9039-75249785bd43"]},{"id":"ITEM-4","itemData":{"DOI":"10.1016/j.cej.2007.11.024","ISBN":"1385-8947","ISSN":"13858947","abstract":"Composite materials were made from Pinus radiata wood flour, and recycled and virgin polyolefin, mainly high density polyethylene (HDPE) and polypropylene (PP) polymer, by using hot-pressing moulding. Long-term water absorption and thickness swelling (TS) kinetics of the composites was investigated with water immersion. It was found that the water absorption and TS increase with wood content and water immersion time before an equilibrium condition was reached. Composites made from the recycled plastics show comparable results as those made of the virgin plastics. It is interesting to find that the water absorption and TS can be reduced significantly with incorporation of a coupling agent (maleated polypropylene) in the composite formulation. Microstructures of the composites were examined to understand the mechanisms for the wood-plastic interaction which affects the water absorption and thickness swelling. Further studies were conducted to model the water diffusion and thickness swelling of the composites. Diffusion coefficients and swelling rate parameters in the models were obtained by fitting the model predictions with the experimental data. © 2007 Elsevier B.V. All rights reserved.","author":[{"dropping-particle":"","family":"Adhikary","given":"Kamal B.","non-dropping-particle":"","parse-names":false,"suffix":""},{"dropping-particle":"","family":"Pang","given":"Shusheng","non-dropping-particle":"","parse-names":false,"suffix":""},{"dropping-particle":"","family":"Staiger","given":"Mark P.","non-dropping-particle":"","parse-names":false,"suffix":""}],"container-title":"Chemical Engineering Journal","id":"ITEM-4","issue":"2","issued":{"date-parts":[["2008"]]},"page":"190-198","title":"Long-term moisture absorption and thickness swelling behaviour of recycled thermoplastics reinforced with Pinus radiata sawdust","type":"article-journal","volume":"142"},"uris":["http://www.mendeley.com/documents/?uuid=cc978df9-d08d-4a89-92d6-426d884c3948"]},{"id":"ITEM-5","itemData":{"DOI":"10.1016/j.matdes.2010.02.030","ISBN":"0261-3069","ISSN":"02641275","abstract":"In this research, aging behaviors of short jute fiber/Polylactide (PLA) composite material in hygrothermal environment were investigated. The material was fabricated by using film stacking hot pressed method. The aging was carried out for uncoated samples and adhesive tape coated samples in saturated vapor at 70°C. Moisture absorption rates of the samples were measured during the aging process. It is found that the moisture absorption process of uncoated samples includes three stages: a short and quick moisture uptaking stage, a slow stable uptaking stage and an abrupt very quick moisture uptaking stage. Microstructures of the samples in different aging stages were observed. The main defects occurred during the aging process include pores, microcracks, delamination and complete relaxation in the whole structure. The results reveal that the moisture absorption and aging process can be effectively retarded by coating. The molecular weight measurement by gel permission chromatography (GPC) indicated that the PLA matrix was severely degraded in hygrothermal environment. Tensile strength severely decreased after aging. © 2010 Elsevier Ltd.","author":[{"dropping-particle":"","family":"Hu","given":"Rui-Hua","non-dropping-particle":"","parse-names":false,"suffix":""},{"dropping-particle":"","family":"Sun","given":"Min-Young","non-dropping-particle":"","parse-names":false,"suffix":""},{"dropping-particle":"","family":"Lim","given":"Jae-Kyoo","non-dropping-particle":"","parse-names":false,"suffix":""}],"container-title":"Materials and Design","id":"ITEM-5","issue":"7","issued":{"date-parts":[["2010"]]},"page":"3167-3173","publisher":"Elsevier Ltd","title":"Moisture absorption, tensile strength and microstructure evolution of short jute fiber/polylactide composite in hygrothermal environment","type":"article-journal","volume":"31"},"uris":["http://www.mendeley.com/documents/?uuid=5c670bbc-43e3-4b71-9d15-5c03ec2b6182"]},{"id":"ITEM-6","itemData":{"DOI":"10.1016/j.compscitech.2010.11.027","ISBN":"0266-3538","ISSN":"02663538","abstract":"In this work we numerically investigate the nucleation and evolution of micromechanical damage in reinforced glassy polymers under transient hygro-mechanical loading. In particular, we demonstrate the role that fiber distribution plays in the evolution of overall damage due to fiber-matrix interfacial debonding under moisture ingress. The heterogeneity of fiber distribution (clustering) is characterized by the coefficient of variation Cvof the center-to-center distances between interacting fibers, determined by identifying a cut-off radius around a typical fiber. The initial moisture diffusion-induced damage provides synergistic conditions for the rapid evolution of debonding under subsequent mechanical loading. The results indicate that microstructural heterogeneity strongly affects the moisture diffusion characteristics that in turn hurt the overall load carrying capacity of a composite due to aggravated damage. The strong dependence of the moisture-induced damage evolution on the fiber arrangement suggests that one should not resort to using simplistic unit cell models that assume regular fiber arrangements in such cases. © 2010 Elsevier Ltd.","author":[{"dropping-particle":"","family":"Abhilash","given":"A. S.","non-dropping-particle":"","parse-names":false,"suffix":""},{"dropping-particle":"","family":"Joshi","given":"Shailendra P.","non-dropping-particle":"","parse-names":false,"suffix":""},{"dropping-particle":"","family":"Mukherjee","given":"Abhijit","non-dropping-particle":"","parse-names":false,"suffix":""},{"dropping-particle":"","family":"Mishnaevsky","given":"Leon","non-dropping-particle":"","parse-names":false,"suffix":""}],"container-title":"Composites Science and Technology","id":"ITEM-6","issue":"3","issued":{"date-parts":[["2011"]]},"page":"333-342","publisher":"Elsevier Ltd","title":"Micromechanics of diffusion-induced damage evolution in reinforced polymers","type":"article-journal","volume":"71"},"uris":["http://www.mendeley.com/documents/?uuid=354f1d9c-112b-4200-8fbc-67dc43f491cb"]},{"id":"ITEM-7","itemData":{"DOI":"10.1177/0021998311428533","ISBN":"0021998311428","ISSN":"00219983","abstract":"This research is a study on the degradation effects caused by seawater absorption of isophthalic polyester and vinyl ester resin employed in boat manufacture. Physical and mechanical tests of the resins were performed before and after the degradation. The results highlighted that the polyester resin is more degraded than the vinyl one, due to a different network organization of the two materials. The polyester has a biphasic structure with a low compactness, so water diffusion into the bulk is highly favored. The degradation occurs mainly by the leaching of small molecules extracted from the resin bulk by the water. Damages (cracks, holes, blisters) are evident and the resin loses its mechanical performance. The vinyl network is monophasic and compact, so avoids the entry of water; its degradation occurs differently, by a hydrolytic surface erosion of resin layers. In this way, it retains its bulk better compared to the polyester one.","author":[{"dropping-particle":"","family":"Visco","given":"A. M.","non-dropping-particle":"","parse-names":false,"suffix":""},{"dropping-particle":"","family":"Brancato","given":"V.","non-dropping-particle":"","parse-names":false,"suffix":""},{"dropping-particle":"","family":"Campo","given":"N.","non-dropping-particle":"","parse-names":false,"suffix":""}],"container-title":"Journal of Composite Materials","id":"ITEM-7","issue":"17","issued":{"date-parts":[["2012"]]},"page":"2025-2040","title":"Degradation effects in polyester and vinyl ester resins induced by accelerated aging in seawater","type":"article-journal","volume":"46"},"uris":["http://www.mendeley.com/documents/?uuid=63d3a5d9-0bfa-42d3-99e3-56a86eaf3cf9"]}],"mendeley":{"formattedCitation":"[11,26–31]","plainTextFormattedCitation":"[11,26–31]","previouslyFormattedCitation":"[3,26–31]"},"properties":{"noteIndex":0},"schema":"https://github.com/citation-style-language/schema/raw/master/csl-citation.json"}</w:instrText>
      </w:r>
      <w:r w:rsidRPr="00DD5DDA">
        <w:fldChar w:fldCharType="separate"/>
      </w:r>
      <w:r w:rsidR="00430285" w:rsidRPr="00430285">
        <w:rPr>
          <w:noProof/>
        </w:rPr>
        <w:t>[11,26–31]</w:t>
      </w:r>
      <w:r w:rsidRPr="00DD5DDA">
        <w:fldChar w:fldCharType="end"/>
      </w:r>
      <w:r>
        <w:t>.</w:t>
      </w:r>
    </w:p>
    <w:p w14:paraId="7383C6ED" w14:textId="342AC0D1" w:rsidR="00D2198E" w:rsidRPr="00494575" w:rsidRDefault="00D2198E" w:rsidP="00C730E9">
      <w:proofErr w:type="spellStart"/>
      <w:r w:rsidRPr="00494575">
        <w:t>Visco</w:t>
      </w:r>
      <w:proofErr w:type="spellEnd"/>
      <w:r w:rsidRPr="00494575">
        <w:t xml:space="preserve"> </w:t>
      </w:r>
      <w:r>
        <w:t xml:space="preserve">et al. </w:t>
      </w:r>
      <w:r>
        <w:fldChar w:fldCharType="begin" w:fldLock="1"/>
      </w:r>
      <w:r w:rsidR="00B274D5">
        <w:instrText>ADDIN CSL_CITATION {"citationItems":[{"id":"ITEM-1","itemData":{"DOI":"10.1177/0021998311428533","ISBN":"0021998311428","ISSN":"00219983","abstract":"This research is a study on the degradation effects caused by seawater absorption of isophthalic polyester and vinyl ester resin employed in boat manufacture. Physical and mechanical tests of the resins were performed before and after the degradation. The results highlighted that the polyester resin is more degraded than the vinyl one, due to a different network organization of the two materials. The polyester has a biphasic structure with a low compactness, so water diffusion into the bulk is highly favored. The degradation occurs mainly by the leaching of small molecules extracted from the resin bulk by the water. Damages (cracks, holes, blisters) are evident and the resin loses its mechanical performance. The vinyl network is monophasic and compact, so avoids the entry of water; its degradation occurs differently, by a hydrolytic surface erosion of resin layers. In this way, it retains its bulk better compared to the polyester one.","author":[{"dropping-particle":"","family":"Visco","given":"A. M.","non-dropping-particle":"","parse-names":false,"suffix":""},{"dropping-particle":"","family":"Brancato","given":"V.","non-dropping-particle":"","parse-names":false,"suffix":""},{"dropping-particle":"","family":"Campo","given":"N.","non-dropping-particle":"","parse-names":false,"suffix":""}],"container-title":"Journal of Composite Materials","id":"ITEM-1","issue":"17","issued":{"date-parts":[["2012"]]},"page":"2025-2040","title":"Degradation effects in polyester and vinyl ester resins induced by accelerated aging in seawater","type":"article-journal","volume":"46"},"uris":["http://www.mendeley.com/documents/?uuid=63d3a5d9-0bfa-42d3-99e3-56a86eaf3cf9"]}],"mendeley":{"formattedCitation":"[31]","plainTextFormattedCitation":"[31]","previouslyFormattedCitation":"[31]"},"properties":{"noteIndex":0},"schema":"https://github.com/citation-style-language/schema/raw/master/csl-citation.json"}</w:instrText>
      </w:r>
      <w:r>
        <w:fldChar w:fldCharType="separate"/>
      </w:r>
      <w:r w:rsidRPr="00454ED5">
        <w:rPr>
          <w:noProof/>
        </w:rPr>
        <w:t>[31]</w:t>
      </w:r>
      <w:r>
        <w:fldChar w:fldCharType="end"/>
      </w:r>
      <w:r w:rsidRPr="00494575">
        <w:t xml:space="preserve"> </w:t>
      </w:r>
      <w:r>
        <w:t>i</w:t>
      </w:r>
      <w:r w:rsidRPr="00494575">
        <w:t>nvestigated the degradation effects of seawater on polyester and vinyl ester</w:t>
      </w:r>
      <w:r>
        <w:t xml:space="preserve"> and reported that t</w:t>
      </w:r>
      <w:r w:rsidRPr="00494575">
        <w:t>he seawater causes microcracks and voids in polyester and marine salt deposition in vinyl ester.</w:t>
      </w:r>
      <w:r>
        <w:t xml:space="preserve"> </w:t>
      </w:r>
      <w:r w:rsidRPr="00494575">
        <w:t xml:space="preserve">Sugita </w:t>
      </w:r>
      <w:r>
        <w:t xml:space="preserve">et al. </w:t>
      </w:r>
      <w:r>
        <w:fldChar w:fldCharType="begin" w:fldLock="1"/>
      </w:r>
      <w:r w:rsidR="00B274D5">
        <w:instrText>ADDIN CSL_CITATION {"citationItems":[{"id":"ITEM-1","itemData":{"DOI":"10.1016/j.compscitech.2010.01.021","ISSN":"02663538","abstract":"Composite structures in service are typically subjected to different environmental conditions, which may affect their mechanical performance as well as their flammability potential. This study investigates the degradation encountered by lap joints made with woven carbon/epoxy and epoxy-based adhesive, treated in water or anti-icing additive or jet fuel or hydraulic fluid. Gravimetric tests were carried out, and degradation was observed with changes in color, mass, microscopic features and mechanical properties, with the support of statistics. This investigation proves that the performance of the epoxy-based structural adhesive deteriorates considerably when the adhesive is contaminated by hydraulic fluid and anti-icing additive, while the carbon/epoxy weave appears affected by anti-icing additive at a lesser rate. © 2010.","author":[{"dropping-particle":"","family":"Sugita","given":"Yoshino","non-dropping-particle":"","parse-names":false,"suffix":""},{"dropping-particle":"","family":"Winkelmann","given":"Charles","non-dropping-particle":"","parse-names":false,"suffix":""},{"dropping-particle":"","family":"Saponara","given":"Valeria","non-dropping-particle":"La","parse-names":false,"suffix":""}],"container-title":"Composites Science and Technology","id":"ITEM-1","issue":"5","issued":{"date-parts":[["2010"]]},"page":"829-839","publisher":"Elsevier Ltd","title":"Environmental and chemical degradation of carbon/epoxy lap joints for aerospace applications, and effects on their mechanical performance","type":"article-journal","volume":"70"},"uris":["http://www.mendeley.com/documents/?uuid=35e5d106-21c3-4d3f-bb37-871f228d63f4"]}],"mendeley":{"formattedCitation":"[27]","plainTextFormattedCitation":"[27]","previouslyFormattedCitation":"[27]"},"properties":{"noteIndex":0},"schema":"https://github.com/citation-style-language/schema/raw/master/csl-citation.json"}</w:instrText>
      </w:r>
      <w:r>
        <w:fldChar w:fldCharType="separate"/>
      </w:r>
      <w:r w:rsidRPr="00454ED5">
        <w:rPr>
          <w:noProof/>
        </w:rPr>
        <w:t>[27]</w:t>
      </w:r>
      <w:r>
        <w:fldChar w:fldCharType="end"/>
      </w:r>
      <w:r w:rsidRPr="00494575">
        <w:t xml:space="preserve"> immersed carbon </w:t>
      </w:r>
      <w:r>
        <w:t>fiber (</w:t>
      </w:r>
      <w:r w:rsidRPr="00494575">
        <w:t>10 ply T300 plain weave</w:t>
      </w:r>
      <w:r>
        <w:t xml:space="preserve">) </w:t>
      </w:r>
      <w:r w:rsidRPr="00494575">
        <w:t>reinforced epoxy</w:t>
      </w:r>
      <w:r>
        <w:t xml:space="preserve"> (</w:t>
      </w:r>
      <w:proofErr w:type="spellStart"/>
      <w:r w:rsidRPr="00494575">
        <w:t>Proset</w:t>
      </w:r>
      <w:proofErr w:type="spellEnd"/>
      <w:r w:rsidRPr="00494575">
        <w:t xml:space="preserve"> 117 LV</w:t>
      </w:r>
      <w:r>
        <w:t>/</w:t>
      </w:r>
      <w:proofErr w:type="spellStart"/>
      <w:r>
        <w:t>Proset</w:t>
      </w:r>
      <w:proofErr w:type="spellEnd"/>
      <w:r>
        <w:t xml:space="preserve"> 237)</w:t>
      </w:r>
      <w:r w:rsidRPr="00494575">
        <w:t xml:space="preserve"> </w:t>
      </w:r>
      <w:r>
        <w:t xml:space="preserve">composite </w:t>
      </w:r>
      <w:r w:rsidRPr="00494575">
        <w:t>into water, anti-icing solution, jet fuel</w:t>
      </w:r>
      <w:r>
        <w:t>, and hydraulic fluid and reported that the composite swell by absorption</w:t>
      </w:r>
      <w:r w:rsidR="00F62B46">
        <w:t xml:space="preserve"> of all the liquid investigated</w:t>
      </w:r>
      <w:r>
        <w:t>. Additionally</w:t>
      </w:r>
      <w:r w:rsidRPr="00CF7923">
        <w:t xml:space="preserve">, </w:t>
      </w:r>
      <w:r>
        <w:t xml:space="preserve">composites absorbing </w:t>
      </w:r>
      <w:r w:rsidRPr="00CF7923">
        <w:t>anti-icing solution started to swell earlier than the others and broke into pieces</w:t>
      </w:r>
      <w:r>
        <w:t xml:space="preserve"> in 5000 hours</w:t>
      </w:r>
      <w:r w:rsidRPr="00CF7923">
        <w:t xml:space="preserve">. </w:t>
      </w:r>
      <w:proofErr w:type="spellStart"/>
      <w:r>
        <w:t>Akil</w:t>
      </w:r>
      <w:proofErr w:type="spellEnd"/>
      <w:r>
        <w:t xml:space="preserve"> et al. </w:t>
      </w:r>
      <w:r>
        <w:fldChar w:fldCharType="begin" w:fldLock="1"/>
      </w:r>
      <w:r w:rsidR="00B274D5">
        <w:instrText>ADDIN CSL_CITATION {"citationItems":[{"id":"ITEM-1","itemData":{"DOI":"10.1016/j.compscitech.2014.01.017","ISBN":"0266-3538","ISSN":"02663538","abstract":"The environmental degradation of the mechanical properties of pultruded jute and jute/glass hybrid reinforced polyester composites with high fibre volume fraction (0.70) has been investigated with special focus on the effects of water ageing and moderate temperature (up to 80. °C). Water absorption tests were conducted by immersing specimens in distilled water at room temperature until saturation (4076. h). Water absorption curves and characteristic parameters such as coefficient of diffusion and equilibrium moisture content were determined. The composites exhibited a deviation from the Fickian behaviour with a positive role played by the addition of glass fibres in terms of moisture resistance. The influence of water uptake on tensile and flexural properties of composites was evaluated and a significant reduction in both strength and modulus was observed, with a superior strength retention offered by hybrid composites. Acoustic emission (AE) and scanning electron microscopy enabled to identify the weakening of fibre/matrix interface induced by water ageing. The effects of temperature were mitigated by glass fibres if compared with the higher degradation experienced by jute fibres. © 2014 Elsevier Ltd.","author":[{"dropping-particle":"","family":"Akil","given":"Hazizan Md","non-dropping-particle":"","parse-names":false,"suffix":""},{"dropping-particle":"","family":"Santulli","given":"Carlo","non-dropping-particle":"","parse-names":false,"suffix":""},{"dropping-particle":"","family":"Sarasini","given":"Fabrizio","non-dropping-particle":"","parse-names":false,"suffix":""},{"dropping-particle":"","family":"Tirillò","given":"Jacopo","non-dropping-particle":"","parse-names":false,"suffix":""},{"dropping-particle":"","family":"Valente","given":"Teodoro","non-dropping-particle":"","parse-names":false,"suffix":""}],"container-title":"Composites Science and Technology","id":"ITEM-1","issued":{"date-parts":[["2014"]]},"page":"62-70","publisher":"Elsevier Ltd","title":"Environmental effects on the mechanical behaviour of pultruded jute/glass fibre-reinforced polyester hybrid composites","type":"article-journal","volume":"94"},"uris":["http://www.mendeley.com/documents/?uuid=6b082c79-c64b-4ae0-9039-75249785bd43"]}],"mendeley":{"formattedCitation":"[28]","plainTextFormattedCitation":"[28]","previouslyFormattedCitation":"[28]"},"properties":{"noteIndex":0},"schema":"https://github.com/citation-style-language/schema/raw/master/csl-citation.json"}</w:instrText>
      </w:r>
      <w:r>
        <w:fldChar w:fldCharType="separate"/>
      </w:r>
      <w:r w:rsidRPr="00454ED5">
        <w:rPr>
          <w:noProof/>
        </w:rPr>
        <w:t>[28]</w:t>
      </w:r>
      <w:r>
        <w:fldChar w:fldCharType="end"/>
      </w:r>
      <w:r>
        <w:t xml:space="preserve"> stated that water immersion into </w:t>
      </w:r>
      <w:r w:rsidRPr="006E2957">
        <w:t>jute/glass fiber reinforced hybrid composites</w:t>
      </w:r>
      <w:r>
        <w:t xml:space="preserve"> plasticizes and changes the mechanical properties of the resin matrix. In addition, the researchers observed degradation o</w:t>
      </w:r>
      <w:r w:rsidR="00F62B46">
        <w:t>f</w:t>
      </w:r>
      <w:r>
        <w:t xml:space="preserve"> the fiber/matrix interface and jute fibers, swelling of jute fibers and stress </w:t>
      </w:r>
      <w:r>
        <w:lastRenderedPageBreak/>
        <w:t xml:space="preserve">corrosion on the glass fibers due to water ingress. </w:t>
      </w:r>
      <w:proofErr w:type="spellStart"/>
      <w:r>
        <w:t>Adhikary</w:t>
      </w:r>
      <w:proofErr w:type="spellEnd"/>
      <w:r>
        <w:t xml:space="preserve"> et al. </w:t>
      </w:r>
      <w:r>
        <w:fldChar w:fldCharType="begin" w:fldLock="1"/>
      </w:r>
      <w:r w:rsidR="00B274D5">
        <w:instrText>ADDIN CSL_CITATION {"citationItems":[{"id":"ITEM-1","itemData":{"DOI":"10.1016/j.cej.2007.11.024","ISBN":"1385-8947","ISSN":"13858947","abstract":"Composite materials were made from Pinus radiata wood flour, and recycled and virgin polyolefin, mainly high density polyethylene (HDPE) and polypropylene (PP) polymer, by using hot-pressing moulding. Long-term water absorption and thickness swelling (TS) kinetics of the composites was investigated with water immersion. It was found that the water absorption and TS increase with wood content and water immersion time before an equilibrium condition was reached. Composites made from the recycled plastics show comparable results as those made of the virgin plastics. It is interesting to find that the water absorption and TS can be reduced significantly with incorporation of a coupling agent (maleated polypropylene) in the composite formulation. Microstructures of the composites were examined to understand the mechanisms for the wood-plastic interaction which affects the water absorption and thickness swelling. Further studies were conducted to model the water diffusion and thickness swelling of the composites. Diffusion coefficients and swelling rate parameters in the models were obtained by fitting the model predictions with the experimental data. © 2007 Elsevier B.V. All rights reserved.","author":[{"dropping-particle":"","family":"Adhikary","given":"Kamal B.","non-dropping-particle":"","parse-names":false,"suffix":""},{"dropping-particle":"","family":"Pang","given":"Shusheng","non-dropping-particle":"","parse-names":false,"suffix":""},{"dropping-particle":"","family":"Staiger","given":"Mark P.","non-dropping-particle":"","parse-names":false,"suffix":""}],"container-title":"Chemical Engineering Journal","id":"ITEM-1","issue":"2","issued":{"date-parts":[["2008"]]},"page":"190-198","title":"Long-term moisture absorption and thickness swelling behaviour of recycled thermoplastics reinforced with Pinus radiata sawdust","type":"article-journal","volume":"142"},"uris":["http://www.mendeley.com/documents/?uuid=cc978df9-d08d-4a89-92d6-426d884c3948"]}],"mendeley":{"formattedCitation":"[29]","plainTextFormattedCitation":"[29]","previouslyFormattedCitation":"[29]"},"properties":{"noteIndex":0},"schema":"https://github.com/citation-style-language/schema/raw/master/csl-citation.json"}</w:instrText>
      </w:r>
      <w:r>
        <w:fldChar w:fldCharType="separate"/>
      </w:r>
      <w:r w:rsidRPr="00454ED5">
        <w:rPr>
          <w:noProof/>
        </w:rPr>
        <w:t>[29]</w:t>
      </w:r>
      <w:r>
        <w:fldChar w:fldCharType="end"/>
      </w:r>
      <w:r w:rsidRPr="00CC2634">
        <w:t xml:space="preserve"> investigated the long-term water absorption and</w:t>
      </w:r>
      <w:r>
        <w:t xml:space="preserve"> swelling</w:t>
      </w:r>
      <w:r w:rsidRPr="00CC2634">
        <w:t xml:space="preserve"> properties of wood flour filled</w:t>
      </w:r>
      <w:r>
        <w:t xml:space="preserve"> </w:t>
      </w:r>
      <w:r w:rsidR="00654306">
        <w:t>recycled/</w:t>
      </w:r>
      <w:r w:rsidRPr="00CC2634">
        <w:t xml:space="preserve">virgin polyolefin </w:t>
      </w:r>
      <w:r>
        <w:t xml:space="preserve">composites. They observed increasing swelling with increasing equilibrium moisture content in the composite. Similarly, Hu et al. </w:t>
      </w:r>
      <w:r>
        <w:fldChar w:fldCharType="begin" w:fldLock="1"/>
      </w:r>
      <w:r w:rsidR="00430285">
        <w:instrText>ADDIN CSL_CITATION {"citationItems":[{"id":"ITEM-1","itemData":{"DOI":"10.1016/j.matdes.2010.02.030","ISBN":"0261-3069","ISSN":"02641275","abstract":"In this research, aging behaviors of short jute fiber/Polylactide (PLA) composite material in hygrothermal environment were investigated. The material was fabricated by using film stacking hot pressed method. The aging was carried out for uncoated samples and adhesive tape coated samples in saturated vapor at 70°C. Moisture absorption rates of the samples were measured during the aging process. It is found that the moisture absorption process of uncoated samples includes three stages: a short and quick moisture uptaking stage, a slow stable uptaking stage and an abrupt very quick moisture uptaking stage. Microstructures of the samples in different aging stages were observed. The main defects occurred during the aging process include pores, microcracks, delamination and complete relaxation in the whole structure. The results reveal that the moisture absorption and aging process can be effectively retarded by coating. The molecular weight measurement by gel permission chromatography (GPC) indicated that the PLA matrix was severely degraded in hygrothermal environment. Tensile strength severely decreased after aging. © 2010 Elsevier Ltd.","author":[{"dropping-particle":"","family":"Hu","given":"Rui-Hua","non-dropping-particle":"","parse-names":false,"suffix":""},{"dropping-particle":"","family":"Sun","given":"Min-Young","non-dropping-particle":"","parse-names":false,"suffix":""},{"dropping-particle":"","family":"Lim","given":"Jae-Kyoo","non-dropping-particle":"","parse-names":false,"suffix":""}],"container-title":"Materials and Design","id":"ITEM-1","issue":"7","issued":{"date-parts":[["2010"]]},"page":"3167-3173","publisher":"Elsevier Ltd","title":"Moisture absorption, tensile strength and microstructure evolution of short jute fiber/polylactide composite in hygrothermal environment","type":"article-journal","volume":"31"},"uris":["http://www.mendeley.com/documents/?uuid=5c670bbc-43e3-4b71-9d15-5c03ec2b6182"]}],"mendeley":{"formattedCitation":"[11]","plainTextFormattedCitation":"[11]","previouslyFormattedCitation":"[3]"},"properties":{"noteIndex":0},"schema":"https://github.com/citation-style-language/schema/raw/master/csl-citation.json"}</w:instrText>
      </w:r>
      <w:r>
        <w:fldChar w:fldCharType="separate"/>
      </w:r>
      <w:r w:rsidR="00430285" w:rsidRPr="00430285">
        <w:rPr>
          <w:noProof/>
        </w:rPr>
        <w:t>[11]</w:t>
      </w:r>
      <w:r>
        <w:fldChar w:fldCharType="end"/>
      </w:r>
      <w:r>
        <w:t xml:space="preserve"> investigated the moisture induced damage in</w:t>
      </w:r>
      <w:r w:rsidRPr="000332C7">
        <w:t xml:space="preserve"> used jute fiber reinforced </w:t>
      </w:r>
      <w:proofErr w:type="spellStart"/>
      <w:r w:rsidRPr="000332C7">
        <w:t>polyactide</w:t>
      </w:r>
      <w:proofErr w:type="spellEnd"/>
      <w:r w:rsidRPr="000332C7">
        <w:t xml:space="preserve"> composite</w:t>
      </w:r>
      <w:r>
        <w:t xml:space="preserve">. The researchers observed pore formation on the surface after 4 days, microcracks along the fibers after 5 days, and swelling and delamination after 6 days of moisture absorption. </w:t>
      </w:r>
    </w:p>
    <w:p w14:paraId="0B2E6539" w14:textId="46B6EB51" w:rsidR="00B578C0" w:rsidRDefault="00D2198E" w:rsidP="00BB2C1B">
      <w:r>
        <w:t>A</w:t>
      </w:r>
      <w:r w:rsidRPr="00494575">
        <w:t>bsorption of liquid in polymers and composites causes changes in the microstructure. These microstructural changes result in mechanical damages and property loss in the material.</w:t>
      </w:r>
      <w:r>
        <w:t xml:space="preserve"> Mechanical property loss</w:t>
      </w:r>
      <w:r w:rsidRPr="00494575">
        <w:t xml:space="preserve"> due to liquid absorption limit</w:t>
      </w:r>
      <w:r>
        <w:t>s</w:t>
      </w:r>
      <w:r w:rsidR="00A5133D">
        <w:t xml:space="preserve"> the design and use of</w:t>
      </w:r>
      <w:r w:rsidRPr="00494575">
        <w:t xml:space="preserve"> composites in environmentally harsh conditions. </w:t>
      </w:r>
    </w:p>
    <w:p w14:paraId="6536E2D1" w14:textId="65BA8EDB" w:rsidR="00D2198E" w:rsidRPr="00494575" w:rsidRDefault="00D2198E" w:rsidP="00B63058">
      <w:pPr>
        <w:pStyle w:val="Heading3"/>
        <w:rPr>
          <w:rFonts w:eastAsiaTheme="minorEastAsia"/>
        </w:rPr>
      </w:pPr>
      <w:bookmarkStart w:id="9" w:name="_Toc531943729"/>
      <w:r>
        <w:rPr>
          <w:rFonts w:eastAsiaTheme="minorEastAsia"/>
        </w:rPr>
        <w:t>Reduction in thermomechanical properties</w:t>
      </w:r>
      <w:bookmarkEnd w:id="9"/>
    </w:p>
    <w:p w14:paraId="05A86790" w14:textId="0C698A50" w:rsidR="00D2198E" w:rsidRPr="000C1342" w:rsidRDefault="00D2198E" w:rsidP="00C730E9">
      <w:r>
        <w:t xml:space="preserve">The </w:t>
      </w:r>
      <w:r w:rsidRPr="000C1342">
        <w:t xml:space="preserve">mechanical integrity of </w:t>
      </w:r>
      <w:r>
        <w:t>polymers</w:t>
      </w:r>
      <w:r w:rsidRPr="000C1342">
        <w:t xml:space="preserve"> has been well-known to suffer significantly when exposed to moisture</w:t>
      </w:r>
      <w:r>
        <w:t xml:space="preserve"> </w:t>
      </w:r>
      <w:r>
        <w:fldChar w:fldCharType="begin" w:fldLock="1"/>
      </w:r>
      <w:r w:rsidR="007961A0">
        <w:instrText>ADDIN CSL_CITATION {"citationItems":[{"id":"ITEM-1","itemData":{"DOI":"10.1007/s10853-012-6947-4","ISBN":"9784931136052","ISSN":"00222461","abstract":"A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Science","id":"ITEM-1","issue":"5","issued":{"date-parts":[["2013"]]},"page":"1873-1882","title":"Effect of moisture absorption on the mechanical behavior of carbon fiber/epoxy matrix composites","type":"article-journal","volume":"48"},"uris":["http://www.mendeley.com/documents/?uuid=a4a09a3c-249b-4cb3-a633-b30388a35348"]},{"id":"ITEM-2","itemData":{"DOI":"10.1177/1062065602010004006","ISSN":"10620656","author":[{"dropping-particle":"","family":"Aktas","given":"Levent","non-dropping-particle":"","parse-names":false,"suffix":""},{"dropping-particle":"","family":"Hamidi","given":"Youssef","non-dropping-particle":"","parse-names":false,"suffix":""},{"dropping-particle":"","family":"Altan","given":"M. Cengiz","non-dropping-particle":"","parse-names":false,"suffix":""}],"container-title":"Journal of Materials Processing and Manufacturing Science","id":"ITEM-2","issue":"4","issued":{"date-parts":[["2002"]]},"page":"255-267","title":"Effect of moisture on the mechanical properties of resin transfer molded composites - Part II: Desorption","type":"article","volume":"10"},"uris":["http://www.mendeley.com/documents/?uuid=8b53b096-8f42-49a5-8bb4-07bd25ed0207"]},{"id":"ITEM-3","itemData":{"DOI":"10.1177/1062065602010004005","author":[{"dropping-particle":"","family":"Aktas","given":"Levent","non-dropping-particle":"","parse-names":false,"suffix":""},{"dropping-particle":"","family":"Hamidi","given":"Youssef","non-dropping-particle":"","parse-names":false,"suffix":""},{"dropping-particle":"","family":"Altan","given":"M","non-dropping-particle":"","parse-names":false,"suffix":""}],"container-title":"Journal of Materials Processing &amp; Manufacturing Science - J MATER PROCESS MANUF SCI","id":"ITEM-3","issued":{"date-parts":[["2002","4","1"]]},"page":"239-254","title":"Effect of Moisture on the Mechanical Properties of Resin Transfer Molded Composites - Part I: Absorption","type":"article-journal","volume":"10"},"uris":["http://www.mendeley.com/documents/?uuid=9661682f-a97d-42dc-8fc4-a91856d48d43"]}],"mendeley":{"formattedCitation":"[32–34]","plainTextFormattedCitation":"[32–34]","previouslyFormattedCitation":"[32–34]"},"properties":{"noteIndex":0},"schema":"https://github.com/citation-style-language/schema/raw/master/csl-citation.json"}</w:instrText>
      </w:r>
      <w:r>
        <w:fldChar w:fldCharType="separate"/>
      </w:r>
      <w:r w:rsidRPr="00454ED5">
        <w:rPr>
          <w:noProof/>
        </w:rPr>
        <w:t>[32–34]</w:t>
      </w:r>
      <w:r>
        <w:fldChar w:fldCharType="end"/>
      </w:r>
      <w:r w:rsidRPr="000C1342">
        <w:t>, to which they are typically exposed during their service life.</w:t>
      </w:r>
      <w:r>
        <w:t xml:space="preserve"> </w:t>
      </w:r>
      <w:proofErr w:type="spellStart"/>
      <w:r w:rsidRPr="005F5F76">
        <w:t>Selzer</w:t>
      </w:r>
      <w:proofErr w:type="spellEnd"/>
      <w:r w:rsidRPr="005F5F76">
        <w:t xml:space="preserve"> and Friedrich</w:t>
      </w:r>
      <w:r>
        <w:t xml:space="preserve"> </w:t>
      </w:r>
      <w:r>
        <w:fldChar w:fldCharType="begin" w:fldLock="1"/>
      </w:r>
      <w:r w:rsidR="00B274D5">
        <w:instrText>ADDIN CSL_CITATION {"citationItems":[{"id":"ITEM-1","itemData":{"DOI":"10.1016/S1359-835X(96)00154-6","ISBN":"1359-835X","ISSN":"1359835X","abstract":"The effect of moisture on the mechanical properties and the failure behaviour of fibre-reinforced polymer composites was investigated. Moisture was introduced into the specimens by immersion in distilled water. Three materials were investigated, which were all reinforced with continuous carbon fibres. Two thermosetting matrices (unmodified and toughness-modified epoxy) and one thermoplastic matrix (polyetheretherketone) were used. The results showed that the absorbed moisture decreases those properties of both epoxy-based composites which were dominated by the matrix or the interface. The influence of water on the fibre-dominated values, as well as on the properties of the thermoplastic material, was not detectable. The distinct fall of the matrix-and interface-based values due to moisture can be ascribed to the weakening of bonding between fibre and matrix and softening of the matrix material. © 1997 Elsevier Science Limited.","author":[{"dropping-particle":"","family":"Selzer","given":"R.","non-dropping-particle":"","parse-names":false,"suffix":""},{"dropping-particle":"","family":"Friedrich","given":"K.","non-dropping-particle":"","parse-names":false,"suffix":""}],"container-title":"Composites Part A: Applied Science and Manufacturing","id":"ITEM-1","issue":"6","issued":{"date-parts":[["1997"]]},"page":"595-604","title":"Mechanical properties and failure behaviour of carbon fibre-reinforced polymer composites under the influence of moisture","type":"article-journal","volume":"28"},"uris":["http://www.mendeley.com/documents/?uuid=895522f3-fa58-4611-9bc0-40cd360c5b1c"]}],"mendeley":{"formattedCitation":"[35]","plainTextFormattedCitation":"[35]","previouslyFormattedCitation":"[35]"},"properties":{"noteIndex":0},"schema":"https://github.com/citation-style-language/schema/raw/master/csl-citation.json"}</w:instrText>
      </w:r>
      <w:r>
        <w:fldChar w:fldCharType="separate"/>
      </w:r>
      <w:r w:rsidRPr="00454ED5">
        <w:rPr>
          <w:noProof/>
        </w:rPr>
        <w:t>[35]</w:t>
      </w:r>
      <w:r>
        <w:fldChar w:fldCharType="end"/>
      </w:r>
      <w:r w:rsidRPr="005F5F76">
        <w:t xml:space="preserve">, among many others, showed that the tensile strength of polymers is degraded </w:t>
      </w:r>
      <w:r w:rsidR="00F62B46">
        <w:t xml:space="preserve">by </w:t>
      </w:r>
      <w:r w:rsidRPr="005F5F76">
        <w:t xml:space="preserve">52% to 66% by the absorption of moisture. </w:t>
      </w:r>
      <w:r w:rsidRPr="0042386C">
        <w:t xml:space="preserve">Perez-Pacheco </w:t>
      </w:r>
      <w:r>
        <w:t xml:space="preserve">et al. </w:t>
      </w:r>
      <w:r>
        <w:fldChar w:fldCharType="begin" w:fldLock="1"/>
      </w:r>
      <w:r w:rsidR="00B274D5">
        <w:instrText>ADDIN CSL_CITATION {"citationItems":[{"id":"ITEM-1","itemData":{"DOI":"10.1007/s10853-012-6947-4","ISBN":"9784931136052","ISSN":"00222461","abstract":"A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Science","id":"ITEM-1","issue":"5","issued":{"date-parts":[["2013"]]},"page":"1873-1882","title":"Effect of moisture absorption on the mechanical behavior of carbon fiber/epoxy matrix composites","type":"article-journal","volume":"48"},"uris":["http://www.mendeley.com/documents/?uuid=a4a09a3c-249b-4cb3-a633-b30388a35348"]}],"mendeley":{"formattedCitation":"[32]","plainTextFormattedCitation":"[32]","previouslyFormattedCitation":"[32]"},"properties":{"noteIndex":0},"schema":"https://github.com/citation-style-language/schema/raw/master/csl-citation.json"}</w:instrText>
      </w:r>
      <w:r>
        <w:fldChar w:fldCharType="separate"/>
      </w:r>
      <w:r w:rsidRPr="00454ED5">
        <w:rPr>
          <w:noProof/>
        </w:rPr>
        <w:t>[32]</w:t>
      </w:r>
      <w:r>
        <w:fldChar w:fldCharType="end"/>
      </w:r>
      <w:r w:rsidRPr="0042386C">
        <w:t xml:space="preserve"> reported that 0.75 wt</w:t>
      </w:r>
      <w:r>
        <w:t>.</w:t>
      </w:r>
      <w:r w:rsidRPr="0042386C">
        <w:t>% moisture absorption resulted in reduction of the tensile strength, elastic modulus</w:t>
      </w:r>
      <w:r w:rsidR="00980A92">
        <w:t>,</w:t>
      </w:r>
      <w:r w:rsidRPr="0042386C">
        <w:t xml:space="preserve"> and interfacial shear strength of a carbon/epoxy composite by 25%, 38%</w:t>
      </w:r>
      <w:r w:rsidR="00980A92">
        <w:t>,</w:t>
      </w:r>
      <w:r w:rsidRPr="0042386C">
        <w:t xml:space="preserve"> and 11%, respe</w:t>
      </w:r>
      <w:r>
        <w:t xml:space="preserve">ctively. </w:t>
      </w:r>
      <w:proofErr w:type="spellStart"/>
      <w:r>
        <w:t>Pomies</w:t>
      </w:r>
      <w:proofErr w:type="spellEnd"/>
      <w:r>
        <w:t xml:space="preserve"> and </w:t>
      </w:r>
      <w:proofErr w:type="spellStart"/>
      <w:r>
        <w:t>Carlsson</w:t>
      </w:r>
      <w:proofErr w:type="spellEnd"/>
      <w:r>
        <w:t xml:space="preserve"> </w:t>
      </w:r>
      <w:r>
        <w:fldChar w:fldCharType="begin" w:fldLock="1"/>
      </w:r>
      <w:r w:rsidR="00B274D5">
        <w:instrText>ADDIN CSL_CITATION {"citationItems":[{"id":"ITEM-1","itemData":{"DOI":"10.1177/002199839402800102","ISSN":"1530793x","author":[{"dropping-particle":"","family":"Pomies","given":"Frédéric","non-dropping-particle":"","parse-names":false,"suffix":""},{"dropping-particle":"","family":"Carlsson","given":"Leif A.","non-dropping-particle":"","parse-names":false,"suffix":""}],"container-title":"Journal of Composite Materials","id":"ITEM-1","issue":"1","issued":{"date-parts":[["1994"]]},"page":"22-35","title":"Analysis of Modulus and Strength of Dry and Wet Thermoset and Thermoplastic Composites Loaded in Transverse Tension","type":"article-journal","volume":"28"},"uris":["http://www.mendeley.com/documents/?uuid=13f9dab4-23ec-4ad3-85a7-87ff2b7e9682"]}],"mendeley":{"formattedCitation":"[36]","plainTextFormattedCitation":"[36]","previouslyFormattedCitation":"[36]"},"properties":{"noteIndex":0},"schema":"https://github.com/citation-style-language/schema/raw/master/csl-citation.json"}</w:instrText>
      </w:r>
      <w:r>
        <w:fldChar w:fldCharType="separate"/>
      </w:r>
      <w:r w:rsidRPr="00454ED5">
        <w:rPr>
          <w:noProof/>
        </w:rPr>
        <w:t>[36]</w:t>
      </w:r>
      <w:r>
        <w:fldChar w:fldCharType="end"/>
      </w:r>
      <w:r>
        <w:t xml:space="preserve"> sta</w:t>
      </w:r>
      <w:r w:rsidRPr="0042386C">
        <w:t>ted that 1.21% absorbed water in carbon/epoxy and 0.63% absorbed water in carbon/BMI-resin reduced the transverse tensile strength by 66% and 41%, respectively.</w:t>
      </w:r>
      <w:r w:rsidRPr="005F5F76">
        <w:t xml:space="preserve"> </w:t>
      </w:r>
      <w:r>
        <w:t>They also</w:t>
      </w:r>
      <w:r w:rsidRPr="005F5F76">
        <w:t xml:space="preserve"> stated that the transverse tensile strength of glass/epoxy with 1.08</w:t>
      </w:r>
      <w:r>
        <w:t xml:space="preserve"> wt</w:t>
      </w:r>
      <w:proofErr w:type="gramStart"/>
      <w:r>
        <w:t>.</w:t>
      </w:r>
      <w:r w:rsidRPr="005F5F76">
        <w:t>%</w:t>
      </w:r>
      <w:proofErr w:type="gramEnd"/>
      <w:r w:rsidRPr="005F5F76">
        <w:t xml:space="preserve"> water and glass/PPS with 0.18</w:t>
      </w:r>
      <w:r>
        <w:t xml:space="preserve"> wt.</w:t>
      </w:r>
      <w:r w:rsidRPr="005F5F76">
        <w:t>% water are reduced by 45% and 86%, respectively.</w:t>
      </w:r>
      <w:r>
        <w:t xml:space="preserve"> Additionally, microstructural changes in</w:t>
      </w:r>
      <w:r w:rsidRPr="0022231C">
        <w:t xml:space="preserve"> </w:t>
      </w:r>
      <w:r w:rsidRPr="000332C7">
        <w:t xml:space="preserve">jute fiber </w:t>
      </w:r>
      <w:r w:rsidRPr="000332C7">
        <w:lastRenderedPageBreak/>
        <w:t xml:space="preserve">reinforced </w:t>
      </w:r>
      <w:proofErr w:type="spellStart"/>
      <w:r w:rsidRPr="000332C7">
        <w:t>polyactide</w:t>
      </w:r>
      <w:proofErr w:type="spellEnd"/>
      <w:r w:rsidRPr="000332C7">
        <w:t xml:space="preserve"> composite</w:t>
      </w:r>
      <w:r>
        <w:t xml:space="preserve"> due to water ingress </w:t>
      </w:r>
      <w:r w:rsidRPr="0022231C">
        <w:t>resulted in 75% reduction in the tensile strength of the composite</w:t>
      </w:r>
      <w:r>
        <w:t xml:space="preserve"> </w:t>
      </w:r>
      <w:r>
        <w:fldChar w:fldCharType="begin" w:fldLock="1"/>
      </w:r>
      <w:r w:rsidR="00430285">
        <w:instrText>ADDIN CSL_CITATION {"citationItems":[{"id":"ITEM-1","itemData":{"DOI":"10.1016/j.matdes.2010.02.030","ISBN":"0261-3069","ISSN":"02641275","abstract":"In this research, aging behaviors of short jute fiber/Polylactide (PLA) composite material in hygrothermal environment were investigated. The material was fabricated by using film stacking hot pressed method. The aging was carried out for uncoated samples and adhesive tape coated samples in saturated vapor at 70°C. Moisture absorption rates of the samples were measured during the aging process. It is found that the moisture absorption process of uncoated samples includes three stages: a short and quick moisture uptaking stage, a slow stable uptaking stage and an abrupt very quick moisture uptaking stage. Microstructures of the samples in different aging stages were observed. The main defects occurred during the aging process include pores, microcracks, delamination and complete relaxation in the whole structure. The results reveal that the moisture absorption and aging process can be effectively retarded by coating. The molecular weight measurement by gel permission chromatography (GPC) indicated that the PLA matrix was severely degraded in hygrothermal environment. Tensile strength severely decreased after aging. © 2010 Elsevier Ltd.","author":[{"dropping-particle":"","family":"Hu","given":"Rui-Hua","non-dropping-particle":"","parse-names":false,"suffix":""},{"dropping-particle":"","family":"Sun","given":"Min-Young","non-dropping-particle":"","parse-names":false,"suffix":""},{"dropping-particle":"","family":"Lim","given":"Jae-Kyoo","non-dropping-particle":"","parse-names":false,"suffix":""}],"container-title":"Materials and Design","id":"ITEM-1","issue":"7","issued":{"date-parts":[["2010"]]},"page":"3167-3173","publisher":"Elsevier Ltd","title":"Moisture absorption, tensile strength and microstructure evolution of short jute fiber/polylactide composite in hygrothermal environment","type":"article-journal","volume":"31"},"uris":["http://www.mendeley.com/documents/?uuid=5c670bbc-43e3-4b71-9d15-5c03ec2b6182"]}],"mendeley":{"formattedCitation":"[11]","plainTextFormattedCitation":"[11]","previouslyFormattedCitation":"[3]"},"properties":{"noteIndex":0},"schema":"https://github.com/citation-style-language/schema/raw/master/csl-citation.json"}</w:instrText>
      </w:r>
      <w:r>
        <w:fldChar w:fldCharType="separate"/>
      </w:r>
      <w:r w:rsidR="00430285" w:rsidRPr="00430285">
        <w:rPr>
          <w:noProof/>
        </w:rPr>
        <w:t>[11]</w:t>
      </w:r>
      <w:r>
        <w:fldChar w:fldCharType="end"/>
      </w:r>
      <w:r w:rsidRPr="0022231C">
        <w:t>.</w:t>
      </w:r>
    </w:p>
    <w:p w14:paraId="2899A78D" w14:textId="42E41A4B" w:rsidR="00D2198E" w:rsidRDefault="00545B90" w:rsidP="00C730E9">
      <w:r>
        <w:t>I</w:t>
      </w:r>
      <w:r w:rsidR="00D2198E">
        <w:t xml:space="preserve">n a recently published article, </w:t>
      </w:r>
      <w:proofErr w:type="spellStart"/>
      <w:r w:rsidR="00D2198E">
        <w:t>Regazzi</w:t>
      </w:r>
      <w:proofErr w:type="spellEnd"/>
      <w:r w:rsidR="00D2198E">
        <w:t xml:space="preserve"> et al. </w:t>
      </w:r>
      <w:r w:rsidR="00D2198E">
        <w:fldChar w:fldCharType="begin" w:fldLock="1"/>
      </w:r>
      <w:r w:rsidR="00B274D5">
        <w:instrText>ADDIN CSL_CITATION {"citationItems":[{"id":"ITEM-1","itemData":{"DOI":"10.1016/j.compositesa.2016.08.011","ISSN":"1359835X","abstract":"As a contribution to the prediction of the evolutionary behavior of biocomposites in service conditions, this study focused on the simulation of the hydrothermal aging of short natural fiber reinforced composites made by extrusion/injection molding. We endeavored to model the reversible modifications of the behavior of PLA and PLA/flax composites when immersed in water at different temperatures (20, 35 and 50 °C). A numerical model accounting for the heterogeneous mechanisms involved during aging such as water diffusion and the resulting swelling and plasticizing of polymers was implemented. Simulated data proved to be in perfect accordance with experimental results as long as no irreversible mechanism was occurring. The deviations of the simulated data from experimental results were limited at 35 °C but significant at 50 °C. Finally, the influence of moisture on the local elastic modulus of flax fibers was inferred thanks to the Halpin-Kardos homogenization model.","author":[{"dropping-particle":"","family":"Regazzi","given":"Arnaud","non-dropping-particle":"","parse-names":false,"suffix":""},{"dropping-particle":"","family":"Léger","given":"Romain","non-dropping-particle":"","parse-names":false,"suffix":""},{"dropping-particle":"","family":"Corn","given":"Stéphane","non-dropping-particle":"","parse-names":false,"suffix":""},{"dropping-particle":"","family":"Ienny","given":"Patrick","non-dropping-particle":"","parse-names":false,"suffix":""}],"container-title":"Composites Part A: Applied Science and Manufacturing","id":"ITEM-1","issued":{"date-parts":[["2016"]]},"page":"559-566","publisher":"Elsevier Ltd","title":"Modeling of hydrothermal aging of short flax fiber reinforced composites","type":"article-journal","volume":"90"},"uris":["http://www.mendeley.com/documents/?uuid=91b56c8c-78de-4246-9ae1-2c54cc539100"]}],"mendeley":{"formattedCitation":"[37]","plainTextFormattedCitation":"[37]","previouslyFormattedCitation":"[37]"},"properties":{"noteIndex":0},"schema":"https://github.com/citation-style-language/schema/raw/master/csl-citation.json"}</w:instrText>
      </w:r>
      <w:r w:rsidR="00D2198E">
        <w:fldChar w:fldCharType="separate"/>
      </w:r>
      <w:r w:rsidR="004F42A2" w:rsidRPr="004F42A2">
        <w:rPr>
          <w:noProof/>
        </w:rPr>
        <w:t>[37]</w:t>
      </w:r>
      <w:r w:rsidR="00D2198E">
        <w:fldChar w:fldCharType="end"/>
      </w:r>
      <w:r w:rsidR="00D2198E">
        <w:t xml:space="preserve"> investigated the mechanical property degradation in PLA bio-resin and flax/PLA bio-composite due to moisture absorption. PLA and PLA composites were subjected to various environmental condition until saturation which resulted in distinctive saturation moisture contents for each condition. Their results showed that the elastic modulus decreases by increasing the saturation moisture content. The researchers also studied the change in elastic modulus during the moisture absorption. They reported that elastic modulus exponentially decreases to an asymptotical value in transient moisture absorption. Likewise, experiments on carbon fiber/epoxy composites by Perez-Pacheco et al. </w:t>
      </w:r>
      <w:r w:rsidR="00D2198E">
        <w:fldChar w:fldCharType="begin" w:fldLock="1"/>
      </w:r>
      <w:r w:rsidR="00B274D5">
        <w:instrText>ADDIN CSL_CITATION {"citationItems":[{"id":"ITEM-1","itemData":{"DOI":"10.1007/s10853-012-6947-4","ISBN":"9784931136052","ISSN":"00222461","abstract":"A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Science","id":"ITEM-1","issue":"5","issued":{"date-parts":[["2013"]]},"page":"1873-1882","title":"Effect of moisture absorption on the mechanical behavior of carbon fiber/epoxy matrix composites","type":"article-journal","volume":"48"},"uris":["http://www.mendeley.com/documents/?uuid=a4a09a3c-249b-4cb3-a633-b30388a35348"]}],"mendeley":{"formattedCitation":"[32]","plainTextFormattedCitation":"[32]","previouslyFormattedCitation":"[32]"},"properties":{"noteIndex":0},"schema":"https://github.com/citation-style-language/schema/raw/master/csl-citation.json"}</w:instrText>
      </w:r>
      <w:r w:rsidR="00D2198E">
        <w:fldChar w:fldCharType="separate"/>
      </w:r>
      <w:r w:rsidR="00D2198E" w:rsidRPr="00454ED5">
        <w:rPr>
          <w:noProof/>
        </w:rPr>
        <w:t>[32]</w:t>
      </w:r>
      <w:r w:rsidR="00D2198E">
        <w:fldChar w:fldCharType="end"/>
      </w:r>
      <w:r w:rsidR="00D2198E">
        <w:t xml:space="preserve"> showed that elastic modulus, tensile strength, interlaminar sheer strength, and glass transition temperature rapidly drop and slowly reach to an equilibrium when exposed to moisture. Initial fast water uptake in polymers results in high moisture concentration at the edges decreasing towards the mid-plane. Higher water concentration at the edges and surfaces result</w:t>
      </w:r>
      <w:r w:rsidR="00A5133D">
        <w:t>s</w:t>
      </w:r>
      <w:r w:rsidR="00D2198E">
        <w:t xml:space="preserve"> in greater degradation in those areas and resulting </w:t>
      </w:r>
      <w:r w:rsidR="00A5133D">
        <w:t xml:space="preserve">in </w:t>
      </w:r>
      <w:r w:rsidR="00D2198E">
        <w:t xml:space="preserve">fast drop in overall mechanical properties. Likewise, researchers </w:t>
      </w:r>
      <w:r w:rsidR="00D2198E">
        <w:fldChar w:fldCharType="begin" w:fldLock="1"/>
      </w:r>
      <w:r w:rsidR="00430285">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effects","type":"article-journal","volume":"51"},"uris":["http://www.mendeley.com/documents/?uuid=79a330cb-79fc-42ca-b296-0fc4b1a1e539"]},{"id":"ITEM-2","itemData":{"DOI":"10.1177/0731684404030730","ISSN":"07316844","abstract":"The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Composites","id":"ITEM-2","issue":"7","issued":{"date-parts":[["2004"]]},"page":"729-737","title":"Effects of moisture conditioning methods on mechanical properties of injection molded nylon 6","type":"article-journal","volume":"23"},"uris":["http://www.mendeley.com/documents/?uuid=1d0000b6-54ff-42a1-80e6-75c75ede87f6"]}],"mendeley":{"formattedCitation":"[4,38]","plainTextFormattedCitation":"[4,38]","previouslyFormattedCitation":"[12,38]"},"properties":{"noteIndex":0},"schema":"https://github.com/citation-style-language/schema/raw/master/csl-citation.json"}</w:instrText>
      </w:r>
      <w:r w:rsidR="00D2198E">
        <w:fldChar w:fldCharType="separate"/>
      </w:r>
      <w:r w:rsidR="00430285" w:rsidRPr="00430285">
        <w:rPr>
          <w:noProof/>
        </w:rPr>
        <w:t>[4,38]</w:t>
      </w:r>
      <w:r w:rsidR="00D2198E">
        <w:fldChar w:fldCharType="end"/>
      </w:r>
      <w:r w:rsidR="00D2198E">
        <w:t xml:space="preserve"> also showed that both elastic modulus and tensile strength of thermoplastics nylon 6 and polyamide-6.6 decrease fast and gradually reach an equilibrium. </w:t>
      </w:r>
    </w:p>
    <w:p w14:paraId="29BD9475" w14:textId="5B4C01E4" w:rsidR="00D2198E" w:rsidRDefault="00D2198E" w:rsidP="00C730E9">
      <w:r>
        <w:t xml:space="preserve">Knowing that absorbed moisture degrades the polymer, researchers investigated transient </w:t>
      </w:r>
      <w:proofErr w:type="spellStart"/>
      <w:r>
        <w:t>hygro</w:t>
      </w:r>
      <w:proofErr w:type="spellEnd"/>
      <w:r>
        <w:t xml:space="preserve">-elastic behavior of polymers. </w:t>
      </w:r>
      <w:proofErr w:type="spellStart"/>
      <w:r>
        <w:t>Peret</w:t>
      </w:r>
      <w:proofErr w:type="spellEnd"/>
      <w:r>
        <w:t xml:space="preserve"> et al. </w:t>
      </w:r>
      <w:r>
        <w:fldChar w:fldCharType="begin" w:fldLock="1"/>
      </w:r>
      <w:r w:rsidR="00B274D5">
        <w:instrText>ADDIN CSL_CITATION {"citationItems":[{"id":"ITEM-1","itemData":{"DOI":"10.1016/j.compstruct.2014.05.026","ISSN":"02638223","abstract":"The present paper is devoted to the impact of water diffusion within reinforced polymer composites. The resulting ageing may damage a structure made with these materials which can no longer perform its function. In order to predict the long-term behavior of such materials in humid environments, numerical investigations can be done with the classical Finite Element Method. In this work, the FEM is used to solve uncoupled mechanical-water diffusion boundary problems. Simulations are done at the microscopic level in order to take into account the heterogeneity of the composite materials. Both the matrix and the reinforcements are assumed linear elastic materials. Two historical models of water diffusion are studied: Fick and Langmuir. © 2014 Elsevier Ltd.","author":[{"dropping-particle":"","family":"Peret","given":"T.","non-dropping-particle":"","parse-names":false,"suffix":""},{"dropping-particle":"","family":"Clement","given":"A.","non-dropping-particle":"","parse-names":false,"suffix":""},{"dropping-particle":"","family":"Freour","given":"S.","non-dropping-particle":"","parse-names":false,"suffix":""},{"dropping-particle":"","family":"Jacquemin","given":"F.","non-dropping-particle":"","parse-names":false,"suffix":""}],"container-title":"Composite Structures","id":"ITEM-1","issue":"1","issued":{"date-parts":[["2014"]]},"page":"395-403","publisher":"Elsevier Ltd","title":"Numerical transient hygro-elastic analyses of reinforced Fickian and non-Fickian polymers","type":"article-journal","volume":"116"},"uris":["http://www.mendeley.com/documents/?uuid=8f4ed837-5f1f-462c-ac6d-c8d7d7eca9a9"]}],"mendeley":{"formattedCitation":"[39]","plainTextFormattedCitation":"[39]","previouslyFormattedCitation":"[39]"},"properties":{"noteIndex":0},"schema":"https://github.com/citation-style-language/schema/raw/master/csl-citation.json"}</w:instrText>
      </w:r>
      <w:r>
        <w:fldChar w:fldCharType="separate"/>
      </w:r>
      <w:r w:rsidR="004F42A2" w:rsidRPr="004F42A2">
        <w:rPr>
          <w:noProof/>
        </w:rPr>
        <w:t>[39]</w:t>
      </w:r>
      <w:r>
        <w:fldChar w:fldCharType="end"/>
      </w:r>
      <w:r>
        <w:t xml:space="preserve"> modeled composite matrix and use finite element methods </w:t>
      </w:r>
      <w:r w:rsidRPr="0017312E">
        <w:t>to solve uncoupled mechanical-water diffusion boundary problems</w:t>
      </w:r>
      <w:r>
        <w:t xml:space="preserve">. In addition, </w:t>
      </w:r>
      <w:proofErr w:type="spellStart"/>
      <w:r>
        <w:t>Reimschuessel</w:t>
      </w:r>
      <w:proofErr w:type="spellEnd"/>
      <w:r>
        <w:t xml:space="preserve"> </w:t>
      </w:r>
      <w:r>
        <w:fldChar w:fldCharType="begin" w:fldLock="1"/>
      </w:r>
      <w:r w:rsidR="00B274D5">
        <w:instrText>ADDIN CSL_CITATION {"citationItems":[{"id":"ITEM-1","itemData":{"DOI":"10. 1002/pol. 1978.170160606","ISSN":"1542-9369","author":[{"dropping-particle":"","family":"Reimschuessel","given":"H. K.","non-dropping-particle":"","parse-names":false,"suffix":""},{"dropping-particle":"","family":"Chemical","given":"Allied","non-dropping-particle":"","parse-names":false,"suffix":""}],"container-title":"Journal of Polymer Science: Polymer chemisrty Edition","id":"ITEM-1","issue":"6","issued":{"date-parts":[["1978"]]},"page":"1229-1236","title":"Relationships on the effect of water on glass transition temperature and young ’ s modulus of nylon 6","type":"article-journal","volume":"16"},"uris":["http://www.mendeley.com/documents/?uuid=667cf711-1b7f-442e-ade2-50c4e8cf5682"]}],"mendeley":{"formattedCitation":"[40]","plainTextFormattedCitation":"[40]","previouslyFormattedCitation":"[40]"},"properties":{"noteIndex":0},"schema":"https://github.com/citation-style-language/schema/raw/master/csl-citation.json"}</w:instrText>
      </w:r>
      <w:r>
        <w:fldChar w:fldCharType="separate"/>
      </w:r>
      <w:r w:rsidR="004F42A2" w:rsidRPr="004F42A2">
        <w:rPr>
          <w:noProof/>
        </w:rPr>
        <w:t>[40]</w:t>
      </w:r>
      <w:r>
        <w:fldChar w:fldCharType="end"/>
      </w:r>
      <w:r>
        <w:t xml:space="preserve"> reported </w:t>
      </w:r>
      <w:r w:rsidR="00F62B46">
        <w:t>an exponential decrease of the</w:t>
      </w:r>
      <w:r>
        <w:t xml:space="preserve"> glass</w:t>
      </w:r>
      <w:r w:rsidR="00E6009A">
        <w:t xml:space="preserve"> </w:t>
      </w:r>
      <w:r>
        <w:t xml:space="preserve">transition temperature to </w:t>
      </w:r>
      <w:r w:rsidR="00F62B46">
        <w:t xml:space="preserve">an </w:t>
      </w:r>
      <w:r>
        <w:t xml:space="preserve">asymptotic value. </w:t>
      </w:r>
      <w:r w:rsidR="00F62B46">
        <w:t>A</w:t>
      </w:r>
      <w:r>
        <w:t xml:space="preserve">n analytical model </w:t>
      </w:r>
      <w:r w:rsidR="00F62B46">
        <w:t xml:space="preserve">was also developed, </w:t>
      </w:r>
      <w:r>
        <w:lastRenderedPageBreak/>
        <w:t xml:space="preserve">showing the change in glass transition temperature as a function of water content in the polymer. </w:t>
      </w:r>
      <w:r w:rsidR="00F62B46">
        <w:t>A</w:t>
      </w:r>
      <w:r>
        <w:t xml:space="preserve"> relation between the glass transition temperature and</w:t>
      </w:r>
      <w:r w:rsidR="00E6009A">
        <w:t xml:space="preserve"> the</w:t>
      </w:r>
      <w:r>
        <w:t xml:space="preserve"> elastic modulus </w:t>
      </w:r>
      <w:r w:rsidR="00F62B46">
        <w:t>was established to</w:t>
      </w:r>
      <w:r>
        <w:t xml:space="preserve"> successfully predict the property loss in glass transition temperature and elastic modulus due to water ingress.</w:t>
      </w:r>
    </w:p>
    <w:p w14:paraId="63B44CE8" w14:textId="49EFAA41" w:rsidR="00B578C0" w:rsidRPr="00BB2C1B" w:rsidRDefault="00D2198E" w:rsidP="00BB2C1B">
      <w:r w:rsidRPr="008E0727">
        <w:t>Consequently, preventing in-service failure of structures with polymer composite parts would require their moisture absorption behavior to be fully characterized prior to the design phase. Such accurate characterization can enable a wider usage of polymer composites in structural components.</w:t>
      </w:r>
      <w:r>
        <w:t xml:space="preserve"> </w:t>
      </w:r>
      <w:r w:rsidRPr="00B4301B">
        <w:t xml:space="preserve">Once, the moisture absorption behavior of thermoset is characterized, one can predict moisture concentration within components with any geometry at all times under a given </w:t>
      </w:r>
      <w:proofErr w:type="spellStart"/>
      <w:r w:rsidRPr="00B4301B">
        <w:t>hygrothermal</w:t>
      </w:r>
      <w:proofErr w:type="spellEnd"/>
      <w:r w:rsidRPr="00B4301B">
        <w:t xml:space="preserve"> loading. In turn, the concentration profiles can be used to evaluate the induced alteration of physical and electrical properties</w:t>
      </w:r>
      <w:r>
        <w:t xml:space="preserve"> </w:t>
      </w:r>
      <w:r>
        <w:fldChar w:fldCharType="begin" w:fldLock="1"/>
      </w:r>
      <w:r w:rsidR="00B274D5">
        <w:instrText>ADDIN CSL_CITATION {"citationItems":[{"id":"ITEM-1","itemData":{"DOI":"10.1007/s11029-010-9138-x","ISSN":"01915665","abstract":"A self-consistent approach is used to estimate the internal stresses induced by moisture absorption in composite materials with a viscoelastic matrix and linear elastic fibers. A strong influence of the behavior of the viscoelastic matrix and humidity on the internal stresses in the structures at macroscopic and local scales is found to exist. © 2010 Springer Science+Business Media, Inc.","author":[{"dropping-particle":"","family":"Youssef","given":"Z.","non-dropping-particle":"","parse-names":false,"suffix":""},{"dropping-particle":"","family":"Jacquemin","given":"F.","non-dropping-particle":"","parse-names":false,"suffix":""},{"dropping-particle":"","family":"Gloaguen","given":"D.","non-dropping-particle":"","parse-names":false,"suffix":""},{"dropping-particle":"","family":"Guillén","given":"R.","non-dropping-particle":"","parse-names":false,"suffix":""}],"container-title":"Mechanics of Composite Materials","id":"ITEM-1","issue":"2","issued":{"date-parts":[["2010"]]},"page":"201-210","title":"A multiscale hygroviscoelastic approach to predicting the internal stresses in composite materials","type":"article-journal","volume":"46"},"uris":["http://www.mendeley.com/documents/?uuid=e46be90e-48ac-4f3d-8a69-d5ac497e78f1"]},{"id":"ITEM-2","itemData":{"DOI":"10.1016/j.compositesa.2016.08.011","ISSN":"1359835X","abstract":"As a contribution to the prediction of the evolutionary behavior of biocomposites in service conditions, this study focused on the simulation of the hydrothermal aging of short natural fiber reinforced composites made by extrusion/injection molding. We endeavored to model the reversible modifications of the behavior of PLA and PLA/flax composites when immersed in water at different temperatures (20, 35 and 50 °C). A numerical model accounting for the heterogeneous mechanisms involved during aging such as water diffusion and the resulting swelling and plasticizing of polymers was implemented. Simulated data proved to be in perfect accordance with experimental results as long as no irreversible mechanism was occurring. The deviations of the simulated data from experimental results were limited at 35 °C but significant at 50 °C. Finally, the influence of moisture on the local elastic modulus of flax fibers was inferred thanks to the Halpin-Kardos homogenization model.","author":[{"dropping-particle":"","family":"Regazzi","given":"Arnaud","non-dropping-particle":"","parse-names":false,"suffix":""},{"dropping-particle":"","family":"Léger","given":"Romain","non-dropping-particle":"","parse-names":false,"suffix":""},{"dropping-particle":"","family":"Corn","given":"Stéphane","non-dropping-particle":"","parse-names":false,"suffix":""},{"dropping-particle":"","family":"Ienny","given":"Patrick","non-dropping-particle":"","parse-names":false,"suffix":""}],"container-title":"Composites Part A: Applied Science and Manufacturing","id":"ITEM-2","issued":{"date-parts":[["2016"]]},"page":"559-566","publisher":"Elsevier Ltd","title":"Modeling of hydrothermal aging of short flax fiber reinforced composites","type":"article-journal","volume":"90"},"uris":["http://www.mendeley.com/documents/?uuid=91b56c8c-78de-4246-9ae1-2c54cc539100"]},{"id":"ITEM-3","itemData":{"DOI":"10.1016/j.compstruct.2014.05.026","ISSN":"02638223","abstract":"The present paper is devoted to the impact of water diffusion within reinforced polymer composites. The resulting ageing may damage a structure made with these materials which can no longer perform its function. In order to predict the long-term behavior of such materials in humid environments, numerical investigations can be done with the classical Finite Element Method. In this work, the FEM is used to solve uncoupled mechanical-water diffusion boundary problems. Simulations are done at the microscopic level in order to take into account the heterogeneity of the composite materials. Both the matrix and the reinforcements are assumed linear elastic materials. Two historical models of water diffusion are studied: Fick and Langmuir. © 2014 Elsevier Ltd.","author":[{"dropping-particle":"","family":"Peret","given":"T.","non-dropping-particle":"","parse-names":false,"suffix":""},{"dropping-particle":"","family":"Clement","given":"A.","non-dropping-particle":"","parse-names":false,"suffix":""},{"dropping-particle":"","family":"Freour","given":"S.","non-dropping-particle":"","parse-names":false,"suffix":""},{"dropping-particle":"","family":"Jacquemin","given":"F.","non-dropping-particle":"","parse-names":false,"suffix":""}],"container-title":"Composite Structures","id":"ITEM-3","issue":"1","issued":{"date-parts":[["2014"]]},"page":"395-403","publisher":"Elsevier Ltd","title":"Numerical transient hygro-elastic analyses of reinforced Fickian and non-Fickian polymers","type":"article-journal","volume":"116"},"uris":["http://www.mendeley.com/documents/?uuid=8f4ed837-5f1f-462c-ac6d-c8d7d7eca9a9"]}],"mendeley":{"formattedCitation":"[37,39,41]","plainTextFormattedCitation":"[37,39,41]","previouslyFormattedCitation":"[37,39,41]"},"properties":{"noteIndex":0},"schema":"https://github.com/citation-style-language/schema/raw/master/csl-citation.json"}</w:instrText>
      </w:r>
      <w:r>
        <w:fldChar w:fldCharType="separate"/>
      </w:r>
      <w:r w:rsidR="004F42A2" w:rsidRPr="004F42A2">
        <w:rPr>
          <w:noProof/>
        </w:rPr>
        <w:t>[37,39,41]</w:t>
      </w:r>
      <w:r>
        <w:fldChar w:fldCharType="end"/>
      </w:r>
      <w:r>
        <w:t>. A novel method to predict the transient elastic modulus degradation behavior using known diffusion models has been introduced in</w:t>
      </w:r>
      <w:r w:rsidR="00822542">
        <w:t xml:space="preserve"> </w:t>
      </w:r>
      <w:r w:rsidR="00822542">
        <w:fldChar w:fldCharType="begin"/>
      </w:r>
      <w:r w:rsidR="00822542">
        <w:instrText xml:space="preserve"> REF _Ref520893882 \r \h </w:instrText>
      </w:r>
      <w:r w:rsidR="00C730E9">
        <w:instrText xml:space="preserve"> \* MERGEFORMAT </w:instrText>
      </w:r>
      <w:r w:rsidR="00822542">
        <w:fldChar w:fldCharType="separate"/>
      </w:r>
      <w:r w:rsidR="006D52C2">
        <w:t>Chapter 5</w:t>
      </w:r>
      <w:r w:rsidR="00822542">
        <w:fldChar w:fldCharType="end"/>
      </w:r>
      <w:r w:rsidR="00BB2C1B">
        <w:t>.</w:t>
      </w:r>
    </w:p>
    <w:p w14:paraId="1AA28B22" w14:textId="18A4BDF6" w:rsidR="00D2198E" w:rsidRDefault="007021F2" w:rsidP="00BB2C1B">
      <w:pPr>
        <w:pStyle w:val="Heading2"/>
        <w:rPr>
          <w:rFonts w:eastAsiaTheme="minorEastAsia"/>
        </w:rPr>
      </w:pPr>
      <w:bookmarkStart w:id="10" w:name="_Toc531943730"/>
      <w:r>
        <w:rPr>
          <w:rFonts w:eastAsiaTheme="minorEastAsia"/>
        </w:rPr>
        <w:t xml:space="preserve">1.3. </w:t>
      </w:r>
      <w:r w:rsidR="00D2198E">
        <w:rPr>
          <w:rFonts w:eastAsiaTheme="minorEastAsia"/>
        </w:rPr>
        <w:t>Continuum Diffusion Models</w:t>
      </w:r>
      <w:bookmarkEnd w:id="10"/>
    </w:p>
    <w:p w14:paraId="68C05A43" w14:textId="77777777" w:rsidR="00D2198E" w:rsidRDefault="00D2198E" w:rsidP="00C730E9">
      <w:r w:rsidRPr="00494575">
        <w:t xml:space="preserve">Environmental conditions experienced by </w:t>
      </w:r>
      <w:r>
        <w:t>polymers</w:t>
      </w:r>
      <w:r w:rsidRPr="00494575">
        <w:t xml:space="preserve"> during their service life often consist of large variations of humidity and temperature over long periods of time. The deleterious effects of moisture on the mechanical behavior and durability of polymers and polymer composites underscore the need to accurately predict absorption behavior and moisture content, especially for structural load-bearing applications designed for long service life. </w:t>
      </w:r>
    </w:p>
    <w:p w14:paraId="63D4DCAE" w14:textId="77777777" w:rsidR="00B578C0" w:rsidRDefault="00B578C0" w:rsidP="00C730E9"/>
    <w:p w14:paraId="36539E0C" w14:textId="1F2F9395" w:rsidR="00D2198E" w:rsidRPr="00B63058" w:rsidRDefault="00D2198E" w:rsidP="00B63058">
      <w:pPr>
        <w:pStyle w:val="Heading3"/>
        <w:numPr>
          <w:ilvl w:val="0"/>
          <w:numId w:val="26"/>
        </w:numPr>
        <w:rPr>
          <w:rFonts w:eastAsiaTheme="minorEastAsia"/>
        </w:rPr>
      </w:pPr>
      <w:bookmarkStart w:id="11" w:name="_Toc531943731"/>
      <w:r w:rsidRPr="00B63058">
        <w:rPr>
          <w:rFonts w:eastAsiaTheme="minorEastAsia"/>
        </w:rPr>
        <w:lastRenderedPageBreak/>
        <w:t>Fickian Diffusion Model</w:t>
      </w:r>
      <w:bookmarkEnd w:id="11"/>
    </w:p>
    <w:p w14:paraId="40E306CE" w14:textId="0DF16830" w:rsidR="00D2198E" w:rsidRPr="00A36BDA" w:rsidRDefault="00D2198E" w:rsidP="00C730E9">
      <w:r w:rsidRPr="00494575">
        <w:t>The one-dimensional Fickian diffusion model is most often used for predicting absorption behavior and moisture content due to its simplicity an</w:t>
      </w:r>
      <w:r>
        <w:t xml:space="preserve">d mathematical tractability </w:t>
      </w:r>
      <w:r>
        <w:fldChar w:fldCharType="begin" w:fldLock="1"/>
      </w:r>
      <w:r w:rsidR="00B274D5">
        <w:instrText>ADDIN CSL_CITATION {"citationItems":[{"id":"ITEM-1","itemData":{"author":[{"dropping-particle":"","family":"Fick","given":"Adolf","non-dropping-particle":"","parse-names":false,"suffix":""}],"container-title":"Annalen der Physik","id":"ITEM-1","issued":{"date-parts":[["1855"]]},"title":"Ueber Difusion;","type":"article-journal"},"uris":["http://www.mendeley.com/documents/?uuid=dd7235f3-a92e-4417-9dac-fcce379d0edf"]}],"mendeley":{"formattedCitation":"[42]","plainTextFormattedCitation":"[42]","previouslyFormattedCitation":"[42]"},"properties":{"noteIndex":0},"schema":"https://github.com/citation-style-language/schema/raw/master/csl-citation.json"}</w:instrText>
      </w:r>
      <w:r>
        <w:fldChar w:fldCharType="separate"/>
      </w:r>
      <w:r w:rsidR="004F42A2" w:rsidRPr="004F42A2">
        <w:rPr>
          <w:noProof/>
        </w:rPr>
        <w:t>[42]</w:t>
      </w:r>
      <w:r>
        <w:fldChar w:fldCharType="end"/>
      </w:r>
      <w:r w:rsidRPr="00494575">
        <w:t>.</w:t>
      </w:r>
      <w:r>
        <w:t xml:space="preserve"> </w:t>
      </w:r>
      <w:r w:rsidRPr="00A36BDA">
        <w:t>Adolf Fick described the diffusion process as the flux goes from high concentration region to low concentration region under the assumption of steady state flow</w:t>
      </w:r>
      <w:r>
        <w:t>.</w:t>
      </w:r>
      <w:r w:rsidRPr="00A36BDA">
        <w:t xml:space="preserve"> </w:t>
      </w:r>
      <w:r>
        <w:t>He proposed that t</w:t>
      </w:r>
      <w:r w:rsidRPr="00A36BDA">
        <w:t>he magnitude of the flux is proportional to the concentration gradient</w:t>
      </w:r>
      <w:r>
        <w:t>. Fick derived his famous Fick’s second law, which is the rate of accumulation of concentration within the volume</w:t>
      </w:r>
      <w:r w:rsidRPr="00A36BDA">
        <w:t xml:space="preserve"> as proportional to the local curvature of the concentration gradient</w:t>
      </w:r>
      <w:r>
        <w:t xml:space="preserve">, using the flux-concentration proportion and continuity equation, </w:t>
      </w:r>
      <w:r w:rsidRPr="00A36BDA">
        <w:t>assuming no chemical interactions</w:t>
      </w:r>
      <w:r>
        <w:t>.</w:t>
      </w:r>
      <w:r w:rsidRPr="00A36BDA">
        <w:t xml:space="preserve"> </w:t>
      </w:r>
      <w:r>
        <w:t>Some researchers successfully applied Fickian diffusion model to various polymer</w:t>
      </w:r>
      <w:r w:rsidR="00E6009A">
        <w:t>s</w:t>
      </w:r>
      <w:r>
        <w:t xml:space="preserve"> and polymer composites </w:t>
      </w:r>
      <w:r>
        <w:fldChar w:fldCharType="begin" w:fldLock="1"/>
      </w:r>
      <w:r w:rsidR="00B274D5">
        <w:instrText>ADDIN CSL_CITATION {"citationItems":[{"id":"ITEM-1","itemData":{"DOI":"10.1177/002199837601000101","ISSN":"0021-9983","abstract":"Expressions are presented for the moisture distribution and the mois ture content as a function of time of one dimensional homogeneous and composite materials exposed either on one side or on both sides to humid air or to water. The results apply during both moisture absorption and desorption when the moisture content and the temperature of the environ ment are constant. Test procedures are described for determining experi mentally the values of the moisture content and the diffusivity of com posite materials. A series of tests using unidirectional and {pi}/4 Graphite T-300 Fiberite 1034 composites were performed in the temperature range 300--425 K with the material submerged both in moist air (humidity 0 to 100%) and in water. The test data support the analytical results and pro vide the moisture absorption and desorption characteristics of such com posites. Extension of the results to materials exposed to time varying envi ronmental conditions is indicated.","author":[{"dropping-particle":"","family":"Shen","given":"Chi-Hung","non-dropping-particle":"","parse-names":false,"suffix":""},{"dropping-particle":"","family":"Springer","given":"George S.","non-dropping-particle":"","parse-names":false,"suffix":""}],"container-title":"Journal of Composite Materials","id":"ITEM-1","issue":"1","issued":{"date-parts":[["1976"]]},"page":"2-20","title":"Moisture Absorption and Desorption of Composite Materials","type":"article-journal","volume":"10"},"uris":["http://www.mendeley.com/documents/?uuid=ad4663de-8f66-4715-8dc6-cafc3cd756d9"]},{"id":"ITEM-2","itemData":{"DOI":"10.1016/j.commatsci.2012.05.029","ISBN":"9788888785332","ISSN":"09270256","abstract":"This study is a first approach of water diffusion in unidirectional (UD) composite, associating experimental measurements, analytical and numerical modelling. In the initial state, an interphase of several micrometers width around each monofilament is revealed from micro-thermal analysis measurements. This interphase is characterized by a higher molecular mobility than the bulk resin, which is a determining parameter for water diffusion. Water absorption measurements on both the resin and the UD composite show a Fickian kinetic in first approximation. A finite element analysis of water diffusion in the composite clearly shows the influence of the interphase properties on water diffusion kinetic. © 2012 Elsevier B.V. All rights reserved.","author":[{"dropping-particle":"","family":"Joliff","given":"Y.","non-dropping-particle":"","parse-names":false,"suffix":""},{"dropping-particle":"","family":"Belec","given":"L.","non-dropping-particle":"","parse-names":false,"suffix":""},{"dropping-particle":"","family":"Heman","given":"M. B.","non-dropping-particle":"","parse-names":false,"suffix":""},{"dropping-particle":"","family":"Chailan","given":"J. F.","non-dropping-particle":"","parse-names":false,"suffix":""}],"container-title":"Computational Materials Science","id":"ITEM-2","issued":{"date-parts":[["2012"]]},"page":"141-145","publisher":"Elsevier B.V.","title":"Experimental, analytical and numerical study of water diffusion in unidirectional composite materials - Interphase impact","type":"article-journal","volume":"64"},"uris":["http://www.mendeley.com/documents/?uuid=9d1bea73-3c4b-41f2-9356-a1fdd8efe964"]},{"id":"ITEM-3","itemData":{"DOI":"10.1016/j.compscitech.2009.08.013","ISSN":"02663538","abstract":"The peculiarities of moisture absorption of epoxy-nanoclay composite are estimated in the paper. Second Fick's law of diffusion was used to predict moisture diffusivity and equilibrium moisture content using accelerated analytical procedure. It was experimentally confirmed that sorption process in NC passes more slowly than in pure epoxy resin, for the highest filler content diffusivity reduces about half of diffusivity as for epoxy resin. The deviation from mixture rule was obtained for the equilibrium moisture content and the estimation of interphase content in composite was undertaken. It was determined that the higher content of interphase consistently leads to greater moisture absorption. © 2009 Elsevier Ltd. All rights reserved.","author":[{"dropping-particle":"","family":"Glaskova","given":"T.","non-dropping-particle":"","parse-names":false,"suffix":""},{"dropping-particle":"","family":"Aniskevich","given":"A.","non-dropping-particle":"","parse-names":false,"suffix":""}],"container-title":"Composites Science and Technology","id":"ITEM-3","issue":"15-16","issued":{"date-parts":[["2009"]]},"page":"2711-2715","publisher":"Elsevier Ltd","title":"Moisture absorption by epoxy/montmorillonite nanocomposite","type":"article-journal","volume":"69"},"uris":["http://www.mendeley.com/documents/?uuid=0838729a-9dc0-4cd6-8d1a-fbbcefed5385"]},{"id":"ITEM-4","itemData":{"DOI":"10.1177/073168448300200406","ISSN":"15307964","author":[{"dropping-particle":"","family":"Rao","given":"R. M.V.G.K.","non-dropping-particle":"","parse-names":false,"suffix":""},{"dropping-particle":"","family":"Chanda","given":"Manas","non-dropping-particle":"","parse-names":false,"suffix":""},{"dropping-particle":"","family":"Balasubramanian","given":"N.","non-dropping-particle":"","parse-names":false,"suffix":""}],"container-title":"Journal of Reinforced Plastics and Composites","id":"ITEM-4","issue":"4","issued":{"date-parts":[["1983"]]},"page":"289-299","title":"A Fickian Diffusion Model for Permeable Fibre Polymer Composites","type":"article-journal","volume":"2"},"uris":["http://www.mendeley.com/documents/?uuid=26c3bfed-a28a-40dc-9501-5605ca31918e"]},{"id":"ITEM-5","itemData":{"DOI":"10.1016/S0032-3861(96)00614-3","ISSN":"00323861","abstract":"Dielectric measurements were performed to determine the effect of chlorine, methyl and trifluoromethyl substituents on the cure of bis[N,N-bis(2,3-epoxypropyl)-4-aminophenyl]methane with 4,4′-diaminodiphenylsulfone and 4,4′-bis[1,4-phenylenebis(1-methylethylidene)]-bis[2,6-dimethyl]benzamine, and the data were analysed to give gelation and vitrification points. Infra-red measurements were also carried out during the cure process to monitor the consumption of epoxy groups. Dynamic mechanical thermal analysis and density measurements were carried out on the N,N-diglycidylaniline system and a reduction in the glass transition temperature was observed to occur with the incorporation of a trifluoromethyl group into the resin structure. Dielectric and gravimetric studies are reported on the absorption of water by these resins. In agreement with gravimetric data for water absorption, dielectric data obtained at 10 Hz showed that trifluoromethyl substitution increases the diffusion coefficient whereas chlorine substitution decreased it. The chlorinated resin exhibited a higher than expected initial dielectric increment, which has been attributed to the effect of a micro-porous surface structure of the resin. Atomic force microscopy of the resins surfaces indicates that the chlorinated and fluorinated resins have greater surface roughness than the protonated analogues, consistent with the dielectric observations. Analysis of the amount of 'bound' and 'free' water in the resin systems shows that the halogenated resins have a lower percentage of bound water and more of the water is in the 'free' state. © 1997 Elsevier Science Ltd. All rights reserved.","author":[{"dropping-particle":"","family":"Hayward","given":"David","non-dropping-particle":"","parse-names":false,"suffix":""},{"dropping-particle":"","family":"Hollins","given":"Elisabeth","non-dropping-particle":"","parse-names":false,"suffix":""},{"dropping-particle":"","family":"Johncock","given":"Peter","non-dropping-particle":"","parse-names":false,"suffix":""},{"dropping-particle":"","family":"McEwan","given":"Iain","non-dropping-particle":"","parse-names":false,"suffix":""},{"dropping-particle":"","family":"Pethrick","given":"Richard A.","non-dropping-particle":"","parse-names":false,"suffix":""},{"dropping-particle":"","family":"Pollock","given":"Elisabeth A.","non-dropping-particle":"","parse-names":false,"suffix":""}],"container-title":"Polymer","id":"ITEM-5","issue":"5","issued":{"date-parts":[["1997"]]},"page":"1151-1168","title":"The cure and diffusion of water in halogen containing epoxy/amine thermosets","type":"article-journal","volume":"38"},"uris":["http://www.mendeley.com/documents/?uuid=7c312e6b-649f-4513-8379-89bb1d69a4c0"]},{"id":"ITEM-6","itemData":{"DOI":"10.1007/s10450-007-9011-y","ISBN":"0929-5607","ISSN":"09295607","abstract":"Moisture diffusion into epoxy adhesive is investigated through utilizing complete fluid immersion tests in distilled water. Apparent diffusivity for each specimen is determined by two methods, one using the diffusion data at early times (at low loading) and the other using the data at large times (close to the saturation point). The results of the two methods are quite different, indicating that diffusivity is concentration dependent. The apparent diffusivity values obtained through the method using the early data points are about twice those obtained through the method utilizing the data points at large diffusion times. Variance of diffusivity with concentration is also considered as the third method of analysis to determine the concentration dependency. A good agreement is observed between the resultant Fickian model solved numerically and the experimental data. The latter result appears to indicate a change in the excess volume of mixing during the sorption process.","author":[{"dropping-particle":"","family":"Al-Harthi","given":"Mamdouh","non-dropping-particle":"","parse-names":false,"suffix":""},{"dropping-particle":"","family":"Loughlin","given":"Kevin","non-dropping-particle":"","parse-names":false,"suffix":""},{"dropping-particle":"","family":"Kahraman","given":"Ramazan","non-dropping-particle":"","parse-names":false,"suffix":""}],"container-title":"Adsorption","id":"ITEM-6","issue":"2","issued":{"date-parts":[["2007"]]},"page":"115-120","title":"Moisture diffusion into epoxy adhesive: Testing and modeling","type":"article-journal","volume":"13"},"uris":["http://www.mendeley.com/documents/?uuid=3979aeb3-a383-473a-9fb0-f8ef3f15b7d6"]},{"id":"ITEM-7","itemData":{"DOI":"10.1016/j.polymer.2006.09.066","ISBN":"0032-3861","ISSN":"00323861","abstract":"Water transport in a densely crosslinked epoxy network, TGDDM-HHPA, was investigated by coupling time-resolved FTIR spectroscopy and gravimetric measurements. Vibrational analysis yielded information on the different water species present in the system and allowed a quantitative estimation of their population at sorption equilibrium. The transport of water molecules was found to follow a Fickian behaviour characterized by an effective diffusion coefficient which increases with total water concentration. The dependence of the effective diffusion coefficient, Deff(C), on concentration, as obtained from integral sorption curves, was interpreted by introducing a concentration dependent term, D(C), and an \"interaction factor\", φ{symbol}, which accounts for the effect of the molecular interactions which effectively slow down the diffusion process. The results were compared with those obtained on another epoxy network, TGDDM-DDS, characterized by the presence of stronger interacting sites. Differences and similarities of the spectroscopic and gravimetric results are critically discussed in the light of the structure of the two networks. © 2006 Elsevier Ltd. All rights reserved.","author":[{"dropping-particle":"","family":"Mensitieri","given":"G.","non-dropping-particle":"","parse-names":false,"suffix":""},{"dropping-particle":"","family":"Lavorgna","given":"M.","non-dropping-particle":"","parse-names":false,"suffix":""},{"dropping-particle":"","family":"Musto","given":"P.","non-dropping-particle":"","parse-names":false,"suffix":""},{"dropping-particle":"","family":"Ragosta","given":"G.","non-dropping-particle":"","parse-names":false,"suffix":""}],"container-title":"Polymer","id":"ITEM-7","issue":"25","issued":{"date-parts":[["2006"]]},"page":"8326-8336","title":"Water transport in densely crosslinked networks: A comparison between epoxy systems having different interactive characters","type":"article-journal","volume":"47"},"uris":["http://www.mendeley.com/documents/?uuid=616bece3-659f-4238-955f-c60837f81d4e"]}],"mendeley":{"formattedCitation":"[2,43–48]","plainTextFormattedCitation":"[2,43–48]","previouslyFormattedCitation":"[2,43–48]"},"properties":{"noteIndex":0},"schema":"https://github.com/citation-style-language/schema/raw/master/csl-citation.json"}</w:instrText>
      </w:r>
      <w:r>
        <w:fldChar w:fldCharType="separate"/>
      </w:r>
      <w:r w:rsidR="004F42A2" w:rsidRPr="004F42A2">
        <w:rPr>
          <w:noProof/>
        </w:rPr>
        <w:t>[2,43–48]</w:t>
      </w:r>
      <w:r>
        <w:fldChar w:fldCharType="end"/>
      </w:r>
      <w:r>
        <w:t>.</w:t>
      </w:r>
    </w:p>
    <w:p w14:paraId="6088DB82" w14:textId="0934780B" w:rsidR="00D2198E" w:rsidRPr="00494575" w:rsidRDefault="00D2198E" w:rsidP="00C730E9">
      <w:r w:rsidRPr="00494575">
        <w:t>Although a primarily Fickian diffusion is often observed during the initial moisture uptake, most polymeric materials, in the long-term, exhibit a n</w:t>
      </w:r>
      <w:r>
        <w:t xml:space="preserve">on-Fickian absorption behavior </w:t>
      </w:r>
      <w:r>
        <w:fldChar w:fldCharType="begin" w:fldLock="1"/>
      </w:r>
      <w:r w:rsidR="007961A0">
        <w:instrText>ADDIN CSL_CITATION {"citationItems":[{"id":"ITEM-1","itemData":{"DOI":"10.1115/1.1304912","ISSN":"00218936","abstract":"It is now well known that Fick’s Law is frequently inadequate for describing moisture diffusion in polymers or polymer composites. Non-Fickian or anomalous diffusion typically occurs when the rates of diffusion and viscoelastic relaxation in a polymer are comparable, and the ambient temperature is below the glass transition temperature (Tg) of the polymer. As a result, it is necessary to take into account the time-dependent response of a polymer, analogous to viscoelastic relaxation of mechanical properties, in constructing such a model. In this paper, a simple yet robust methodology is proposed that would allow characterization of non-Fickian diffusion coefficients from moisture weight gain data for a polymer below its Tg. Subsequently, these diffusion coefficients are used for predicting moisture concentration profiles through the thickness of a polymer. Moisture weight gain data at different temperatures for an epoxy adhesive is employed to calibrate the model. Specimen thickness independence of the modeling parameters is established through comparison with test data. A finite element procedure that extends this methodology to more complex shapes and boundary conditions is also validated. [S0021-8936(00)02402-8]","author":[{"dropping-particle":"","family":"Roy","given":"S.","non-dropping-particle":"","parse-names":false,"suffix":""},{"dropping-particle":"","family":"Xu","given":"W. X.","non-dropping-particle":"","parse-names":false,"suffix":""},{"dropping-particle":"","family":"Park","given":"S. J.","non-dropping-particle":"","parse-names":false,"suffix":""},{"dropping-particle":"","family":"Liechti","given":"K. M.","non-dropping-particle":"","parse-names":false,"suffix":""}],"container-title":"Journal of Applied Mechanics","id":"ITEM-1","issue":"2","issued":{"date-parts":[["2000"]]},"page":"391","title":"Anomalous Moisture Diffusion in Viscoelastic Polymers: Modeling and Testing","type":"article-journal","volume":"67"},"uris":["http://www.mendeley.com/documents/?uuid=4d1d015a-73cb-4097-ab75-17efcffba419"]},{"id":"ITEM-2","itemData":{"DOI":"10.1007/BF01174494","ISSN":"00222461","author":[{"dropping-particle":"","family":"Jacobs","given":"P. M.","non-dropping-particle":"","parse-names":false,"suffix":""},{"dropping-particle":"","family":"Jones","given":"E. R.","non-dropping-particle":"","parse-names":false,"suffix":""}],"container-title":"Journal of Materials Science","id":"ITEM-2","issue":"7","issued":{"date-parts":[["1989"]]},"page":"2343-2347","title":"Diffusion of moisture into two-phase polymers - Part 2 Styrenated polyester resins","type":"article-journal","volume":"24"},"uris":["http://www.mendeley.com/documents/?uuid=59367bef-043a-42a2-ba22-db5730ed88f6"]},{"id":"ITEM-3","itemData":{"DOI":"10.1002/(SICI)1099-0488(19990601)37:11&lt;1165::AID-POLB11&gt;3.0.CO;2-EView/save citation","ISBN":"0887-6266","ISSN":"08876266","abstract":"The kinetics of water absorption in epoxide materials was studied by the aid of a diglycidyl ether of bisphenol-A–triethylenetetramine (DGEBA–TETA) epoxy– resin system containing various amounts of the plasticizer THIOCOL (0–40 phr). The presence of plasticizer permits the formation of products with different crosslinking densities and hydrophilic characters. Dynamic water absorption experiments were carried out at 15, 40, and 70°C. For the fitting of the experimental results, a new model was used, based on a model proposed earlier by Jacobs and Jones. This model considers epoxide product as a two-phase system consisting of a master phase (where the major part of the water is absorbed), which is homogeneous and nonpolar (phase 1), and of a second phase with different density and/or hydrophilic character (phase 2). By making the assumption that water diffusion can take place independently in the different phases of the material in accordance with Fick’s second law, we can calculate the diffusion coefficient D and the water content at saturation M? for each phase sepa- rately. Equilibrium water sorption measurements were performed at 40°C, and the data were analyzed and discussed based on the Guggenheim–Anderson–de Boer (GAB) equation, the results being in support of the two-phase model used in the analysis of absorption kinetics. The linear expansion coefficient and the glass transition temper- ature of the materials, employed in the discussion of the results, were measured by thermomechanical analysis. ©","author":[{"dropping-particle":"","family":"Maggana","given":"C.","non-dropping-particle":"","parse-names":false,"suffix":""},{"dropping-particle":"","family":"Pissis","given":"P.","non-dropping-particle":"","parse-names":false,"suffix":""}],"container-title":"Journal Of Polymer Science Part B-Polymer Physics","id":"ITEM-3","issued":{"date-parts":[["1999"]]},"page":"1165 - 1182","title":"Water Sorption and Diffusion in an Epoxy Resin System","type":"article-journal","volume":"37"},"uris":["http://www.mendeley.com/documents/?uuid=59bdf007-fa98-410a-ae1f-1a542bee3d50"]},{"id":"ITEM-4","itemData":{"DOI":"10.1016/0032-3861(78)90269-0","ISBN":"0032-3861","ISSN":"00323861","abstract":"Gravimetric sorption measurements for organic vapours in monodisperse glassy polymer powders have shown widely varied non-Fickian kinetic behaviour. These varied kinetics are interpreted by a single mathematical model involving a linear superposition of one or two phenomenologically independent first order relaxation terms upon the ideal Fickian diffusion equation. Analysis of experimental data for submicron powders through this model yields kinetic and equilibrium parameters describing the individual contributions of the diffusion and relaxation processes. This analysis has been applied to both integral and incremental sorption data for vinyl chloride, acetone, and methanol in poly(vinyl chloride) and for n-hexane in polystyrene. Sorption by initially penetrant-free polymer samples is dominated by a rapid Fickian diffusion process, while incremental sorptions show larger relative contributions from slow relaxation processes. The relaxation processes appear to be related to slow redistribution of available free volume through relatively large scale segmental motions in the relaxing polymer. The diffusion-relaxation model seems to provide a meaningful analysis of several non-Fickian 'anomalies', including a very slow approach to apparent equilibrium, two-stage and sigmoidal sorption curves, and sorption curves involving an initial maximum followed by temporary desorption and subsequent resorption. © 1978.","author":[{"dropping-particle":"","family":"Berens","given":"A. R.","non-dropping-particle":"","parse-names":false,"suffix":""},{"dropping-particle":"","family":"Hopfenberg","given":"H. B.","non-dropping-particle":"","parse-names":false,"suffix":""}],"container-title":"Polymer","id":"ITEM-4","issue":"5","issued":{"date-parts":[["1978"]]},"page":"489-496","title":"Diffusion and relaxation in glassy polymer powders: 2. Separation of diffusion and relaxation parameters","type":"article-journal","volume":"19"},"uris":["http://www.mendeley.com/documents/?uuid=07f6786e-2953-4736-85e7-a200f41af922"]},{"id":"ITEM-5","itemData":{"DOI":"10.1002/pol.1979.180171011","ISSN":"00981273","abstract":"Recent gravimetric studies of the sorption of organic vapors by poly(vinyl chloride) and polystyrene powders have demonstrated several features which promise to be generally useful in studying the structure and properties of the glassy state. The uptake of vapor can be significantly altered by prior thermal or vapor treatment of the polymer, apparently reflecting changes in the microvoid content or free volume of the polymer. Fickian sorption in sufficiently fine powders proceeds to equilibrium in a few minutes. Upon exposure of a polymer powder to an appreciable pressure of vapor, both a rapid Fickian sorption and a slower, relaxation-controlled sorption are observed. superposition of these processes leads to widely varied sorption kinetics; a model comprising Fickian diffusion and first-order relaxation terms accurately describes the data and allows estimation of equilibrium and rate constants for both processes. The rates of both swelling and consolidation relaxations appear to be retarded by the presence of low concentrations of vapor in the polymer, suggesting that vapor molecules may preempt some of the free volume required for relaxation.","author":[{"dropping-particle":"","family":"Berens","given":"A. R.","non-dropping-particle":"","parse-names":false,"suffix":""}],"container-title":"Journal of Polymer Science","id":"ITEM-5","issued":{"date-parts":[["1979"]]},"page":"1757-1770","title":"Induction and Measurement of Glassy-State Relaxations by Vapor Sorption Techniques","type":"article-journal","volume":"17"},"uris":["http://www.mendeley.com/documents/?uuid=335650d1-7cfd-40f8-a8bc-63e225c688e2"]},{"id":"ITEM-6","itemData":{"DOI":"10.1177/002199837801200201","ISSN":"1530793x","abstract":"Considerable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Materials","id":"ITEM-6","issue":"2","issued":{"date-parts":[["1978"]]},"page":"118-131","title":"Langmuir-Type Model for Anomalous Moisture Diffusion In Composite Resins","type":"article-journal","volume":"12"},"uris":["http://www.mendeley.com/documents/?uuid=7e8bc570-081d-4fa2-94d2-083031d4ba9a"]},{"id":"ITEM-7","itemData":{"DOI":"10.1002/pc.22523","ISSN":"0272-8397","abstract":"A new, three?dimensional, anisotropic non?Fickian diffusion model is developed to characterize moisture absorption in polymeric composites. The new hindered diffusion model extends the classical Fickian theory to include the effects of the interaction of diffusing molecules with the chemical and physical structure of polymeric composites. The numerical solution of the hindered diffusion model is obtained for a three?dimensional, anisotropic domain by using a forward?time, centered?space finite difference technique. The moisture weight gain over time predicted by the model is shown to mimic a wide variety of anomalous absorption behavior, often exhibited by anisotropic composite laminates. The accuracy of the numerical solutions is verified by comparing the results to known analytical solutions of a one?dimensional, ?Langmuir?type? diffusion model and for the limiting case of the three?dimensional Fickian model. The utility of the proposed hindered diffusion model is demonstrated by accurately recovering the absorption behavior of three different material systems reported in literature. First, it is shown that the hindered diffusion model can accurately predict the moisture absorption data for unidirectional glass?reinforced epoxy plates of varying dimensions exposed to a relative humidity of 80%. Second, the one?dimensional version of the model is applied to experimental moisture absorption data for isotropic epoxy resin samples of different thicknesses. Anomalous effects due to sample thickness reported in the original article are accurately captured. Third, the proposed model is shown to be more accurate than a two?stage diffusion model applied to moisture absorption data obtained from a woven 3?ply carbon fiber reinforced bismaleimide composite. POLYM. COMPOS., 34:1144?1157, 2013. ? 2013 Society of Plastics Engineers","author":[{"dropping-particle":"","family":"Grace","given":"L. R.","non-dropping-particle":"","parse-names":false,"suffix":""},{"dropping-particle":"","family":"Altan","given":"M. C.","non-dropping-particle":"","parse-names":false,"suffix":""}],"container-title":"Polymer Composites","id":"ITEM-7","issue":"7","issued":{"date-parts":[["2013","6","3"]]},"note":"doi: 10.1002/pc.22523","page":"1144-1157","publisher":"Wiley-Blackwell","title":"Non</w:instrText>
      </w:r>
      <w:r w:rsidR="007961A0">
        <w:rPr>
          <w:rFonts w:ascii="Cambria Math" w:hAnsi="Cambria Math" w:cs="Cambria Math"/>
        </w:rPr>
        <w:instrText>‐</w:instrText>
      </w:r>
      <w:r w:rsidR="007961A0">
        <w:instrText>Fickian three-dimensional hindered moisture absorption in polymeric composites: Model development and validation","type":"article-journal","volume":"34"},"uris":["http://www.mendeley.com/documents/?uuid=3e1b81e9-e63c-466a-8dde-12dc160d81da"]}],"mendeley":{"formattedCitation":"[49–55]","plainTextFormattedCitation":"[49–55]","previouslyFormattedCitation":"[49–55]"},"properties":{"noteIndex":0},"schema":"https://github.com/citation-style-language/schema/raw/master/csl-citation.json"}</w:instrText>
      </w:r>
      <w:r>
        <w:fldChar w:fldCharType="separate"/>
      </w:r>
      <w:r w:rsidR="004F42A2" w:rsidRPr="004F42A2">
        <w:rPr>
          <w:noProof/>
        </w:rPr>
        <w:t>[49–55]</w:t>
      </w:r>
      <w:r>
        <w:fldChar w:fldCharType="end"/>
      </w:r>
      <w:r w:rsidRPr="00494575">
        <w:t>. This non-Fickian behavior, also referred to as anomalous or hindered diffusion, is frequently observed after a pseudo equilibrium, where the high</w:t>
      </w:r>
      <w:r w:rsidR="00E6009A">
        <w:t xml:space="preserve"> </w:t>
      </w:r>
      <w:r w:rsidR="00E6009A" w:rsidRPr="00494575">
        <w:t>initial</w:t>
      </w:r>
      <w:r w:rsidR="00E6009A">
        <w:t xml:space="preserve"> </w:t>
      </w:r>
      <w:r w:rsidRPr="00494575">
        <w:t xml:space="preserve">slope of moisture uptake is substantially reduced. Moreover, </w:t>
      </w:r>
      <w:r w:rsidR="00780CA9">
        <w:t>polymers may exhibit Fickian or</w:t>
      </w:r>
      <w:r w:rsidRPr="00494575">
        <w:t xml:space="preserve"> non-Fickian behaviors at different temperatures, and/or when they are exposed to di</w:t>
      </w:r>
      <w:r>
        <w:t xml:space="preserve">fferent </w:t>
      </w:r>
      <w:proofErr w:type="spellStart"/>
      <w:r>
        <w:t>hygrothermal</w:t>
      </w:r>
      <w:proofErr w:type="spellEnd"/>
      <w:r>
        <w:t xml:space="preserve"> history </w:t>
      </w:r>
      <w:r>
        <w:fldChar w:fldCharType="begin" w:fldLock="1"/>
      </w:r>
      <w:r w:rsidR="007961A0">
        <w:instrText>ADDIN CSL_CITATION {"citationItems":[{"id":"ITEM-1","itemData":{"DOI":"10.1016/0079-6700(93)90022-5","ISBN":"0079-6700","ISSN":"00796700","author":[{"dropping-particle":"","family":"Lee","given":"Myung Cheon","non-dropping-particle":"","parse-names":false,"suffix":""},{"dropping-particle":"","family":"Peppas","given":"Nikolaos A.","non-dropping-particle":"","parse-names":false,"suffix":""}],"container-title":"Progress in Polymer Science","id":"ITEM-1","issue":"5","issued":{"date-parts":[["1993"]]},"page":"947-961","title":"Water transport in epoxy resins","type":"article-journal","volume":"18"},"uris":["http://www.mendeley.com/documents/?uuid=7e4a08f5-471b-4a0f-ae17-dfd70276a2fb"]}],"mendeley":{"formattedCitation":"[56]","plainTextFormattedCitation":"[56]","previouslyFormattedCitation":"[56]"},"properties":{"noteIndex":0},"schema":"https://github.com/citation-style-language/schema/raw/master/csl-citation.json"}</w:instrText>
      </w:r>
      <w:r>
        <w:fldChar w:fldCharType="separate"/>
      </w:r>
      <w:r w:rsidR="004F42A2" w:rsidRPr="004F42A2">
        <w:rPr>
          <w:noProof/>
        </w:rPr>
        <w:t>[56]</w:t>
      </w:r>
      <w:r>
        <w:fldChar w:fldCharType="end"/>
      </w:r>
      <w:r w:rsidRPr="00494575">
        <w:t xml:space="preserve">. It is worth noting here that the common practice for absorption characterization is to adhere to the ASTM standard, which is based on the Fickian diffusion model. However, a priori assumption of Fickian behavior may lead to: (a) premature termination of the thermogravimetric absorption experiments, (b) missing the non-Fickian behavior which often becomes apparent in the long-term absorption experiments, and (c) </w:t>
      </w:r>
      <w:r w:rsidRPr="00494575">
        <w:lastRenderedPageBreak/>
        <w:t>inaccurate estimates of the maximum moisture absorption, which is critical in determining the reduction of thermomechanical properties.</w:t>
      </w:r>
    </w:p>
    <w:p w14:paraId="04953079" w14:textId="234887D6" w:rsidR="00B578C0" w:rsidRPr="00BB2C1B" w:rsidRDefault="00D2198E" w:rsidP="00BB2C1B">
      <w:r w:rsidRPr="00494575">
        <w:t>Recognizing the limitations of Fickian theory, several researchers have proposed different models for moisture absorption, in order to account for the anomalous, or hindered diffusion behavior. These models include time-varying diffusi</w:t>
      </w:r>
      <w:r>
        <w:t xml:space="preserve">on coefficient models </w:t>
      </w:r>
      <w:r>
        <w:fldChar w:fldCharType="begin" w:fldLock="1"/>
      </w:r>
      <w:r w:rsidR="00B274D5">
        <w:instrText>ADDIN CSL_CITATION {"citationItems":[{"id":"ITEM-1","itemData":{"DOI":"10.1115/1.1304912","ISSN":"00218936","abstract":"It is now well known that Fick’s Law is frequently inadequate for describing moisture diffusion in polymers or polymer composites. Non-Fickian or anomalous diffusion typically occurs when the rates of diffusion and viscoelastic relaxation in a polymer are comparable, and the ambient temperature is below the glass transition temperature (Tg) of the polymer. As a result, it is necessary to take into account the time-dependent response of a polymer, analogous to viscoelastic relaxation of mechanical properties, in constructing such a model. In this paper, a simple yet robust methodology is proposed that would allow characterization of non-Fickian diffusion coefficients from moisture weight gain data for a polymer below its Tg. Subsequently, these diffusion coefficients are used for predicting moisture concentration profiles through the thickness of a polymer. Moisture weight gain data at different temperatures for an epoxy adhesive is employed to calibrate the model. Specimen thickness independence of the modeling parameters is established through comparison with test data. A finite element procedure that extends this methodology to more complex shapes and boundary conditions is also validated. [S0021-8936(00)02402-8]","author":[{"dropping-particle":"","family":"Roy","given":"S.","non-dropping-particle":"","parse-names":false,"suffix":""},{"dropping-particle":"","family":"Xu","given":"W. X.","non-dropping-particle":"","parse-names":false,"suffix":""},{"dropping-particle":"","family":"Park","given":"S. J.","non-dropping-particle":"","parse-names":false,"suffix":""},{"dropping-particle":"","family":"Liechti","given":"K. M.","non-dropping-particle":"","parse-names":false,"suffix":""}],"container-title":"Journal of Applied Mechanics","id":"ITEM-1","issue":"2","issued":{"date-parts":[["2000"]]},"page":"391","title":"Anomalous Moisture Diffusion in Viscoelastic Polymers: Modeling and Testing","type":"article-journal","volume":"67"},"uris":["http://www.mendeley.com/documents/?uuid=4d1d015a-73cb-4097-ab75-17efcffba419"]}],"mendeley":{"formattedCitation":"[49]","plainTextFormattedCitation":"[49]","previouslyFormattedCitation":"[49]"},"properties":{"noteIndex":0},"schema":"https://github.com/citation-style-language/schema/raw/master/csl-citation.json"}</w:instrText>
      </w:r>
      <w:r>
        <w:fldChar w:fldCharType="separate"/>
      </w:r>
      <w:r w:rsidR="004F42A2" w:rsidRPr="004F42A2">
        <w:rPr>
          <w:noProof/>
        </w:rPr>
        <w:t>[49]</w:t>
      </w:r>
      <w:r>
        <w:fldChar w:fldCharType="end"/>
      </w:r>
      <w:r w:rsidRPr="00494575">
        <w:t>; two-phase polymer dual-diffusivity models, also kno</w:t>
      </w:r>
      <w:r>
        <w:t xml:space="preserve">wn as Jacobs-Jones models </w:t>
      </w:r>
      <w:r>
        <w:fldChar w:fldCharType="begin" w:fldLock="1"/>
      </w:r>
      <w:r w:rsidR="007961A0">
        <w:instrText>ADDIN CSL_CITATION {"citationItems":[{"id":"ITEM-1","itemData":{"DOI":"10.1007/BF01174494","ISSN":"00222461","author":[{"dropping-particle":"","family":"Jacobs","given":"P. M.","non-dropping-particle":"","parse-names":false,"suffix":""},{"dropping-particle":"","family":"Jones","given":"E. R.","non-dropping-particle":"","parse-names":false,"suffix":""}],"container-title":"Journal of Materials Science","id":"ITEM-1","issue":"7","issued":{"date-parts":[["1989"]]},"page":"2343-2347","title":"Diffusion of moisture into two-phase polymers - Part 2 Styrenated polyester resins","type":"article-journal","volume":"24"},"uris":["http://www.mendeley.com/documents/?uuid=59367bef-043a-42a2-ba22-db5730ed88f6"]},{"id":"ITEM-2","itemData":{"DOI":"10.1002/(SICI)1099-0488(19990601)37:11&lt;1165::AID-POLB11&gt;3.0.CO;2-EView/save citation","ISBN":"0887-6266","ISSN":"08876266","abstract":"The kinetics of water absorption in epoxide materials was studied by the aid of a diglycidyl ether of bisphenol-A–triethylenetetramine (DGEBA–TETA) epoxy– resin system containing various amounts of the plasticizer THIOCOL (0–40 phr). The presence of plasticizer permits the formation of products with different crosslinking densities and hydrophilic characters. Dynamic water absorption experiments were carried out at 15, 40, and 70°C. For the fitting of the experimental results, a new model was used, based on a model proposed earlier by Jacobs and Jones. This model considers epoxide product as a two-phase system consisting of a master phase (where the major part of the water is absorbed), which is homogeneous and nonpolar (phase 1), and of a second phase with different density and/or hydrophilic character (phase 2). By making the assumption that water diffusion can take place independently in the different phases of the material in accordance with Fick’s second law, we can calculate the diffusion coefficient D and the water content at saturation M? for each phase sepa- rately. Equilibrium water sorption measurements were performed at 40°C, and the data were analyzed and discussed based on the Guggenheim–Anderson–de Boer (GAB) equation, the results being in support of the two-phase model used in the analysis of absorption kinetics. The linear expansion coefficient and the glass transition temper- ature of the materials, employed in the discussion of the results, were measured by thermomechanical analysis. ©","author":[{"dropping-particle":"","family":"Maggana","given":"C.","non-dropping-particle":"","parse-names":false,"suffix":""},{"dropping-particle":"","family":"Pissis","given":"P.","non-dropping-particle":"","parse-names":false,"suffix":""}],"container-title":"Journal Of Polymer Science Part B-Polymer Physics","id":"ITEM-2","issued":{"date-parts":[["1999"]]},"page":"1165 - 1182","title":"Water Sorption and Diffusion in an Epoxy Resin System","type":"article-journal","volume":"37"},"uris":["http://www.mendeley.com/documents/?uuid=59bdf007-fa98-410a-ae1f-1a542bee3d50"]}],"mendeley":{"formattedCitation":"[50,51]","plainTextFormattedCitation":"[50,51]","previouslyFormattedCitation":"[50,51]"},"properties":{"noteIndex":0},"schema":"https://github.com/citation-style-language/schema/raw/master/csl-citation.json"}</w:instrText>
      </w:r>
      <w:r>
        <w:fldChar w:fldCharType="separate"/>
      </w:r>
      <w:r w:rsidR="004F42A2" w:rsidRPr="004F42A2">
        <w:rPr>
          <w:noProof/>
        </w:rPr>
        <w:t>[50,51]</w:t>
      </w:r>
      <w:r>
        <w:fldChar w:fldCharType="end"/>
      </w:r>
      <w:r w:rsidRPr="00494575">
        <w:t xml:space="preserve">; coupled diffusion-relaxation models </w:t>
      </w:r>
      <w:r>
        <w:fldChar w:fldCharType="begin" w:fldLock="1"/>
      </w:r>
      <w:r w:rsidR="007961A0">
        <w:instrText>ADDIN CSL_CITATION {"citationItems":[{"id":"ITEM-1","itemData":{"DOI":"10.1016/0032-3861(78)90269-0","ISBN":"0032-3861","ISSN":"00323861","abstract":"Gravimetric sorption measurements for organic vapours in monodisperse glassy polymer powders have shown widely varied non-Fickian kinetic behaviour. These varied kinetics are interpreted by a single mathematical model involving a linear superposition of one or two phenomenologically independent first order relaxation terms upon the ideal Fickian diffusion equation. Analysis of experimental data for submicron powders through this model yields kinetic and equilibrium parameters describing the individual contributions of the diffusion and relaxation processes. This analysis has been applied to both integral and incremental sorption data for vinyl chloride, acetone, and methanol in poly(vinyl chloride) and for n-hexane in polystyrene. Sorption by initially penetrant-free polymer samples is dominated by a rapid Fickian diffusion process, while incremental sorptions show larger relative contributions from slow relaxation processes. The relaxation processes appear to be related to slow redistribution of available free volume through relatively large scale segmental motions in the relaxing polymer. The diffusion-relaxation model seems to provide a meaningful analysis of several non-Fickian 'anomalies', including a very slow approach to apparent equilibrium, two-stage and sigmoidal sorption curves, and sorption curves involving an initial maximum followed by temporary desorption and subsequent resorption. © 1978.","author":[{"dropping-particle":"","family":"Berens","given":"A. R.","non-dropping-particle":"","parse-names":false,"suffix":""},{"dropping-particle":"","family":"Hopfenberg","given":"H. B.","non-dropping-particle":"","parse-names":false,"suffix":""}],"container-title":"Polymer","id":"ITEM-1","issue":"5","issued":{"date-parts":[["1978"]]},"page":"489-496","title":"Diffusion and relaxation in glassy polymer powders: 2. Separation of diffusion and relaxation parameters","type":"article-journal","volume":"19"},"uris":["http://www.mendeley.com/documents/?uuid=07f6786e-2953-4736-85e7-a200f41af922"]},{"id":"ITEM-2","itemData":{"DOI":"10.1002/pol.1979.180171011","ISSN":"00981273","abstract":"Recent gravimetric studies of the sorption of organic vapors by poly(vinyl chloride) and polystyrene powders have demonstrated several features which promise to be generally useful in studying the structure and properties of the glassy state. The uptake of vapor can be significantly altered by prior thermal or vapor treatment of the polymer, apparently reflecting changes in the microvoid content or free volume of the polymer. Fickian sorption in sufficiently fine powders proceeds to equilibrium in a few minutes. Upon exposure of a polymer powder to an appreciable pressure of vapor, both a rapid Fickian sorption and a slower, relaxation-controlled sorption are observed. superposition of these processes leads to widely varied sorption kinetics; a model comprising Fickian diffusion and first-order relaxation terms accurately describes the data and allows estimation of equilibrium and rate constants for both processes. The rates of both swelling and consolidation relaxations appear to be retarded by the presence of low concentrations of vapor in the polymer, suggesting that vapor molecules may preempt some of the free volume required for relaxation.","author":[{"dropping-particle":"","family":"Berens","given":"A. R.","non-dropping-particle":"","parse-names":false,"suffix":""}],"container-title":"Journal of Polymer Science","id":"ITEM-2","issued":{"date-parts":[["1979"]]},"page":"1757-1770","title":"Induction and Measurement of Glassy-State Relaxations by Vapor Sorption Techniques","type":"article-journal","volume":"17"},"uris":["http://www.mendeley.com/documents/?uuid=335650d1-7cfd-40f8-a8bc-63e225c688e2"]}],"mendeley":{"formattedCitation":"[52,53]","plainTextFormattedCitation":"[52,53]","previouslyFormattedCitation":"[52,53]"},"properties":{"noteIndex":0},"schema":"https://github.com/citation-style-language/schema/raw/master/csl-citation.json"}</w:instrText>
      </w:r>
      <w:r>
        <w:fldChar w:fldCharType="separate"/>
      </w:r>
      <w:r w:rsidR="004F42A2" w:rsidRPr="004F42A2">
        <w:rPr>
          <w:noProof/>
        </w:rPr>
        <w:t>[52,53]</w:t>
      </w:r>
      <w:r>
        <w:fldChar w:fldCharType="end"/>
      </w:r>
      <w:r w:rsidRPr="00494575">
        <w:t>; as well as dual-mode sorption models, referred to as the Langmuir-type or hindered diffusion mode</w:t>
      </w:r>
      <w:r>
        <w:t xml:space="preserve">ls </w:t>
      </w:r>
      <w:r>
        <w:fldChar w:fldCharType="begin" w:fldLock="1"/>
      </w:r>
      <w:r w:rsidR="007961A0">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Resins","type":"article-journal","volume":"12"},"uris":["http://www.mendeley.com/documents/?uuid=7e8bc570-081d-4fa2-94d2-083031d4ba9a"]},{"id":"ITEM-2","itemData":{"DOI":"10.1016/j.compositesa.2012.03.016","ISBN":"1359-835X","ISSN":"1359835X","abstract":"A new method to characterize three-dimensional, anisotropic moisture absorption in polymeric composites using experimental gravimetric absorption data is presented. This is achieved by using the three-dimensional hindered diffusion model to recover the moisture absorption properties of composites which may exhibit Fickian or non-Fickian behavior. Effectiveness of the recovery of absorption properties is assessed using artificially generated experimental data. Anisotropic diffusivities, equilibrium moisture content (M∞), and molecular binding (γ) and unbinding (β) probabilities that govern absorption dynamics are recovered by minimizing the difference between model predictions and experimental data. Using artificial moisture absorption data, diffusivities and M∞are recovered with less than 1% error, whereas γ and β are recovered with less than 3% error in the non-Fickian diffusion case. Equilibrium moisture content is shown to be accurately determined much earlier by using partial gravimetric data obtained from the initial phases of absorption, even in the presence of considerable measurement error. © 2012 Elsevier Ltd. All rights reserved.","author":[{"dropping-particle":"","family":"Grace","given":"L. R.","non-dropping-particle":"","parse-names":false,"suffix":""},{"dropping-particle":"","family":"Altan","given":"M. C.","non-dropping-particle":"","parse-names":false,"suffix":""}],"container-title":"Composites Part A: Applied Science and Manufacturing","id":"ITEM-2","issue":"8","issued":{"date-parts":[["2012"]]},"page":"1187-1196","publisher":"Elsevier Ltd","title":"Characterization of anisotropic moisture absorption in polymeric composites using hindered diffusion model","type":"article-journal","volume":"43"},"uris":["http://www.mendeley.com/documents/?uuid=cf2cbf15-4c60-4057-940d-6730507eaab5"]},{"id":"ITEM-3","itemData":{"DOI":"10.1002/pc.22523","ISSN":"0272-8397","abstract":"A new, three?dimensional, anisotropic non?Fickian diffusion model is developed to characterize moisture absorption in polymeric composites. The new hindered diffusion model extends the classical Fickian theory to include the effects of the interaction of diffusing molecules with the chemical and physical structure of polymeric composites. The numerical solution of the hindered diffusion model is obtained for a three?dimensional, anisotropic domain by using a forward?time, centered?space finite difference technique. The moisture weight gain over time predicted by the model is shown to mimic a wide variety of anomalous absorption behavior, often exhibited by anisotropic composite laminates. The accuracy of the numerical solutions is verified by comparing the results to known analytical solutions of a one?dimensional, ?Langmuir?type? diffusion model and for the limiting case of the three?dimensional Fickian model. The utility of the proposed hindered diffusion model is demonstrated by accurately recovering the absorption behavior of three different material systems reported in literature. First, it is shown that the hindered diffusion model can accurately predict the moisture absorption data for unidirectional glass?reinforced epoxy plates of varying dimensions exposed to a relative humidity of 80%. Second, the one?dimensional version of the model is applied to experimental moisture absorption data for isotropic epoxy resin samples of different thicknesses. Anomalous effects due to sample thickness reported in the original article are accurately captured. Third, the proposed model is shown to be more accurate than a two?stage diffusion model applied to moisture absorption data obtained from a woven 3?ply carbon fiber reinforced bismaleimide composite. POLYM. COMPOS., 34:1144?1157, 2013. ? 2013 Society of Plastics Engineers","author":[{"dropping-particle":"","family":"Grace","given":"L. R.","non-dropping-particle":"","parse-names":false,"suffix":""},{"dropping-particle":"","family":"Altan","given":"M. C.","non-dropping-particle":"","parse-names":false,"suffix":""}],"container-title":"Polymer Composites","id":"ITEM-3","issue":"7","issued":{"date-parts":[["2013","6","3"]]},"note":"doi: 10.1002/pc.22523","page":"1144-1157","publisher":"Wiley-Blackwell","title":"Non</w:instrText>
      </w:r>
      <w:r w:rsidR="007961A0">
        <w:rPr>
          <w:rFonts w:ascii="Cambria Math" w:hAnsi="Cambria Math" w:cs="Cambria Math"/>
        </w:rPr>
        <w:instrText>‐</w:instrText>
      </w:r>
      <w:r w:rsidR="007961A0">
        <w:instrText>Fickian three-dimensional hindered moisture absorption in polymeric composites: Model development and validation","type":"article-journal","volume":"34"},"uris":["http://www.mendeley.com/documents/?uuid=3e1b81e9-e63c-466a-8dde-12dc160d81da"]}],"mendeley":{"formattedCitation":"[54,55,57]","plainTextFormattedCitation":"[54,55,57]","previouslyFormattedCitation":"[54,55,57]"},"properties":{"noteIndex":0},"schema":"https://github.com/citation-style-language/schema/raw/master/csl-citation.json"}</w:instrText>
      </w:r>
      <w:r>
        <w:fldChar w:fldCharType="separate"/>
      </w:r>
      <w:r w:rsidR="004F42A2" w:rsidRPr="004F42A2">
        <w:rPr>
          <w:noProof/>
        </w:rPr>
        <w:t>[54,55,57]</w:t>
      </w:r>
      <w:r>
        <w:fldChar w:fldCharType="end"/>
      </w:r>
      <w:r w:rsidRPr="00795E8F">
        <w:t xml:space="preserve"> </w:t>
      </w:r>
      <w:r>
        <w:t>and will be further discussed in</w:t>
      </w:r>
      <w:r w:rsidR="00822542">
        <w:t xml:space="preserve"> </w:t>
      </w:r>
      <w:r w:rsidR="00822542">
        <w:fldChar w:fldCharType="begin"/>
      </w:r>
      <w:r w:rsidR="00822542">
        <w:instrText xml:space="preserve"> REF _Ref520893943 \r \h </w:instrText>
      </w:r>
      <w:r w:rsidR="00C730E9">
        <w:instrText xml:space="preserve"> \* MERGEFORMAT </w:instrText>
      </w:r>
      <w:r w:rsidR="00822542">
        <w:fldChar w:fldCharType="separate"/>
      </w:r>
      <w:r w:rsidR="006D52C2">
        <w:t>Chapter 2</w:t>
      </w:r>
      <w:r w:rsidR="00822542">
        <w:fldChar w:fldCharType="end"/>
      </w:r>
      <w:r w:rsidR="00BB2C1B">
        <w:t>.</w:t>
      </w:r>
    </w:p>
    <w:p w14:paraId="00B6C200" w14:textId="28F4F636" w:rsidR="00D2198E" w:rsidRDefault="00D2198E" w:rsidP="00B63058">
      <w:pPr>
        <w:pStyle w:val="Heading3"/>
        <w:rPr>
          <w:rFonts w:eastAsiaTheme="minorEastAsia"/>
        </w:rPr>
      </w:pPr>
      <w:bookmarkStart w:id="12" w:name="_Toc531943732"/>
      <w:r>
        <w:rPr>
          <w:rFonts w:eastAsiaTheme="minorEastAsia"/>
        </w:rPr>
        <w:t>Langmuir-type Diffusion Model</w:t>
      </w:r>
      <w:bookmarkEnd w:id="12"/>
    </w:p>
    <w:p w14:paraId="7E3D36C3" w14:textId="70E0D11B" w:rsidR="00D2198E" w:rsidRPr="00494575" w:rsidRDefault="00D2198E" w:rsidP="00C730E9">
      <w:r>
        <w:t>Langmuir-type diffusion m</w:t>
      </w:r>
      <w:r w:rsidRPr="005B5336">
        <w:t>odel</w:t>
      </w:r>
      <w:r w:rsidRPr="00494575">
        <w:t xml:space="preserve"> is based on the assumption that moisture absorption in polymeric materials is partially related to the availability of molecular-sized interstice in the polymer structure and the polymer-water affinity. The availability of interstice, or free volume, within the polymer depends on its </w:t>
      </w:r>
      <w:r w:rsidR="00BF3B59">
        <w:t xml:space="preserve">molecular structure, </w:t>
      </w:r>
      <w:r w:rsidRPr="00494575">
        <w:t>microstructural morph</w:t>
      </w:r>
      <w:r>
        <w:t xml:space="preserve">ology and crosslink density </w:t>
      </w:r>
      <w:r>
        <w:fldChar w:fldCharType="begin" w:fldLock="1"/>
      </w:r>
      <w:r w:rsidR="00430285">
        <w:instrText>ADDIN CSL_CITATION {"citationItems":[{"id":"ITEM-1","itemData":{"author":[{"dropping-particle":"","family":"Vanlandingham","given":"M R","non-dropping-particle":"","parse-names":false,"suffix":""},{"dropping-particle":"","family":"Eduljee","given":"R F","non-dropping-particle":"","parse-names":false,"suffix":""},{"dropping-particle":"","family":"Gillespie","given":"J W","non-dropping-particle":"","parse-names":false,"suffix":""}],"id":"ITEM-1","issue":"January 1998","issued":{"date-parts":[["2001"]]},"page":"699-712","title":"Relationships between Stoichiometry, Microstructure, and Properties for Amine-Cured Epoxies","type":"article-journal"},"uris":["http://www.mendeley.com/documents/?uuid=d0eb8cca-2672-4288-b8ba-b468b12bc700"]}],"mendeley":{"formattedCitation":"[58]","plainTextFormattedCitation":"[58]","previouslyFormattedCitation":"[58]"},"properties":{"noteIndex":0},"schema":"https://github.com/citation-style-language/schema/raw/master/csl-citation.json"}</w:instrText>
      </w:r>
      <w:r>
        <w:fldChar w:fldCharType="separate"/>
      </w:r>
      <w:r w:rsidR="004F42A2" w:rsidRPr="004F42A2">
        <w:rPr>
          <w:noProof/>
        </w:rPr>
        <w:t>[58]</w:t>
      </w:r>
      <w:r>
        <w:fldChar w:fldCharType="end"/>
      </w:r>
      <w:r w:rsidRPr="00494575">
        <w:t>. Polymer-water affinity, on the other hand, is related to the availability of certain hydrophilic functional groups such as hydroxyl or amine within polymer chains. Part of the absorbed water molecules would be inclined to strongly couple with polar groups or hydrogen bonding sites within the polymer. These molecules would cease to be a part of the ongoing diffusion and are often considered as bound, or immobile. On the other hand, water molecules that are free to move through the interstice are often called unbound, or mobile</w:t>
      </w:r>
      <w:r>
        <w:t>.</w:t>
      </w:r>
      <w:r w:rsidRPr="00494575">
        <w:t xml:space="preserve"> Presence of other storage sites for moisture such as fiber-matrix interphase or micro- and nano-scale voids may also be considered as part of the bound, immobile moisture from a phenomenological perspective. </w:t>
      </w:r>
    </w:p>
    <w:p w14:paraId="34FEC52F" w14:textId="53103379" w:rsidR="00B578C0" w:rsidRPr="00BB2C1B" w:rsidRDefault="00D2198E" w:rsidP="00BB2C1B">
      <w:r w:rsidRPr="00494575">
        <w:lastRenderedPageBreak/>
        <w:t>In thermogravimetric expe</w:t>
      </w:r>
      <w:r>
        <w:t xml:space="preserve">riments of polymeric materials, </w:t>
      </w:r>
      <w:r w:rsidRPr="00494575">
        <w:t>Fickian</w:t>
      </w:r>
      <w:r>
        <w:t xml:space="preserve"> diffusion </w:t>
      </w:r>
      <w:r w:rsidRPr="00494575">
        <w:t>dominated initial</w:t>
      </w:r>
      <w:r>
        <w:t xml:space="preserve"> fast</w:t>
      </w:r>
      <w:r w:rsidRPr="00494575">
        <w:t xml:space="preserve"> moisture uptake is often followed by a slower absorption rate, where the diffusion is hindered by the increase in bound water molecules. The time </w:t>
      </w:r>
      <w:r w:rsidR="00E6009A">
        <w:t>required</w:t>
      </w:r>
      <w:r w:rsidRPr="00494575">
        <w:t xml:space="preserve"> to reach moisture equilibrium can be considerably delayed and depends on the exchange rates between the bound and unbound water. The difference in these rates can describe a vast range of absorption behavior in two</w:t>
      </w:r>
      <w:r w:rsidR="00D94AC5">
        <w:t xml:space="preserve"> di</w:t>
      </w:r>
      <w:r w:rsidR="00E6009A">
        <w:t>stinct</w:t>
      </w:r>
      <w:r w:rsidR="00D94AC5">
        <w:t xml:space="preserve"> </w:t>
      </w:r>
      <w:r w:rsidRPr="00494575">
        <w:t>time scales and can be accurately captured by the hindered diffusion model.</w:t>
      </w:r>
    </w:p>
    <w:p w14:paraId="5891A9A5" w14:textId="57CA230F" w:rsidR="00D2198E" w:rsidRPr="000A1C02" w:rsidRDefault="00D2198E" w:rsidP="00B63058">
      <w:pPr>
        <w:pStyle w:val="Heading3"/>
        <w:rPr>
          <w:rFonts w:eastAsiaTheme="minorEastAsia"/>
        </w:rPr>
      </w:pPr>
      <w:bookmarkStart w:id="13" w:name="_Toc531943733"/>
      <w:r>
        <w:rPr>
          <w:rFonts w:eastAsiaTheme="minorEastAsia"/>
        </w:rPr>
        <w:t>Anisotropic Diffusion Models</w:t>
      </w:r>
      <w:bookmarkEnd w:id="13"/>
    </w:p>
    <w:p w14:paraId="6725F435" w14:textId="3B3482F7" w:rsidR="00D2198E" w:rsidRDefault="00D2198E" w:rsidP="00C730E9">
      <w:r w:rsidRPr="00934E35">
        <w:t xml:space="preserve">Although useful in characterizing accurately the absorption behavior of isotropic polymers, neither the Langmuir model nor any other </w:t>
      </w:r>
      <w:r w:rsidR="004E15B0">
        <w:t>one-dimensional</w:t>
      </w:r>
      <w:r w:rsidRPr="00934E35">
        <w:t xml:space="preserve"> diffusion model account for anisotropy or edge effects. Fiber reinforced composite materials, on the other hand, often exhibit pronounced anisotropy. For instance, the diffusion rate of moisture absorption along the fiber/matrix interphase in glass-reinforced polymers has been reported to be about 450 times grea</w:t>
      </w:r>
      <w:r>
        <w:t xml:space="preserve">ter than that through the thickness </w:t>
      </w:r>
      <w:r w:rsidRPr="00934E35">
        <w:fldChar w:fldCharType="begin" w:fldLock="1"/>
      </w:r>
      <w:r w:rsidR="00B274D5">
        <w:instrText>ADDIN CSL_CITATION {"citationItems":[{"id":"ITEM-1","itemData":{"ISBN":"9780824781491","author":[{"dropping-particle":"","family":"Yosomiya","given":"R.","non-dropping-particle":"","parse-names":false,"suffix":""},{"dropping-particle":"","family":"Morimoto","given":"K.","non-dropping-particle":"","parse-names":false,"suffix":""},{"dropping-particle":"","family":"Nakajima","given":"A.","non-dropping-particle":"","parse-names":false,"suffix":""},{"dropping-particle":"","family":"Ikaka","given":"Y.","non-dropping-particle":"","parse-names":false,"suffix":""},{"dropping-particle":"","family":"Suzuki","given":"T.","non-dropping-particle":"","parse-names":false,"suffix":""}],"collection-title":"Drugs and the Pharmaceutical","id":"ITEM-1","issued":{"date-parts":[["1989"]]},"publisher":"Taylor &amp; Francis","title":"Adhesion and Bonding in Composites","type":"book"},"uris":["http://www.mendeley.com/documents/?uuid=f88e82e7-6997-4e16-89e5-f53f8ddaab23"]}],"mendeley":{"formattedCitation":"[59]","plainTextFormattedCitation":"[59]","previouslyFormattedCitation":"[59]"},"properties":{"noteIndex":0},"schema":"https://github.com/citation-style-language/schema/raw/master/csl-citation.json"}</w:instrText>
      </w:r>
      <w:r w:rsidRPr="00934E35">
        <w:fldChar w:fldCharType="separate"/>
      </w:r>
      <w:r w:rsidR="004F42A2" w:rsidRPr="004F42A2">
        <w:rPr>
          <w:noProof/>
        </w:rPr>
        <w:t>[59]</w:t>
      </w:r>
      <w:r w:rsidRPr="00934E35">
        <w:fldChar w:fldCharType="end"/>
      </w:r>
      <w:r w:rsidRPr="00934E35">
        <w:t>. Planar diffusivities of woven carbon/epoxy composites are also reported to be 2- to 4-fold higher than through-thickness diffusivity</w:t>
      </w:r>
      <w:r>
        <w:t xml:space="preserve"> </w:t>
      </w:r>
      <w:r w:rsidRPr="00934E35">
        <w:fldChar w:fldCharType="begin" w:fldLock="1"/>
      </w:r>
      <w:r w:rsidR="00B274D5">
        <w:instrText>ADDIN CSL_CITATION {"citationItems":[{"id":"ITEM-1","itemData":{"DOI":"10.1163/156855108X385276","ISSN":"0924-3046","author":[{"dropping-particle":"","family":"Arao","given":"Yoshihiko","non-dropping-particle":"","parse-names":false,"suffix":""},{"dropping-particle":"","family":"Koyanagi","given":"Jun","non-dropping-particle":"","parse-names":false,"suffix":""},{"dropping-particle":"","family":"Hatta","given":"Hiroshi","non-dropping-particle":"","parse-names":false,"suffix":""},{"dropping-particle":"","family":"Kawada","given":"Hiroyuki","non-dropping-particle":"","parse-names":false,"suffix":""}],"container-title":"Advanced Composite Materials","id":"ITEM-1","issue":"4","issued":{"date-parts":[["2008","1","1"]]},"note":"doi: 10.1163/156855108X385276","page":"359-372","publisher":"Taylor &amp; Francis","title":"Analysis of Time-Dependent Deformation of CFRP Considering the Anisotropy of Moisture Diffusion","type":"article-journal","volume":"17"},"uris":["http://www.mendeley.com/documents/?uuid=43c03a3b-bf57-4213-b191-d27b1515f76d"]}],"mendeley":{"formattedCitation":"[60]","plainTextFormattedCitation":"[60]","previouslyFormattedCitation":"[60]"},"properties":{"noteIndex":0},"schema":"https://github.com/citation-style-language/schema/raw/master/csl-citation.json"}</w:instrText>
      </w:r>
      <w:r w:rsidRPr="00934E35">
        <w:fldChar w:fldCharType="separate"/>
      </w:r>
      <w:r w:rsidR="004F42A2" w:rsidRPr="004F42A2">
        <w:rPr>
          <w:noProof/>
        </w:rPr>
        <w:t>[60]</w:t>
      </w:r>
      <w:r w:rsidRPr="00934E35">
        <w:fldChar w:fldCharType="end"/>
      </w:r>
      <w:r w:rsidRPr="00934E35">
        <w:t xml:space="preserve">. In addition, it may not be possible to obtain accurate diffusion coefficients from methods based on a </w:t>
      </w:r>
      <w:r w:rsidR="004E15B0">
        <w:t>one-dimensional</w:t>
      </w:r>
      <w:r w:rsidRPr="00934E35">
        <w:t xml:space="preserve"> characterization due to the errors associated with sample anisotropy</w:t>
      </w:r>
      <w:r>
        <w:t xml:space="preserve"> </w:t>
      </w:r>
      <w:r w:rsidRPr="00934E35">
        <w:fldChar w:fldCharType="begin" w:fldLock="1"/>
      </w:r>
      <w:r w:rsidR="00B274D5">
        <w:instrText>ADDIN CSL_CITATION {"citationItems":[{"id":"ITEM-1","itemData":{"DOI":"10.1115/1.1789959","ISSN":"00944289","abstract":"The common methods used to determine the diffusion coefficients of polymer composites are based on the solution of Fickian diffusion equation in one-dimensional {(1D)} rectangular domain. However, these diffusivities usually involve errors primarily due to finite sample dimensions and anisotropy introduced by fiber reinforcements. In this study, the solution of transient, three-dimensional {(3D)} anisotropic Fickian diffusion equation is nondimensionalized using six parameters. The solution is then used to analyze the combined contribution of finite sample dimensions and anisotropy to the errors involved in diffusion constants calculated by {1D} methods. The small time solution of the Fickian diffusion equation in {3D} domain is used to analyze the slope used in diffusivity calculations. It is shown that the diffusion coefficient calculated by the {1D} approach is exact only if the correct slope of percent mass gain versus root square time curve at t=0 is used. However, it has also been shown that depending on the part geometry and degree of anisotropy, there might be considerable differences between the measured slope from the experimental data and the actual slope at t=0. The mismatch between the slopes results in as much as 50% errors in estimates of diffusion coefficients. Using the {3D} solution in nondimensional form, the magnitudes of these errors are studied. A least-square curve-fit method, which yields accurate anisotropic diffusion coefficients, is proposed. The method is demonstrated on artificially generated experimental data for a polymer composite containing 50% unidirectional reinforcement. The anisotropic diffusion coefficients used to generate the data are recovered with less than 1% error.","author":[{"dropping-particle":"","family":"Aktas","given":"Levent","non-dropping-particle":"","parse-names":false,"suffix":""},{"dropping-particle":"","family":"Hamidi","given":"Youssef K.","non-dropping-particle":"","parse-names":false,"suffix":""},{"dropping-particle":"","family":"Altan","given":"M. Cengiz","non-dropping-particle":"","parse-names":false,"suffix":""}],"container-title":"Journal of Engineering Materials and Technology","id":"ITEM-1","issue":"4","issued":{"date-parts":[["2004"]]},"page":"427","title":"Combined Edge and Anisotropy Effects on Fickian Mass Diffusion in Polymer Composites","type":"article-journal","volume":"126"},"uris":["http://www.mendeley.com/documents/?uuid=cb72864e-064b-4f8c-bf07-ac4be74036d8"]}],"mendeley":{"formattedCitation":"[61]","plainTextFormattedCitation":"[61]","previouslyFormattedCitation":"[61]"},"properties":{"noteIndex":0},"schema":"https://github.com/citation-style-language/schema/raw/master/csl-citation.json"}</w:instrText>
      </w:r>
      <w:r w:rsidRPr="00934E35">
        <w:fldChar w:fldCharType="separate"/>
      </w:r>
      <w:r w:rsidR="004F42A2" w:rsidRPr="004F42A2">
        <w:rPr>
          <w:noProof/>
        </w:rPr>
        <w:t>[61]</w:t>
      </w:r>
      <w:r w:rsidRPr="00934E35">
        <w:fldChar w:fldCharType="end"/>
      </w:r>
      <w:r w:rsidRPr="00934E35">
        <w:t xml:space="preserve">. Therefore, using one-dimensional isotropic models </w:t>
      </w:r>
      <w:r w:rsidR="00D94AC5">
        <w:t>could</w:t>
      </w:r>
      <w:r w:rsidRPr="00934E35">
        <w:t xml:space="preserve"> yield distorted characterizatio</w:t>
      </w:r>
      <w:r>
        <w:t xml:space="preserve">n of their absorption kinetics if the material is </w:t>
      </w:r>
      <w:r w:rsidR="00D94AC5">
        <w:t xml:space="preserve">highly </w:t>
      </w:r>
      <w:r>
        <w:t>anisotropic.</w:t>
      </w:r>
    </w:p>
    <w:p w14:paraId="520B8C55" w14:textId="7F1DE45B" w:rsidR="00B578C0" w:rsidRDefault="00D2198E" w:rsidP="00BB2C1B">
      <w:r w:rsidRPr="00934E35">
        <w:t xml:space="preserve">A number of researchers </w:t>
      </w:r>
      <w:r w:rsidR="00E6009A">
        <w:t xml:space="preserve">attempted </w:t>
      </w:r>
      <w:r w:rsidRPr="00934E35">
        <w:t xml:space="preserve">to prevent these potential characterization inaccuracies in moisture absorption models. For Fickian absorption behaviors, </w:t>
      </w:r>
      <w:proofErr w:type="spellStart"/>
      <w:r w:rsidRPr="00934E35">
        <w:t>Aktas</w:t>
      </w:r>
      <w:proofErr w:type="spellEnd"/>
      <w:r w:rsidRPr="00934E35">
        <w:t xml:space="preserve"> </w:t>
      </w:r>
      <w:r>
        <w:t>et al.</w:t>
      </w:r>
      <w:r w:rsidRPr="00934E35">
        <w:t xml:space="preserve"> </w:t>
      </w:r>
      <w:r w:rsidRPr="00934E35">
        <w:fldChar w:fldCharType="begin" w:fldLock="1"/>
      </w:r>
      <w:r w:rsidR="00B274D5">
        <w:instrText>ADDIN CSL_CITATION {"citationItems":[{"id":"ITEM-1","itemData":{"DOI":"10.1115/1.1789959","ISSN":"00944289","abstract":"The common methods used to determine the diffusion coefficients of polymer composites are based on the solution of Fickian diffusion equation in one-dimensional {(1D)} rectangular domain. However, these diffusivities usually involve errors primarily due to finite sample dimensions and anisotropy introduced by fiber reinforcements. In this study, the solution of transient, three-dimensional {(3D)} anisotropic Fickian diffusion equation is nondimensionalized using six parameters. The solution is then used to analyze the combined contribution of finite sample dimensions and anisotropy to the errors involved in diffusion constants calculated by {1D} methods. The small time solution of the Fickian diffusion equation in {3D} domain is used to analyze the slope used in diffusivity calculations. It is shown that the diffusion coefficient calculated by the {1D} approach is exact only if the correct slope of percent mass gain versus root square time curve at t=0 is used. However, it has also been shown that depending on the part geometry and degree of anisotropy, there might be considerable differences between the measured slope from the experimental data and the actual slope at t=0. The mismatch between the slopes results in as much as 50% errors in estimates of diffusion coefficients. Using the {3D} solution in nondimensional form, the magnitudes of these errors are studied. A least-square curve-fit method, which yields accurate anisotropic diffusion coefficients, is proposed. The method is demonstrated on artificially generated experimental data for a polymer composite containing 50% unidirectional reinforcement. The anisotropic diffusion coefficients used to generate the data are recovered with less than 1% error.","author":[{"dropping-particle":"","family":"Aktas","given":"Levent","non-dropping-particle":"","parse-names":false,"suffix":""},{"dropping-particle":"","family":"Hamidi","given":"Youssef K.","non-dropping-particle":"","parse-names":false,"suffix":""},{"dropping-particle":"","family":"Altan","given":"M. Cengiz","non-dropping-particle":"","parse-names":false,"suffix":""}],"container-title":"Journal of Engineering Materials and Technology","id":"ITEM-1","issue":"4","issued":{"date-parts":[["2004"]]},"page":"427","title":"Combined Edge and Anisotropy Effects on Fickian Mass Diffusion in Polymer Composites","type":"article-journal","volume":"126"},"uris":["http://www.mendeley.com/documents/?uuid=cb72864e-064b-4f8c-bf07-ac4be74036d8"]}],"mendeley":{"formattedCitation":"[61]","plainTextFormattedCitation":"[61]","previouslyFormattedCitation":"[61]"},"properties":{"noteIndex":0},"schema":"https://github.com/citation-style-language/schema/raw/master/csl-citation.json"}</w:instrText>
      </w:r>
      <w:r w:rsidRPr="00934E35">
        <w:fldChar w:fldCharType="separate"/>
      </w:r>
      <w:r w:rsidR="004F42A2" w:rsidRPr="004F42A2">
        <w:rPr>
          <w:noProof/>
        </w:rPr>
        <w:t>[61]</w:t>
      </w:r>
      <w:r w:rsidRPr="00934E35">
        <w:fldChar w:fldCharType="end"/>
      </w:r>
      <w:r>
        <w:t xml:space="preserve"> </w:t>
      </w:r>
      <w:r w:rsidRPr="00934E35">
        <w:t>offered a technique to account for edge effect and anisotropy based on the three-</w:t>
      </w:r>
      <w:r w:rsidRPr="00934E35">
        <w:lastRenderedPageBreak/>
        <w:t xml:space="preserve">dimensional Fickian model. For non-Fickian absorption behaviors in anisotropic polymeric materials, on the other hand, Grace and </w:t>
      </w:r>
      <w:proofErr w:type="spellStart"/>
      <w:r w:rsidRPr="00934E35">
        <w:t>Altan</w:t>
      </w:r>
      <w:proofErr w:type="spellEnd"/>
      <w:r w:rsidRPr="00934E35">
        <w:t xml:space="preserve"> </w:t>
      </w:r>
      <w:r w:rsidRPr="00934E35">
        <w:fldChar w:fldCharType="begin" w:fldLock="1"/>
      </w:r>
      <w:r w:rsidR="007961A0">
        <w:instrText>ADDIN CSL_CITATION {"citationItems":[{"id":"ITEM-1","itemData":{"DOI":"10.1002/pc.22523","ISSN":"0272-8397","abstract":"A new, three?dimensional, anisotropic non?Fickian diffusion model is developed to characterize moisture absorption in polymeric composites. The new hindered diffusion model extends the classical Fickian theory to include the effects of the interaction of diffusing molecules with the chemical and physical structure of polymeric composites. The numerical solution of the hindered diffusion model is obtained for a three?dimensional, anisotropic domain by using a forward?time, centered?space finite difference technique. The moisture weight gain over time predicted by the model is shown to mimic a wide variety of anomalous absorption behavior, often exhibited by anisotropic composite laminates. The accuracy of the numerical solutions is verified by comparing the results to known analytical solutions of a one?dimensional, ?Langmuir?type? diffusion model and for the limiting case of the three?dimensional Fickian model. The utility of the proposed hindered diffusion model is demonstrated by accurately recovering the absorption behavior of three different material systems reported in literature. First, it is shown that the hindered diffusion model can accurately predict the moisture absorption data for unidirectional glass?reinforced epoxy plates of varying dimensions exposed to a relative humidity of 80%. Second, the one?dimensional version of the model is applied to experimental moisture absorption data for isotropic epoxy resin samples of different thicknesses. Anomalous effects due to sample thickness reported in the original article are accurately captured. Third, the proposed model is shown to be more accurate than a two?stage diffusion model applied to moisture absorption data obtained from a woven 3?ply carbon fiber reinforced bismaleimide composite. POLYM. COMPOS., 34:1144?1157, 2013. ? 2013 Society of Plastics Engineers","author":[{"dropping-particle":"","family":"Grace","given":"L. R.","non-dropping-particle":"","parse-names":false,"suffix":""},{"dropping-particle":"","family":"Altan","given":"M. C.","non-dropping-particle":"","parse-names":false,"suffix":""}],"container-title":"Polymer Composites","id":"ITEM-1","issue":"7","issued":{"date-parts":[["2013","6","3"]]},"note":"doi: 10.1002/pc.22523","page":"1144-1157","publisher":"Wiley-Blackwell","title":"Non</w:instrText>
      </w:r>
      <w:r w:rsidR="007961A0">
        <w:rPr>
          <w:rFonts w:ascii="Cambria Math" w:hAnsi="Cambria Math" w:cs="Cambria Math"/>
        </w:rPr>
        <w:instrText>‐</w:instrText>
      </w:r>
      <w:r w:rsidR="007961A0">
        <w:instrText>Fickian three-dimensional hindered moisture absorption in polymeric composites: Model development and validation","type":"article-journal","volume":"34"},"uris":["http://www.mendeley.com/documents/?uuid=3e1b81e9-e63c-466a-8dde-12dc160d81da"]}],"mendeley":{"formattedCitation":"[55]","plainTextFormattedCitation":"[55]","previouslyFormattedCitation":"[55]"},"properties":{"noteIndex":0},"schema":"https://github.com/citation-style-language/schema/raw/master/csl-citation.json"}</w:instrText>
      </w:r>
      <w:r w:rsidRPr="00934E35">
        <w:fldChar w:fldCharType="separate"/>
      </w:r>
      <w:r w:rsidR="004F42A2" w:rsidRPr="004F42A2">
        <w:rPr>
          <w:noProof/>
        </w:rPr>
        <w:t>[55]</w:t>
      </w:r>
      <w:r w:rsidRPr="00934E35">
        <w:fldChar w:fldCharType="end"/>
      </w:r>
      <w:r w:rsidRPr="00934E35">
        <w:t xml:space="preserve"> recently proposed a three-dimensional Hindered Diffusion Model (3D HDM). Building on the established Langmuir framework, the HDM offers the possibility to describe both </w:t>
      </w:r>
      <w:r>
        <w:t xml:space="preserve">three-dimensional </w:t>
      </w:r>
      <w:r w:rsidRPr="00934E35">
        <w:t>anisotropic diffusion and the interactions between wat</w:t>
      </w:r>
      <w:r>
        <w:t>er molecules and polymer chains</w:t>
      </w:r>
      <w:r w:rsidRPr="00934E35">
        <w:t xml:space="preserve">. In addition, the 3D HDM </w:t>
      </w:r>
      <w:r>
        <w:t>can be simplified</w:t>
      </w:r>
      <w:r w:rsidRPr="00934E35">
        <w:t xml:space="preserve"> to the Langmuir model in one-dimensional cases. In addition, Grace and </w:t>
      </w:r>
      <w:proofErr w:type="spellStart"/>
      <w:r w:rsidRPr="00934E35">
        <w:t>Altan</w:t>
      </w:r>
      <w:proofErr w:type="spellEnd"/>
      <w:r w:rsidRPr="00934E35">
        <w:t xml:space="preserve"> </w:t>
      </w:r>
      <w:r w:rsidRPr="00934E35">
        <w:fldChar w:fldCharType="begin" w:fldLock="1"/>
      </w:r>
      <w:r w:rsidR="007961A0">
        <w:instrText>ADDIN CSL_CITATION {"citationItems":[{"id":"ITEM-1","itemData":{"DOI":"10.1002/pc.22523","ISSN":"0272-8397","abstract":"A new, three?dimensional, anisotropic non?Fickian diffusion model is developed to characterize moisture absorption in polymeric composites. The new hindered diffusion model extends the classical Fickian theory to include the effects of the interaction of diffusing molecules with the chemical and physical structure of polymeric composites. The numerical solution of the hindered diffusion model is obtained for a three?dimensional, anisotropic domain by using a forward?time, centered?space finite difference technique. The moisture weight gain over time predicted by the model is shown to mimic a wide variety of anomalous absorption behavior, often exhibited by anisotropic composite laminates. The accuracy of the numerical solutions is verified by comparing the results to known analytical solutions of a one?dimensional, ?Langmuir?type? diffusion model and for the limiting case of the three?dimensional Fickian model. The utility of the proposed hindered diffusion model is demonstrated by accurately recovering the absorption behavior of three different material systems reported in literature. First, it is shown that the hindered diffusion model can accurately predict the moisture absorption data for unidirectional glass?reinforced epoxy plates of varying dimensions exposed to a relative humidity of 80%. Second, the one?dimensional version of the model is applied to experimental moisture absorption data for isotropic epoxy resin samples of different thicknesses. Anomalous effects due to sample thickness reported in the original article are accurately captured. Third, the proposed model is shown to be more accurate than a two?stage diffusion model applied to moisture absorption data obtained from a woven 3?ply carbon fiber reinforced bismaleimide composite. POLYM. COMPOS., 34:1144?1157, 2013. ? 2013 Society of Plastics Engineers","author":[{"dropping-particle":"","family":"Grace","given":"L. R.","non-dropping-particle":"","parse-names":false,"suffix":""},{"dropping-particle":"","family":"Altan","given":"M. C.","non-dropping-particle":"","parse-names":false,"suffix":""}],"container-title":"Polymer Composites","id":"ITEM-1","issue":"7","issued":{"date-parts":[["2013","6","3"]]},"note":"doi: 10.1002/pc.22523","page":"1144-1157","publisher":"Wiley-Blackwell","title":"Non</w:instrText>
      </w:r>
      <w:r w:rsidR="007961A0">
        <w:rPr>
          <w:rFonts w:ascii="Cambria Math" w:hAnsi="Cambria Math" w:cs="Cambria Math"/>
        </w:rPr>
        <w:instrText>‐</w:instrText>
      </w:r>
      <w:r w:rsidR="007961A0">
        <w:instrText>Fickian three-dimensional hindered moisture absorption in polymeric composites: Model development and validation","type":"article-journal","volume":"34"},"uris":["http://www.mendeley.com/documents/?uuid=3e1b81e9-e63c-466a-8dde-12dc160d81da"]}],"mendeley":{"formattedCitation":"[55]","plainTextFormattedCitation":"[55]","previouslyFormattedCitation":"[55]"},"properties":{"noteIndex":0},"schema":"https://github.com/citation-style-language/schema/raw/master/csl-citation.json"}</w:instrText>
      </w:r>
      <w:r w:rsidRPr="00934E35">
        <w:fldChar w:fldCharType="separate"/>
      </w:r>
      <w:r w:rsidR="004F42A2" w:rsidRPr="004F42A2">
        <w:rPr>
          <w:noProof/>
        </w:rPr>
        <w:t>[55]</w:t>
      </w:r>
      <w:r w:rsidRPr="00934E35">
        <w:fldChar w:fldCharType="end"/>
      </w:r>
      <w:r w:rsidRPr="00934E35">
        <w:t xml:space="preserve"> developed an approximate solution to the 3D HDM.</w:t>
      </w:r>
      <w:r>
        <w:t xml:space="preserve"> </w:t>
      </w:r>
      <w:r w:rsidRPr="00494575">
        <w:t>A five-year validation study showed that the hindered diffusion model parameters recovered from two-year long absorption experiments allowed accurate prediction of five-year absorption behavior of 6-, 12-, an</w:t>
      </w:r>
      <w:r>
        <w:t xml:space="preserve">d 40-ply, quartz/BMI composites </w:t>
      </w:r>
      <w:r>
        <w:fldChar w:fldCharType="begin" w:fldLock="1"/>
      </w:r>
      <w:r w:rsidR="00B274D5">
        <w:instrText>ADDIN CSL_CITATION {"citationItems":[{"id":"ITEM-1","itemData":{"DOI":"10.1007/s10853-015-9407-0","ISSN":"15734803","abstract":"The slow approach to equilibrium concentration indicative of non-Fickian diffusion in polymer composites necessitates experimental time frames which are often of limited feasibility. As a result, experimental studies are terminated prematurely due to time constraints or incorrect identification of equilibrium. Here, the three-dimensional anisotropic diffusion behaviors of six-, twelve-, and forty-ply quartz-reinforced bismaleimide laminates are quantified through a 5-year, full-immersion gravimetric absorption study. The applicability of the three-dimensional hindered diffusion model is investigated, while projections of future absorption behavior made at 21~ months are revisited in light of 3~ years of additional data. The mathematical equivalency of the hindered diffusion model and a diffusion relaxation model under certain conditions is discussed. Moisture content rises continuously throughout the 5-year experiment for all samples. In the six-ply case, the standard termination criterion for the equilibrium condition is met before 6~months and 1.38~% moisture content by weight. Actual moisture content reaches 1.56~% after 5~years. The hindered diffusion model and associated forward projections of moisture content are found to conform well to experimental results.","author":[{"dropping-particle":"","family":"Grace","given":"Landon R.","non-dropping-particle":"","parse-names":false,"suffix":""}],"container-title":"Journal of Materials Science","id":"ITEM-1","issue":"2","issued":{"date-parts":[["2016"]]},"page":"845-853","publisher":"Springer US","title":"Projecting long-term non-Fickian diffusion behavior in polymeric composites based on short-term data: a 5-year validation study","type":"article-journal","volume":"51"},"uris":["http://www.mendeley.com/documents/?uuid=eeefc967-315c-41fa-9185-750d30e176bf"]}],"mendeley":{"formattedCitation":"[19]","plainTextFormattedCitation":"[19]","previouslyFormattedCitation":"[19]"},"properties":{"noteIndex":0},"schema":"https://github.com/citation-style-language/schema/raw/master/csl-citation.json"}</w:instrText>
      </w:r>
      <w:r>
        <w:fldChar w:fldCharType="separate"/>
      </w:r>
      <w:r w:rsidRPr="00454ED5">
        <w:rPr>
          <w:noProof/>
        </w:rPr>
        <w:t>[19]</w:t>
      </w:r>
      <w:r>
        <w:fldChar w:fldCharType="end"/>
      </w:r>
      <w:r w:rsidRPr="00494575">
        <w:t>.</w:t>
      </w:r>
      <w:r w:rsidRPr="007E55EC">
        <w:t xml:space="preserve"> </w:t>
      </w:r>
      <w:r w:rsidR="004E15B0" w:rsidRPr="00922523">
        <w:t xml:space="preserve">An approximate analytical solution derived by Grace and </w:t>
      </w:r>
      <w:proofErr w:type="spellStart"/>
      <w:r w:rsidR="004E15B0" w:rsidRPr="00922523">
        <w:t>Altan</w:t>
      </w:r>
      <w:proofErr w:type="spellEnd"/>
      <w:r w:rsidR="004E15B0" w:rsidRPr="00922523">
        <w:t xml:space="preserve"> </w:t>
      </w:r>
      <w:r w:rsidR="004E15B0" w:rsidRPr="00922523">
        <w:fldChar w:fldCharType="begin" w:fldLock="1"/>
      </w:r>
      <w:r w:rsidR="00B274D5">
        <w:instrText>ADDIN CSL_CITATION {"citationItems":[{"id":"ITEM-1","itemData":{"DOI":"10.1016/j.compositesa.2012.03.016","ISBN":"1359-835X","ISSN":"1359835X","abstract":"A new method to characterize three-dimensional, anisotropic moisture absorption in polymeric composites using experimental gravimetric absorption data is presented. This is achieved by using the three-dimensional hindered diffusion model to recover the moisture absorption properties of composites which may exhibit Fickian or non-Fickian behavior. Effectiveness of the recovery of absorption properties is assessed using artificially generated experimental data. Anisotropic diffusivities, equilibrium moisture content (M∞), and molecular binding (γ) and unbinding (β) probabilities that govern absorption dynamics are recovered by minimizing the difference between model predictions and experimental data. Using artificial moisture absorption data, diffusivities and M∞are recovered with less than 1% error, whereas γ and β are recovered with less than 3% error in the non-Fickian diffusion case. Equilibrium moisture content is shown to be accurately determined much earlier by using partial gravimetric data obtained from the initial phases of absorption, even in the presence of considerable measurement error. © 2012 Elsevier Ltd. All rights reserved.","author":[{"dropping-particle":"","family":"Grace","given":"L. R.","non-dropping-particle":"","parse-names":false,"suffix":""},{"dropping-particle":"","family":"Altan","given":"M. C.","non-dropping-particle":"","parse-names":false,"suffix":""}],"container-title":"Composites Part A: Applied Science and Manufacturing","id":"ITEM-1","issue":"8","issued":{"date-parts":[["2012"]]},"page":"1187-1196","publisher":"Elsevier Ltd","title":"Characterization of anisotropic moisture absorption in polymeric composites using hindered diffusion model","type":"article-journal","volume":"43"},"uris":["http://www.mendeley.com/documents/?uuid=cf2cbf15-4c60-4057-940d-6730507eaab5"]}],"mendeley":{"formattedCitation":"[57]","plainTextFormattedCitation":"[57]","previouslyFormattedCitation":"[57]"},"properties":{"noteIndex":0},"schema":"https://github.com/citation-style-language/schema/raw/master/csl-citation.json"}</w:instrText>
      </w:r>
      <w:r w:rsidR="004E15B0" w:rsidRPr="00922523">
        <w:fldChar w:fldCharType="separate"/>
      </w:r>
      <w:r w:rsidR="004E15B0" w:rsidRPr="004F42A2">
        <w:rPr>
          <w:noProof/>
        </w:rPr>
        <w:t>[57]</w:t>
      </w:r>
      <w:r w:rsidR="004E15B0" w:rsidRPr="00922523">
        <w:fldChar w:fldCharType="end"/>
      </w:r>
      <w:r w:rsidR="004E15B0">
        <w:t xml:space="preserve"> </w:t>
      </w:r>
      <w:r w:rsidR="004E15B0" w:rsidRPr="00922523">
        <w:t>can predict the comprehensive, anomalous liquid absorption behavior when 2γ,2β</w:t>
      </w:r>
      <w:r w:rsidR="004E15B0" w:rsidRPr="00922523">
        <w:rPr>
          <w:rFonts w:ascii="Cambria Math" w:hAnsi="Cambria Math" w:cs="Cambria Math"/>
        </w:rPr>
        <w:t>≪</w:t>
      </w:r>
      <w:r w:rsidR="004E15B0" w:rsidRPr="00922523">
        <w:t>K</w:t>
      </w:r>
      <w:r w:rsidR="004E15B0">
        <w:t xml:space="preserve">. More recently, </w:t>
      </w:r>
      <w:r w:rsidR="004E15B0" w:rsidRPr="00922523">
        <w:t xml:space="preserve">exact analytical solution for three-dimensional hindered diffusion model is developed by </w:t>
      </w:r>
      <w:proofErr w:type="spellStart"/>
      <w:r w:rsidR="004E15B0" w:rsidRPr="00922523">
        <w:t>Guloglu</w:t>
      </w:r>
      <w:proofErr w:type="spellEnd"/>
      <w:r w:rsidR="004E15B0" w:rsidRPr="00922523">
        <w:t xml:space="preserve"> </w:t>
      </w:r>
      <w:r w:rsidR="004E15B0">
        <w:t>et al.</w:t>
      </w:r>
      <w:r w:rsidR="004E15B0" w:rsidRPr="00922523">
        <w:t xml:space="preserve"> </w:t>
      </w:r>
      <w:r w:rsidR="004E15B0" w:rsidRPr="00922523">
        <w:fldChar w:fldCharType="begin" w:fldLock="1"/>
      </w:r>
      <w:r w:rsidR="00B274D5">
        <w:instrText>ADDIN CSL_CITATION {"citationItems":[{"id":"ITEM-1","itemData":{"DOI":"10.1063/1.4942327","ISBN":"9780735413603","author":[{"dropping-particle":"","family":"Guloglu","given":"Gorkem E.","non-dropping-particle":"","parse-names":false,"suffix":""},{"dropping-particle":"","family":"Hurdelbrink","given":"Keith R.","non-dropping-particle":"","parse-names":false,"suffix":""},{"dropping-particle":"","family":"Anderson","given":"Jacob P.","non-dropping-particle":"","parse-names":false,"suffix":""},{"dropping-particle":"","family":"Altan","given":"M. Cengiz","non-dropping-particle":"","parse-names":false,"suffix":""}],"id":"ITEM-1","issued":{"date-parts":[["2016"]]},"page":"120012","title":"Experimental and theoretical investigation of non-Fickian moisture absorption of quartz/BMI laminates fabricated by preconditioned prepregs","type":"article-journal","volume":"120012"},"uris":["http://www.mendeley.com/documents/?uuid=38bf0427-50d6-4cda-974a-37773f380dde"]}],"mendeley":{"formattedCitation":"[62]","plainTextFormattedCitation":"[62]","previouslyFormattedCitation":"[62]"},"properties":{"noteIndex":0},"schema":"https://github.com/citation-style-language/schema/raw/master/csl-citation.json"}</w:instrText>
      </w:r>
      <w:r w:rsidR="004E15B0" w:rsidRPr="00922523">
        <w:fldChar w:fldCharType="separate"/>
      </w:r>
      <w:r w:rsidR="004E15B0" w:rsidRPr="004F42A2">
        <w:rPr>
          <w:noProof/>
        </w:rPr>
        <w:t>[62]</w:t>
      </w:r>
      <w:r w:rsidR="004E15B0" w:rsidRPr="00922523">
        <w:fldChar w:fldCharType="end"/>
      </w:r>
      <w:r w:rsidR="004E15B0">
        <w:t xml:space="preserve"> and will be further discussed later</w:t>
      </w:r>
      <w:r>
        <w:t xml:space="preserve"> in</w:t>
      </w:r>
      <w:r w:rsidR="00822542">
        <w:t xml:space="preserve"> </w:t>
      </w:r>
      <w:r w:rsidR="00822542">
        <w:fldChar w:fldCharType="begin"/>
      </w:r>
      <w:r w:rsidR="00822542">
        <w:instrText xml:space="preserve"> REF _Ref520893997 \r \h </w:instrText>
      </w:r>
      <w:r w:rsidR="00C730E9">
        <w:instrText xml:space="preserve"> \* MERGEFORMAT </w:instrText>
      </w:r>
      <w:r w:rsidR="00822542">
        <w:fldChar w:fldCharType="separate"/>
      </w:r>
      <w:r w:rsidR="006D52C2">
        <w:t>Chapter 2</w:t>
      </w:r>
      <w:r w:rsidR="00822542">
        <w:fldChar w:fldCharType="end"/>
      </w:r>
      <w:r w:rsidR="00BB2C1B">
        <w:t>.</w:t>
      </w:r>
    </w:p>
    <w:p w14:paraId="19C14E94" w14:textId="40EEE65D" w:rsidR="00D2198E" w:rsidRDefault="00D2198E" w:rsidP="00B63058">
      <w:pPr>
        <w:pStyle w:val="Heading3"/>
        <w:rPr>
          <w:rFonts w:eastAsiaTheme="minorEastAsia"/>
        </w:rPr>
      </w:pPr>
      <w:bookmarkStart w:id="14" w:name="_Toc531943734"/>
      <w:r>
        <w:rPr>
          <w:rFonts w:eastAsiaTheme="minorEastAsia"/>
        </w:rPr>
        <w:t>Recovery of Diffusion Parameters</w:t>
      </w:r>
      <w:bookmarkEnd w:id="14"/>
    </w:p>
    <w:p w14:paraId="27F03B24" w14:textId="77153293" w:rsidR="00D2198E" w:rsidRDefault="00D2198E" w:rsidP="00C730E9">
      <w:r w:rsidRPr="00494575">
        <w:t xml:space="preserve">The characterization of the absorption behavior of a specific polymeric material by using any one of the models mentioned earlier would require experimental identification of a set of material properties, generally referred to as diffusion or absorption parameters. </w:t>
      </w:r>
      <w:r>
        <w:t xml:space="preserve">For Fickian diffusion, Shen and Springer </w:t>
      </w:r>
      <w:r>
        <w:fldChar w:fldCharType="begin" w:fldLock="1"/>
      </w:r>
      <w:r w:rsidR="00B274D5">
        <w:instrText>ADDIN CSL_CITATION {"citationItems":[{"id":"ITEM-1","itemData":{"DOI":"10.1177/002199837601000101","ISSN":"0021-9983","abstract":"Expressions are presented for the moisture distribution and the mois ture content as a function of time of one dimensional homogeneous and composite materials exposed either on one side or on both sides to humid air or to water. The results apply during both moisture absorption and desorption when the moisture content and the temperature of the environ ment are constant. Test procedures are described for determining experi mentally the values of the moisture content and the diffusivity of com posite materials. A series of tests using unidirectional and {pi}/4 Graphite T-300 Fiberite 1034 composites were performed in the temperature range 300--425 K with the material submerged both in moist air (humidity 0 to 100%) and in water. The test data support the analytical results and pro vide the moisture absorption and desorption characteristics of such com posites. Extension of the results to materials exposed to time varying envi ronmental conditions is indicated.","author":[{"dropping-particle":"","family":"Shen","given":"Chi-Hung","non-dropping-particle":"","parse-names":false,"suffix":""},{"dropping-particle":"","family":"Springer","given":"George S.","non-dropping-particle":"","parse-names":false,"suffix":""}],"container-title":"Journal of Composite Materials","id":"ITEM-1","issue":"1","issued":{"date-parts":[["1976"]]},"page":"2-20","title":"Moisture Absorption and Desorption of Composite Materials","type":"article-journal","volume":"10"},"uris":["http://www.mendeley.com/documents/?uuid=ad4663de-8f66-4715-8dc6-cafc3cd756d9"]}],"mendeley":{"formattedCitation":"[43]","plainTextFormattedCitation":"[43]","previouslyFormattedCitation":"[43]"},"properties":{"noteIndex":0},"schema":"https://github.com/citation-style-language/schema/raw/master/csl-citation.json"}</w:instrText>
      </w:r>
      <w:r>
        <w:fldChar w:fldCharType="separate"/>
      </w:r>
      <w:r w:rsidR="004F42A2" w:rsidRPr="004F42A2">
        <w:rPr>
          <w:noProof/>
        </w:rPr>
        <w:t>[43]</w:t>
      </w:r>
      <w:r>
        <w:fldChar w:fldCharType="end"/>
      </w:r>
      <w:r>
        <w:t xml:space="preserve"> suggests</w:t>
      </w:r>
      <w:r w:rsidRPr="004344BC">
        <w:t xml:space="preserve"> that the </w:t>
      </w:r>
      <w:r>
        <w:t xml:space="preserve">approximate </w:t>
      </w:r>
      <w:r w:rsidRPr="004344BC">
        <w:t>diffusion coeff</w:t>
      </w:r>
      <w:r>
        <w:t>icient can be obtained</w:t>
      </w:r>
      <w:r w:rsidRPr="004344BC">
        <w:t xml:space="preserve"> </w:t>
      </w:r>
      <w:r>
        <w:t xml:space="preserve">rapidly </w:t>
      </w:r>
      <w:r w:rsidRPr="004344BC">
        <w:t xml:space="preserve">from the experimental data by using the </w:t>
      </w:r>
      <w:r>
        <w:t>saturation</w:t>
      </w:r>
      <w:r w:rsidRPr="004344BC">
        <w:t xml:space="preserve"> moisture content and the initial slope of the percent mass gain vs. square root of time curve. The disadvantage of this method is </w:t>
      </w:r>
      <w:r>
        <w:t>d</w:t>
      </w:r>
      <w:r w:rsidRPr="004344BC">
        <w:t xml:space="preserve">etermination of the initial slope </w:t>
      </w:r>
      <w:r>
        <w:t xml:space="preserve">and maximum moisture content </w:t>
      </w:r>
      <w:r w:rsidRPr="004344BC">
        <w:t>can be misleading</w:t>
      </w:r>
      <w:r>
        <w:t xml:space="preserve">. </w:t>
      </w:r>
      <w:r w:rsidRPr="00494575">
        <w:t>In a compar</w:t>
      </w:r>
      <w:r>
        <w:t xml:space="preserve">ative study, </w:t>
      </w:r>
      <w:proofErr w:type="spellStart"/>
      <w:r>
        <w:t>Glaskova</w:t>
      </w:r>
      <w:proofErr w:type="spellEnd"/>
      <w:r>
        <w:t xml:space="preserve"> et al. </w:t>
      </w:r>
      <w:r>
        <w:fldChar w:fldCharType="begin" w:fldLock="1"/>
      </w:r>
      <w:r w:rsidR="00B274D5">
        <w:instrText>ADDIN CSL_CITATION {"citationItems":[{"id":"ITEM-1","itemData":{"DOI":"10.1007/s11029-007-0034-y","ISSN":"1573-8922","abstract":"The results of experimental and theoretical investigations into the kinetics of moisture sorption by a neat epoxy resin obtained from RAE Industries (Reapox 520, D523) are reported. The sorption process was realized in atmospheres with a constant relative humidity of 33, 53, 75, 84, and 97% and a temperature of 50°C. The results obtained showed that the diffusion behavior of epoxy resin did not obey Fick’s law under the experimental conditions considered. Consequently, the application of a non-Fickian diffusion model was necessary. For this purpose, two-phase moisture sorption models, a model with a time-dependent diffusivity, a two-phase material model, as well as relaxation and convection models of anomalous diffusion, were considered. The model parameters were obtained from the approximation of experimental sorption data. A comparative analysis of the sorption models was performed, and the specific features of their applications were estimated. The two-phase material model and the model with varying diffusivity were found to be the most suitable ones due to a good agreement between calculation results and experimental data and the rather small (three or four) number of parameters, which make them more flexible and physically more justified than the classical Fick’s model with its two parameters.","author":[{"dropping-particle":"","family":"Glaskova","given":"T I","non-dropping-particle":"","parse-names":false,"suffix":""},{"dropping-particle":"","family":"Guedes","given":"R M","non-dropping-particle":"","parse-names":false,"suffix":""},{"dropping-particle":"","family":"Morais","given":"J J","non-dropping-particle":"","parse-names":false,"suffix":""},{"dropping-particle":"","family":"Aniskevich","given":"A N","non-dropping-particle":"","parse-names":false,"suffix":""}],"container-title":"Mechanics of Composite Materials","id":"ITEM-1","issue":"4","issued":{"date-parts":[["2007"]]},"page":"377-388","title":"A comparative analysis of moisture transport models as applied to an epoxy binder","type":"article-journal","volume":"43"},"uris":["http://www.mendeley.com/documents/?uuid=ca1558bf-a0ef-457b-9cb3-ea3035772053"]}],"mendeley":{"formattedCitation":"[63]","plainTextFormattedCitation":"[63]","previouslyFormattedCitation":"[63]"},"properties":{"noteIndex":0},"schema":"https://github.com/citation-style-language/schema/raw/master/csl-citation.json"}</w:instrText>
      </w:r>
      <w:r>
        <w:fldChar w:fldCharType="separate"/>
      </w:r>
      <w:r w:rsidR="004F42A2" w:rsidRPr="004F42A2">
        <w:rPr>
          <w:noProof/>
        </w:rPr>
        <w:t>[63]</w:t>
      </w:r>
      <w:r>
        <w:fldChar w:fldCharType="end"/>
      </w:r>
      <w:r w:rsidRPr="00494575">
        <w:t xml:space="preserve"> </w:t>
      </w:r>
      <w:r w:rsidRPr="00494575">
        <w:lastRenderedPageBreak/>
        <w:t>investigated the effectiveness of these models in representing the non-Fickian behavior of an epoxy system. The authors reported the Langmuir model to be particularly effective. Other researchers</w:t>
      </w:r>
      <w:r>
        <w:t xml:space="preserve"> </w:t>
      </w:r>
      <w:r>
        <w:fldChar w:fldCharType="begin" w:fldLock="1"/>
      </w:r>
      <w:r w:rsidR="00430285">
        <w:instrText>ADDIN CSL_CITATION {"citationItems":[{"id":"ITEM-1","itemData":{"DOI":"10.1016/j.compositesa.2012.03.016","ISBN":"1359-835X","ISSN":"1359835X","abstract":"A new method to characterize three-dimensional, anisotropic moisture absorption in polymeric composites using experimental gravimetric absorption data is presented. This is achieved by using the three-dimensional hindered diffusion model to recover the moisture absorption properties of composites which may exhibit Fickian or non-Fickian behavior. Effectiveness of the recovery of absorption properties is assessed using artificially generated experimental data. Anisotropic diffusivities, equilibrium moisture content (M∞), and molecular binding (γ) and unbinding (β) probabilities that govern absorption dynamics are recovered by minimizing the difference between model predictions and experimental data. Using artificial moisture absorption data, diffusivities and M∞are recovered with less than 1% error, whereas γ and β are recovered with less than 3% error in the non-Fickian diffusion case. Equilibrium moisture content is shown to be accurately determined much earlier by using partial gravimetric data obtained from the initial phases of absorption, even in the presence of considerable measurement error. © 2012 Elsevier Ltd. All rights reserved.","author":[{"dropping-particle":"","family":"Grace","given":"L. R.","non-dropping-particle":"","parse-names":false,"suffix":""},{"dropping-particle":"","family":"Altan","given":"M. C.","non-dropping-particle":"","parse-names":false,"suffix":""}],"container-title":"Composites Part A: Applied Science and Manufacturing","id":"ITEM-1","issue":"8","issued":{"date-parts":[["2012"]]},"page":"1187-1196","publisher":"Elsevier Ltd","title":"Characterization of anisotropic moisture absorption in polymeric composites using hindered diffusion model","type":"article-journal","volume":"43"},"uris":["http://www.mendeley.com/documents/?uuid=cf2cbf15-4c60-4057-940d-6730507eaab5"]},{"id":"ITEM-2","itemData":{"DOI":"10.1002/pc.22523","ISSN":"0272-8397","abstract":"A new, three?dimensional, anisotropic non?Fickian diffusion model is developed to characterize moisture absorption in polymeric composites. The new hindered diffusion model extends the classical Fickian theory to include the effects of the interaction of diffusing molecules with the chemical and physical structure of polymeric composites. The numerical solution of the hindered diffusion model is obtained for a three?dimensional, anisotropic domain by using a forward?time, centered?space finite difference technique. The moisture weight gain over time predicted by the model is shown to mimic a wide variety of anomalous absorption behavior, often exhibited by anisotropic composite laminates. The accuracy of the numerical solutions is verified by comparing the results to known analytical solutions of a one?dimensional, ?Langmuir?type? diffusion model and for the limiting case of the three?dimensional Fickian model. The utility of the proposed hindered diffusion model is demonstrated by accurately recovering the absorption behavior of three different material systems reported in literature. First, it is shown that the hindered diffusion model can accurately predict the moisture absorption data for unidirectional glass?reinforced epoxy plates of varying dimensions exposed to a relative humidity of 80%. Second, the one?dimensional version of the model is applied to experimental moisture absorption data for isotropic epoxy resin samples of different thicknesses. Anomalous effects due to sample thickness reported in the original article are accurately captured. Third, the proposed model is shown to be more accurate than a two?stage diffusion model applied to moisture absorption data obtained from a woven 3?ply carbon fiber reinforced bismaleimide composite. POLYM. COMPOS., 34:1144?1157, 2013. ? 2013 Society of Plastics Engineers","author":[{"dropping-particle":"","family":"Grace","given":"L. R.","non-dropping-particle":"","parse-names":false,"suffix":""},{"dropping-particle":"","family":"Altan","given":"M. C.","non-dropping-particle":"","parse-names":false,"suffix":""}],"container-title":"Polymer Composites","id":"ITEM-2","issue":"7","issued":{"date-parts":[["2013","6","3"]]},"note":"doi: 10.1002/pc.22523","page":"1144-1157","publisher":"Wiley-Blackwell","title":"Non</w:instrText>
      </w:r>
      <w:r w:rsidR="00430285">
        <w:rPr>
          <w:rFonts w:ascii="Cambria Math" w:hAnsi="Cambria Math" w:cs="Cambria Math"/>
        </w:rPr>
        <w:instrText>‐</w:instrText>
      </w:r>
      <w:r w:rsidR="00430285">
        <w:instrText>Fickian three-dimensional hindered moisture absorption in polymeric composites: Model development and validation","type":"article-journal","volume":"34"},"uris":["http://www.mendeley.com/documents/?uuid=3e1b81e9-e63c-466a-8dde-12dc160d81da"]},{"id":"ITEM-3","itemData":{"DOI":"10.1002/pen.23549","ISSN":"0032-3888","abstract":"The three?dimensional anisotropic moisture absorption behavior of quartz?fiber?reinforced bismaleimide (BMI) laminates is investigated by collecting 21 months of experimental gravimetric data. Laminates of six, twelve, and forty plies and various planar aspect ratios are used to determine the three?dimensional anisotropic diffusion behavior when exposed to full immersion in distilled water at 25°C. The long?term moisture absorption behavior deviates from the widely used Fickian model, but can be accurately captured by the three?dimensional, anisotropic hindered diffusion model (3D HDM). Excellent agreement is achieved between experimental gravimetric data and the 3D HDM for all laminate thicknesses. Recovered model parameters are shown to slightly vary with laminate thickness due to the small changes in the cured?ply thickness. However, model parameters identified for a given laminate thickness are observed to accurately predict the absorption behavior of samples with different planar dimensions. Equilibrium moisture content of 1.72, 1.69, and 1.84% and corresponding diffusion hindrance coefficients of 0.807, 0.844, and 0.671 are recovered for six, twelve, and forty?ply laminates, respectively, thus confirming strong non?Fickian behavior. Moisture absorption parameters may be determined successfully at 16.5 months of immersion, before reaching approximately 85% of the equilibrium moisture content at 21 months. Subsequent gravimetric measurements up to 21 months are consistent with the predicted long?term behavior. POLYM. ENG. SCI., 54:137?146, 2014. ? 2013 Society of Plastics Engineers","author":[{"dropping-particle":"","family":"Grace","given":"L.R.","non-dropping-particle":"","parse-names":false,"suffix":""},{"dropping-particle":"","family":"Altan","given":"M.C.","non-dropping-particle":"","parse-names":false,"suffix":""}],"container-title":"Polymer Engineering &amp; Science","id":"ITEM-3","issue":"1","issued":{"date-parts":[["2013","3","26"]]},"note":"doi: 10.1002/pen.23549","page":"137-146","publisher":"Wiley-Blackwell","title":"Three</w:instrText>
      </w:r>
      <w:r w:rsidR="00430285">
        <w:rPr>
          <w:rFonts w:ascii="Cambria Math" w:hAnsi="Cambria Math" w:cs="Cambria Math"/>
        </w:rPr>
        <w:instrText>‐</w:instrText>
      </w:r>
      <w:r w:rsidR="00430285">
        <w:instrText>dimensional anisotropic moisture absorption in quartz</w:instrText>
      </w:r>
      <w:r w:rsidR="00430285">
        <w:rPr>
          <w:rFonts w:ascii="Cambria Math" w:hAnsi="Cambria Math" w:cs="Cambria Math"/>
        </w:rPr>
        <w:instrText>‐</w:instrText>
      </w:r>
      <w:r w:rsidR="00430285">
        <w:instrText>reinforced bismaleimide laminates","type":"article-journal","volume":"54"},"uris":["http://www.mendeley.com/documents/?uuid=cb201e30-d17d-44ba-a947-be255fc4b22f"]},{"id":"ITEM-4","itemData":{"DOI":"10.1002/app.1986.070320218","ISSN":"10974628","author":[{"dropping-particle":"","family":"Aronhime","given":"M. T.","non-dropping-particle":"","parse-names":false,"suffix":""},{"dropping-particle":"","family":"Peng","given":"X.","non-dropping-particle":"","parse-names":false,"suffix":""},{"dropping-particle":"","family":"Gillham","given":"J. K.","non-dropping-particle":"","parse-names":false,"suffix":""},{"dropping-particle":"","family":"Small","given":"R. D.","non-dropping-particle":"","parse-names":false,"suffix":""}],"container-title":"Journal of Applied Polymer Science","id":"ITEM-4","issue":"2","issued":{"date-parts":[["1986"]]},"page":"3589-3626","title":"Effect of time</w:instrText>
      </w:r>
      <w:r w:rsidR="00430285">
        <w:rPr>
          <w:rFonts w:ascii="Cambria Math" w:hAnsi="Cambria Math" w:cs="Cambria Math"/>
        </w:rPr>
        <w:instrText>‐</w:instrText>
      </w:r>
      <w:r w:rsidR="00430285">
        <w:instrText>temperature path of cure on the water absorption of high Tgepoxy resins","type":"article-journal","volume":"32"},"uris":["http://www.mendeley.com/documents/?uuid=3a8dfe36-d0a1-4fa1-a5c9-22f841b103b6"]},{"id":"ITEM-5","itemData":{"DOI":"10.1002/app.21353","ISSN":"00218995","abstract":"The behavior of cured FM300 epoxy, a structural film adhesive, subjected\\nto partial and full moisture saturation has been evaluated. Three\\nseparate but interrelated test methods were used: stress relaxation,\\nfracture toughness, and dynamic mechanical testing. The mechanical\\nresponse of the epoxy due to increasing moisture content was dependent\\non the testing method. In stress relaxation testing, the epoxy was\\nplasticized when partially saturated with moisture, but it became\\nmore rigid when fully saturated. The plasticization-to-stiffening\\ntransition was not observed in the other two test methods. Fracture\\ntesting showed that the material toughness increased with increasing\\nmoisture concentration: plasticization effects were dominant. Similar\\nchanges in the loss modulus were found in dynamic mechanical analysis.\\nWe propose that the differences in behavior have been due to differences\\nin load levels and loading rates used in these probing techniques.\\nStress relaxation testing, at a relatively lower load and loading\\nrate, appeared to be more sensitive to the localized interactions\\nbetween the absorbed water molecules and the crosslinked structure.\\nHigher loads and loading rates tended to reveal the bulk effects\\nof plasticization only. Nevertheless, there was also strong evidence\\nfrom glass-transition temperature measurements that these moisture\\neffects were mostly reversible","author":[{"dropping-particle":"","family":"LaPlante","given":"Gabriel","non-dropping-particle":"","parse-names":false,"suffix":""},{"dropping-particle":"","family":"Lee-Sullivan","given":"Pearl","non-dropping-particle":"","parse-names":false,"suffix":""}],"container-title":"Journal of Applied Polymer Science","id":"ITEM-5","issue":"5","issued":{"date-parts":[["2005"]]},"page":"1285-1294","title":"Moisture effects on FM300 structural film adhesive: Stress relaxation, fracture toughness, and dynamic mechanical analysis","type":"article-journal","volume":"95"},"uris":["http://www.mendeley.com/documents/?uuid=2f0c83a6-b51d-4510-8fcd-83f95c1acf77"]},{"id":"ITEM-6","itemData":{"DOI":"10.1016/j.compscitech.2009.08.013","ISSN":"02663538","abstract":"The peculiarities of moisture absorption of epoxy-nanoclay composite are estimated in the paper. Second Fick's law of diffusion was used to predict moisture diffusivity and equilibrium moisture content using accelerated analytical procedure. It was experimentally confirmed that sorption process in NC passes more slowly than in pure epoxy resin, for the highest filler content diffusivity reduces about half of diffusivity as for epoxy resin. The deviation from mixture rule was obtained for the equilibrium moisture content and the estimation of interphase content in composite was undertaken. It was determined that the higher content of interphase consistently leads to greater moisture absorption. © 2009 Elsevier Ltd. All rights reserved.","author":[{"dropping-particle":"","family":"Glaskova","given":"T.","non-dropping-particle":"","parse-names":false,"suffix":""},{"dropping-particle":"","family":"Aniskevich","given":"A.","non-dropping-particle":"","parse-names":false,"suffix":""}],"container-title":"Composites Science and Technology","id":"ITEM-6","issue":"15-16","issued":{"date-parts":[["2009"]]},"page":"2711-2715","publisher":"Elsevier Ltd","title":"Moisture absorption by epoxy/montmorillonite nanocomposite","type":"article-journal","volume":"69"},"uris":["http://www.mendeley.com/documents/?uuid=0838729a-9dc0-4cd6-8d1a-fbbcefed5385"]},{"id":"ITEM-7","itemData":{"DOI":"10.1016/j.polymer.2005.09.008","ISBN":"0032-3861","ISSN":"00323861","abstract":"The classic Fickian approach for describing the kinetics of liquid diffusion/absorption in solids was supplemented some 25 years ago by the 2-phase model of Carter and Kibler, referred to by them (modestly) as 'Langmuir-type'. Their theory assumes the existence of 'mobile' and 'bound' diffusant molecules. In this contribution, we have studied water uptake by an epoxy resin, using gravimetry, and found a good, overall, empirical agreement with the Carter and Kibler description. The 'mobile' and 'bound' components have also been considered separately. In addition, deuterium NMR analysis has been employed to study the mobility of water absorbed. Analysis and decomposition of spectra permitted us to assign two signals to the fractions of 'mobile' and 'bound' water. We suggest that the 'mobile' phase corresponds to diffusing molecules, whereas the 'bound' phase corresponds to 'clusters'. © 2005 Elsevier Ltd. All rights reserved.","author":[{"dropping-particle":"","family":"Popineau","given":"Sylvain","non-dropping-particle":"","parse-names":false,"suffix":""},{"dropping-particle":"","family":"Rondeau-Mouro","given":"Corinne","non-dropping-particle":"","parse-names":false,"suffix":""},{"dropping-particle":"","family":"Sulpice-Gaillet","given":"Christine","non-dropping-particle":"","parse-names":false,"suffix":""},{"dropping-particle":"","family":"Shanahan","given":"Martin E.R.","non-dropping-particle":"","parse-names":false,"suffix":""}],"container-title":"Polymer","id":"ITEM-7","issue":"24","issued":{"date-parts":[["2005"]]},"page":"10733-10740","title":"Free/bound water absorption in an epoxy adhesive","type":"article-journal","volume":"46"},"uris":["http://www.mendeley.com/documents/?uuid=e443079b-5f51-449f-83b1-05e7a4e30c77"]},{"id":"ITEM-8","itemData":{"DOI":"10.1016/j.compstruct.2012.09.044","ISSN":"02638223","abstract":"This paper deals with the study of water diffusion in unidirectional composite associating experimental data, analytical and numerical models. A fibre/matrix interphase with a gradient of molecular mobility is characterized by microthermal analysis. The fibre dispersion observed by optical microscopy shows an important heterogeneity and many contacts between fibres. This particular fibre distribution as well as the interphase thickness have been considered to model our composite microstructure accurately. Diffusion kinetic parameters from water absorption measurements on both the resin and the UD composite were then used in the finite element analysis of the composite. The comparison between experimental data, analytical and numerical models show the influence of fibre distribution and interphase properties on water diffusion kinetic. An average water diffusion coefficient is then identified for the interphase. © 2012 Elsevier Ltd.","author":[{"dropping-particle":"","family":"Joliff","given":"Y.","non-dropping-particle":"","parse-names":false,"suffix":""},{"dropping-particle":"","family":"Belec","given":"L.","non-dropping-particle":"","parse-names":false,"suffix":""},{"dropping-particle":"","family":"Chailan","given":"J. F.","non-dropping-particle":"","parse-names":false,"suffix":""}],"container-title":"Composite Structures","id":"ITEM-8","issued":{"date-parts":[["2013"]]},"page":"296-303","publisher":"Elsevier Ltd","title":"Modified water diffusion kinetics in an unidirectional glass/fibre composite due to the interphase area: Experimental, analytical and numerical approach","type":"article-journal","volume":"97"},"uris":["http://www.mendeley.com/documents/?uuid=557a22c0-5af1-4f68-b7c0-ea88569db519"]},{"id":"ITEM-9","itemData":{"DOI":"10.1002/app.39331","ISBN":"0021-8995","ISSN":"00218995","abstract":"As a means of characterizing the diffusion parameters of fiber reinforced polymer {(FRP)} composites within a relatively short time frame, the potential use of short term tests on epoxy films to predict the long-term behavior is investigated. Reference is made to the literature to assess the effectiveness of Fickian and anomalous diffusion models to describe solution uptake in epoxies. The influence of differing exposure conditions on the diffusion in epoxies, in particular the effect of solution type and temperature, are explored. Experimental results, where the solution uptake in desiccated {(D)} or undesiccated {(U)} thin films of a commercially available epoxy matrix subjected to water {(W),} salt water {(SW),} or alkali concrete pore solution {(CPS)} at either 20 or {60{\\textdegree}C,} are also presented. It was found that the type of solution did not significantly influence the diffusion behavior at {20{\\textdegree}C} and that the mass uptake profile was anomalous. Exposure to {60{\\textdegree}C} accelerated the initial diffusion behavior and appeared to raise the level of saturation. In spite of the accelerated approach, conclusive values of uptake at saturation remained elusive even at an exposure period of 5 years. This finding questions the viability of using short-term thin film results to predict the long-term mechanical performance of {FRP} materials. {©} 2013 Wiley Periodicals, Inc. J. Appl. Polym. Sci. 130: 1898–1908, 2013","author":[{"dropping-particle":"","family":"Scott","given":"P.","non-dropping-particle":"","parse-names":false,"suffix":""},{"dropping-particle":"","family":"Lees","given":"J. M.","non-dropping-particle":"","parse-names":false,"suffix":""}],"container-title":"Journal of Applied Polymer Science","id":"ITEM-9","issue":"3","issued":{"date-parts":[["2013"]]},"page":"1898-1908","title":"Water, salt water, and alkaline solution uptake in epoxy thin films","type":"article-journal","volume":"130"},"uris":["http://www.mendeley.com/documents/?uuid=b76f429d-5d0d-497e-b47f-1bd664e7f60a"]},{"id":"ITEM-10","itemData":{"DOI":"10.1016/j.matdes.2011.03.009","ISBN":"0261-3069","ISSN":"02641275","abstract":"The objective of this present paper is an investigation of aging-impact coupling upon the polyester matrix E-glass fibers composite materials in hygrothermal environment. In the first part of the study, laminate composite plates were aged in an artificial hygrothermal environment using a climatic chamber at 50 °C temperature and 95% of relative humidity. The gravimetric readings showed discrepancy with respect to Fick's law which indicates the non-Fickian character of the moisture absorption kinetics. The application of the Carter-Kibler's model confirmed the Langmuir's behaviour governing the absorption up to a lap time. In the second part of the study, low energy impacts test were carried out on both aged and non-aged composite plates in a bending configuration on two metallic supports. The impact loads were applied using drop-mass tower. The mechanical responses of aged and non-aged plates such as impact force, bending, contact duration, energy dissipation and damage are highlighted and analyzed. © 2011 Elsevier Ltd.","author":[{"dropping-particle":"","family":"Boukhoulda","given":"F. B.","non-dropping-particle":"","parse-names":false,"suffix":""},{"dropping-particle":"","family":"Guillaumat","given":"L.","non-dropping-particle":"","parse-names":false,"suffix":""},{"dropping-particle":"","family":"Lataillade","given":"J. L.","non-dropping-particle":"","parse-names":false,"suffix":""},{"dropping-particle":"","family":"Adda-Bedia","given":"E.","non-dropping-particle":"","parse-names":false,"suffix":""},{"dropping-particle":"","family":"Lousdad","given":"A.","non-dropping-particle":"","parse-names":false,"suffix":""}],"container-title":"Materials and Design","id":"ITEM-10","issue":"7","issued":{"date-parts":[["2011"]]},"page":"4080-4087","publisher":"Elsevier Ltd","title":"Aging-impact coupling based analysis upon glass/polyester composite material in hygrothermal environment","type":"article-journal","volume":"32"},"uris":["http://www.mendeley.com/documents/?uuid=63d6db55-a018-4f9f-bb66-933384020009"]},{"id":"ITEM-11","itemData":{"DOI":"10.1007/s10853-015-9407-0","ISSN":"15734803","abstract":"The slow approach to equilibrium concentration indicative of non-Fickian diffusion in polymer composites necessitates experimental time frames which are often of limited feasibility. As a result, experimental studies are terminated prematurely due to time constraints or incorrect identification of equilibrium. Here, the three-dimensional anisotropic diffusion behaviors of six-, twelve-, and forty-ply quartz-reinforced bismaleimide laminates are quantified through a 5-year, full-immersion gravimetric absorption study. The applicability of the three-dimensional hindered diffusion model is investigated, while projections of future absorption behavior made at 21~ months are revisited in light of 3~ years of additional data. The mathematical equivalency of the hindered diffusion model and a diffusion relaxation model under certain conditions is discussed. Moisture content rises continuously throughout the 5-year experiment for all samples. In the six-ply case, the standard termination criterion for the equilibrium condition is met before 6~months and 1.38~% moisture content by weight. Actual moisture content reaches 1.56~% after 5~years. The hindered diffusion model and associated forward projections of moisture content are found to conform well to experimental results.","author":[{"dropping-particle":"","family":"Grace","given":"Landon R.","non-dropping-particle":"","parse-names":false,"suffix":""}],"container-title":"Journal of Materials Science","id":"ITEM-11","issue":"2","issued":{"date-parts":[["2016"]]},"page":"845-853","publisher":"Springer US","title":"Projecting long-term non-Fickian diffusion behavior in polymeric composites based on short-term data: a 5-year validation study","type":"article-journal","volume":"51"},"uris":["http://www.mendeley.com/documents/?uuid=eeefc967-315c-41fa-9185-750d30e176bf"]}],"mendeley":{"formattedCitation":"[2,10,14,19,20,55,57,64–67]","plainTextFormattedCitation":"[2,10,14,19,20,55,57,64–67]","previouslyFormattedCitation":"[2,6,67,18–20,55,57,64–66]"},"properties":{"noteIndex":0},"schema":"https://github.com/citation-style-language/schema/raw/master/csl-citation.json"}</w:instrText>
      </w:r>
      <w:r>
        <w:fldChar w:fldCharType="separate"/>
      </w:r>
      <w:r w:rsidR="00430285" w:rsidRPr="00430285">
        <w:rPr>
          <w:noProof/>
        </w:rPr>
        <w:t>[2,10,14,19,20,55,57,64–67]</w:t>
      </w:r>
      <w:r>
        <w:fldChar w:fldCharType="end"/>
      </w:r>
      <w:r>
        <w:t xml:space="preserve"> </w:t>
      </w:r>
      <w:r w:rsidRPr="00494575">
        <w:t xml:space="preserve">also found the one-dimensional hindered diffusion model to better describe the anomalous deviation from a Fickian behavior, and has demonstrated the ability to successfully predict both short- and long-term moisture absorption in polymeric materials. </w:t>
      </w:r>
    </w:p>
    <w:p w14:paraId="46199078" w14:textId="7444BC94" w:rsidR="00D2198E" w:rsidRPr="00494575" w:rsidRDefault="00D2198E" w:rsidP="00C730E9">
      <w:r>
        <w:t xml:space="preserve">Carter and Kibler </w:t>
      </w:r>
      <w:r>
        <w:fldChar w:fldCharType="begin" w:fldLock="1"/>
      </w:r>
      <w:r w:rsidR="00B274D5">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fldChar w:fldCharType="separate"/>
      </w:r>
      <w:r w:rsidR="004F42A2" w:rsidRPr="004F42A2">
        <w:rPr>
          <w:noProof/>
        </w:rPr>
        <w:t>[54]</w:t>
      </w:r>
      <w:r>
        <w:fldChar w:fldCharType="end"/>
      </w:r>
      <w:r>
        <w:t xml:space="preserve"> </w:t>
      </w:r>
      <w:r w:rsidRPr="00494575">
        <w:t xml:space="preserve">developed </w:t>
      </w:r>
      <w:r w:rsidR="00E6009A">
        <w:t>an exact analytical solution of</w:t>
      </w:r>
      <w:r w:rsidRPr="00494575">
        <w:t xml:space="preserve"> the one-dimensional hindered diffusion model (1D HDM). They also proposed an</w:t>
      </w:r>
      <w:r w:rsidR="00E6009A" w:rsidRPr="00E6009A">
        <w:t xml:space="preserve"> </w:t>
      </w:r>
      <w:r w:rsidR="00E6009A" w:rsidRPr="00494575">
        <w:t>approximate</w:t>
      </w:r>
      <w:r w:rsidRPr="00494575">
        <w:t xml:space="preserve"> analytical solution and two “useful” approximate solutions for two distinct regions of the moisture uptake curve: (a) for the initial absorption region, and (b) for the long term absorption region. Because of their relative simplicity compared to the exact solution, the majority of researchers have used these “useful” approximate solutions to recover the absorption parameters</w:t>
      </w:r>
      <w:r>
        <w:t xml:space="preserve"> </w:t>
      </w:r>
      <w:r>
        <w:fldChar w:fldCharType="begin" w:fldLock="1"/>
      </w:r>
      <w:r w:rsidR="00430285">
        <w:instrText>ADDIN CSL_CITATION {"citationItems":[{"id":"ITEM-1","itemData":{"DOI":"10.1002/pen.23549","ISSN":"0032-3888","abstract":"The three?dimensional anisotropic moisture absorption behavior of quartz?fiber?reinforced bismaleimide (BMI) laminates is investigated by collecting 21 months of experimental gravimetric data. Laminates of six, twelve, and forty plies and various planar aspect ratios are used to determine the three?dimensional anisotropic diffusion behavior when exposed to full immersion in distilled water at 25°C. The long?term moisture absorption behavior deviates from the widely used Fickian model, but can be accurately captured by the three?dimensional, anisotropic hindered diffusion model (3D HDM). Excellent agreement is achieved between experimental gravimetric data and the 3D HDM for all laminate thicknesses. Recovered model parameters are shown to slightly vary with laminate thickness due to the small changes in the cured?ply thickness. However, model parameters identified for a given laminate thickness are observed to accurately predict the absorption behavior of samples with different planar dimensions. Equilibrium moisture content of 1.72, 1.69, and 1.84% and corresponding diffusion hindrance coefficients of 0.807, 0.844, and 0.671 are recovered for six, twelve, and forty?ply laminates, respectively, thus confirming strong non?Fickian behavior. Moisture absorption parameters may be determined successfully at 16.5 months of immersion, before reaching approximately 85% of the equilibrium moisture content at 21 months. Subsequent gravimetric measurements up to 21 months are consistent with the predicted long?term behavior. POLYM. ENG. SCI., 54:137?146, 2014. ? 2013 Society of Plastics Engineers","author":[{"dropping-particle":"","family":"Grace","given":"L.R.","non-dropping-particle":"","parse-names":false,"suffix":""},{"dropping-particle":"","family":"Altan","given":"M.C.","non-dropping-particle":"","parse-names":false,"suffix":""}],"container-title":"Polymer Engineering &amp; Science","id":"ITEM-1","issue":"1","issued":{"date-parts":[["2013","3","26"]]},"note":"doi: 10.1002/pen.23549","page":"137-146","publisher":"Wiley-Blackwell","title":"Three</w:instrText>
      </w:r>
      <w:r w:rsidR="00430285">
        <w:rPr>
          <w:rFonts w:ascii="Cambria Math" w:hAnsi="Cambria Math" w:cs="Cambria Math"/>
        </w:rPr>
        <w:instrText>‐</w:instrText>
      </w:r>
      <w:r w:rsidR="00430285">
        <w:instrText>dimensional anisotropic moisture absorption in quartz</w:instrText>
      </w:r>
      <w:r w:rsidR="00430285">
        <w:rPr>
          <w:rFonts w:ascii="Cambria Math" w:hAnsi="Cambria Math" w:cs="Cambria Math"/>
        </w:rPr>
        <w:instrText>‐</w:instrText>
      </w:r>
      <w:r w:rsidR="00430285">
        <w:instrText>reinforced bismaleimide laminates","type":"article-journal","volume":"54"},"uris":["http://www.mendeley.com/documents/?uuid=cb201e30-d17d-44ba-a947-be255fc4b22f"]},{"id":"ITEM-2","itemData":{"DOI":"10.1016/j.compscitech.2007.05.030","ISBN":"0266-3538","ISSN":"02663538","abstract":"Models for the water uptake behavior of epoxy-clay nanocomposites are presented. Diffusion models for epoxy including Fick's law, the Langmuir model of diffusion, diffusion with time-varying diffusivity, and diffusion models for composites are reviewed. Models for the diffusivities of exfoliated and intercalated nanocomposites are developed. © 2007 Elsevier Ltd. All rights reserved.","author":[{"dropping-particle":"","family":"Liu","given":"Weiping","non-dropping-particle":"","parse-names":false,"suffix":""},{"dropping-particle":"V.","family":"Hoa","given":"S.","non-dropping-particle":"","parse-names":false,"suffix":""},{"dropping-particle":"","family":"Pugh","given":"M.","non-dropping-particle":"","parse-names":false,"suffix":""}],"container-title":"Composites Science and Technology","id":"ITEM-2","issue":"1","issued":{"date-parts":[["2008"]]},"page":"156-163","title":"Water uptake of epoxy-clay nanocomposites: Model development","type":"article-journal","volume":"68"},"uris":["http://www.mendeley.com/documents/?uuid=3d39dc91-86cc-4c26-8bae-9c631492f0c3"]},{"id":"ITEM-3","itemData":{"DOI":"10.1016/j.compscitech.2009.08.013","ISSN":"02663538","abstract":"The peculiarities of moisture absorption of epoxy-nanoclay composite are estimated in the paper. Second Fick's law of diffusion was used to predict moisture diffusivity and equilibrium moisture content using accelerated analytical procedure. It was experimentally confirmed that sorption process in NC passes more slowly than in pure epoxy resin, for the highest filler content diffusivity reduces about half of diffusivity as for epoxy resin. The deviation from mixture rule was obtained for the equilibrium moisture content and the estimation of interphase content in composite was undertaken. It was determined that the higher content of interphase consistently leads to greater moisture absorption. © 2009 Elsevier Ltd. All rights reserved.","author":[{"dropping-particle":"","family":"Glaskova","given":"T.","non-dropping-particle":"","parse-names":false,"suffix":""},{"dropping-particle":"","family":"Aniskevich","given":"A.","non-dropping-particle":"","parse-names":false,"suffix":""}],"container-title":"Composites Science and Technology","id":"ITEM-3","issue":"15-16","issued":{"date-parts":[["2009"]]},"page":"2711-2715","publisher":"Elsevier Ltd","title":"Moisture absorption by epoxy/montmorillonite nanocomposite","type":"article-journal","volume":"69"},"uris":["http://www.mendeley.com/documents/?uuid=0838729a-9dc0-4cd6-8d1a-fbbcefed5385"]},{"id":"ITEM-4","itemData":{"DOI":"10.1016/j.compstruct.2012.09.044","ISSN":"02638223","abstract":"This paper deals with the study of water diffusion in unidirectional composite associating experimental data, analytical and numerical models. A fibre/matrix interphase with a gradient of molecular mobility is characterized by microthermal analysis. The fibre dispersion observed by optical microscopy shows an important heterogeneity and many contacts between fibres. This particular fibre distribution as well as the interphase thickness have been considered to model our composite microstructure accurately. Diffusion kinetic parameters from water absorption measurements on both the resin and the UD composite were then used in the finite element analysis of the composite. The comparison between experimental data, analytical and numerical models show the influence of fibre distribution and interphase properties on water diffusion kinetic. An average water diffusion coefficient is then identified for the interphase. © 2012 Elsevier Ltd.","author":[{"dropping-particle":"","family":"Joliff","given":"Y.","non-dropping-particle":"","parse-names":false,"suffix":""},{"dropping-particle":"","family":"Belec","given":"L.","non-dropping-particle":"","parse-names":false,"suffix":""},{"dropping-particle":"","family":"Chailan","given":"J. F.","non-dropping-particle":"","parse-names":false,"suffix":""}],"container-title":"Composite Structures","id":"ITEM-4","issued":{"date-parts":[["2013"]]},"page":"296-303","publisher":"Elsevier Ltd","title":"Modified water diffusion kinetics in an unidirectional glass/fibre composite due to the interphase area: Experimental, analytical and numerical approach","type":"article-journal","volume":"97"},"uris":["http://www.mendeley.com/documents/?uuid=557a22c0-5af1-4f68-b7c0-ea88569db519"]},{"id":"ITEM-5","itemData":{"DOI":"10.1002/app.39331","ISBN":"0021-8995","ISSN":"00218995","abstract":"As a means of characterizing the diffusion parameters of fiber reinforced polymer {(FRP)} composites within a relatively short time frame, the potential use of short term tests on epoxy films to predict the long-term behavior is investigated. Reference is made to the literature to assess the effectiveness of Fickian and anomalous diffusion models to describe solution uptake in epoxies. The influence of differing exposure conditions on the diffusion in epoxies, in particular the effect of solution type and temperature, are explored. Experimental results, where the solution uptake in desiccated {(D)} or undesiccated {(U)} thin films of a commercially available epoxy matrix subjected to water {(W),} salt water {(SW),} or alkali concrete pore solution {(CPS)} at either 20 or {60{\\textdegree}C,} are also presented. It was found that the type of solution did not significantly influence the diffusion behavior at {20{\\textdegree}C} and that the mass uptake profile was anomalous. Exposure to {60{\\textdegree}C} accelerated the initial diffusion behavior and appeared to raise the level of saturation. In spite of the accelerated approach, conclusive values of uptake at saturation remained elusive even at an exposure period of 5 years. This finding questions the viability of using short-term thin film results to predict the long-term mechanical performance of {FRP} materials. {©} 2013 Wiley Periodicals, Inc. J. Appl. Polym. Sci. 130: 1898–1908, 2013","author":[{"dropping-particle":"","family":"Scott","given":"P.","non-dropping-particle":"","parse-names":false,"suffix":""},{"dropping-particle":"","family":"Lees","given":"J. M.","non-dropping-particle":"","parse-names":false,"suffix":""}],"container-title":"Journal of Applied Polymer Science","id":"ITEM-5","issue":"3","issued":{"date-parts":[["2013"]]},"page":"1898-1908","title":"Water, salt water, and alkaline solution uptake in epoxy thin films","type":"article-journal","volume":"130"},"uris":["http://www.mendeley.com/documents/?uuid=b76f429d-5d0d-497e-b47f-1bd664e7f60a"]},{"id":"ITEM-6","itemData":{"DOI":"10.1016/j.matdes.2011.03.009","ISBN":"0261-3069","ISSN":"02641275","abstract":"The objective of this present paper is an investigation of aging-impact coupling upon the polyester matrix E-glass fibers composite materials in hygrothermal environment. In the first part of the study, laminate composite plates were aged in an artificial hygrothermal environment using a climatic chamber at 50 °C temperature and 95% of relative humidity. The gravimetric readings showed discrepancy with respect to Fick's law which indicates the non-Fickian character of the moisture absorption kinetics. The application of the Carter-Kibler's model confirmed the Langmuir's behaviour governing the absorption up to a lap time. In the second part of the study, low energy impacts test were carried out on both aged and non-aged composite plates in a bending configuration on two metallic supports. The impact loads were applied using drop-mass tower. The mechanical responses of aged and non-aged plates such as impact force, bending, contact duration, energy dissipation and damage are highlighted and analyzed. © 2011 Elsevier Ltd.","author":[{"dropping-particle":"","family":"Boukhoulda","given":"F. B.","non-dropping-particle":"","parse-names":false,"suffix":""},{"dropping-particle":"","family":"Guillaumat","given":"L.","non-dropping-particle":"","parse-names":false,"suffix":""},{"dropping-particle":"","family":"Lataillade","given":"J. L.","non-dropping-particle":"","parse-names":false,"suffix":""},{"dropping-particle":"","family":"Adda-Bedia","given":"E.","non-dropping-particle":"","parse-names":false,"suffix":""},{"dropping-particle":"","family":"Lousdad","given":"A.","non-dropping-particle":"","parse-names":false,"suffix":""}],"container-title":"Materials and Design","id":"ITEM-6","issue":"7","issued":{"date-parts":[["2011"]]},"page":"4080-4087","publisher":"Elsevier Ltd","title":"Aging-impact coupling based analysis upon glass/polyester composite material in hygrothermal environment","type":"article-journal","volume":"32"},"uris":["http://www.mendeley.com/documents/?uuid=63d6db55-a018-4f9f-bb66-933384020009"]},{"id":"ITEM-7","itemData":{"DOI":"10.1016/j.corsci.2012.12.012","ISSN":"0010938X","abstract":"The response of non-perforated and perforated GFRP specimens, aged in a combined acidic and hot environment, under an externally applied load (stress corrosion), and no external load conditions, is investigated. The applicability of Fickian and Langmuir type models for predicting the mass absorption response of the composite is also examined, and the degradation in the flexural properties of the composite bearing different perforation sizes is also established. The results indicate that the perforation size, immersion time, and the presence of external load (during aging); all directly influence the flexural properties of the composite. © 2012 Elsevier Ltd.","author":[{"dropping-particle":"","family":"Eslami","given":"Shiva","non-dropping-particle":"","parse-names":false,"suffix":""},{"dropping-particle":"","family":"Taheri","given":"Farid","non-dropping-particle":"","parse-names":false,"suffix":""}],"container-title":"Corrosion Science","id":"ITEM-7","issued":{"date-parts":[["2013"]]},"page":"262-269","title":"Effects of perforation size on the response of perforated GFRP composites aged in acidic media","type":"article-journal","volume":"69"},"uris":["http://www.mendeley.com/documents/?uuid=52f9208f-2f5c-4b46-a69e-0183d88de339"]},{"id":"ITEM-8","itemData":{"DOI":"10.1016/j.compstruct.2011.03.005","ISBN":"02638223","ISSN":"02638223","abstract":"Polymer-matrix composite structures in service may be affected by different environmental conditions that modify their mechanical performance, thermal stability, and flammability potential. In this study, epoxy-based structural adhesive and carbon/epoxy specimens were degraded at three conditioning temperatures, by water and commercial fluids typical of aerospace operations: jet fuel, anti-icing additive and hydraulic fluid. Two well-established simple diffusion models (Fickian, Langmuir) were used to interpret the mass uptake data and assess the suitability of such models for these tests. Despite limitations inherent in these models, reasonably good fits were obtained for adhesive and carbon/epoxy specimens immersed in water or anti-icing additive. We report the respective strengths of association of the two models with the individual specimens' data, and boxplots for the diffusivity changes among the three conditioning temperatures. An Arrhenius trend for the diffusivity of adhesive specimens treated in anti-icing shows that this temperature dependence may not be a good approximation for this problem. The degradation of these materials in hydraulic fluid is very complex, as indicated by the extensive swelling and the color change, and these models could not successfully fit the gravimetric data. These new results could aid researchers in multiphysics modeling of degraded composite structures. © 2011 Elsevier Ltd.","author":[{"dropping-particle":"","family":"Saponara","given":"Valeria","non-dropping-particle":"La","parse-names":false,"suffix":""}],"container-title":"Composite Structures","id":"ITEM-8","issue":"9","issued":{"date-parts":[["2011"]]},"page":"2180-2195","publisher":"Elsevier Ltd","title":"Environmental and chemical degradation of carbon/epoxy and structural adhesive for aerospace applications: Fickian and anomalous diffusion, Arrhenius kinetics","type":"article-journal","volume":"93"},"uris":["http://www.mendeley.com/documents/?uuid=ed0aa69b-df5e-468a-bf5b-722a2a19eca1"]},{"id":"ITEM-9","itemData":{"author":[{"dropping-particle":"","family":"Li","given":"Yanmei","non-dropping-particle":"","parse-names":false,"suffix":""},{"dropping-particle":"","family":"Miranda","given":"J.","non-dropping-particle":"","parse-names":false,"suffix":""},{"dropping-particle":"","family":"Sije","given":"Hung-jue","non-dropping-particle":"","parse-names":false,"suffix":""}],"container-title":"polymer engineering and Sciencengineering and Science","id":"ITEM-9","issue":"2","issued":{"date-parts":[["2002"]]},"page":"375-381","title":"Moisture Diffusion Behavior in Bismaleimide Resin Subjected to Hygrotherrnal Cycling","type":"article-journal","volume":"42"},"uris":["http://www.mendeley.com/documents/?uuid=2be510e4-21be-461e-ab09-06b57baf8b87"]},{"id":"ITEM-10","itemData":{"DOI":"10.1002/vnl.21367","ISSN":"1083-5601","abstract":"This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Technology","id":"ITEM-10","issue":"3","issued":{"date-parts":[["2014","5","22"]]},"note":"doi: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[2,3,14,20,23,64,65,68–70]","plainTextFormattedCitation":"[2,3,14,20,23,64,65,68–70]","previouslyFormattedCitation":"[2,6,11,20,23,64,67–70]"},"properties":{"noteIndex":0},"schema":"https://github.com/citation-style-language/schema/raw/master/csl-citation.json"}</w:instrText>
      </w:r>
      <w:r>
        <w:fldChar w:fldCharType="separate"/>
      </w:r>
      <w:r w:rsidR="00430285" w:rsidRPr="00430285">
        <w:rPr>
          <w:noProof/>
        </w:rPr>
        <w:t>[2,3,14,20,23,64,65,68–70]</w:t>
      </w:r>
      <w:r>
        <w:fldChar w:fldCharType="end"/>
      </w:r>
      <w:r>
        <w:t xml:space="preserve">. </w:t>
      </w:r>
      <w:r w:rsidRPr="00494575">
        <w:t>However, the approximate solutions of the 1D HDM are valid only under certain conditions. In addition, the procedure sug</w:t>
      </w:r>
      <w:r>
        <w:t xml:space="preserve">gested by Carter and Kibler </w:t>
      </w:r>
      <w:r>
        <w:fldChar w:fldCharType="begin" w:fldLock="1"/>
      </w:r>
      <w:r w:rsidR="00B274D5">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fldChar w:fldCharType="separate"/>
      </w:r>
      <w:r w:rsidR="004F42A2" w:rsidRPr="004F42A2">
        <w:rPr>
          <w:noProof/>
        </w:rPr>
        <w:t>[54]</w:t>
      </w:r>
      <w:r>
        <w:fldChar w:fldCharType="end"/>
      </w:r>
      <w:r w:rsidRPr="00494575">
        <w:t xml:space="preserve"> to recover the absorption parameters, explicitly</w:t>
      </w:r>
      <w:r>
        <w:t xml:space="preserve"> summarized by other authors </w:t>
      </w:r>
      <w:r>
        <w:fldChar w:fldCharType="begin" w:fldLock="1"/>
      </w:r>
      <w:r w:rsidR="00B274D5">
        <w:instrText>ADDIN CSL_CITATION {"citationItems":[{"id":"ITEM-1","itemData":{"DOI":"10.1016/j.compstruct.2012.09.044","ISSN":"02638223","abstract":"This paper deals with the study of water diffusion in unidirectional composite associating experimental data, analytical and numerical models. A fibre/matrix interphase with a gradient of molecular mobility is characterized by microthermal analysis. The fibre dispersion observed by optical microscopy shows an important heterogeneity and many contacts between fibres. This particular fibre distribution as well as the interphase thickness have been considered to model our composite microstructure accurately. Diffusion kinetic parameters from water absorption measurements on both the resin and the UD composite were then used in the finite element analysis of the composite. The comparison between experimental data, analytical and numerical models show the influence of fibre distribution and interphase properties on water diffusion kinetic. An average water diffusion coefficient is then identified for the interphase. © 2012 Elsevier Ltd.","author":[{"dropping-particle":"","family":"Joliff","given":"Y.","non-dropping-particle":"","parse-names":false,"suffix":""},{"dropping-particle":"","family":"Belec","given":"L.","non-dropping-particle":"","parse-names":false,"suffix":""},{"dropping-particle":"","family":"Chailan","given":"J. F.","non-dropping-particle":"","parse-names":false,"suffix":""}],"container-title":"Composite Structures","id":"ITEM-1","issued":{"date-parts":[["2013"]]},"page":"296-303","publisher":"Elsevier Ltd","title":"Modified water diffusion kinetics in an unidirectional glass/fibre composite due to the interphase area: Experimental, analytical and numerical approach","type":"article-journal","volume":"97"},"uris":["http://www.mendeley.com/documents/?uuid=557a22c0-5af1-4f68-b7c0-ea88569db519"]}],"mendeley":{"formattedCitation":"[20]","plainTextFormattedCitation":"[20]","previouslyFormattedCitation":"[20]"},"properties":{"noteIndex":0},"schema":"https://github.com/citation-style-language/schema/raw/master/csl-citation.json"}</w:instrText>
      </w:r>
      <w:r>
        <w:fldChar w:fldCharType="separate"/>
      </w:r>
      <w:r w:rsidRPr="00454ED5">
        <w:rPr>
          <w:noProof/>
        </w:rPr>
        <w:t>[20]</w:t>
      </w:r>
      <w:r>
        <w:fldChar w:fldCharType="end"/>
      </w:r>
      <w:r w:rsidRPr="00494575">
        <w:t xml:space="preserve">, can be inaccurate and lead to incorrect characterization of the absorption. For example, if the final thermogravimetric data point (i.e., last weight gain data) is used as the maximum </w:t>
      </w:r>
      <w:r w:rsidR="00772FFD">
        <w:t>moisture intake as suggested</w:t>
      </w:r>
      <w:r>
        <w:t xml:space="preserve"> </w:t>
      </w:r>
      <w:r>
        <w:fldChar w:fldCharType="begin" w:fldLock="1"/>
      </w:r>
      <w:r w:rsidR="00B274D5">
        <w:instrText>ADDIN CSL_CITATION {"citationItems":[{"id":"ITEM-1","itemData":{"DOI":"10.1016/j.compstruct.2012.09.044","ISSN":"02638223","abstract":"This paper deals with the study of water diffusion in unidirectional composite associating experimental data, analytical and numerical models. A fibre/matrix interphase with a gradient of molecular mobility is characterized by microthermal analysis. The fibre dispersion observed by optical microscopy shows an important heterogeneity and many contacts between fibres. This particular fibre distribution as well as the interphase thickness have been considered to model our composite microstructure accurately. Diffusion kinetic parameters from water absorption measurements on both the resin and the UD composite were then used in the finite element analysis of the composite. The comparison between experimental data, analytical and numerical models show the influence of fibre distribution and interphase properties on water diffusion kinetic. An average water diffusion coefficient is then identified for the interphase. © 2012 Elsevier Ltd.","author":[{"dropping-particle":"","family":"Joliff","given":"Y.","non-dropping-particle":"","parse-names":false,"suffix":""},{"dropping-particle":"","family":"Belec","given":"L.","non-dropping-particle":"","parse-names":false,"suffix":""},{"dropping-particle":"","family":"Chailan","given":"J. F.","non-dropping-particle":"","parse-names":false,"suffix":""}],"container-title":"Composite Structures","id":"ITEM-1","issued":{"date-parts":[["2013"]]},"page":"296-303","publisher":"Elsevier Ltd","title":"Modified water diffusion kinetics in an unidirectional glass/fibre composite due to the interphase area: Experimental, analytical and numerical approach","type":"article-journal","volume":"97"},"uris":["http://www.mendeley.com/documents/?uuid=557a22c0-5af1-4f68-b7c0-ea88569db519"]}],"mendeley":{"formattedCitation":"[20]","plainTextFormattedCitation":"[20]","previouslyFormattedCitation":"[20]"},"properties":{"noteIndex":0},"schema":"https://github.com/citation-style-language/schema/raw/master/csl-citation.json"}</w:instrText>
      </w:r>
      <w:r>
        <w:fldChar w:fldCharType="separate"/>
      </w:r>
      <w:r w:rsidRPr="00454ED5">
        <w:rPr>
          <w:noProof/>
        </w:rPr>
        <w:t>[20]</w:t>
      </w:r>
      <w:r>
        <w:fldChar w:fldCharType="end"/>
      </w:r>
      <w:r w:rsidRPr="00494575">
        <w:t xml:space="preserve">, any additional moisture absorption cannot be accounted for. Consequently, premature termination of absorption experiments will be detrimental to the accurate characterization of all absorption parameters, including erroneously reporting a much lower value for the maximum moisture absorption. Instead, the maximum moisture absorption should be left as an unknown parameter and obtained </w:t>
      </w:r>
      <w:r w:rsidRPr="00494575">
        <w:lastRenderedPageBreak/>
        <w:t>from the theoretical model parameters that yield the best match to the experi</w:t>
      </w:r>
      <w:r>
        <w:t xml:space="preserve">mental data </w:t>
      </w:r>
      <w:r>
        <w:fldChar w:fldCharType="begin" w:fldLock="1"/>
      </w:r>
      <w:r w:rsidR="00B274D5">
        <w:instrText>ADDIN CSL_CITATION {"citationItems":[{"id":"ITEM-1","itemData":{"DOI":"10.1016/j.compositesa.2012.03.016","ISBN":"1359-835X","ISSN":"1359835X","abstract":"A new method to characterize three-dimensional, anisotropic moisture absorption in polymeric composites using experimental gravimetric absorption data is presented. This is achieved by using the three-dimensional hindered diffusion model to recover the moisture absorption properties of composites which may exhibit Fickian or non-Fickian behavior. Effectiveness of the recovery of absorption properties is assessed using artificially generated experimental data. Anisotropic diffusivities, equilibrium moisture content (M∞), and molecular binding (γ) and unbinding (β) probabilities that govern absorption dynamics are recovered by minimizing the difference between model predictions and experimental data. Using artificial moisture absorption data, diffusivities and M∞are recovered with less than 1% error, whereas γ and β are recovered with less than 3% error in the non-Fickian diffusion case. Equilibrium moisture content is shown to be accurately determined much earlier by using partial gravimetric data obtained from the initial phases of absorption, even in the presence of considerable measurement error. © 2012 Elsevier Ltd. All rights reserved.","author":[{"dropping-particle":"","family":"Grace","given":"L. R.","non-dropping-particle":"","parse-names":false,"suffix":""},{"dropping-particle":"","family":"Altan","given":"M. C.","non-dropping-particle":"","parse-names":false,"suffix":""}],"container-title":"Composites Part A: Applied Science and Manufacturing","id":"ITEM-1","issue":"8","issued":{"date-parts":[["2012"]]},"page":"1187-1196","publisher":"Elsevier Ltd","title":"Characterization of anisotropic moisture absorption in polymeric composites using hindered diffusion model","type":"article-journal","volume":"43"},"uris":["http://www.mendeley.com/documents/?uuid=cf2cbf15-4c60-4057-940d-6730507eaab5"]}],"mendeley":{"formattedCitation":"[57]","plainTextFormattedCitation":"[57]","previouslyFormattedCitation":"[57]"},"properties":{"noteIndex":0},"schema":"https://github.com/citation-style-language/schema/raw/master/csl-citation.json"}</w:instrText>
      </w:r>
      <w:r>
        <w:fldChar w:fldCharType="separate"/>
      </w:r>
      <w:r w:rsidR="004F42A2" w:rsidRPr="004F42A2">
        <w:rPr>
          <w:noProof/>
        </w:rPr>
        <w:t>[57]</w:t>
      </w:r>
      <w:r>
        <w:fldChar w:fldCharType="end"/>
      </w:r>
      <w:r w:rsidRPr="00494575">
        <w:t>.</w:t>
      </w:r>
    </w:p>
    <w:p w14:paraId="7FE36DF9" w14:textId="574240DD" w:rsidR="00B578C0" w:rsidRPr="005B5336" w:rsidRDefault="00D2198E" w:rsidP="00BB2C1B">
      <w:r w:rsidRPr="00494575">
        <w:t xml:space="preserve">It needs to be emphasized that very few researchers have used the exact solution </w:t>
      </w:r>
      <w:r w:rsidR="00780CA9">
        <w:t xml:space="preserve">of the hindered diffusion model — </w:t>
      </w:r>
      <w:r w:rsidRPr="00494575">
        <w:t>or</w:t>
      </w:r>
      <w:r w:rsidR="00780CA9">
        <w:t xml:space="preserve"> </w:t>
      </w:r>
      <w:r w:rsidRPr="00494575">
        <w:t>any other Fickian and non-Fickian model</w:t>
      </w:r>
      <w:r w:rsidR="00780CA9">
        <w:t xml:space="preserve"> — </w:t>
      </w:r>
      <w:r w:rsidRPr="00494575">
        <w:t>to</w:t>
      </w:r>
      <w:r w:rsidR="00780CA9">
        <w:t xml:space="preserve"> </w:t>
      </w:r>
      <w:r w:rsidRPr="00494575">
        <w:t>characterize</w:t>
      </w:r>
      <w:r>
        <w:t xml:space="preserve"> the absorption behavior </w:t>
      </w:r>
      <w:r>
        <w:fldChar w:fldCharType="begin" w:fldLock="1"/>
      </w:r>
      <w:r w:rsidR="00430285">
        <w:instrText>ADDIN CSL_CITATION {"citationItems":[{"id":"ITEM-1","itemData":{"DOI":"10.1002/app.1986.070320218","ISSN":"10974628","author":[{"dropping-particle":"","family":"Aronhime","given":"M. T.","non-dropping-particle":"","parse-names":false,"suffix":""},{"dropping-particle":"","family":"Peng","given":"X.","non-dropping-particle":"","parse-names":false,"suffix":""},{"dropping-particle":"","family":"Gillham","given":"J. K.","non-dropping-particle":"","parse-names":false,"suffix":""},{"dropping-particle":"","family":"Small","given":"R. D.","non-dropping-particle":"","parse-names":false,"suffix":""}],"container-title":"Journal of Applied Polymer Science","id":"ITEM-1","issue":"2","issued":{"date-parts":[["1986"]]},"page":"3589-3626","title":"Effect of time</w:instrText>
      </w:r>
      <w:r w:rsidR="00430285">
        <w:rPr>
          <w:rFonts w:ascii="Cambria Math" w:hAnsi="Cambria Math" w:cs="Cambria Math"/>
        </w:rPr>
        <w:instrText>‐</w:instrText>
      </w:r>
      <w:r w:rsidR="00430285">
        <w:instrText>temperature path of cure on the water absorption of high Tgepoxy resins","type":"article-journal","volume":"32"},"uris":["http://www.mendeley.com/documents/?uuid=3a8dfe36-d0a1-4fa1-a5c9-22f841b103b6"]},{"id":"ITEM-2","itemData":{"DOI":"10.1063/1.4942327","ISBN":"9780735413603","author":[{"dropping-particle":"","family":"Guloglu","given":"Gorkem E.","non-dropping-particle":"","parse-names":false,"suffix":""},{"dropping-particle":"","family":"Hurdelbrink","given":"Keith R.","non-dropping-particle":"","parse-names":false,"suffix":""},{"dropping-particle":"","family":"Anderson","given":"Jacob P.","non-dropping-particle":"","parse-names":false,"suffix":""},{"dropping-particle":"","family":"Altan","given":"M. Cengiz","non-dropping-particle":"","parse-names":false,"suffix":""}],"id":"ITEM-2","issued":{"date-parts":[["2016"]]},"page":"120012","title":"Experimental and theoretical investigation of non-Fickian moisture absorption of quartz/BMI laminates fabricated by preconditioned prepregs","type":"article-journal","volume":"120012"},"uris":["http://www.mendeley.com/documents/?uuid=38bf0427-50d6-4cda-974a-37773f380dde"]}],"mendeley":{"formattedCitation":"[62,66]","plainTextFormattedCitation":"[62,66]","previouslyFormattedCitation":"[62,65]"},"properties":{"noteIndex":0},"schema":"https://github.com/citation-style-language/schema/raw/master/csl-citation.json"}</w:instrText>
      </w:r>
      <w:r>
        <w:fldChar w:fldCharType="separate"/>
      </w:r>
      <w:r w:rsidR="00430285" w:rsidRPr="00430285">
        <w:rPr>
          <w:noProof/>
        </w:rPr>
        <w:t>[62,66]</w:t>
      </w:r>
      <w:r>
        <w:fldChar w:fldCharType="end"/>
      </w:r>
      <w:r w:rsidRPr="00494575">
        <w:t xml:space="preserve">. This might be due to the mathematical difficulty and considerable computational effort involved in the recovery of absorption parameters. Using the exact solution would also require solving the classical inverse problem by developing a search algorithm to determine the set of absorption parameters which generate the absorption curve that matches the collected experimental thermogravimetric data with the minimum error. Searching for this set of absorption parameters may require a large number of iterations, depending on the initial guess and the convergence rate of the search algorithm. Within this framework, </w:t>
      </w:r>
      <w:r>
        <w:t>a</w:t>
      </w:r>
      <w:r w:rsidRPr="00494575">
        <w:t xml:space="preserve"> robust and faster computational method for the recovery of the absorption parameters using the exact </w:t>
      </w:r>
      <w:r w:rsidR="00B578C0">
        <w:t>analytical solution</w:t>
      </w:r>
      <w:r w:rsidRPr="00494575">
        <w:t xml:space="preserve"> of the absorption models</w:t>
      </w:r>
      <w:r>
        <w:t xml:space="preserve"> is developed and introduced in</w:t>
      </w:r>
      <w:r w:rsidR="00822542">
        <w:t xml:space="preserve"> </w:t>
      </w:r>
      <w:r w:rsidR="00822542">
        <w:fldChar w:fldCharType="begin"/>
      </w:r>
      <w:r w:rsidR="00822542">
        <w:instrText xml:space="preserve"> REF _Ref520894039 \r \h </w:instrText>
      </w:r>
      <w:r w:rsidR="00C730E9">
        <w:instrText xml:space="preserve"> \* MERGEFORMAT </w:instrText>
      </w:r>
      <w:r w:rsidR="00822542">
        <w:fldChar w:fldCharType="separate"/>
      </w:r>
      <w:r w:rsidR="006D52C2">
        <w:t>Chapter 2</w:t>
      </w:r>
      <w:r w:rsidR="00822542">
        <w:fldChar w:fldCharType="end"/>
      </w:r>
      <w:r w:rsidRPr="00494575">
        <w:t xml:space="preserve">. </w:t>
      </w:r>
    </w:p>
    <w:p w14:paraId="64A10A5A" w14:textId="4BA1CAE4" w:rsidR="00D2198E" w:rsidRPr="00494575" w:rsidRDefault="007021F2" w:rsidP="00BB2C1B">
      <w:pPr>
        <w:pStyle w:val="Heading2"/>
        <w:rPr>
          <w:rFonts w:eastAsiaTheme="minorEastAsia"/>
        </w:rPr>
      </w:pPr>
      <w:bookmarkStart w:id="15" w:name="_Toc531943735"/>
      <w:r>
        <w:rPr>
          <w:rFonts w:eastAsiaTheme="minorEastAsia"/>
        </w:rPr>
        <w:t xml:space="preserve">1.4. </w:t>
      </w:r>
      <w:r w:rsidR="00D2198E" w:rsidRPr="00494575">
        <w:rPr>
          <w:rFonts w:eastAsiaTheme="minorEastAsia"/>
        </w:rPr>
        <w:t>E</w:t>
      </w:r>
      <w:r w:rsidR="00D2198E">
        <w:rPr>
          <w:rFonts w:eastAsiaTheme="minorEastAsia"/>
        </w:rPr>
        <w:t>ffect of I</w:t>
      </w:r>
      <w:r w:rsidR="00D2198E" w:rsidRPr="00494575">
        <w:rPr>
          <w:rFonts w:eastAsiaTheme="minorEastAsia"/>
        </w:rPr>
        <w:t>nclusions</w:t>
      </w:r>
      <w:r w:rsidR="00D2198E">
        <w:rPr>
          <w:rFonts w:eastAsiaTheme="minorEastAsia"/>
        </w:rPr>
        <w:t xml:space="preserve"> and Voids on Diffusion Dynamics</w:t>
      </w:r>
      <w:bookmarkEnd w:id="15"/>
    </w:p>
    <w:p w14:paraId="3E3A388A" w14:textId="7983153B" w:rsidR="00D2198E" w:rsidRPr="00494575" w:rsidRDefault="00D2198E" w:rsidP="00C730E9">
      <w:r w:rsidRPr="00545FB1">
        <w:t>Often, thermosets would contain fillers or inclusions at different concentrations to help with cost, mechanical</w:t>
      </w:r>
      <w:r>
        <w:t>,</w:t>
      </w:r>
      <w:r w:rsidRPr="00545FB1">
        <w:t xml:space="preserve"> </w:t>
      </w:r>
      <w:r w:rsidR="00D94AC5">
        <w:t>and/</w:t>
      </w:r>
      <w:r w:rsidRPr="00545FB1">
        <w:t>or other property enhancement. The integration of these fillers can be cost-driven</w:t>
      </w:r>
      <w:r w:rsidR="00D94AC5">
        <w:t>,</w:t>
      </w:r>
      <w:r w:rsidRPr="00545FB1">
        <w:t xml:space="preserve"> non-structural applications</w:t>
      </w:r>
      <w:r>
        <w:t xml:space="preserve"> </w:t>
      </w:r>
      <w:r>
        <w:fldChar w:fldCharType="begin" w:fldLock="1"/>
      </w:r>
      <w:r w:rsidR="007961A0">
        <w:instrText>ADDIN CSL_CITATION {"citationItems":[{"id":"ITEM-1","itemData":{"DOI":"10.1016/j.microrel.2016.03.016","ISBN":"9781479999507","ISSN":"00262714","abstract":"This study made an attempt to predict the temperature-dependent moisture diffusion of an epoxy molding compound with 3 different diffusion models: Fickian, dual stage and Langmuir diffusion. The Langmuir model provided the best prediction of the moisture diffusion when simulating the input experiments. Beyond the temperature range of the input experiments, the Langmuir model was still able to provide a fair prediction. Hence, the Langmuir model also provides better predictions for the moisture distribution in general. This allows for building on existing prediction models and enabling simulations of reliability tests like UHST.","author":[{"dropping-particle":"","family":"Barink","given":"M.","non-dropping-particle":"","parse-names":false,"suffix":""},{"dropping-particle":"","family":"Mavinkurve","given":"A.","non-dropping-particle":"","parse-names":false,"suffix":""},{"dropping-particle":"","family":"Janssen","given":"J.","non-dropping-particle":"","parse-names":false,"suffix":""}],"container-title":"Microelectronics Reliability","id":"ITEM-1","issued":{"date-parts":[["2016"]]},"page":"45-49","publisher":"Elsevier Ltd","title":"Predicting non-Fickian moisture diffusion in EMCs for application in micro-electronic devices","type":"article-journal","volume":"62"},"uris":["http://www.mendeley.com/documents/?uuid=4755fd56-9cd0-40ea-a736-bc0f2d49bd95"]},{"id":"ITEM-2","itemData":{"DOI":"10.1081/E-ECHP-120039238","ISBN":"0-8247-5563-4","author":[{"dropping-particle":"","family":"Hamidi","given":"Youssef","non-dropping-particle":"","parse-names":false,"suffix":""},{"dropping-particle":"","family":"Altan","given":"M","non-dropping-particle":"","parse-names":false,"suffix":""},{"dropping-particle":"","family":"Grady","given":"P. B.","non-dropping-particle":"","parse-names":false,"suffix":""}],"id":"ITEM-2","issued":{"date-parts":[["2005","3","5"]]},"number-of-pages":"2313-2322","title":"Polymer Composites. In: Encyclopedia of Chemical Processing","type":"book"},"uris":["http://www.mendeley.com/documents/?uuid=c3abea9d-3298-46df-a893-dff9e4281750"]}],"mendeley":{"formattedCitation":"[24,71]","plainTextFormattedCitation":"[24,71]","previouslyFormattedCitation":"[24,71]"},"properties":{"noteIndex":0},"schema":"https://github.com/citation-style-language/schema/raw/master/csl-citation.json"}</w:instrText>
      </w:r>
      <w:r>
        <w:fldChar w:fldCharType="separate"/>
      </w:r>
      <w:r w:rsidR="004F42A2" w:rsidRPr="004F42A2">
        <w:rPr>
          <w:noProof/>
        </w:rPr>
        <w:t>[24,71]</w:t>
      </w:r>
      <w:r>
        <w:fldChar w:fldCharType="end"/>
      </w:r>
      <w:r w:rsidRPr="00545FB1">
        <w:t xml:space="preserve">. However, for specific high-end applications, inclusions are used to further improve the mechanical </w:t>
      </w:r>
      <w:r>
        <w:fldChar w:fldCharType="begin" w:fldLock="1"/>
      </w:r>
      <w:r w:rsidR="00B274D5">
        <w:instrText>ADDIN CSL_CITATION {"citationItems":[{"id":"ITEM-1","itemData":{"DOI":"10.1002/pc.23396","ISSN":"0272-8397","abstract":"This study deals with the effects of calcium carbonate (CaCO3) fillers and hygrothermal aging on the performance of polyvinylchloride (PVC). The properties of the PVC/CaCO3 composite were studied before and after aging in water up to 3 months at 24°C?±?3°C, 70°C, and 90°C. In terms of fillers effect, it was found that the incorporation of fillers in PVC induces an increase in both Tg value and storage modulus; however, it had no significant effect on the water absorption. However, the addition of fillers has resulted in an improvement in the elastic modulus, whereas it has shown harmful effect on the tensile strength and elongation at break. Concerning flexural properties, an important filler percentage, that is, 35 wt%, is proved to be the optimum content to achieve maximum strength and modulus as well as wear properties. In terms of aging impact, it was found that shift in color on aging occurs noticeably. Elastic modulus, tensile strength, flexural strength, and flexural modulus increase with increasing temperature from ambient to 70°C, whereas they decrease at 90°C. Dynamic mechanical thermal analysis confirmed that at high temperature, the absorbed water affects the PVC matrix during aging. As a result, a loss in strength and stiffness but a gain of ductility was observed. The great quantity of absorbed water acts as a barrier layer and, thus, minimizes the wear. POLYM. COMPOS., 37:2171?2183, 2016. ? 2015 Society of Plastics Engineers","author":[{"dropping-particle":"","family":"Noamen","given":"Guermazi","non-dropping-particle":"","parse-names":false,"suffix":""},{"dropping-particle":"","family":"Nader","given":"Haddar","non-dropping-particle":"","parse-names":false,"suffix":""},{"dropping-particle":"","family":"Khaled","given":"Elleuch","non-dropping-particle":"","parse-names":false,"suffix":""},{"dropping-particle":"","family":"Ferid","given":"Ayedi H","non-dropping-particle":"","parse-names":false,"suffix":""}],"container-title":"Polymer Composites","id":"ITEM-1","issue":"7","issued":{"date-parts":[["2015","3","18"]]},"note":"doi: 10.1002/pc.23396","page":"2171-2183","publisher":"Wiley-Blackwell","title":"Effect of filler addition and weathering conditions on the performance of PVC/CaCO3 composites","type":"article-journal","volume":"37"},"uris":["http://www.mendeley.com/documents/?uuid=572cde9a-339d-4990-9329-6e67cdb9aa97"]},{"id":"ITEM-2","itemData":{"DOI":"10.1007/s10853-016-0117-z","ISSN":"1573-4803","abstract":"Glass fiber-reinforced polymer composites (GFRP) were prepared and reinforced with two types of multiwalled carbon nanotubes, i.e., amino-functionalized (ACNT) and pristine nanotubes (PCNT). Incorporation of ACNT leads to a significant decrease in equilibrium water content and diffusion coefficient vis-à-vis GFRP composites when immersed in seawater (SW) and distilled water (DW). The experimental results illustrate that the material degradation of the composites is significantly more on immersion in SW as compared to DW. Interestingly, a decrease in mechanical properties was observed initially; however, at a later stage the trend reversed and a recovery in the mechanical properties was seen. This recovery in mechanical properties is ascribed to the possible secondary crosslinking network between excess sodium ions in seawater with the hydroxyl groups of cured epoxy and also to the unreacted silanols on the glass fiber surface. On the contrary, PCNT composites revealed a continuous decreasing trend in mechanical behavior versus aging duration. The present study suggests that it may be advantageous and safer to re-condition (for 15–20 days) FRP nanocomposite parts before being installed in naval vessels.","author":[{"dropping-particle":"","family":"Garg","given":"Mohit","non-dropping-particle":"","parse-names":false,"suffix":""},{"dropping-particle":"","family":"Sharma","given":"Shruti","non-dropping-particle":"","parse-names":false,"suffix":""},{"dropping-particle":"","family":"Mehta","given":"Rajeev","non-dropping-particle":"","parse-names":false,"suffix":""}],"container-title":"Journal of Materials Science","id":"ITEM-2","issue":"18","issued":{"date-parts":[["2016"]]},"page":"8562-8578","title":"Carbon nanotube-reinforced glass fiber epoxy composite laminates exposed to hygrothermal conditioning","type":"article-journal","volume":"51"},"uris":["http://www.mendeley.com/documents/?uuid=d3b7ed43-a218-4db4-a488-583a205640dd"]}],"mendeley":{"formattedCitation":"[72,73]","plainTextFormattedCitation":"[72,73]","previouslyFormattedCitation":"[72,73]"},"properties":{"noteIndex":0},"schema":"https://github.com/citation-style-language/schema/raw/master/csl-citation.json"}</w:instrText>
      </w:r>
      <w:r>
        <w:fldChar w:fldCharType="separate"/>
      </w:r>
      <w:r w:rsidR="004F42A2" w:rsidRPr="004F42A2">
        <w:rPr>
          <w:noProof/>
        </w:rPr>
        <w:t>[72,73]</w:t>
      </w:r>
      <w:r>
        <w:fldChar w:fldCharType="end"/>
      </w:r>
      <w:r w:rsidRPr="00545FB1">
        <w:t>, electrical</w:t>
      </w:r>
      <w:r>
        <w:t xml:space="preserve"> </w:t>
      </w:r>
      <w:r>
        <w:fldChar w:fldCharType="begin" w:fldLock="1"/>
      </w:r>
      <w:r w:rsidR="007961A0">
        <w:instrText>ADDIN CSL_CITATION {"citationItems":[{"id":"ITEM-1","itemData":{"DOI":"10.1179/1743289814Y.0000000075","ISBN":"14658011","ISSN":"1465-8011","abstract":"In the present work, reference and nano-modified unidirectional and quasi-isotropic, epoxy matrix, carbon fibre reinforced polymers, were exposed to distilled water at hydrothermal environment. Water uptake was investigated as a function of the CNT matrix wt-% content up to saturation level. In parallel the variation of glass transition temperature Tg was also monitored using DMA tests. The distilled water absorption process was modelled following the Fick's law, and the experimental results found to be in very good agreement to the theoretical predictions up to saturation. During the tests, at defined time intervals, the variation of the electrical conductivity of the investigated materials was studied and a correlation between the water absorption and the variation of the electrical conductivity was established. Finally, all the reference materials and the ones concluded at the saturation stage were exposed to broadband dielectric measurements at frequency range of 0·1 Hz to 1 MHz. © Institute of Materials, Minerals and Mining 2014.","author":[{"dropping-particle":"","family":"Kotrotsos","given":"A.","non-dropping-particle":"","parse-names":false,"suffix":""},{"dropping-particle":"","family":"Vavouliotis","given":"A.","non-dropping-particle":"","parse-names":false,"suffix":""},{"dropping-particle":"","family":"Tsantzalis","given":"S.","non-dropping-particle":"","parse-names":false,"suffix":""},{"dropping-particle":"","family":"Kostopoulos","given":"V.","non-dropping-particle":"","parse-names":false,"suffix":""}],"container-title":"Plastics, Rubber and Composites","id":"ITEM-1","issue":"4","issued":{"date-parts":[["2014"]]},"page":"122-129","title":"Effect of CNT modified matrix of epoxy CFRPs on hydrothermal behaviour of material. Evaluation of water uptake using electrical resistance measurements","type":"article-journal","volume":"43"},"uris":["http://www.mendeley.com/documents/?uuid=32c8d1bb-2ee8-4c3c-a9fc-5e02ab6bc322"]},{"id":"ITEM-2","itemData":{"DOI":"10.1002/app.41192","ISSN":"0021-8995","abstract":"ABSTRACT Epoxy molding compounds are widely used as microelectronic encapsulants to protect the electronic circuitry from moisture. Since these compounds are hydrophilic they impose a reliability risk, which is assessed by lifetime tests. The interpretation of these tests is generally based on Fickian absorption. However, this work demonstrates that water absorption by microelectronic encapsulants shows anomalous behavior due to hygrothermal?induced degradation of the material. Namely, experimental data show that the absorption by maiden samples is much slower than subsequent (de)sorption cycles, whereas the solubility depends on the highest water content that was reached in the history of the material. Moreover, at temperatures above glass transition the material might even physically decompose due to water exposure. Comparing these results with common theoretical models for anomalous water absorption shows that the experimental observed anomalies are most likely triggered by internal degradation of the encapsulant, which will impact the reliability assessment of epoxy encapsulated microelectronics. ? 2014 Wiley Periodicals, Inc. J. Appl. Polym. Sci. 2014, 131, 41192.","author":[{"dropping-particle":"","family":"Soestbergen","given":"Michiel","non-dropping-particle":"van","parse-names":false,"suffix":""},{"dropping-particle":"","family":"Mavinkurve","given":"Amar","non-dropping-particle":"","parse-names":false,"suffix":""}],"container-title":"Journal of Applied Polymer Science","id":"ITEM-2","issue":"24","issued":{"date-parts":[["2014","7","18"]]},"note":"doi: 10.1002/app.41192","publisher":"Wiley-Blackwell","title":"Anomalous water absorption by microelectronic encapsulants due to hygrothermal</w:instrText>
      </w:r>
      <w:r w:rsidR="007961A0">
        <w:rPr>
          <w:rFonts w:ascii="Cambria Math" w:hAnsi="Cambria Math" w:cs="Cambria Math"/>
        </w:rPr>
        <w:instrText>‐</w:instrText>
      </w:r>
      <w:r w:rsidR="007961A0">
        <w:instrText>induced degradation","type":"article-journal","volume":"131"},"uris":["http://www.mendeley.com/documents/?uuid=e1e9c356-2741-4c1f-92ce-60d9d11a57b8"]},{"id":"ITEM-3","itemData":{"DOI":"10.1016/j.eurpolymj.2013.05.010","ISBN":"0014-3057","ISSN":"00143057","abstract":"Moisture and water uptake of epoxy/multi-wall carbon nanotube (MWCNT) composites was studied in a wide range of atmosphere relative humidity and temperatures. Addition of up to 1 wt.% of MWCNTs into the neat epoxy resulted to the twofold decrease of the diffusivity, while the levels of moisture/water uptake remained unchanged. The positive effect on the reduction of the diffusion coefficient diminishes with the increase of temperature. Differences in the water transport properties and plasticization ability of the neat polymer and its nanocomposites are explained by the free volume considerations and the polymer-water interactions, which are verified by the results of thermomechanical analysis. Water uptake by the nanocomposites resulted to a lower decrease of the storage modulus than that of the neat epoxy. © 2013 Elsevier Ltd. All rights reserved.","author":[{"dropping-particle":"","family":"Starkova","given":"O.","non-dropping-particle":"","parse-names":false,"suffix":""},{"dropping-particle":"","family":"Buschhorn","given":"S. T.","non-dropping-particle":"","parse-names":false,"suffix":""},{"dropping-particle":"","family":"Mannov","given":"E.","non-dropping-particle":"","parse-names":false,"suffix":""},{"dropping-particle":"","family":"Schulte","given":"K.","non-dropping-particle":"","parse-names":false,"suffix":""},{"dropping-particle":"","family":"Aniskevich","given":"A.","non-dropping-particle":"","parse-names":false,"suffix":""}],"container-title":"European Polymer Journal","id":"ITEM-3","issue":"8","issued":{"date-parts":[["2013"]]},"page":"2138-2148","publisher":"Elsevier Ltd","title":"Water transport in epoxy/MWCNT composites","type":"article-journal","volume":"49"},"uris":["http://www.mendeley.com/documents/?uuid=46af0d8b-1822-4524-9de9-aa0501bbd47d"]}],"mendeley":{"formattedCitation":"[74–76]","plainTextFormattedCitation":"[74–76]","previouslyFormattedCitation":"[74–76]"},"properties":{"noteIndex":0},"schema":"https://github.com/citation-style-language/schema/raw/master/csl-citation.json"}</w:instrText>
      </w:r>
      <w:r>
        <w:fldChar w:fldCharType="separate"/>
      </w:r>
      <w:r w:rsidR="004F42A2" w:rsidRPr="004F42A2">
        <w:rPr>
          <w:noProof/>
        </w:rPr>
        <w:t>[74–76]</w:t>
      </w:r>
      <w:r>
        <w:fldChar w:fldCharType="end"/>
      </w:r>
      <w:r w:rsidR="00980A92">
        <w:t>,</w:t>
      </w:r>
      <w:r w:rsidRPr="00545FB1">
        <w:t xml:space="preserve"> and/or barrier</w:t>
      </w:r>
      <w:r>
        <w:t xml:space="preserve"> </w:t>
      </w:r>
      <w:r>
        <w:fldChar w:fldCharType="begin" w:fldLock="1"/>
      </w:r>
      <w:r w:rsidR="00B274D5">
        <w:instrText>ADDIN CSL_CITATION {"citationItems":[{"id":"ITEM-1","itemData":{"DOI":"10.1007/s10853-016-0117-z","ISSN":"1573-4803","abstract":"Glass fiber-reinforced polymer composites (GFRP) were prepared and reinforced with two types of multiwalled carbon nanotubes, i.e., amino-functionalized (ACNT) and pristine nanotubes (PCNT). Incorporation of ACNT leads to a significant decrease in equilibrium water content and diffusion coefficient vis-à-vis GFRP composites when immersed in seawater (SW) and distilled water (DW). The experimental results illustrate that the material degradation of the composites is significantly more on immersion in SW as compared to DW. Interestingly, a decrease in mechanical properties was observed initially; however, at a later stage the trend reversed and a recovery in the mechanical properties was seen. This recovery in mechanical properties is ascribed to the possible secondary crosslinking network between excess sodium ions in seawater with the hydroxyl groups of cured epoxy and also to the unreacted silanols on the glass fiber surface. On the contrary, PCNT composites revealed a continuous decreasing trend in mechanical behavior versus aging duration. The present study suggests that it may be advantageous and safer to re-condition (for 15–20 days) FRP nanocomposite parts before being installed in naval vessels.","author":[{"dropping-particle":"","family":"Garg","given":"Mohit","non-dropping-particle":"","parse-names":false,"suffix":""},{"dropping-particle":"","family":"Sharma","given":"Shruti","non-dropping-particle":"","parse-names":false,"suffix":""},{"dropping-particle":"","family":"Mehta","given":"Rajeev","non-dropping-particle":"","parse-names":false,"suffix":""}],"container-title":"Journal of Materials Science","id":"ITEM-1","issue":"18","issued":{"date-parts":[["2016"]]},"page":"8562-8578","title":"Carbon nanotube-reinforced glass fiber epoxy composite laminates exposed to hygrothermal conditioning","type":"article-journal","volume":"51"},"uris":["http://www.mendeley.com/documents/?uuid=d3b7ed43-a218-4db4-a488-583a205640dd"]},{"id":"ITEM-2","itemData":{"DOI":"10.1134/S1995421216030102","ISSN":"19954220","abstract":"© 2016, Pleiades Publishing, Ltd.The transition range of the epoxy polymer reinforced by a dispersed mineral filler (micromica) from a vitreous to highly elastic state is analyzed by dynamic mechanical spectrometry. The active effect of filler on linear viscoelastic properties of material in the temperature range of 25–75°C is determined. The diffusion characteristics of moisture in a polymer coating are determined. To describe the moisture transfer, the experimental data are approximated by Fick and Langmuir models. It is determined that the introduction of micromica promotes the transport of mobile water molecules in epoxy matrix.","author":[{"dropping-particle":"","family":"Korobkov","given":"V.A.","non-dropping-particle":"","parse-names":false,"suffix":""},{"dropping-particle":"","family":"Krylova","given":"Y.E.","non-dropping-particle":"","parse-names":false,"suffix":""},{"dropping-particle":"","family":"Kasatkina","given":"T.B.","non-dropping-particle":"","parse-names":false,"suffix":""},{"dropping-particle":"","family":"Levashov","given":"A.S.","non-dropping-particle":"","parse-names":false,"suffix":""},{"dropping-particle":"","family":"Gorokhov","given":"R.V.","non-dropping-particle":"","parse-names":false,"suffix":""},{"dropping-particle":"","family":"Bukov","given":"N.N.","non-dropping-particle":"","parse-names":false,"suffix":""},{"dropping-particle":"","family":"Startseva","given":"L.T.","non-dropping-particle":"","parse-names":false,"suffix":""},{"dropping-particle":"","family":"Krotov","given":"A.S.","non-dropping-particle":"","parse-names":false,"suffix":""},{"dropping-particle":"","family":"Startsev","given":"O.V.","non-dropping-particle":"","parse-names":false,"suffix":""}],"container-title":"Polymer Science - Series D","id":"ITEM-2","issue":"3","issued":{"date-parts":[["2016"]]},"page":"351-357","title":"Diffusion of moisture in an epoxy coating with a disperse mineral filler","type":"article-journal","volume":"9"},"uris":["http://www.mendeley.com/documents/?uuid=32d38f8d-4db0-46df-935e-204c6ead1e57"]},{"id":"ITEM-3","itemData":{"author":[{"dropping-particle":"","family":"Drozdov","given":"A D","non-dropping-particle":"","parse-names":false,"suffix":""},{"dropping-particle":"","family":"Christiansen","given":"J","non-dropping-particle":"","parse-names":false,"suffix":""},{"dropping-particle":"","family":"Gupta","given":"R K","non-dropping-particle":"","parse-names":false,"suffix":""},{"dropping-particle":"","family":"Shah","given":"A P","non-dropping-particle":"","parse-names":false,"suffix":""},{"dropping-particle":"","family":"Virginia","given":"West","non-dropping-particle":"","parse-names":false,"suffix":""}],"id":"ITEM-3","issued":{"date-parts":[["2002"]]},"page":"476-492","title":"Model for Anomalous Moisture Diffusion through a Polymer – Clay Nanocomposite","type":"article-journal"},"uris":["http://www.mendeley.com/documents/?uuid=46590883-deb7-4f58-9080-b5628caeab9e"]},{"id":"ITEM-4","itemData":{"DOI":"10.1016/j.compstruct.2014.11.044","ISSN":"02638223","abstract":"This paper aims to study the anomalous two-stage moisture diffusion in baseline thermoset epoxy (EPON 862), and in nanographene platelet (NGP) reinforced epoxy. The deviation from Fickian diffusion is assumed to be intrinsically dependent on the time varying viscoelastic response of the epoxy and its nanoparticle reinforced polymer nanocomposite. A novel viscoelasticity based model has been formulated which aims to capture the response of the two-stage moisture absorption response, incorporating the effect of time-dependent relaxation of the material, and random orientation and aspect ratio of the NGPs on the moisture absorption. Moisture uptake experiments at 60. °C and 90% relative humidity were performed in an environmental chamber for five different weight percentages (wt%) ranging from 0.1% to 3% NGPs and their response was compared with baseline epoxy specimens. Upon benchmarking to extract modeling parameters, the model was used to predict anomalous moisture uptake for 0.1 and 2. wt% NGP. Good agreement between the model prediction and experimental data for benchmark cases was observed.","author":[{"dropping-particle":"","family":"Kumar","given":"Abhishek","non-dropping-particle":"","parse-names":false,"suffix":""},{"dropping-particle":"","family":"Roy","given":"Samit","non-dropping-particle":"","parse-names":false,"suffix":""}],"container-title":"Composite Structures","id":"ITEM-4","issued":{"date-parts":[["2015"]]},"page":"1-7","publisher":"Elsevier Ltd","title":"Modeling of anomalous moisture diffusion in nanographene reinforced thermoset polymers","type":"article-journal","volume":"122"},"uris":["http://www.mendeley.com/documents/?uuid=b232d758-317b-4171-870c-e8e9566eb5fa"]},{"id":"ITEM-5","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Science","id":"ITEM-5","issue":"10","issued":{"date-parts":[["2013"]]},"page":"3798-3804","title":"Mechanical properties and water uptake of epoxy-clay nanocomposites containing different clay loadings","type":"article-journal","volume":"48"},"uris":["http://www.mendeley.com/documents/?uuid=6f2c854f-86b7-4990-a430-a346c84517ac"]}],"mendeley":{"formattedCitation":"[73,77–80]","plainTextFormattedCitation":"[73,77–80]","previouslyFormattedCitation":"[73,77–80]"},"properties":{"noteIndex":0},"schema":"https://github.com/citation-style-language/schema/raw/master/csl-citation.json"}</w:instrText>
      </w:r>
      <w:r>
        <w:fldChar w:fldCharType="separate"/>
      </w:r>
      <w:r w:rsidR="004F42A2" w:rsidRPr="004F42A2">
        <w:rPr>
          <w:noProof/>
        </w:rPr>
        <w:t>[73,77–80]</w:t>
      </w:r>
      <w:r>
        <w:fldChar w:fldCharType="end"/>
      </w:r>
      <w:r w:rsidRPr="00545FB1">
        <w:t xml:space="preserve"> properties of the final product. A variety of micro- and nano-scale fillers have been used, includ</w:t>
      </w:r>
      <w:r>
        <w:t xml:space="preserve">ing </w:t>
      </w:r>
      <w:proofErr w:type="spellStart"/>
      <w:r>
        <w:t>micromica</w:t>
      </w:r>
      <w:proofErr w:type="spellEnd"/>
      <w:r>
        <w:t xml:space="preserve"> </w:t>
      </w:r>
      <w:r>
        <w:fldChar w:fldCharType="begin" w:fldLock="1"/>
      </w:r>
      <w:r w:rsidR="00B274D5">
        <w:instrText>ADDIN CSL_CITATION {"citationItems":[{"id":"ITEM-1","itemData":{"DOI":"10.1134/S1995421216030102","ISSN":"19954220","abstract":"© 2016, Pleiades Publishing, Ltd.The transition range of the epoxy polymer reinforced by a dispersed mineral filler (micromica) from a vitreous to highly elastic state is analyzed by dynamic mechanical spectrometry. The active effect of filler on linear viscoelastic properties of material in the temperature range of 25–75°C is determined. The diffusion characteristics of moisture in a polymer coating are determined. To describe the moisture transfer, the experimental data are approximated by Fick and Langmuir models. It is determined that the introduction of micromica promotes the transport of mobile water molecules in epoxy matrix.","author":[{"dropping-particle":"","family":"Korobkov","given":"V.A.","non-dropping-particle":"","parse-names":false,"suffix":""},{"dropping-particle":"","family":"Krylova","given":"Y.E.","non-dropping-particle":"","parse-names":false,"suffix":""},{"dropping-particle":"","family":"Kasatkina","given":"T.B.","non-dropping-particle":"","parse-names":false,"suffix":""},{"dropping-particle":"","family":"Levashov","given":"A.S.","non-dropping-particle":"","parse-names":false,"suffix":""},{"dropping-particle":"","family":"Gorokhov","given":"R.V.","non-dropping-particle":"","parse-names":false,"suffix":""},{"dropping-particle":"","family":"Bukov","given":"N.N.","non-dropping-particle":"","parse-names":false,"suffix":""},{"dropping-particle":"","family":"Startseva","given":"L.T.","non-dropping-particle":"","parse-names":false,"suffix":""},{"dropping-particle":"","family":"Krotov","given":"A.S.","non-dropping-particle":"","parse-names":false,"suffix":""},{"dropping-particle":"","family":"Startsev","given":"O.V.","non-dropping-particle":"","parse-names":false,"suffix":""}],"container-title":"Polymer Science - Series D","id":"ITEM-1","issue":"3","issued":{"date-parts":[["2016"]]},"page":"351-357","title":"Diffusion of moisture in an epoxy coating with a disperse mineral filler","type":"article-journal","volume":"9"},"uris":["http://www.mendeley.com/documents/?uuid=32d38f8d-4db0-46df-935e-204c6ead1e57"]}],"mendeley":{"formattedCitation":"[77]","plainTextFormattedCitation":"[77]","previouslyFormattedCitation":"[77]"},"properties":{"noteIndex":0},"schema":"https://github.com/citation-style-language/schema/raw/master/csl-citation.json"}</w:instrText>
      </w:r>
      <w:r>
        <w:fldChar w:fldCharType="separate"/>
      </w:r>
      <w:r w:rsidR="004F42A2" w:rsidRPr="004F42A2">
        <w:rPr>
          <w:noProof/>
        </w:rPr>
        <w:t>[77]</w:t>
      </w:r>
      <w:r>
        <w:fldChar w:fldCharType="end"/>
      </w:r>
      <w:r>
        <w:t xml:space="preserve">, glass spheres </w:t>
      </w:r>
      <w:r>
        <w:fldChar w:fldCharType="begin" w:fldLock="1"/>
      </w:r>
      <w:r w:rsidR="00B274D5">
        <w:instrText>ADDIN CSL_CITATION {"citationItems":[{"id":"ITEM-1","itemData":{"DOI":"10.1016/S0032-3861(03)00371-9","ISBN":"0032-3861","ISSN":"00323861","abstract":"Basic properties of glass filled epoxy such as yield behavior and cohesive strength, which are important in understanding toughening mechanism, are studied using compression tests and double notch 4 point bending (DN-4PB) tests. Three different glass reinforcements, large glass spheres, small glass spheres, and glass fibers, were treated by different methods and used at different volume fractions ranging from 10 to 30 vol%. The effect of different surface treatments and moisture exposure on the yield behavior is studied. It was found that in all types of formulation the yield stress decreased after moisture exposure and that the yield stress was dependent on the surface treatment both before and after moisture exposure. No treatment and treatment of glass reinforcements with aminopropyltrimethoxysilane coupling agent resulted in relatively higher yield stress. Close observation of microstructure by transmission OM showed that the degree of debonding in the specimens for compression tests was quite dependent on the surface treatment after moisture exposure. The decrease in cohesive strength of the neat specimens were observed after moisture exposure. © 2003 Elsevier Science Ltd. All rights reserved.","author":[{"dropping-particle":"","family":"Kawaguchi","given":"Takafumi","non-dropping-particle":"","parse-names":false,"suffix":""},{"dropping-particle":"","family":"Pearson","given":"Raymond A.","non-dropping-particle":"","parse-names":false,"suffix":""}],"container-title":"Polymer","id":"ITEM-1","issue":"15","issued":{"date-parts":[["2003"]]},"page":"4229-4238","title":"The effect of particle-matrix adhesion on the mechanical behavior of glass filled epoxies: Part 1. A study on yield behavior and cohesive strength","type":"article-journal","volume":"44"},"uris":["http://www.mendeley.com/documents/?uuid=a4b42f1d-c960-432c-a276-d7919a9e4f75"]}],"mendeley":{"formattedCitation":"[81]","plainTextFormattedCitation":"[81]","previouslyFormattedCitation":"[81]"},"properties":{"noteIndex":0},"schema":"https://github.com/citation-style-language/schema/raw/master/csl-citation.json"}</w:instrText>
      </w:r>
      <w:r>
        <w:fldChar w:fldCharType="separate"/>
      </w:r>
      <w:r w:rsidR="004F42A2" w:rsidRPr="004F42A2">
        <w:rPr>
          <w:noProof/>
        </w:rPr>
        <w:t>[81]</w:t>
      </w:r>
      <w:r>
        <w:fldChar w:fldCharType="end"/>
      </w:r>
      <w:r>
        <w:t xml:space="preserve">, carbon nanotubes </w:t>
      </w:r>
      <w:r>
        <w:fldChar w:fldCharType="begin" w:fldLock="1"/>
      </w:r>
      <w:r w:rsidR="00B274D5">
        <w:instrText>ADDIN CSL_CITATION {"citationItems":[{"id":"ITEM-1","itemData":{"DOI":"10.1007/s10853-016-0117-z","ISSN":"1573-4803","abstract":"Glass fiber-reinforced polymer composites (GFRP) were prepared and reinforced with two types of multiwalled carbon nanotubes, i.e., amino-functionalized (ACNT) and pristine nanotubes (PCNT). Incorporation of ACNT leads to a significant decrease in equilibrium water content and diffusion coefficient vis-à-vis GFRP composites when immersed in seawater (SW) and distilled water (DW). The experimental results illustrate that the material degradation of the composites is significantly more on immersion in SW as compared to DW. Interestingly, a decrease in mechanical properties was observed initially; however, at a later stage the trend reversed and a recovery in the mechanical properties was seen. This recovery in mechanical properties is ascribed to the possible secondary crosslinking network between excess sodium ions in seawater with the hydroxyl groups of cured epoxy and also to the unreacted silanols on the glass fiber surface. On the contrary, PCNT composites revealed a continuous decreasing trend in mechanical behavior versus aging duration. The present study suggests that it may be advantageous and safer to re-condition (for 15–20 days) FRP nanocomposite parts before being installed in naval vessels.","author":[{"dropping-particle":"","family":"Garg","given":"Mohit","non-dropping-particle":"","parse-names":false,"suffix":""},{"dropping-particle":"","family":"Sharma","given":"Shruti","non-dropping-particle":"","parse-names":false,"suffix":""},{"dropping-particle":"","family":"Mehta","given":"Rajeev","non-dropping-particle":"","parse-names":false,"suffix":""}],"container-title":"Journal of Materials Science","id":"ITEM-1","issue":"18","issued":{"date-parts":[["2016"]]},"page":"8562-8578","title":"Carbon nanotube-reinforced glass fiber epoxy composite laminates exposed to hygrothermal conditioning","type":"article-journal","volume":"51"},"uris":["http://www.mendeley.com/documents/?uuid=d3b7ed43-a218-4db4-a488-583a205640dd"]},{"id":"ITEM-2","itemData":{"DOI":"10.1016/j.eurpolymj.2013.05.010","ISBN":"0014-3057","ISSN":"00143057","abstract":"Moisture and water uptake of epoxy/multi-wall carbon nanotube (MWCNT) composites was studied in a wide range of atmosphere relative humidity and temperatures. Addition of up to 1 wt.% of MWCNTs into the neat epoxy resulted to the twofold decrease of the diffusivity, while the levels of moisture/water uptake remained unchanged. The positive effect on the reduction of the diffusion coefficient diminishes with the increase of temperature. Differences in the water transport properties and plasticization ability of the neat polymer and its nanocomposites are explained by the free volume considerations and the polymer-water interactions, which are verified by the results of thermomechanical analysis. Water uptake by the nanocomposites resulted to a lower decrease of the storage modulus than that of the neat epoxy. © 2013 Elsevier Ltd. All rights reserved.","author":[{"dropping-particle":"","family":"Starkova","given":"O.","non-dropping-particle":"","parse-names":false,"suffix":""},{"dropping-particle":"","family":"Buschhorn","given":"S. T.","non-dropping-particle":"","parse-names":false,"suffix":""},{"dropping-particle":"","family":"Mannov","given":"E.","non-dropping-particle":"","parse-names":false,"suffix":""},{"dropping-particle":"","family":"Schulte","given":"K.","non-dropping-particle":"","parse-names":false,"suffix":""},{"dropping-particle":"","family":"Aniskevich","given":"A.","non-dropping-particle":"","parse-names":false,"suffix":""}],"container-title":"European Polymer Journal","id":"ITEM-2","issue":"8","issued":{"date-parts":[["2013"]]},"page":"2138-2148","publisher":"Elsevier Ltd","title":"Water transport in epoxy/MWCNT composites","type":"article-journal","volume":"49"},"uris":["http://www.mendeley.com/documents/?uuid=46af0d8b-1822-4524-9de9-aa0501bbd47d"]}],"mendeley":{"formattedCitation":"[73,76]","plainTextFormattedCitation":"[73,76]","previouslyFormattedCitation":"[73,76]"},"properties":{"noteIndex":0},"schema":"https://github.com/citation-style-language/schema/raw/master/csl-citation.json"}</w:instrText>
      </w:r>
      <w:r>
        <w:fldChar w:fldCharType="separate"/>
      </w:r>
      <w:r w:rsidR="004F42A2" w:rsidRPr="004F42A2">
        <w:rPr>
          <w:noProof/>
        </w:rPr>
        <w:t>[73,76]</w:t>
      </w:r>
      <w:r>
        <w:fldChar w:fldCharType="end"/>
      </w:r>
      <w:r w:rsidRPr="00545FB1">
        <w:t>, nanoclay</w:t>
      </w:r>
      <w:r>
        <w:t xml:space="preserve"> </w:t>
      </w:r>
      <w:r>
        <w:fldChar w:fldCharType="begin" w:fldLock="1"/>
      </w:r>
      <w:r w:rsidR="00B274D5">
        <w:instrText>ADDIN CSL_CITATION {"citationItems":[{"id":"ITEM-1","itemData":{"DOI":"10.1016/j.polymdegradstab.2015.09.010","ISSN":"01413910","abstract":"The durability of fiber-reinforced polymer (FRP) composite materials in humid and harsh environments is an important consideration for acceptance of these materials in civil engineering applications. Reducing the moisture ingress may improve the durability of FRPs. The addition of modified inorganic powder, such as silicate nanoparticles, may improve several important properties of polymers, such as barrier properties, fire retardancy, dimensional stability and mechanical strength. The present work aims to evaluate the effect(s) of the addition of silicate nanoparticles on the durability-related properties of vinylester polymer used as matrix for FRPs in civil engineering applications. To conduct this preliminary study, nanocomposites containing 5% organo-modified or untreated silicate were characterized by using X-Ray Diffraction (XRD) and Transmission Electron Microscopy (TEM). The diffusivity of moisture was measured by immersing samples in a 50 °C water bath. Barrier properties were determined by measuring the maximum water uptake, water absorption rate and coefficient of diffusion. Aging was performed by complete immersion of nanocomposites samples in a NaOH solution at 50 °C. Scanning Electron Microscopy (SEM), tensile tests and Fourier Transform Infrared spectroscopy (FTIR) analyses were performed before and after conditioning to evaluate the matrix degradation. Experimental results show that the use of organo-silicate leads to an improvement of barrier properties characterized by a decrease of the coefficient of diffusion. It also increases mechanical properties and leads to a significant decrease of chemical degradation.","author":[{"dropping-particle":"","family":"Gauvin","given":"Florent","non-dropping-particle":"","parse-names":false,"suffix":""},{"dropping-particle":"","family":"Robert","given":"Mathieu","non-dropping-particle":"","parse-names":false,"suffix":""}],"container-title":"Polymer Degradation and Stability","id":"ITEM-1","issued":{"date-parts":[["2015"]]},"page":"359-368","publisher":"Elsevier Ltd","title":"Durability study of vinylester/silicate nanocomposites for civil engineering applications","type":"article-journal","volume":"121"},"uris":["http://www.mendeley.com/documents/?uuid=ff82eb58-b298-462f-bf92-92230dd88adf"]},{"id":"ITEM-2","itemData":{"author":[{"dropping-particle":"","family":"Drozdov","given":"A D","non-dropping-particle":"","parse-names":false,"suffix":""},{"dropping-particle":"","family":"Christiansen","given":"J","non-dropping-particle":"","parse-names":false,"suffix":""},{"dropping-particle":"","family":"Gupta","given":"R K","non-dropping-particle":"","parse-names":false,"suffix":""},{"dropping-particle":"","family":"Shah","given":"A P","non-dropping-particle":"","parse-names":false,"suffix":""},{"dropping-particle":"","family":"Virginia","given":"West","non-dropping-particle":"","parse-names":false,"suffix":""}],"id":"ITEM-2","issued":{"date-parts":[["2002"]]},"page":"476-492","title":"Model for Anomalous Moisture Diffusion through a Polymer – Clay Nanocomposite","type":"article-journal"},"uris":["http://www.mendeley.com/documents/?uuid=46590883-deb7-4f58-9080-b5628caeab9e"]},{"id":"ITEM-3","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Science","id":"ITEM-3","issue":"10","issued":{"date-parts":[["2013"]]},"page":"3798-3804","title":"Mechanical properties and water uptake of epoxy-clay nanocomposites containing different clay loadings","type":"article-journal","volume":"48"},"uris":["http://www.mendeley.com/documents/?uuid=6f2c854f-86b7-4990-a430-a346c84517ac"]}],"mendeley":{"formattedCitation":"[78,80,82]","plainTextFormattedCitation":"[78,80,82]","previouslyFormattedCitation":"[78,80,82]"},"properties":{"noteIndex":0},"schema":"https://github.com/citation-style-language/schema/raw/master/csl-citation.json"}</w:instrText>
      </w:r>
      <w:r>
        <w:fldChar w:fldCharType="separate"/>
      </w:r>
      <w:r w:rsidR="004F42A2" w:rsidRPr="004F42A2">
        <w:rPr>
          <w:noProof/>
        </w:rPr>
        <w:t>[78,80,82]</w:t>
      </w:r>
      <w:r>
        <w:fldChar w:fldCharType="end"/>
      </w:r>
      <w:r>
        <w:t xml:space="preserve">, carbon nanofibers </w:t>
      </w:r>
      <w:r>
        <w:fldChar w:fldCharType="begin" w:fldLock="1"/>
      </w:r>
      <w:r w:rsidR="00B274D5">
        <w:instrText>ADDIN CSL_CITATION {"citationItems":[{"id":"ITEM-1","itemData":{"DOI":"10.1016/j.compositesb.2015.03.088","ISSN":"13598368","abstract":"Four polyester composites (neat polyester, polyester reinforced with glass fibers, polyester reinforced with carbon nanofibers, and polyester reinforced with both glass fibers and carbon nanofibers) were prepared with the Vacuum Assisted Resin Transfer Molding (VARTM) process. These material systems were exposed to 60 °C/60% RH for 3600 h. Diffusivity was determined using moisture uptake curves. And, it was discovered that the addition of glass fibers (GFs) increased diffusivity, while the addition of carbon nanofibers (CNF) decreased diffusivity. Optical analysis was performed on the manually delaminated glass fiber reinforced polymer (GFRP) and nano-enhanced GFRP. This analysis indicated that the addition of CNF retarded the degradation of the matrix after exposure to elevated heat and humidity. Thermo-mechanical analysis was performed across material systems during various stages of the environmental preconditioning to determine alterations in properties such as storage modulus (SM) and glass transition temperature (T&lt;inf&gt;g&lt;/inf&gt;). The addition of GF to the system initially increased the maximum storage modulus, it also increased degradation from elevated heat and humidity exposure In contrast with GF, the addition of CNF retarded SM degradation and increased thermal stability. Upon re-drying, the nano-enhanced material systems recouped more than 90% of the maximum SM and maintained a T&lt;inf&gt;g&lt;/inf&gt; between the baseline and saturated hygrothermal treatments. This indicated both a reversible plasticization and an irreversible retarded degradation which could be potentially attributed to the addition of CNF.","author":[{"dropping-particle":"","family":"Jefferson","given":"Gail D.","non-dropping-particle":"","parse-names":false,"suffix":""},{"dropping-particle":"","family":"Farah","given":"Basil","non-dropping-particle":"","parse-names":false,"suffix":""},{"dropping-particle":"","family":"Hempowicz","given":"Michael L.","non-dropping-particle":"","parse-names":false,"suffix":""},{"dropping-particle":"","family":"Hsiao","given":"Kuang Ting","non-dropping-particle":"","parse-names":false,"suffix":""}],"container-title":"Composites Part B: Engineering","id":"ITEM-1","issued":{"date-parts":[["2015"]]},"page":"319-323","title":"Influence of hygrothermal aging on carbon nanofiber enhanced polyester material systems","type":"article-journal","volume":"78"},"uris":["http://www.mendeley.com/documents/?uuid=48af7681-becc-4ec4-b641-4ad0d2f7cca1"]}],"mendeley":{"formattedCitation":"[83]","plainTextFormattedCitation":"[83]","previouslyFormattedCitation":"[83]"},"properties":{"noteIndex":0},"schema":"https://github.com/citation-style-language/schema/raw/master/csl-citation.json"}</w:instrText>
      </w:r>
      <w:r>
        <w:fldChar w:fldCharType="separate"/>
      </w:r>
      <w:r w:rsidR="004F42A2" w:rsidRPr="004F42A2">
        <w:rPr>
          <w:noProof/>
        </w:rPr>
        <w:t>[83]</w:t>
      </w:r>
      <w:r>
        <w:fldChar w:fldCharType="end"/>
      </w:r>
      <w:r>
        <w:t xml:space="preserve">, and </w:t>
      </w:r>
      <w:proofErr w:type="spellStart"/>
      <w:r>
        <w:t>nanographene</w:t>
      </w:r>
      <w:proofErr w:type="spellEnd"/>
      <w:r>
        <w:t xml:space="preserve"> </w:t>
      </w:r>
      <w:r>
        <w:fldChar w:fldCharType="begin" w:fldLock="1"/>
      </w:r>
      <w:r w:rsidR="00B274D5">
        <w:instrText>ADDIN CSL_CITATION {"citationItems":[{"id":"ITEM-1","itemData":{"DOI":"10.1016/j.compstruct.2014.11.044","ISSN":"02638223","abstract":"This paper aims to study the anomalous two-stage moisture diffusion in baseline thermoset epoxy (EPON 862), and in nanographene platelet (NGP) reinforced epoxy. The deviation from Fickian diffusion is assumed to be intrinsically dependent on the time varying viscoelastic response of the epoxy and its nanoparticle reinforced polymer nanocomposite. A novel viscoelasticity based model has been formulated which aims to capture the response of the two-stage moisture absorption response, incorporating the effect of time-dependent relaxation of the material, and random orientation and aspect ratio of the NGPs on the moisture absorption. Moisture uptake experiments at 60. °C and 90% relative humidity were performed in an environmental chamber for five different weight percentages (wt%) ranging from 0.1% to 3% NGPs and their response was compared with baseline epoxy specimens. Upon benchmarking to extract modeling parameters, the model was used to predict anomalous moisture uptake for 0.1 and 2. wt% NGP. Good agreement between the model prediction and experimental data for benchmark cases was observed.","author":[{"dropping-particle":"","family":"Kumar","given":"Abhishek","non-dropping-particle":"","parse-names":false,"suffix":""},{"dropping-particle":"","family":"Roy","given":"Samit","non-dropping-particle":"","parse-names":false,"suffix":""}],"container-title":"Composite Structures","id":"ITEM-1","issued":{"date-parts":[["2015"]]},"page":"1-7","publisher":"Elsevier Ltd","title":"Modeling of anomalous moisture diffusion in nanographene reinforced thermoset polymers","type":"article-journal","volume":"122"},"uris":["http://www.mendeley.com/documents/?uuid=b232d758-317b-4171-870c-e8e9566eb5fa"]}],"mendeley":{"formattedCitation":"[79]","plainTextFormattedCitation":"[79]","previouslyFormattedCitation":"[79]"},"properties":{"noteIndex":0},"schema":"https://github.com/citation-style-language/schema/raw/master/csl-citation.json"}</w:instrText>
      </w:r>
      <w:r>
        <w:fldChar w:fldCharType="separate"/>
      </w:r>
      <w:r w:rsidR="004F42A2" w:rsidRPr="004F42A2">
        <w:rPr>
          <w:noProof/>
        </w:rPr>
        <w:t>[79]</w:t>
      </w:r>
      <w:r>
        <w:fldChar w:fldCharType="end"/>
      </w:r>
      <w:r w:rsidRPr="00545FB1">
        <w:t xml:space="preserve">. </w:t>
      </w:r>
      <w:r w:rsidRPr="00494575">
        <w:t>Type (i.e. nanofibers, nanoclay</w:t>
      </w:r>
      <w:r w:rsidR="00980A92">
        <w:t>,</w:t>
      </w:r>
      <w:r w:rsidRPr="00494575">
        <w:t xml:space="preserve"> and nano-glass spheres)</w:t>
      </w:r>
      <w:r w:rsidR="008A1D6F">
        <w:t>,</w:t>
      </w:r>
      <w:r w:rsidRPr="00494575">
        <w:t xml:space="preserve"> amount of nano-filler</w:t>
      </w:r>
      <w:r w:rsidR="008A1D6F">
        <w:t>,</w:t>
      </w:r>
      <w:r w:rsidRPr="00494575">
        <w:t xml:space="preserve"> and </w:t>
      </w:r>
      <w:r w:rsidRPr="00494575">
        <w:lastRenderedPageBreak/>
        <w:t xml:space="preserve">polymer usually determine the extent of enhancement in material properties. </w:t>
      </w:r>
      <w:r w:rsidR="004F42A2">
        <w:t>R</w:t>
      </w:r>
      <w:r w:rsidRPr="00494575">
        <w:t>esearcher</w:t>
      </w:r>
      <w:r w:rsidR="004F42A2">
        <w:t>s</w:t>
      </w:r>
      <w:r w:rsidRPr="00494575">
        <w:t xml:space="preserve"> reported that nanoclay addition increases Young’s modulus, tensile </w:t>
      </w:r>
      <w:r>
        <w:t>strength</w:t>
      </w:r>
      <w:r w:rsidR="00312CCD">
        <w:t>,</w:t>
      </w:r>
      <w:r>
        <w:t xml:space="preserve"> and hardness in nylon </w:t>
      </w:r>
      <w:r w:rsidRPr="00494575">
        <w:t>6</w:t>
      </w:r>
      <w:r>
        <w:t xml:space="preserve">-6 </w:t>
      </w:r>
      <w:r>
        <w:fldChar w:fldCharType="begin" w:fldLock="1"/>
      </w:r>
      <w:r w:rsidR="00B274D5">
        <w:instrText>ADDIN CSL_CITATION {"citationItems":[{"id":"ITEM-1","itemData":{"DOI":"10.1016/j.polymer.2004.03.036","ISBN":"0032-3861","ISSN":"00323861","PMID":"12","abstract":"Nanoindentation technique has been used to investigate the mechanical properties of exfoliated nylon 66 (PA66)/clay nanocomposites in present study. The hardness, elastic modulus and creep behavior of the nanocomposites have been evaluated as a function of clay concentration. It indicates that incorporation of clay nanofiller enhances the hardness and elastic modulus of the matrix. The elastic modulus data calculated from indentation load-displacement experiments are comparable with those obtained from dynamic mechanical analysis and the tensile tests. However, the creep behavior of the nanocomposites shows an unexpected increasing trend as the clay loading increases (up to 5wt%). The lowered creep resistance with increasing clay content is mainly due to the decrease of crystal size and degree of crystallinity as a result of clay addition into PA66 matrix, as evidenced by optical microscopy and X-ray diffraction. At lower clay concentration (here ≤5wt%), morphological changes due to addition of clay plays the dominant role in creep behavior compared with the reinforcement effect from nanoclay. © 2004 Elsevier Ltd. All rights reserved.","author":[{"dropping-particle":"","family":"Shen","given":"Lu","non-dropping-particle":"","parse-names":false,"suffix":""},{"dropping-particle":"","family":"Phang","given":"In Yee","non-dropping-particle":"","parse-names":false,"suffix":""},{"dropping-particle":"","family":"Chen","given":"Ling","non-dropping-particle":"","parse-names":false,"suffix":""},{"dropping-particle":"","family":"Liu","given":"Tianxi","non-dropping-particle":"","parse-names":false,"suffix":""},{"dropping-particle":"","family":"Zeng","given":"Kaiyang","non-dropping-particle":"","parse-names":false,"suffix":""}],"container-title":"Polymer","id":"ITEM-1","issue":"10","issued":{"date-parts":[["2004"]]},"page":"3341-3349","title":"Nanoindentation and morphological studies on nylon 66 nanocomposites. I. Effect of clay loading","type":"article-journal","volume":"45"},"uris":["http://www.mendeley.com/documents/?uuid=92ec3aaa-3315-4015-90b3-d0c59eec308e"]}],"mendeley":{"formattedCitation":"[84]","plainTextFormattedCitation":"[84]","previouslyFormattedCitation":"[84]"},"properties":{"noteIndex":0},"schema":"https://github.com/citation-style-language/schema/raw/master/csl-citation.json"}</w:instrText>
      </w:r>
      <w:r>
        <w:fldChar w:fldCharType="separate"/>
      </w:r>
      <w:r w:rsidR="004F42A2" w:rsidRPr="004F42A2">
        <w:rPr>
          <w:noProof/>
        </w:rPr>
        <w:t>[84]</w:t>
      </w:r>
      <w:r>
        <w:fldChar w:fldCharType="end"/>
      </w:r>
      <w:r w:rsidR="004F42A2">
        <w:t xml:space="preserve"> and in epoxy </w:t>
      </w:r>
      <w:r w:rsidR="004F42A2">
        <w:fldChar w:fldCharType="begin" w:fldLock="1"/>
      </w:r>
      <w:r w:rsidR="00B274D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mendeley":{"formattedCitation":"[26]","plainTextFormattedCitation":"[26]","previouslyFormattedCitation":"[26]"},"properties":{"noteIndex":0},"schema":"https://github.com/citation-style-language/schema/raw/master/csl-citation.json"}</w:instrText>
      </w:r>
      <w:r w:rsidR="004F42A2">
        <w:fldChar w:fldCharType="separate"/>
      </w:r>
      <w:r w:rsidR="004F42A2" w:rsidRPr="004F42A2">
        <w:rPr>
          <w:noProof/>
        </w:rPr>
        <w:t>[26]</w:t>
      </w:r>
      <w:r w:rsidR="004F42A2">
        <w:fldChar w:fldCharType="end"/>
      </w:r>
      <w:r w:rsidRPr="00494575">
        <w:t>, interlaminar sheer strength, flexural strength</w:t>
      </w:r>
      <w:r w:rsidR="00980A92">
        <w:t>,</w:t>
      </w:r>
      <w:r w:rsidRPr="00494575">
        <w:t xml:space="preserve"> and modulus in S2-glass/e</w:t>
      </w:r>
      <w:r>
        <w:t xml:space="preserve">poxy composite </w:t>
      </w:r>
      <w:r>
        <w:fldChar w:fldCharType="begin" w:fldLock="1"/>
      </w:r>
      <w:r w:rsidR="00B274D5">
        <w:instrText>ADDIN CSL_CITATION {"citationItems":[{"id":"ITEM-1","itemData":{"DOI":"10.1177/002199803035186","ISBN":"1530-793X (Print) 0021-9983 (Online)","ISSN":"00219983","abstract":"This paper is primarily focused in studying the effects of nanoclay particles such as montmorillonite on improving mechanical and thermal properties of fiber reinforced polymer matrix composite materials. Basic correlations between polymer morphology, strength, modulus, toughness, and thermal stability of thermoset nanocomposites were investigated as a function of layered silicate content. S2-glass/epoxy-clay nanocomposites were manufactured through an affordable vacuum assisted resin infusion method (VARIM). The nanocomposites are formed during polymerization when the adsorbing monomer separates the clay particles into nanometer scales. Transmission electron microscopy (TEM) and wide angle X-ray diffraction(WAXD) were used to characterize the morphology of the dispersed clay particles. The thermal properties such as onset of decomposition and glass transition temperatures were determined by Thermo Gravimetric Analysis (TGA) and Dynamic Modulus Analyzer (DMA). Mechanical properties such as interlaminar shear strength, flexural properties and fracture toughness are also determined for both conventional S2-glass/epoxy composites and S2-glass fiber reinforced nanocomposites. The results show significant improvements in mechanical and thermal properties of conventional fiber reinforced composites with low loading of organo silicate nanoparticles. By dispersing 1% by weight nanosilicates, S2-glass/epoxy-clay nanocomposites attributed to almost 44, 24 and 23% improvement in interlaminar shear strength, flexural strength and fracture toughness in comparison to conventional S2-glass/epoxy composites. Similarly, the nanocomposites exhibit approximately 26 C higher decomposition temperatures than that of conventional composites. This improved properties of fiber reinforced polymer nanocomposites are achieved mostly due to increased interfacial surface areas, improved bond characteristics and intercalated/exfoliated morphology of the epoxy-clay nanocomposites. The TEM observations provide evidence of detailed morphology of the polymer layered-clay nanocomposites.","author":[{"dropping-particle":"","family":"Haque","given":"A.","non-dropping-particle":"","parse-names":false,"suffix":""},{"dropping-particle":"","family":"Shamsuzzoha","given":"M.","non-dropping-particle":"","parse-names":false,"suffix":""},{"dropping-particle":"","family":"Hussain","given":"F.","non-dropping-particle":"","parse-names":false,"suffix":""},{"dropping-particle":"","family":"Dean","given":"D.","non-dropping-particle":"","parse-names":false,"suffix":""}],"container-title":"Journal of Composite Materials","id":"ITEM-1","issue":"20","issued":{"date-parts":[["2003"]]},"page":"1821-1838","title":"S2-glass/epoxy polymer nanocomposites: Manufacturing, structures, thermal and mechanical properties","type":"article-journal","volume":"37"},"uris":["http://www.mendeley.com/documents/?uuid=92d0aa1d-a2ce-4d3b-acd0-e9f1faff6b47"]}],"mendeley":{"formattedCitation":"[85]","plainTextFormattedCitation":"[85]","previouslyFormattedCitation":"[85]"},"properties":{"noteIndex":0},"schema":"https://github.com/citation-style-language/schema/raw/master/csl-citation.json"}</w:instrText>
      </w:r>
      <w:r>
        <w:fldChar w:fldCharType="separate"/>
      </w:r>
      <w:r w:rsidR="004F42A2" w:rsidRPr="004F42A2">
        <w:rPr>
          <w:noProof/>
        </w:rPr>
        <w:t>[85]</w:t>
      </w:r>
      <w:r>
        <w:fldChar w:fldCharType="end"/>
      </w:r>
      <w:r w:rsidRPr="00494575">
        <w:t>, flexural strength and modulus, storage and loss modulus</w:t>
      </w:r>
      <w:r>
        <w:t>,</w:t>
      </w:r>
      <w:r w:rsidRPr="00494575">
        <w:t xml:space="preserve"> and glass transiti</w:t>
      </w:r>
      <w:r>
        <w:t xml:space="preserve">on temperature in SC15 epoxy </w:t>
      </w:r>
      <w:r>
        <w:fldChar w:fldCharType="begin" w:fldLock="1"/>
      </w:r>
      <w:r w:rsidR="00B274D5">
        <w:instrText>ADDIN CSL_CITATION {"citationItems":[{"id":"ITEM-1","itemData":{"DOI":"10.1177/0731684417691365","ISSN":"15307964","abstract":"Mechanical and viscoelastic properties of polymer nanocomposites reinforced with carboxyl functionalized multiwalled carbon nanotubes (COOH-MWCNT), montmorillonite nanoclays (MMT), and MWCNT/MMT binary nanoparticle were investigated. In this study, 0.3?wt% of COOH-MWCNT, 2?wt% of MMT, and 0.1?wt% COOH-MWCNT/2?wt% MMT binary nanoparticles by weight of epoxy were incorporated to modify SC-15 epoxy resin system. Nanocomposites were subjected to flexural test, dynamic mechanical, and thermomechanical analyses. Morphological study was conducted with microscopy. Addition of each of the nanoparticles in epoxy showed significant improvement in the mechanical and viscoelastic properties compared to those of the control ones. However, best results were obtained by addition of 0.1% MWCNT/2% MMT binary nanoparticles in epoxy. Nanocomposites modified with binary nanoparticles exhibited about 20% increase in storage modulus as well as 25? increase in the glass transition temperature. Flexural modulus for binary nanoparticle modified composites depicted about 30% improvement compared to the control ones. Thus, improvement of mechanical and viscoelastic properties was achieved by incorporating binary nanoparticles to epoxy nanocomposites. The increase in properties was attributed to the synergistic effect of MWCNTs and nanoclay in chemically interacting with each other and epoxy resin as well as in arresting and delaying the crack growth, once initiated.","author":[{"dropping-particle":"","family":"Hosur","given":"Mahesh","non-dropping-particle":"","parse-names":false,"suffix":""},{"dropping-particle":"","family":"Mahdi","given":"Tanjheel H.","non-dropping-particle":"","parse-names":false,"suffix":""},{"dropping-particle":"","family":"Islam","given":"Mohammad E.","non-dropping-particle":"","parse-names":false,"suffix":""},{"dropping-particle":"","family":"Jeelani","given":"S.","non-dropping-particle":"","parse-names":false,"suffix":""}],"container-title":"Journal of Reinforced Plastics and Composites","id":"ITEM-1","issue":"9","issued":{"date-parts":[["2017"]]},"page":"667-684","title":"Mechanical and viscoelastic properties of epoxy nanocomposites reinforced with carbon nanotubes, nanoclay, and binary nanoparticles","type":"article-journal","volume":"36"},"uris":["http://www.mendeley.com/documents/?uuid=9648de2e-a4e4-4f91-a132-a2db0e97be45"]}],"mendeley":{"formattedCitation":"[86]","plainTextFormattedCitation":"[86]","previouslyFormattedCitation":"[86]"},"properties":{"noteIndex":0},"schema":"https://github.com/citation-style-language/schema/raw/master/csl-citation.json"}</w:instrText>
      </w:r>
      <w:r>
        <w:fldChar w:fldCharType="separate"/>
      </w:r>
      <w:r w:rsidR="004F42A2" w:rsidRPr="004F42A2">
        <w:rPr>
          <w:noProof/>
        </w:rPr>
        <w:t>[86]</w:t>
      </w:r>
      <w:r>
        <w:fldChar w:fldCharType="end"/>
      </w:r>
      <w:r w:rsidRPr="00494575">
        <w:t xml:space="preserve"> and flexural strength and modulus, tensile strength and modulu</w:t>
      </w:r>
      <w:r>
        <w:t xml:space="preserve">s in HDPE/pine bio composite </w:t>
      </w:r>
      <w:r>
        <w:fldChar w:fldCharType="begin" w:fldLock="1"/>
      </w:r>
      <w:r w:rsidR="009A64D0">
        <w:instrText>ADDIN CSL_CITATION {"citationItems":[{"id":"ITEM-1","itemData":{"DOI":"10.1002/app.27048","ISSN":"0021-8995","abstract":"Abstract Composites based on high density polyethylene (HDPE), pine flour, and organic clay were made by melt compounding and then injection molding. The influence of clay on crystallization behavior, mechanical properties, water absorption, and thermal stability of HDPE/pine composites was investigated. The HDPE/pine composites containing exfoliated clay were made by a two?step melt compounding procedure with the aid of a maleated polyethylene (MAPE). The use of 2% clay decreased the crystallization temperature (Tc), crystallization rate, and the crystallinity level of the HDPE/pine composites, but did not change the crystalline thickness. When 2% MAPE was added, the crystallization rate increased, but the crystallinity level was further lowered. The flexural and tensile strength of HDPE/pine composites increased about 20 and 24%, respectively, with addition of 1% clay, but then decreased slightly as the clay content increased to 3%. The tensile modulus and tensile elongation were also increased with the addition of 1% clay. The impact strength was lowered about 7% by 1% clay, but did not decrease further as more clay was added. The MAPE improved the state of dispersion in the composites. Moisture content and thickness swelling of the HDPE/pine composites was reduced by the clay, but the clay did not improve the composite thermal stability. ? 2007 Wiley Periodicals, Inc. J Appl Polym Sci 2007","author":[{"dropping-particle":"","family":"Lei","given":"Yong","non-dropping-particle":"","parse-names":false,"suffix":""},{"dropping-particle":"","family":"Wu","given":"Qinglin","non-dropping-particle":"","parse-names":false,"suffix":""},{"dropping-particle":"","family":"Clemons","given":"Craig M.","non-dropping-particle":"","parse-names":false,"suffix":""},{"dropping-particle":"","family":"Yao","given":"Fei","non-dropping-particle":"","parse-names":false,"suffix":""},{"dropping-particle":"","family":"Xu","given":"Yanjun","non-dropping-particle":"","parse-names":false,"suffix":""}],"container-title":"Journal of Applied Polymer Science","id":"ITEM-1","issue":"6","issued":{"date-parts":[["2007","9","4"]]},"note":"doi: 10.1002/app.27048","page":"3958-3966","publisher":"Wiley-Blackwell","title":"Influence of nanoclay on properties of HDPE/wood composites","type":"article-journal","volume":"106"},"uris":["http://www.mendeley.com/documents/?uuid=7926f37c-7e9d-403b-8a85-076b23224958"]}],"mendeley":{"formattedCitation":"[87]","plainTextFormattedCitation":"[87]","previouslyFormattedCitation":"[87]"},"properties":{"noteIndex":0},"schema":"https://github.com/citation-style-language/schema/raw/master/csl-citation.json"}</w:instrText>
      </w:r>
      <w:r>
        <w:fldChar w:fldCharType="separate"/>
      </w:r>
      <w:r w:rsidR="004F42A2" w:rsidRPr="004F42A2">
        <w:rPr>
          <w:noProof/>
        </w:rPr>
        <w:t>[87]</w:t>
      </w:r>
      <w:r>
        <w:fldChar w:fldCharType="end"/>
      </w:r>
      <w:r w:rsidRPr="00494575">
        <w:t>.</w:t>
      </w:r>
      <w:r>
        <w:t xml:space="preserve"> </w:t>
      </w:r>
      <w:r w:rsidRPr="00494575">
        <w:t xml:space="preserve">Addition of nanoclay in polymers may improve properties in short term but </w:t>
      </w:r>
      <w:r>
        <w:t>may cause further degeneration</w:t>
      </w:r>
      <w:r w:rsidRPr="00494575">
        <w:t xml:space="preserve"> in long term due to environmental damage. </w:t>
      </w:r>
    </w:p>
    <w:p w14:paraId="5A97D555" w14:textId="41DDAEDC" w:rsidR="00D2198E" w:rsidRDefault="00D2198E" w:rsidP="00C730E9">
      <w:r>
        <w:t>Absorption behavior of nano-inclusion</w:t>
      </w:r>
      <w:r w:rsidRPr="00494575">
        <w:t xml:space="preserve"> reinforced polymers might give insight on the degree of degradation. However, diffusion kinetics of the composite depend on </w:t>
      </w:r>
      <w:r>
        <w:t>the type of polymer and nano-inclusion</w:t>
      </w:r>
      <w:r w:rsidRPr="00494575">
        <w:t>. Gauvin and Robert</w:t>
      </w:r>
      <w:r>
        <w:t xml:space="preserve"> </w:t>
      </w:r>
      <w:r>
        <w:fldChar w:fldCharType="begin" w:fldLock="1"/>
      </w:r>
      <w:r w:rsidR="00B274D5">
        <w:instrText>ADDIN CSL_CITATION {"citationItems":[{"id":"ITEM-1","itemData":{"DOI":"10.1016/j.polymdegradstab.2015.09.010","ISSN":"01413910","abstract":"The durability of fiber-reinforced polymer (FRP) composite materials in humid and harsh environments is an important consideration for acceptance of these materials in civil engineering applications. Reducing the moisture ingress may improve the durability of FRPs. The addition of modified inorganic powder, such as silicate nanoparticles, may improve several important properties of polymers, such as barrier properties, fire retardancy, dimensional stability and mechanical strength. The present work aims to evaluate the effect(s) of the addition of silicate nanoparticles on the durability-related properties of vinylester polymer used as matrix for FRPs in civil engineering applications. To conduct this preliminary study, nanocomposites containing 5% organo-modified or untreated silicate were characterized by using X-Ray Diffraction (XRD) and Transmission Electron Microscopy (TEM). The diffusivity of moisture was measured by immersing samples in a 50 °C water bath. Barrier properties were determined by measuring the maximum water uptake, water absorption rate and coefficient of diffusion. Aging was performed by complete immersion of nanocomposites samples in a NaOH solution at 50 °C. Scanning Electron Microscopy (SEM), tensile tests and Fourier Transform Infrared spectroscopy (FTIR) analyses were performed before and after conditioning to evaluate the matrix degradation. Experimental results show that the use of organo-silicate leads to an improvement of barrier properties characterized by a decrease of the coefficient of diffusion. It also increases mechanical properties and leads to a significant decrease of chemical degradation.","author":[{"dropping-particle":"","family":"Gauvin","given":"Florent","non-dropping-particle":"","parse-names":false,"suffix":""},{"dropping-particle":"","family":"Robert","given":"Mathieu","non-dropping-particle":"","parse-names":false,"suffix":""}],"container-title":"Polymer Degradation and Stability","id":"ITEM-1","issued":{"date-parts":[["2015"]]},"page":"359-368","publisher":"Elsevier Ltd","title":"Durability study of vinylester/silicate nanocomposites for civil engineering applications","type":"article-journal","volume":"121"},"uris":["http://www.mendeley.com/documents/?uuid=ff82eb58-b298-462f-bf92-92230dd88adf"]}],"mendeley":{"formattedCitation":"[82]","plainTextFormattedCitation":"[82]","previouslyFormattedCitation":"[82]"},"properties":{"noteIndex":0},"schema":"https://github.com/citation-style-language/schema/raw/master/csl-citation.json"}</w:instrText>
      </w:r>
      <w:r>
        <w:fldChar w:fldCharType="separate"/>
      </w:r>
      <w:r w:rsidR="004F42A2" w:rsidRPr="004F42A2">
        <w:rPr>
          <w:noProof/>
        </w:rPr>
        <w:t>[82]</w:t>
      </w:r>
      <w:r>
        <w:fldChar w:fldCharType="end"/>
      </w:r>
      <w:r w:rsidRPr="00494575">
        <w:t xml:space="preserve"> state that equilibrium moisture content of vinyl ester increased by 110% and 10% by the addition of 5 wt</w:t>
      </w:r>
      <w:r>
        <w:t>.</w:t>
      </w:r>
      <w:r w:rsidRPr="00494575">
        <w:t>% synthetic fluorinated silicate mica nanoclay and ODA-modified nanoclay, respect</w:t>
      </w:r>
      <w:r>
        <w:t xml:space="preserve">ively. In contrast, Kim and Kim </w:t>
      </w:r>
      <w:r>
        <w:fldChar w:fldCharType="begin" w:fldLock="1"/>
      </w:r>
      <w:r w:rsidR="00B274D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mendeley":{"formattedCitation":"[26]","plainTextFormattedCitation":"[26]","previouslyFormattedCitation":"[26]"},"properties":{"noteIndex":0},"schema":"https://github.com/citation-style-language/schema/raw/master/csl-citation.json"}</w:instrText>
      </w:r>
      <w:r>
        <w:fldChar w:fldCharType="separate"/>
      </w:r>
      <w:r w:rsidRPr="00454ED5">
        <w:rPr>
          <w:noProof/>
        </w:rPr>
        <w:t>[26]</w:t>
      </w:r>
      <w:r>
        <w:fldChar w:fldCharType="end"/>
      </w:r>
      <w:r w:rsidRPr="00494575">
        <w:t xml:space="preserve"> show that 1 wt</w:t>
      </w:r>
      <w:r>
        <w:t>.</w:t>
      </w:r>
      <w:r w:rsidRPr="00494575">
        <w:t>% surface-modified montmorillonite nanoclay addition in epoxy resin results in 44.3% less moisture absorption than neat epoxy in 250 hours. Likewise, nanoclay inclusion in polymer has varying effects on diffusivity</w:t>
      </w:r>
      <w:r>
        <w:t xml:space="preserve">. </w:t>
      </w:r>
      <w:proofErr w:type="spellStart"/>
      <w:r>
        <w:t>Cloisite</w:t>
      </w:r>
      <w:proofErr w:type="spellEnd"/>
      <w:r>
        <w:t xml:space="preserve"> 30B in bio-resin </w:t>
      </w:r>
      <w:r>
        <w:fldChar w:fldCharType="begin" w:fldLock="1"/>
      </w:r>
      <w:r w:rsidR="00B274D5">
        <w:instrText>ADDIN CSL_CITATION {"citationItems":[{"id":"ITEM-1","itemData":{"DOI":"10.1002/mame.201300473","ISSN":"14392054","abstract":"© 2014 WILEY-VCH Verlag GmbH  &amp;  Co. KGaA, Weinheim. Hybrid bio-based composites from blends of petroleum and vegetable oil resins reinforced with natural fibers and nanoclay platelets can lead to synergistic property enhancements from the multi-scale constituents. Twelve material designs with average hemp fiber content of 30 wt%, varying nanoclay, up to 5 wt%, and epoxidized methyl linseedate (EML), up to 30%, in unsaturated polyester (UPE) were processed and their tensile, impact, and moisture properties were experimentally characterized. The resulting biocomposites displayed synergistic behavior with the effects of bio-resin addition being complemented by nanoclay and vice versa. Optimal performance with balanced properties (stiffness, toughness, and resistance to moisture absorption) was observed in material systems with 2.5 wt% nanoclay and up to 20% EML. Overall, hybrid biocomposites show promise in applications that require excellent stiffnesstoughness balance.","author":[{"dropping-particle":"","family":"Haq","given":"Mahmoodul","non-dropping-particle":"","parse-names":false,"suffix":""},{"dropping-particle":"","family":"Burgueño","given":"Rigoberto","non-dropping-particle":"","parse-names":false,"suffix":""},{"dropping-particle":"","family":"Mohanty","given":"Amar K.","non-dropping-particle":"","parse-names":false,"suffix":""},{"dropping-particle":"","family":"Misra","given":"Manjusri","non-dropping-particle":"","parse-names":false,"suffix":""}],"container-title":"Macromolecular Materials and Engineering","id":"ITEM-1","issue":"11","issued":{"date-parts":[["2014"]]},"page":"1306-1315","title":"Hybrid bio-based composites from UPE/EML blends, natural fibers, and nanoclay","type":"article-journal","volume":"299"},"uris":["http://www.mendeley.com/documents/?uuid=f9bfbe53-9795-4f89-babd-109ed5bb23d0"]}],"mendeley":{"formattedCitation":"[88]","plainTextFormattedCitation":"[88]","previouslyFormattedCitation":"[88]"},"properties":{"noteIndex":0},"schema":"https://github.com/citation-style-language/schema/raw/master/csl-citation.json"}</w:instrText>
      </w:r>
      <w:r>
        <w:fldChar w:fldCharType="separate"/>
      </w:r>
      <w:r w:rsidR="004F42A2" w:rsidRPr="004F42A2">
        <w:rPr>
          <w:noProof/>
        </w:rPr>
        <w:t>[88]</w:t>
      </w:r>
      <w:r>
        <w:fldChar w:fldCharType="end"/>
      </w:r>
      <w:r w:rsidRPr="00494575">
        <w:t xml:space="preserve"> and 5 wt</w:t>
      </w:r>
      <w:r>
        <w:t>.</w:t>
      </w:r>
      <w:r w:rsidRPr="00494575">
        <w:t xml:space="preserve">% </w:t>
      </w:r>
      <w:proofErr w:type="spellStart"/>
      <w:r w:rsidRPr="00494575">
        <w:t>Cloisite</w:t>
      </w:r>
      <w:proofErr w:type="spellEnd"/>
      <w:r w:rsidRPr="00494575">
        <w:t xml:space="preserve"> 15A in epoxy</w:t>
      </w:r>
      <w:r>
        <w:t xml:space="preserve"> </w:t>
      </w:r>
      <w:r>
        <w:fldChar w:fldCharType="begin" w:fldLock="1"/>
      </w:r>
      <w:r w:rsidR="00430285">
        <w:instrText>ADDIN CSL_CITATION {"citationItems":[{"id":"ITEM-1","itemData":{"DOI":"10.1002/vnl.21367","ISSN":"1083-5601","abstract":"This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[3]","plainTextFormattedCitation":"[3]","previouslyFormattedCitation":"[11]"},"properties":{"noteIndex":0},"schema":"https://github.com/citation-style-language/schema/raw/master/csl-citation.json"}</w:instrText>
      </w:r>
      <w:r>
        <w:fldChar w:fldCharType="separate"/>
      </w:r>
      <w:r w:rsidR="00430285" w:rsidRPr="00430285">
        <w:rPr>
          <w:noProof/>
        </w:rPr>
        <w:t>[3]</w:t>
      </w:r>
      <w:r>
        <w:fldChar w:fldCharType="end"/>
      </w:r>
      <w:r>
        <w:t xml:space="preserve"> </w:t>
      </w:r>
      <w:r w:rsidRPr="00494575">
        <w:t xml:space="preserve">results in </w:t>
      </w:r>
      <w:r w:rsidR="00485B74">
        <w:t xml:space="preserve">a </w:t>
      </w:r>
      <w:r w:rsidRPr="00494575">
        <w:t>decrease in diffusivity; on the other hand, 5 wt</w:t>
      </w:r>
      <w:r>
        <w:t>.</w:t>
      </w:r>
      <w:r w:rsidRPr="00494575">
        <w:t xml:space="preserve">% </w:t>
      </w:r>
      <w:proofErr w:type="spellStart"/>
      <w:r w:rsidRPr="00494575">
        <w:t>Cloisite</w:t>
      </w:r>
      <w:proofErr w:type="spellEnd"/>
      <w:r w:rsidRPr="00494575">
        <w:t xml:space="preserve"> Na in epoxy i</w:t>
      </w:r>
      <w:r>
        <w:t xml:space="preserve">ncreases diffusivity by 71% </w:t>
      </w:r>
      <w:r>
        <w:fldChar w:fldCharType="begin" w:fldLock="1"/>
      </w:r>
      <w:r w:rsidR="00430285">
        <w:instrText>ADDIN CSL_CITATION {"citationItems":[{"id":"ITEM-1","itemData":{"DOI":"10.1002/vnl.21367","ISSN":"1083-5601","abstract":"This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[3]","plainTextFormattedCitation":"[3]","previouslyFormattedCitation":"[11]"},"properties":{"noteIndex":0},"schema":"https://github.com/citation-style-language/schema/raw/master/csl-citation.json"}</w:instrText>
      </w:r>
      <w:r>
        <w:fldChar w:fldCharType="separate"/>
      </w:r>
      <w:r w:rsidR="00430285" w:rsidRPr="00430285">
        <w:rPr>
          <w:noProof/>
        </w:rPr>
        <w:t>[3]</w:t>
      </w:r>
      <w:r>
        <w:fldChar w:fldCharType="end"/>
      </w:r>
      <w:r w:rsidRPr="00494575">
        <w:t xml:space="preserve">. </w:t>
      </w:r>
      <w:r>
        <w:t>Effects of nano-inclusion on moisture absorption is further investigated and modeled in</w:t>
      </w:r>
      <w:r w:rsidR="00822542">
        <w:t xml:space="preserve"> </w:t>
      </w:r>
      <w:r w:rsidR="00822542">
        <w:fldChar w:fldCharType="begin"/>
      </w:r>
      <w:r w:rsidR="00822542">
        <w:instrText xml:space="preserve"> REF _Ref520894051 \r \h </w:instrText>
      </w:r>
      <w:r w:rsidR="00C730E9">
        <w:instrText xml:space="preserve"> \* MERGEFORMAT </w:instrText>
      </w:r>
      <w:r w:rsidR="00822542">
        <w:fldChar w:fldCharType="separate"/>
      </w:r>
      <w:r w:rsidR="006D52C2">
        <w:t>Chapter 3</w:t>
      </w:r>
      <w:r w:rsidR="00822542">
        <w:fldChar w:fldCharType="end"/>
      </w:r>
      <w:r>
        <w:t>.</w:t>
      </w:r>
    </w:p>
    <w:p w14:paraId="64267FE7" w14:textId="708A103A" w:rsidR="00D2198E" w:rsidRDefault="00D2198E" w:rsidP="00C730E9">
      <w:r>
        <w:t xml:space="preserve">Curing of thermosetting polymers involves chemical reaction in a multiphase system with time-dependent material properties and heat, mass, and momentum transfer. This complex fabrication process </w:t>
      </w:r>
      <w:r w:rsidR="008B1226">
        <w:t xml:space="preserve">leads to </w:t>
      </w:r>
      <w:r>
        <w:t xml:space="preserve">void formation in the course of gelation and curing </w:t>
      </w:r>
      <w:r>
        <w:fldChar w:fldCharType="begin" w:fldLock="1"/>
      </w:r>
      <w:r w:rsidR="00B274D5">
        <w:instrText>ADDIN CSL_CITATION {"citationItems":[{"id":"ITEM-1","itemData":{"DOI":"10.2514/1.5830","ISSN":"0001-1452","abstract":"An experimental program to characterize the effect of voids on the strength of composite laminates is presented. The adequacy of a fracture criterion to represent the experimental data for the effect of voids on the flexure strength, tensile strength, and interlaminar shear strength of composite laminates is assessed. The experimental program investigates the effect of different pressures and dwell times on the critical void content. Laminates produced with carbon fiber/epoxy resin unidirectional prepreg have been produced with an intentionally high void content. Short beam shear, three-point flexure, and tensile testing are used for mechanical evaluation and the results correlate to void volume fraction and ultrasonic absorption coefficient. The ultrasonic absorption coefficient is measured for all the specimens and its variation is approximately linear with the void content, corroborating previous experimental results. The effects of these factors on the strength of the composite laminates are discussed in terms of the fracture parameters involved in the fracture criterion. The critical void content is estimated for each case both in terms of void content and ultrasonic attenuation.","author":[{"dropping-particle":"","family":"Costa","given":"Michelle L.","non-dropping-particle":"","parse-names":false,"suffix":""},{"dropping-particle":"","family":"Almeida","given":"Sérgio F.M.","non-dropping-particle":"De","parse-names":false,"suffix":""},{"dropping-particle":"","family":"Rezende","given":"Mirabel C.","non-dropping-particle":"","parse-names":false,"suffix":""}],"container-title":"AIAA Journal","id":"ITEM-1","issue":"6","issued":{"date-parts":[["2005"]]},"page":"1336-1341","title":"Critical Void Content for Polymer Composite Laminates","type":"article-journal","volume":"43"},"uris":["http://www.mendeley.com/documents/?uuid=2a2e690d-2850-45c1-99a4-803616bf4a7f"]},{"id":"ITEM-2","itemData":{"DOI":"10.1177/002199838301700204","ISBN":"0021-9983","ISSN":"1530793X","abstract":"Models were developed which describe the curing process of composites constructed from continuous fiber-reinforced, thermosetting resin matrix prepreg materials. On the basis of the models, a computer code was developed, which for flat-plate composites cured by a specified cure cycle, provides the temperature distribution, the degree of cure of the resin, the resin viscosity inside the composite, the void sizes, the temperatures and pressures inside voids, and the residual stress distribution after the cure. In addition, the computer code can be used to determine the amount of resin flow out of the composite and the resin content of the composite and the bleeder. Tests were performed measuring the temperature distribution in and the resin flow out of composites constructed from Hercules AS/3501-6 graphite epoxy prepreg tape. The data were compared with results calculated with the computer code for the conditions employed in the tests and good agreement was found between the data and the results of the computer code. A parametric study was also performed to illustrate how the model and the associated computer code can be used to determine the appropriate cure cycle for a given application, which results in a composite that is cured uniformly, has a low void content, and is cured in the shortest amount of time.","author":[{"dropping-particle":"","family":"Loos","given":"Alfred C.","non-dropping-particle":"","parse-names":false,"suffix":""},{"dropping-particle":"","family":"Springer","given":"George S.","non-dropping-particle":"","parse-names":false,"suffix":""}],"container-title":"Journal of Composite Materials","id":"ITEM-2","issue":"2","issued":{"date-parts":[["1983"]]},"page":"135-169","title":"Curing of Epoxy Matrix Composites","type":"article-journal","volume":"17"},"uris":["http://www.mendeley.com/documents/?uuid=d542e637-b880-4881-a441-382c870c2334"]}],"mendeley":{"formattedCitation":"[89,90]","plainTextFormattedCitation":"[89,90]","previouslyFormattedCitation":"[89,90]"},"properties":{"noteIndex":0},"schema":"https://github.com/citation-style-language/schema/raw/master/csl-citation.json"}</w:instrText>
      </w:r>
      <w:r>
        <w:fldChar w:fldCharType="separate"/>
      </w:r>
      <w:r w:rsidR="004F42A2" w:rsidRPr="004F42A2">
        <w:rPr>
          <w:noProof/>
        </w:rPr>
        <w:t>[89,90]</w:t>
      </w:r>
      <w:r>
        <w:fldChar w:fldCharType="end"/>
      </w:r>
      <w:r>
        <w:t>. Void morphology, content and distribution depend on the manufacturing process</w:t>
      </w:r>
      <w:r w:rsidR="008B1226">
        <w:t xml:space="preserve"> </w:t>
      </w:r>
      <w:r w:rsidR="008B1226">
        <w:lastRenderedPageBreak/>
        <w:t xml:space="preserve">and the relevant parameters </w:t>
      </w:r>
      <w:r>
        <w:fldChar w:fldCharType="begin" w:fldLock="1"/>
      </w:r>
      <w:r w:rsidR="00B274D5">
        <w:instrText>ADDIN CSL_CITATION {"citationItems":[{"id":"ITEM-1","itemData":{"DOI":"10.1177/002199838702100306","ISSN":"1530793x","author":[{"dropping-particle":"","family":"Harper","given":"B. D.","non-dropping-particle":"","parse-names":false,"suffix":""},{"dropping-particle":"","family":"Staab","given":"G. H.","non-dropping-particle":"","parse-names":false,"suffix":""},{"dropping-particle":"","family":"Chen","given":"R. S.","non-dropping-particle":"","parse-names":false,"suffix":""}],"container-title":"Journal of Composite Materials","id":"ITEM-1","issue":"3","issued":{"date-parts":[["1987"]]},"page":"280-289","title":"A Note on the Effects of Voids Upon the Hygral and Mechanical Properties of AS4/3502 Graphite/Epoxy","type":"article-journal","volume":"21"},"uris":["http://www.mendeley.com/documents/?uuid=61477003-366e-4661-ba01-7c861627a8a1"]},{"id":"ITEM-2","itemData":{"DOI":"10.2514/1.5830","ISSN":"0001-1452","abstract":"An experimental program to characterize the effect of voids on the strength of composite laminates is presented. The adequacy of a fracture criterion to represent the experimental data for the effect of voids on the flexure strength, tensile strength, and interlaminar shear strength of composite laminates is assessed. The experimental program investigates the effect of different pressures and dwell times on the critical void content. Laminates produced with carbon fiber/epoxy resin unidirectional prepreg have been produced with an intentionally high void content. Short beam shear, three-point flexure, and tensile testing are used for mechanical evaluation and the results correlate to void volume fraction and ultrasonic absorption coefficient. The ultrasonic absorption coefficient is measured for all the specimens and its variation is approximately linear with the void content, corroborating previous experimental results. The effects of these factors on the strength of the composite laminates are discussed in terms of the fracture parameters involved in the fracture criterion. The critical void content is estimated for each case both in terms of void content and ultrasonic attenuation.","author":[{"dropping-particle":"","family":"Costa","given":"Michelle L.","non-dropping-particle":"","parse-names":false,"suffix":""},{"dropping-particle":"","family":"Almeida","given":"Sérgio F.M.","non-dropping-particle":"De","parse-names":false,"suffix":""},{"dropping-particle":"","family":"Rezende","given":"Mirabel C.","non-dropping-particle":"","parse-names":false,"suffix":""}],"container-title":"AIAA Journal","id":"ITEM-2","issue":"6","issued":{"date-parts":[["2005"]]},"page":"1336-1341","title":"Critical Void Content for Polymer Composite Laminates","type":"article-journal","volume":"43"},"uris":["http://www.mendeley.com/documents/?uuid=2a2e690d-2850-45c1-99a4-803616bf4a7f"]},{"id":"ITEM-3","itemData":{"DOI":"10.1177/002199838301700204","ISBN":"0021-9983","ISSN":"1530793X","abstract":"Models were developed which describe the curing process of composites constructed from continuous fiber-reinforced, thermosetting resin matrix prepreg materials. On the basis of the models, a computer code was developed, which for flat-plate composites cured by a specified cure cycle, provides the temperature distribution, the degree of cure of the resin, the resin viscosity inside the composite, the void sizes, the temperatures and pressures inside voids, and the residual stress distribution after the cure. In addition, the computer code can be used to determine the amount of resin flow out of the composite and the resin content of the composite and the bleeder. Tests were performed measuring the temperature distribution in and the resin flow out of composites constructed from Hercules AS/3501-6 graphite epoxy prepreg tape. The data were compared with results calculated with the computer code for the conditions employed in the tests and good agreement was found between the data and the results of the computer code. A parametric study was also performed to illustrate how the model and the associated computer code can be used to determine the appropriate cure cycle for a given application, which results in a composite that is cured uniformly, has a low void content, and is cured in the shortest amount of time.","author":[{"dropping-particle":"","family":"Loos","given":"Alfred C.","non-dropping-particle":"","parse-names":false,"suffix":""},{"dropping-particle":"","family":"Springer","given":"George S.","non-dropping-particle":"","parse-names":false,"suffix":""}],"container-title":"Journal of Composite Materials","id":"ITEM-3","issue":"2","issued":{"date-parts":[["1983"]]},"page":"135-169","title":"Curing of Epoxy Matrix Composites","type":"article-journal","volume":"17"},"uris":["http://www.mendeley.com/documents/?uuid=d542e637-b880-4881-a441-382c870c2334"]}],"mendeley":{"formattedCitation":"[89–91]","plainTextFormattedCitation":"[89–91]","previouslyFormattedCitation":"[89–91]"},"properties":{"noteIndex":0},"schema":"https://github.com/citation-style-language/schema/raw/master/csl-citation.json"}</w:instrText>
      </w:r>
      <w:r>
        <w:fldChar w:fldCharType="separate"/>
      </w:r>
      <w:r w:rsidR="004F42A2" w:rsidRPr="004F42A2">
        <w:rPr>
          <w:noProof/>
        </w:rPr>
        <w:t>[89–91]</w:t>
      </w:r>
      <w:r>
        <w:fldChar w:fldCharType="end"/>
      </w:r>
      <w:r>
        <w:t xml:space="preserve">. Introduction of voids into a polymer medium would result in </w:t>
      </w:r>
      <w:r w:rsidR="008B1226">
        <w:t>a nonhomogeneous</w:t>
      </w:r>
      <w:r>
        <w:t xml:space="preserve"> structure. The discontinuity in the polymer induces localized stresses and microcracks leading to property loss </w:t>
      </w:r>
      <w:r>
        <w:fldChar w:fldCharType="begin" w:fldLock="1"/>
      </w:r>
      <w:r w:rsidR="009A64D0">
        <w:instrText>ADDIN CSL_CITATION {"citationItems":[{"id":"ITEM-1","itemData":{"DOI":"10.1177/002199838702100306","ISSN":"1530793x","author":[{"dropping-particle":"","family":"Harper","given":"B. D.","non-dropping-particle":"","parse-names":false,"suffix":""},{"dropping-particle":"","family":"Staab","given":"G. H.","non-dropping-particle":"","parse-names":false,"suffix":""},{"dropping-particle":"","family":"Chen","given":"R. S.","non-dropping-particle":"","parse-names":false,"suffix":""}],"container-title":"Journal of Composite Materials","id":"ITEM-1","issue":"3","issued":{"date-parts":[["1987"]]},"page":"280-289","title":"A Note on the Effects of Voids Upon the Hygral and Mechanical Properties of AS4/3502 Graphite/Epoxy","type":"article-journal","volume":"21"},"uris":["http://www.mendeley.com/documents/?uuid=61477003-366e-4661-ba01-7c861627a8a1"]},{"id":"ITEM-2","itemData":{"DOI":"10.2514/1.5830","ISSN":"0001-1452","abstract":"An experimental program to characterize the effect of voids on the strength of composite laminates is presented. The adequacy of a fracture criterion to represent the experimental data for the effect of voids on the flexure strength, tensile strength, and interlaminar shear strength of composite laminates is assessed. The experimental program investigates the effect of different pressures and dwell times on the critical void content. Laminates produced with carbon fiber/epoxy resin unidirectional prepreg have been produced with an intentionally high void content. Short beam shear, three-point flexure, and tensile testing are used for mechanical evaluation and the results correlate to void volume fraction and ultrasonic absorption coefficient. The ultrasonic absorption coefficient is measured for all the specimens and its variation is approximately linear with the void content, corroborating previous experimental results. The effects of these factors on the strength of the composite laminates are discussed in terms of the fracture parameters involved in the fracture criterion. The critical void content is estimated for each case both in terms of void content and ultrasonic attenuation.","author":[{"dropping-particle":"","family":"Costa","given":"Michelle L.","non-dropping-particle":"","parse-names":false,"suffix":""},{"dropping-particle":"","family":"Almeida","given":"Sérgio F.M.","non-dropping-particle":"De","parse-names":false,"suffix":""},{"dropping-particle":"","family":"Rezende","given":"Mirabel C.","non-dropping-particle":"","parse-names":false,"suffix":""}],"container-title":"AIAA Journal","id":"ITEM-2","issue":"6","issued":{"date-parts":[["2005"]]},"page":"1336-1341","title":"Critical Void Content for Polymer Composite Laminates","type":"article-journal","volume":"43"},"uris":["http://www.mendeley.com/documents/?uuid=2a2e690d-2850-45c1-99a4-803616bf4a7f"]},{"id":"ITEM-3","itemData":{"DOI":"10.1016/0263-8223(94)90044-2","ISSN":"0263-8223","abstract":"An experimental program was conducted to assess the effect of void content on the static strength and fatigue life of composite laminates under flexural loading. The fabrication procedure used to produce carbon/epoxy laminates with reasonably uniform void content and constant fiber fraction is described. A fracture criterion correlating the ultrasonic attenuation to the strength of composite laminates is presented. Good correlation with experimental results of interlaminar shear and flexural strength was obtained. The fatigue test results and the proposed theory indicate that voids have a strong detrimental effect on the fatigue life of composite structures if the void content is above a critical value. The proposed theory provides the basis of an experimental program aimed at determining the maximum allowable ultrasonic attenuation of a composite laminate for a specific loading condition.","author":[{"dropping-particle":"","family":"Almeida","given":"Sérgio Frascino Müller","non-dropping-particle":"de","parse-names":false,"suffix":""},{"dropping-particle":"","family":"Neto","given":"Zabulon Dos Santos Nogueira","non-dropping-particle":"","parse-names":false,"suffix":""}],"container-title":"Composite Structures","id":"ITEM-3","issue":"2","issued":{"date-parts":[["1994","1","1"]]},"page":"139-148","publisher":"Elsevier","title":"Effect of Void Content on the Strength of Composite Laminates","type":"article-journal","volume":"28"},"uris":["http://www.mendeley.com/documents/?uuid=45fa14be-cd9c-32b3-8e6b-149ab8aa3031"]},{"id":"ITEM-4","itemData":{"DOI":"10.1177/0021998317737827","ISSN":"1530793X","abstract":"Static longitudinal/transverse tensile tests for unidirectional carbon fiber/polymer (T300/924) laminates and laminates with lay-ups [0/±45/0/90]s at various void levels were conducted, and degradations in stiffness/strength were observed with the presence of voids. The void levels were controlled by compression pressure during the compression molding process. The characterization of voids was achieved by digital microscopy image analysis; the density distributions of equivalent diameters and aspect ratios were analyzed with respect to compression pressure.For the purpose of quantifying the effect of voids on the static mechanical properties of composites, a stiffness prediction method based on the Mori-Tanaka method and void geometric statistical data have been used with the implementation of a finite element model of the representative volume element for unidirectional composites; the prediction results show good correlation with experimental data. Finally, a modified continuum damage model for laminate...","author":[{"dropping-particle":"","family":"Liu","given":"Haolong","non-dropping-particle":"","parse-names":false,"suffix":""},{"dropping-particle":"","family":"Cui","given":"Haitao","non-dropping-particle":"","parse-names":false,"suffix":""},{"dropping-particle":"","family":"Wen","given":"Weidong","non-dropping-particle":"","parse-names":false,"suffix":""},{"dropping-particle":"","family":"Su","given":"Xuming","non-dropping-particle":"","parse-names":false,"suffix":""},{"dropping-particle":"","family":"Kang","given":"Hongtae","non-dropping-particle":"","parse-names":false,"suffix":""},{"dropping-particle":"","family":"Engler-Pinto","given":"Carlos","non-dropping-particle":"","parse-names":false,"suffix":""}],"container-title":"Journal of Composite Materials","id":"ITEM-4","issued":{"date-parts":[["2017"]]},"title":"The effect of voids on the quasi-static tensile properties of carbon fiber/polymer-laminated composites","type":"article-journal"},"uris":["http://www.mendeley.com/documents/?uuid=cc7aa247-3d88-4672-8536-9ef3526a9591"]},{"id":"ITEM-5","itemData":{"DOI":"10.1016/j.compstruct.2012.08.001","ISBN":"02638223","ISSN":"02638223","abstract":"This paper presents a study on the effect of porosity, the environmental factors and impact energies on the impact resistance and damage tolerance properties of carbon/epoxy laminates. Impact tests on the carbon/epoxy laminates with three porosity levels were conducted at five impact energy levels of 3. J, 6. J, 9. J, 12. J and 15. J at the room temperature. The damage area and the dent depth were assessed combined effects of different impact energy and porosity levels. The damage area was evaluated by visual inspections and ultrasonic C-scan measurement. The thermal deply technique was used to evaluate the damage evolution behavior. Non-impacted and impacted laminates were exposed to the room temperature, the hygrothermal, and the drying environments, followed by tensile test performed at the room temperature. The curves of the impact resistance and damage tolerance of the tested laminates mutated at the impact energy of 9. J. The thermal deply technique reveals the failure mechanism of the impact damage mutation of the tested laminates when the impact energy exceeds the threshold 9. J. © 2012 Elsevier Ltd.","author":[{"dropping-particle":"","family":"Zhang","given":"Aying","non-dropping-particle":"","parse-names":false,"suffix":""},{"dropping-particle":"","family":"Lu","given":"Haibao","non-dropping-particle":"","parse-names":false,"suffix":""},{"dropping-particle":"","family":"Zhang","given":"Dongxing","non-dropping-particle":"","parse-names":false,"suffix":""}],"container-title":"Composite Structures","id":"ITEM-5","issued":{"date-parts":[["2013"]]},"page":"322-327","publisher":"Elsevier Ltd","title":"Effects of voids on residual tensile strength after impact of hygrothermal conditioned CFRP laminates","type":"article-journal","volume":"95"},"uris":["http://www.mendeley.com/documents/?uuid=36a0968c-c057-4632-b7c1-4dcb4adfd823"]},{"id":"ITEM-6","itemData":{"DOI":"10.1177/0021998305051807","ISSN":"00219983","abstract":"It is well known that voids and environmental conditions may affect the strength of composite laminates. Despite the fact that voids facilitate moisture absorption, the effect of voids on the composite laminates in the presence of moisture has not been addressed in the literature. Moreover, most of the attention has been focused on composites made of unidirectional carbon–epoxy prepreg tape. This article presents experimental results on the combined effect of voids and moisture in polymer composites. The experiments consider two types of reinforcement (eight harness satin fabric and unidirectional tape), two types of resin systems (epoxy and bismaleimide), and two types of loading (interlaminar shear and compression). The effect of these factors on the fracture parameters of laminates with and without environmental conditioning is discussed.","author":[{"dropping-particle":"","family":"Costa","given":"Michelle Leali","non-dropping-particle":"","parse-names":false,"suffix":""},{"dropping-particle":"","family":"Rezende","given":"Mirabel Cerqueira","non-dropping-particle":"","parse-names":false,"suffix":""},{"dropping-particle":"","family":"Almeida","given":"Sérgio Frascino M.","non-dropping-particle":"De","parse-names":false,"suffix":""}],"container-title":"Journal of Composite Materials","id":"ITEM-6","issue":"21","issued":{"date-parts":[["2005"]]},"page":"1943-1961","title":"Strength of hygrothermally conditioned polymer composites with voids","type":"article-journal","volume":"39"},"uris":["http://www.mendeley.com/documents/?uuid=9846e8e8-6cef-447a-99f3-ec3824a8954a"]}],"mendeley":{"formattedCitation":"[89,91–95]","plainTextFormattedCitation":"[89,91–95]","previouslyFormattedCitation":"[89,91–95]"},"properties":{"noteIndex":0},"schema":"https://github.com/citation-style-language/schema/raw/master/csl-citation.json"}</w:instrText>
      </w:r>
      <w:r>
        <w:fldChar w:fldCharType="separate"/>
      </w:r>
      <w:r w:rsidR="004F42A2" w:rsidRPr="004F42A2">
        <w:rPr>
          <w:noProof/>
        </w:rPr>
        <w:t>[89,91–95]</w:t>
      </w:r>
      <w:r>
        <w:fldChar w:fldCharType="end"/>
      </w:r>
      <w:r>
        <w:t>. Harper et al.</w:t>
      </w:r>
      <w:r w:rsidRPr="00545FB1">
        <w:t xml:space="preserve"> </w:t>
      </w:r>
      <w:r>
        <w:fldChar w:fldCharType="begin" w:fldLock="1"/>
      </w:r>
      <w:r w:rsidR="00B274D5">
        <w:instrText>ADDIN CSL_CITATION {"citationItems":[{"id":"ITEM-1","itemData":{"DOI":"10.1177/002199838702100306","ISSN":"1530793x","author":[{"dropping-particle":"","family":"Harper","given":"B. D.","non-dropping-particle":"","parse-names":false,"suffix":""},{"dropping-particle":"","family":"Staab","given":"G. H.","non-dropping-particle":"","parse-names":false,"suffix":""},{"dropping-particle":"","family":"Chen","given":"R. S.","non-dropping-particle":"","parse-names":false,"suffix":""}],"container-title":"Journal of Composite Materials","id":"ITEM-1","issue":"3","issued":{"date-parts":[["1987"]]},"page":"280-289","title":"A Note on the Effects of Voids Upon the Hygral and Mechanical Properties of AS4/3502 Graphite/Epoxy","type":"article-journal","volume":"21"},"uris":["http://www.mendeley.com/documents/?uuid=61477003-366e-4661-ba01-7c861627a8a1"]}],"mendeley":{"formattedCitation":"[91]","plainTextFormattedCitation":"[91]","previouslyFormattedCitation":"[91]"},"properties":{"noteIndex":0},"schema":"https://github.com/citation-style-language/schema/raw/master/csl-citation.json"}</w:instrText>
      </w:r>
      <w:r>
        <w:fldChar w:fldCharType="separate"/>
      </w:r>
      <w:r w:rsidR="004F42A2" w:rsidRPr="004F42A2">
        <w:rPr>
          <w:noProof/>
        </w:rPr>
        <w:t>[91]</w:t>
      </w:r>
      <w:r>
        <w:fldChar w:fldCharType="end"/>
      </w:r>
      <w:r>
        <w:t xml:space="preserve"> investigated the effect of voids upon the ply moduli E</w:t>
      </w:r>
      <w:r>
        <w:rPr>
          <w:vertAlign w:val="subscript"/>
        </w:rPr>
        <w:t>1</w:t>
      </w:r>
      <w:r>
        <w:t>, E</w:t>
      </w:r>
      <w:r>
        <w:rPr>
          <w:vertAlign w:val="subscript"/>
        </w:rPr>
        <w:t>2</w:t>
      </w:r>
      <w:r w:rsidR="00980A92">
        <w:t>,</w:t>
      </w:r>
      <w:r>
        <w:t xml:space="preserve"> and G</w:t>
      </w:r>
      <w:r>
        <w:rPr>
          <w:vertAlign w:val="subscript"/>
        </w:rPr>
        <w:t>12</w:t>
      </w:r>
      <w:r>
        <w:t xml:space="preserve"> of AS4/3502 graphite/epoxy composites. The researchers observed no effect on E</w:t>
      </w:r>
      <w:r>
        <w:rPr>
          <w:vertAlign w:val="subscript"/>
        </w:rPr>
        <w:t>1</w:t>
      </w:r>
      <w:r>
        <w:t xml:space="preserve"> which is a fiber dominated property while significant loss in E</w:t>
      </w:r>
      <w:r>
        <w:rPr>
          <w:vertAlign w:val="subscript"/>
        </w:rPr>
        <w:t>2</w:t>
      </w:r>
      <w:r>
        <w:t xml:space="preserve"> and G</w:t>
      </w:r>
      <w:r>
        <w:rPr>
          <w:vertAlign w:val="subscript"/>
        </w:rPr>
        <w:t>12</w:t>
      </w:r>
      <w:r>
        <w:t xml:space="preserve"> is observed with 6% increase in void content. Formation of voids in the polymer matrix results in degradation of matrix dominated properties. Costa et al. </w:t>
      </w:r>
      <w:r>
        <w:fldChar w:fldCharType="begin" w:fldLock="1"/>
      </w:r>
      <w:r w:rsidR="00B274D5">
        <w:instrText>ADDIN CSL_CITATION {"citationItems":[{"id":"ITEM-1","itemData":{"DOI":"10.2514/1.5830","ISSN":"0001-1452","abstract":"An experimental program to characterize the effect of voids on the strength of composite laminates is presented. The adequacy of a fracture criterion to represent the experimental data for the effect of voids on the flexure strength, tensile strength, and interlaminar shear strength of composite laminates is assessed. The experimental program investigates the effect of different pressures and dwell times on the critical void content. Laminates produced with carbon fiber/epoxy resin unidirectional prepreg have been produced with an intentionally high void content. Short beam shear, three-point flexure, and tensile testing are used for mechanical evaluation and the results correlate to void volume fraction and ultrasonic absorption coefficient. The ultrasonic absorption coefficient is measured for all the specimens and its variation is approximately linear with the void content, corroborating previous experimental results. The effects of these factors on the strength of the composite laminates are discussed in terms of the fracture parameters involved in the fracture criterion. The critical void content is estimated for each case both in terms of void content and ultrasonic attenuation.","author":[{"dropping-particle":"","family":"Costa","given":"Michelle L.","non-dropping-particle":"","parse-names":false,"suffix":""},{"dropping-particle":"","family":"Almeida","given":"Sérgio F.M.","non-dropping-particle":"De","parse-names":false,"suffix":""},{"dropping-particle":"","family":"Rezende","given":"Mirabel C.","non-dropping-particle":"","parse-names":false,"suffix":""}],"container-title":"AIAA Journal","id":"ITEM-1","issue":"6","issued":{"date-parts":[["2005"]]},"page":"1336-1341","title":"Critical Void Content for Polymer Composite Laminates","type":"article-journal","volume":"43"},"uris":["http://www.mendeley.com/documents/?uuid=2a2e690d-2850-45c1-99a4-803616bf4a7f"]}],"mendeley":{"formattedCitation":"[89]","plainTextFormattedCitation":"[89]","previouslyFormattedCitation":"[89]"},"properties":{"noteIndex":0},"schema":"https://github.com/citation-style-language/schema/raw/master/csl-citation.json"}</w:instrText>
      </w:r>
      <w:r>
        <w:fldChar w:fldCharType="separate"/>
      </w:r>
      <w:r w:rsidR="004F42A2" w:rsidRPr="004F42A2">
        <w:rPr>
          <w:noProof/>
        </w:rPr>
        <w:t>[89]</w:t>
      </w:r>
      <w:r>
        <w:fldChar w:fldCharType="end"/>
      </w:r>
      <w:r>
        <w:t xml:space="preserve"> </w:t>
      </w:r>
      <w:r w:rsidR="00981343">
        <w:t>r</w:t>
      </w:r>
      <w:r>
        <w:t>eported that no change in tensile, flexural, and interlaminar shear stresses up to critical void content</w:t>
      </w:r>
      <w:r w:rsidR="00981343">
        <w:t xml:space="preserve"> in </w:t>
      </w:r>
      <w:r w:rsidR="00981343" w:rsidRPr="006D2D23">
        <w:t>T700/TDE85 carbo</w:t>
      </w:r>
      <w:r w:rsidR="00981343">
        <w:t>n fiber reinforced epoxy composites</w:t>
      </w:r>
      <w:r>
        <w:t xml:space="preserve">. </w:t>
      </w:r>
      <w:r w:rsidR="00981343">
        <w:t>A</w:t>
      </w:r>
      <w:r>
        <w:t xml:space="preserve">s the void content exceeds the critical void content, the researchers observed significant matrix dominated property loss on the samples. </w:t>
      </w:r>
    </w:p>
    <w:p w14:paraId="53F2301B" w14:textId="23BF4B28" w:rsidR="00B578C0" w:rsidRPr="00BB2C1B" w:rsidRDefault="00D2198E" w:rsidP="00BB2C1B">
      <w:r>
        <w:t>In addition to the negative effect of voids on the mechanical proper</w:t>
      </w:r>
      <w:r w:rsidR="00485B74">
        <w:t>ties of the polymer, voids lead</w:t>
      </w:r>
      <w:r>
        <w:t xml:space="preserve"> to increase in absorbed moisture resulting</w:t>
      </w:r>
      <w:r w:rsidR="00485B74">
        <w:t xml:space="preserve"> in</w:t>
      </w:r>
      <w:r>
        <w:t xml:space="preserve"> further degradation and property loss </w:t>
      </w:r>
      <w:r>
        <w:fldChar w:fldCharType="begin" w:fldLock="1"/>
      </w:r>
      <w:r w:rsidR="00B274D5">
        <w:instrText>ADDIN CSL_CITATION {"citationItems":[{"id":"ITEM-1","itemData":{"DOI":"10.1177/002199838702100306","ISSN":"1530793x","author":[{"dropping-particle":"","family":"Harper","given":"B. D.","non-dropping-particle":"","parse-names":false,"suffix":""},{"dropping-particle":"","family":"Staab","given":"G. H.","non-dropping-particle":"","parse-names":false,"suffix":""},{"dropping-particle":"","family":"Chen","given":"R. S.","non-dropping-particle":"","parse-names":false,"suffix":""}],"container-title":"Journal of Composite Materials","id":"ITEM-1","issue":"3","issued":{"date-parts":[["1987"]]},"page":"280-289","title":"A Note on the Effects of Voids Upon the Hygral and Mechanical Properties of AS4/3502 Graphite/Epoxy","type":"article-journal","volume":"21"},"uris":["http://www.mendeley.com/documents/?uuid=61477003-366e-4661-ba01-7c861627a8a1"]},{"id":"ITEM-2","itemData":{"DOI":"10.1016/j.polymdegradstab.2014.09.003","ISSN":"01413910","abstract":"In the present article, a pultruded basalt fiber-reinforced polymer (BFRP) plate was thermally aged at 135 °C and 300 °C for 4 h, and the aged BFRPs were sequentially immersed in distilled water and strong alkaline solution (pH = 13.5) at 20, 40 and 60 °C for six months. The moisture uptake behaviors due to thermal aging were investigated. As found, thermal aging at 300 °C brought in many voids, and obvious degradation of the cross-linking density (ρ) of the epoxy matrix due to thermal decomposition. Further immersion in alkaline solution leads to additional cracks and more serious hydrolysis of the matrix. Aging at 135 °C causes post-curing of the resin matrix, but deteriorates the bonding behavior between fiber and resin matrix, which is indicated by the enhanced coefficient of diffusion (D) along fiber directions. Two-stage water diffusion model can describe the water uptake process for aged and un-aged BFRPs efficiently. D along and perpendicular to the fibers are determined theoretically and experimentally. Due to the cracks, voids as well as fiber debonding occurred in the thermal aged BFRPs, much increased Ds, lowered activation energy for diffusion and even mass loss (in high temperature alkaline solution) were found.","author":[{"dropping-particle":"","family":"Lu","given":"Zhongyu","non-dropping-particle":"","parse-names":false,"suffix":""},{"dropping-particle":"","family":"Xian","given":"Guijun","non-dropping-particle":"","parse-names":false,"suffix":""},{"dropping-particle":"","family":"Li","given":"Hui","non-dropping-particle":"","parse-names":false,"suffix":""}],"container-title":"Polymer Degradation and Stability","id":"ITEM-2","issued":{"date-parts":[["2014"]]},"page":"216-224","publisher":"Elsevier Ltd","title":"Effects of thermal aging on the water uptake behavior of pultruded BFRP plates","type":"article-journal","volume":"110"},"uris":["http://www.mendeley.com/documents/?uuid=9b9a9c08-f7e4-4427-bd74-539581d82fac"]}],"mendeley":{"formattedCitation":"[91,96]","plainTextFormattedCitation":"[91,96]","previouslyFormattedCitation":"[91,96]"},"properties":{"noteIndex":0},"schema":"https://github.com/citation-style-language/schema/raw/master/csl-citation.json"}</w:instrText>
      </w:r>
      <w:r>
        <w:fldChar w:fldCharType="separate"/>
      </w:r>
      <w:r w:rsidR="004F42A2" w:rsidRPr="004F42A2">
        <w:rPr>
          <w:noProof/>
        </w:rPr>
        <w:t>[91,96]</w:t>
      </w:r>
      <w:r>
        <w:fldChar w:fldCharType="end"/>
      </w:r>
      <w:r>
        <w:t>.</w:t>
      </w:r>
      <w:r w:rsidRPr="00983F96">
        <w:t xml:space="preserve"> </w:t>
      </w:r>
      <w:r>
        <w:t xml:space="preserve">Lu et al. </w:t>
      </w:r>
      <w:r>
        <w:fldChar w:fldCharType="begin" w:fldLock="1"/>
      </w:r>
      <w:r w:rsidR="00B274D5">
        <w:instrText>ADDIN CSL_CITATION {"citationItems":[{"id":"ITEM-1","itemData":{"DOI":"10.1016/j.polymdegradstab.2014.09.003","ISSN":"01413910","abstract":"In the present article, a pultruded basalt fiber-reinforced polymer (BFRP) plate was thermally aged at 135 °C and 300 °C for 4 h, and the aged BFRPs were sequentially immersed in distilled water and strong alkaline solution (pH = 13.5) at 20, 40 and 60 °C for six months. The moisture uptake behaviors due to thermal aging were investigated. As found, thermal aging at 300 °C brought in many voids, and obvious degradation of the cross-linking density (ρ) of the epoxy matrix due to thermal decomposition. Further immersion in alkaline solution leads to additional cracks and more serious hydrolysis of the matrix. Aging at 135 °C causes post-curing of the resin matrix, but deteriorates the bonding behavior between fiber and resin matrix, which is indicated by the enhanced coefficient of diffusion (D) along fiber directions. Two-stage water diffusion model can describe the water uptake process for aged and un-aged BFRPs efficiently. D along and perpendicular to the fibers are determined theoretically and experimentally. Due to the cracks, voids as well as fiber debonding occurred in the thermal aged BFRPs, much increased Ds, lowered activation energy for diffusion and even mass loss (in high temperature alkaline solution) were found.","author":[{"dropping-particle":"","family":"Lu","given":"Zhongyu","non-dropping-particle":"","parse-names":false,"suffix":""},{"dropping-particle":"","family":"Xian","given":"Guijun","non-dropping-particle":"","parse-names":false,"suffix":""},{"dropping-particle":"","family":"Li","given":"Hui","non-dropping-particle":"","parse-names":false,"suffix":""}],"container-title":"Polymer Degradation and Stability","id":"ITEM-1","issued":{"date-parts":[["2014"]]},"page":"216-224","publisher":"Elsevier Ltd","title":"Effects of thermal aging on the water uptake behavior of pultruded BFRP plates","type":"article-journal","volume":"110"},"uris":["http://www.mendeley.com/documents/?uuid=9b9a9c08-f7e4-4427-bd74-539581d82fac"]}],"mendeley":{"formattedCitation":"[96]","plainTextFormattedCitation":"[96]","previouslyFormattedCitation":"[96]"},"properties":{"noteIndex":0},"schema":"https://github.com/citation-style-language/schema/raw/master/csl-citation.json"}</w:instrText>
      </w:r>
      <w:r>
        <w:fldChar w:fldCharType="separate"/>
      </w:r>
      <w:r w:rsidR="004F42A2" w:rsidRPr="004F42A2">
        <w:rPr>
          <w:noProof/>
        </w:rPr>
        <w:t>[96]</w:t>
      </w:r>
      <w:r>
        <w:fldChar w:fldCharType="end"/>
      </w:r>
      <w:r>
        <w:t xml:space="preserve"> experimented on thermally aged </w:t>
      </w:r>
      <w:r w:rsidRPr="00983F96">
        <w:t>basalt fiber-reinforced polymer</w:t>
      </w:r>
      <w:r>
        <w:t>s to investigate the effect of aging on water uptake. They reported that the void content in the composite laminate increased along with the aging temperature. The r</w:t>
      </w:r>
      <w:r w:rsidR="00485B74">
        <w:t>esults showed an increase in</w:t>
      </w:r>
      <w:r>
        <w:t xml:space="preserve"> water uptake with increasing void content. Harper et al. </w:t>
      </w:r>
      <w:r>
        <w:fldChar w:fldCharType="begin" w:fldLock="1"/>
      </w:r>
      <w:r w:rsidR="00B274D5">
        <w:instrText>ADDIN CSL_CITATION {"citationItems":[{"id":"ITEM-1","itemData":{"DOI":"10.1177/002199838702100306","ISSN":"1530793x","author":[{"dropping-particle":"","family":"Harper","given":"B. D.","non-dropping-particle":"","parse-names":false,"suffix":""},{"dropping-particle":"","family":"Staab","given":"G. H.","non-dropping-particle":"","parse-names":false,"suffix":""},{"dropping-particle":"","family":"Chen","given":"R. S.","non-dropping-particle":"","parse-names":false,"suffix":""}],"container-title":"Journal of Composite Materials","id":"ITEM-1","issue":"3","issued":{"date-parts":[["1987"]]},"page":"280-289","title":"A Note on the Effects of Voids Upon the Hygral and Mechanical Properties of AS4/3502 Graphite/Epoxy","type":"article-journal","volume":"21"},"uris":["http://www.mendeley.com/documents/?uuid=61477003-366e-4661-ba01-7c861627a8a1"]}],"mendeley":{"formattedCitation":"[91]","plainTextFormattedCitation":"[91]","previouslyFormattedCitation":"[91]"},"properties":{"noteIndex":0},"schema":"https://github.com/citation-style-language/schema/raw/master/csl-citation.json"}</w:instrText>
      </w:r>
      <w:r>
        <w:fldChar w:fldCharType="separate"/>
      </w:r>
      <w:r w:rsidR="004F42A2" w:rsidRPr="004F42A2">
        <w:rPr>
          <w:noProof/>
        </w:rPr>
        <w:t>[91]</w:t>
      </w:r>
      <w:r>
        <w:fldChar w:fldCharType="end"/>
      </w:r>
      <w:r>
        <w:t xml:space="preserve"> showed that AS4/3502 graphite/epoxy composites with 5% void absorbed 27%, 26%, 43%</w:t>
      </w:r>
      <w:r w:rsidR="00980A92">
        <w:t>,</w:t>
      </w:r>
      <w:r>
        <w:t xml:space="preserve"> and 42% more moisture than graphite/epoxy composites with 1% void at 40%, 60%, 75%</w:t>
      </w:r>
      <w:r w:rsidR="00980A92">
        <w:t>,</w:t>
      </w:r>
      <w:r>
        <w:t xml:space="preserve"> and 100% relative humidity, respectively. Even though the penetrating liquid and medium may be the same, voids change the microstructure of the medium and result in distinctive absorption behavior. </w:t>
      </w:r>
      <w:proofErr w:type="spellStart"/>
      <w:r>
        <w:t>Bao</w:t>
      </w:r>
      <w:proofErr w:type="spellEnd"/>
      <w:r>
        <w:t xml:space="preserve"> and Yee </w:t>
      </w:r>
      <w:r>
        <w:fldChar w:fldCharType="begin" w:fldLock="1"/>
      </w:r>
      <w:r w:rsidR="00B274D5">
        <w:instrText>ADDIN CSL_CITATION {"citationItems":[{"id":"ITEM-1","itemData":{"DOI":"10.1016/S0266-3538(02)00162-8","ISBN":"0266-3538","ISSN":"02663538","abstract":"Moisture absorption and hygrothermal aging in a woven and woven/uni-weave composites are studied. Different from the neat resin and uni-weave composite, the short term diffusion in the woven composite is non-Fickian, in that the uptake initially increases rather rapidly but quickly slows down. A dual-diffusivity model that can successfully describe the observed weight gain curves has been developed. This model is composed of two independent diffusion processes with very different diffusivities. The fast process is associated with diffusion in cure-induced voids and cracks, while the slow process is the intrinsic diffusion in the matrix. Two different hybrids, namely, uni-weave/woven/uni-weave (U-W-U) and woven/uni-weave/woven (W-U-W), are also investigated. The short term absorption curves of the U-W-U and W-U-W composites can be described by Fickian diffusion and the dual-difftisivity model, respectively. The resemblance between the U-W-U and uni-weave composites, as well as that between the W-U-W and woven composites suggest that the diffusion properties of a composite are controlled by the outer plies. During prolonged moisture absorption, the swelling stresses eventually cause the formation of interfacial cracks in the composite. © 2002 Elsevier Science Ltd. All rights reserved.","author":[{"dropping-particle":"","family":"Bao","given":"Li Rong","non-dropping-particle":"","parse-names":false,"suffix":""},{"dropping-particle":"","family":"Yee","given":"Albert F.","non-dropping-particle":"","parse-names":false,"suffix":""}],"container-title":"Composites Science and Technology","id":"ITEM-1","issue":"16","issued":{"date-parts":[["2002"]]},"page":"2111-2119","title":"Moisture diffusion and hygrothermal aging in bismaleimide matrix carbon fiber composites: Part II-woven and hybrid composites","type":"article-journal","volume":"62"},"uris":["http://www.mendeley.com/documents/?uuid=39727940-8460-42ef-a254-26375a8d11e6"]}],"mendeley":{"formattedCitation":"[97]","plainTextFormattedCitation":"[97]","previouslyFormattedCitation":"[97]"},"properties":{"noteIndex":0},"schema":"https://github.com/citation-style-language/schema/raw/master/csl-citation.json"}</w:instrText>
      </w:r>
      <w:r>
        <w:fldChar w:fldCharType="separate"/>
      </w:r>
      <w:r w:rsidR="004F42A2" w:rsidRPr="004F42A2">
        <w:rPr>
          <w:noProof/>
        </w:rPr>
        <w:t>[97]</w:t>
      </w:r>
      <w:r>
        <w:fldChar w:fldCharType="end"/>
      </w:r>
      <w:r>
        <w:t xml:space="preserve"> claims that the voids can be filled instantly if close to the surface and considerably alters the diffusion behavior. Generally, voids change the </w:t>
      </w:r>
      <w:r>
        <w:lastRenderedPageBreak/>
        <w:t xml:space="preserve">characteristic of absorption to more non-Fickian. Thus, </w:t>
      </w:r>
      <w:proofErr w:type="spellStart"/>
      <w:r>
        <w:t>Bao</w:t>
      </w:r>
      <w:proofErr w:type="spellEnd"/>
      <w:r>
        <w:t xml:space="preserve"> and Yee successfully applied dual diffusivity model to investigate moisture absorption behavior of carbon/BMI composites with varying ply stacking. Even though, </w:t>
      </w:r>
      <w:proofErr w:type="spellStart"/>
      <w:r>
        <w:t>Bao</w:t>
      </w:r>
      <w:proofErr w:type="spellEnd"/>
      <w:r>
        <w:t xml:space="preserve"> and Yee efficaciously recovered the overall absorption behavior using dual diffusivity model, they assumed that the voids were interconnected. Thus, they were able to attribute the initial fast absorption to filling of voids. However, in closed-cell porous structures, effect of voids/pores on moisture absorption cannot be considered just as fast filling of voids. Since the voids are separated by polymer membranes, liquid diffusion into voids </w:t>
      </w:r>
      <w:r w:rsidR="00B823A8">
        <w:t>may not</w:t>
      </w:r>
      <w:r w:rsidR="00BB2C1B">
        <w:t xml:space="preserve"> be analyzed extrinsically. </w:t>
      </w:r>
    </w:p>
    <w:p w14:paraId="57D7E196" w14:textId="20AD23E8" w:rsidR="00D2198E" w:rsidRDefault="007021F2" w:rsidP="00BB2C1B">
      <w:pPr>
        <w:pStyle w:val="Heading2"/>
        <w:rPr>
          <w:rFonts w:eastAsiaTheme="minorEastAsia"/>
        </w:rPr>
      </w:pPr>
      <w:bookmarkStart w:id="16" w:name="_Toc531943736"/>
      <w:r>
        <w:rPr>
          <w:rFonts w:eastAsiaTheme="minorEastAsia"/>
        </w:rPr>
        <w:t xml:space="preserve">1.5. </w:t>
      </w:r>
      <w:r w:rsidR="00D2198E">
        <w:rPr>
          <w:rFonts w:eastAsiaTheme="minorEastAsia"/>
        </w:rPr>
        <w:t>Diffusion Dynamics in Closed-Cell Polymer Foams</w:t>
      </w:r>
      <w:bookmarkEnd w:id="16"/>
    </w:p>
    <w:p w14:paraId="0FF60DD0" w14:textId="702D9B46" w:rsidR="00D2198E" w:rsidRDefault="00D2198E" w:rsidP="00C730E9">
      <w:r>
        <w:t>Although voids in polymers have negative effect</w:t>
      </w:r>
      <w:r w:rsidR="00485B74">
        <w:t>s</w:t>
      </w:r>
      <w:r>
        <w:t xml:space="preserve"> on the material performance in general, pores may be introduced purposefully.</w:t>
      </w:r>
      <w:r w:rsidRPr="00FE163D">
        <w:t xml:space="preserve"> Th</w:t>
      </w:r>
      <w:r w:rsidR="00654306">
        <w:t>ese polymers with high porosity (foams)</w:t>
      </w:r>
      <w:r>
        <w:t xml:space="preserve"> are mostly used as </w:t>
      </w:r>
      <w:r w:rsidRPr="00636729">
        <w:t xml:space="preserve">thermal </w:t>
      </w:r>
      <w:r w:rsidRPr="00636729">
        <w:fldChar w:fldCharType="begin" w:fldLock="1"/>
      </w:r>
      <w:r w:rsidR="00B274D5">
        <w:instrText>ADDIN CSL_CITATION {"citationItems":[{"id":"ITEM-1","itemData":{"DOI":"10.1016/j.colsurfa.2005.01.026","ISBN":"0927-7757","ISSN":"09277757","abstract":"The foam conductivity model of Phelan et al. [R. Phelan, D. Weaire, E.A.J. Peters, G. Verbist, J. Phys.: Condens. Mat. 8 (1996) 475] was generalised from electrical to thermal conductivity. In the thermal case two complications arise: (i) a radiation contribution to heat transfer (which was determined experimentally) and (ii) unlike the electrical case, the gas conduction cannot be neglected. The pure conduction part was modeled using an effective-mean field approach to average gas and polymer phase contributions and also a vertex/strut/film model to account for structural aspects. The model is compared to polyurethane closed cell rigid (PUR) foam data. PUR foams are of major industrial importance for thermal insulation. They are widely used as an insulating mantle around heating pipes. In particular this model is necessary at higher densities and for higher conductivity gases whose presence is nowadays unavoidable, as low-conducting chlorofluorocarbons (CFCs) have been phased out due to environmental reasons. This knowledge is also useful in attempting to optimise the strength and conductance of foams. © 2005 Shell Global Solutions International B.V. Published by Elsevier B.V. All rights reserved.","author":[{"dropping-particle":"","family":"Ahern","given":"A.","non-dropping-particle":"","parse-names":false,"suffix":""},{"dropping-particle":"","family":"Verbist","given":"G.","non-dropping-particle":"","parse-names":false,"suffix":""},{"dropping-particle":"","family":"Weaire","given":"D.","non-dropping-particle":"","parse-names":false,"suffix":""},{"dropping-particle":"","family":"Phelan","given":"R.","non-dropping-particle":"","parse-names":false,"suffix":""},{"dropping-particle":"","family":"Fleurent","given":"H.","non-dropping-particle":"","parse-names":false,"suffix":""}],"container-title":"Colloids and Surfaces A: Physicochemical and Engineering Aspects","id":"ITEM-1","issue":"1-3 SPEC. ISS.","issued":{"date-parts":[["2005"]]},"page":"275-279","title":"The conductivity of foams: A generalisation of the electrical to the thermal case","type":"article-journal","volume":"263"},"uris":["http://www.mendeley.com/documents/?uuid=e3f20894-6092-4a87-8ab6-0fdf645ed4a6"]},{"id":"ITEM-2","itemData":{"DOI":"10.1016/j.enbuild.2017.08.019","ISSN":"03787788","abstract":"The use of thermal insulation materials is regarded as the most effective passive measure of energy savings in buildings. Rigid polyurethane foams (RPU) are commonly used as the insulation layers of opaque building envelope solutions, as well as for other applications in field of transportation, textile industry and electrical appliances, accounting for almost one-third of the polyurethane market. In the assessment of the energy performance of buildings, insulation materials, such as RPU foams have good insulating properties – low thermal conductivity – however their thermal regulation capacity can be enhanced by the incorporation of phase change materials (PCMs). In this paper, three different approaches (flux meter approach, the guarded hot plate approach and the transient plane source approach) are presented to determine the thermal conductivity of RPU foams with and without the incorporation of PCMs based on steady state method and transient method. In addition, this work presents and discusses the comparison between measurements amongst the three approaches revealing the important factors that should be considered to determinate the thermal conductivity of the RPU foams with PCMs, particularly in the temperature range during PCMs phase change transition (solid/liquid state).","author":[{"dropping-particle":"","family":"Amaral","given":"C.","non-dropping-particle":"","parse-names":false,"suffix":""},{"dropping-particle":"","family":"Vicente","given":"R.","non-dropping-particle":"","parse-names":false,"suffix":""},{"dropping-particle":"","family":"Ferreira","given":"V. M.","non-dropping-particle":"","parse-names":false,"suffix":""},{"dropping-particle":"","family":"Silva","given":"T.","non-dropping-particle":"","parse-names":false,"suffix":""}],"container-title":"Energy and Buildings","id":"ITEM-2","issued":{"date-parts":[["2017"]]},"page":"392-402","publisher":"Elsevier B.V.","title":"Polyurethane foams with microencapsulated phase change material: Comparative analysis of thermal conductivity characterization approaches","type":"article-journal","volume":"153"},"uris":["http://www.mendeley.com/documents/?uuid=ab90d664-cb4e-42e4-abde-5ea6e2465e64"]}],"mendeley":{"formattedCitation":"[98,99]","plainTextFormattedCitation":"[98,99]","previouslyFormattedCitation":"[98,99]"},"properties":{"noteIndex":0},"schema":"https://github.com/citation-style-language/schema/raw/master/csl-citation.json"}</w:instrText>
      </w:r>
      <w:r w:rsidRPr="00636729">
        <w:fldChar w:fldCharType="separate"/>
      </w:r>
      <w:r w:rsidR="004F42A2" w:rsidRPr="004F42A2">
        <w:rPr>
          <w:noProof/>
        </w:rPr>
        <w:t>[98,99]</w:t>
      </w:r>
      <w:r w:rsidRPr="00636729">
        <w:fldChar w:fldCharType="end"/>
      </w:r>
      <w:r w:rsidRPr="00636729">
        <w:t xml:space="preserve"> and electrical </w:t>
      </w:r>
      <w:r w:rsidRPr="00636729">
        <w:fldChar w:fldCharType="begin" w:fldLock="1"/>
      </w:r>
      <w:r w:rsidR="00B274D5">
        <w:instrText>ADDIN CSL_CITATION {"citationItems":[{"id":"ITEM-1","itemData":{"DOI":"10.1016/j.colsurfa.2005.01.026","ISBN":"0927-7757","ISSN":"09277757","abstract":"The foam conductivity model of Phelan et al. [R. Phelan, D. Weaire, E.A.J. Peters, G. Verbist, J. Phys.: Condens. Mat. 8 (1996) 475] was generalised from electrical to thermal conductivity. In the thermal case two complications arise: (i) a radiation contribution to heat transfer (which was determined experimentally) and (ii) unlike the electrical case, the gas conduction cannot be neglected. The pure conduction part was modeled using an effective-mean field approach to average gas and polymer phase contributions and also a vertex/strut/film model to account for structural aspects. The model is compared to polyurethane closed cell rigid (PUR) foam data. PUR foams are of major industrial importance for thermal insulation. They are widely used as an insulating mantle around heating pipes. In particular this model is necessary at higher densities and for higher conductivity gases whose presence is nowadays unavoidable, as low-conducting chlorofluorocarbons (CFCs) have been phased out due to environmental reasons. This knowledge is also useful in attempting to optimise the strength and conductance of foams. © 2005 Shell Global Solutions International B.V. Published by Elsevier B.V. All rights reserved.","author":[{"dropping-particle":"","family":"Ahern","given":"A.","non-dropping-particle":"","parse-names":false,"suffix":""},{"dropping-particle":"","family":"Verbist","given":"G.","non-dropping-particle":"","parse-names":false,"suffix":""},{"dropping-particle":"","family":"Weaire","given":"D.","non-dropping-particle":"","parse-names":false,"suffix":""},{"dropping-particle":"","family":"Phelan","given":"R.","non-dropping-particle":"","parse-names":false,"suffix":""},{"dropping-particle":"","family":"Fleurent","given":"H.","non-dropping-particle":"","parse-names":false,"suffix":""}],"container-title":"Colloids and Surfaces A: Physicochemical and Engineering Aspects","id":"ITEM-1","issue":"1-3 SPEC. ISS.","issued":{"date-parts":[["2005"]]},"page":"275-279","title":"The conductivity of foams: A generalisation of the electrical to the thermal case","type":"article-journal","volume":"263"},"uris":["http://www.mendeley.com/documents/?uuid=e3f20894-6092-4a87-8ab6-0fdf645ed4a6"]},{"id":"ITEM-2","itemData":{"DOI":"10.1007/s11595-016-1395-7","ISBN":"1000-2413","ISSN":"19930437","abstract":"© 2016, Wuhan University of Technology and Springer-Verlag Berlin Heidelberg. The carbon nanotubes (CNTs)/ polymethylmethacrylate (PMMA) nanocomposite foams were prepared by the anti-solvent precipitation and supercritical foaming method. The morphology and the electrical conductivity of the foams with different kinds of CNTs were investigated. The experimental results showed that all the foams had uniform cell structure, and the cell size changed from 1.9 to 10 μm when the foaming temperature ranged from 50 °C to 95 °C. With small cell size (1.9–4.0 μm), the conductivities of the foams were 3.34×10 −6 –4.16×10 −6  S/cm compared with the solid matrix since the introduction of micro cells did not destroy the conductive network. However, when the cell size was biger (4.5–10 μm), the aspect ratio of the CNTs played the dominant role of the conductivity. The foams with short CNTs had higher conductivity, since the short CNTs were hard to stretch and snap by the cells and can well-dispersed in the cell wall and cell edges. The results of this work provided a novel material design method for conductive foams based on the rule of both microstructure and aspect ratio of the CNTs.","author":[{"dropping-particle":"","family":"Yuan","given":"Huan","non-dropping-particle":"","parse-names":false,"suffix":""},{"dropping-particle":"","family":"Xiong","given":"Yuanlu","non-dropping-particle":"","parse-names":false,"suffix":""},{"dropping-particle":"","family":"Luo","given":"Guoqiang","non-dropping-particle":"","parse-names":false,"suffix":""},{"dropping-particle":"","family":"Li","given":"Meijuan","non-dropping-particle":"","parse-names":false,"suffix":""},{"dropping-particle":"","family":"Shen","given":"Qiang","non-dropping-particle":"","parse-names":false,"suffix":""},{"dropping-particle":"","family":"Zhang","given":"Lianmeng","non-dropping-particle":"","parse-names":false,"suffix":""}],"container-title":"Journal Wuhan University of Technology, Materials Science Edition","id":"ITEM-2","issue":"2","issued":{"date-parts":[["2016"]]},"page":"481-486","title":"Microstructure and electrical conductivity of CNTs/PMMA nanocomposite foams foaming by supercritical carbon dioxide","type":"article-journal","volume":"31"},"uris":["http://www.mendeley.com/documents/?uuid=2bbf9977-5795-4f60-adec-c33f62390cd2"]}],"mendeley":{"formattedCitation":"[98,100]","plainTextFormattedCitation":"[98,100]","previouslyFormattedCitation":"[98,100]"},"properties":{"noteIndex":0},"schema":"https://github.com/citation-style-language/schema/raw/master/csl-citation.json"}</w:instrText>
      </w:r>
      <w:r w:rsidRPr="00636729">
        <w:fldChar w:fldCharType="separate"/>
      </w:r>
      <w:r w:rsidR="004F42A2" w:rsidRPr="004F42A2">
        <w:rPr>
          <w:noProof/>
        </w:rPr>
        <w:t>[98,100]</w:t>
      </w:r>
      <w:r w:rsidRPr="00636729">
        <w:fldChar w:fldCharType="end"/>
      </w:r>
      <w:r>
        <w:t xml:space="preserve"> </w:t>
      </w:r>
      <w:r w:rsidRPr="00FE163D">
        <w:t>insulation</w:t>
      </w:r>
      <w:r>
        <w:t xml:space="preserve"> in many application areas </w:t>
      </w:r>
      <w:r>
        <w:fldChar w:fldCharType="begin" w:fldLock="1"/>
      </w:r>
      <w:r w:rsidR="00B274D5">
        <w:instrText>ADDIN CSL_CITATION {"citationItems":[{"id":"ITEM-1","itemData":{"DOI":"10.1002/9780470686652.eae206","ISBN":"9780470686652","author":[{"dropping-particle":"","family":"Vizzini","given":"Anthony J","non-dropping-particle":"","parse-names":false,"suffix":""}],"container-title":"Aerospace Engineering","id":"ITEM-1","issued":{"date-parts":[["2010"]]},"page":"1-10","title":"Lightweight Sandwich Structures","type":"article-journal"},"uris":["http://www.mendeley.com/documents/?uuid=9bbecd62-009f-4be9-b42a-1bbfd2b4fa04"]}],"mendeley":{"formattedCitation":"[101]","plainTextFormattedCitation":"[101]","previouslyFormattedCitation":"[101]"},"properties":{"noteIndex":0},"schema":"https://github.com/citation-style-language/schema/raw/master/csl-citation.json"}</w:instrText>
      </w:r>
      <w:r>
        <w:fldChar w:fldCharType="separate"/>
      </w:r>
      <w:r w:rsidR="004F42A2" w:rsidRPr="004F42A2">
        <w:rPr>
          <w:noProof/>
        </w:rPr>
        <w:t>[101]</w:t>
      </w:r>
      <w:r>
        <w:fldChar w:fldCharType="end"/>
      </w:r>
      <w:r>
        <w:t xml:space="preserve"> such as sports, civil infrastructure, interiors, chemical/electrical, naval, aerospace, automotive</w:t>
      </w:r>
      <w:r w:rsidR="00B823A8">
        <w:t>,</w:t>
      </w:r>
      <w:r>
        <w:t xml:space="preserve"> and rail</w:t>
      </w:r>
      <w:r w:rsidR="00B823A8">
        <w:t xml:space="preserve"> transportation</w:t>
      </w:r>
      <w:r>
        <w:t xml:space="preserve">. </w:t>
      </w:r>
      <w:r w:rsidR="005D6BCD">
        <w:t>Presence of void</w:t>
      </w:r>
      <w:r w:rsidR="00B823A8">
        <w:t>s dispersed</w:t>
      </w:r>
      <w:r>
        <w:t xml:space="preserve"> in the polymer matrix may lead to </w:t>
      </w:r>
      <w:r w:rsidR="00B823A8">
        <w:t>substantial</w:t>
      </w:r>
      <w:r>
        <w:t xml:space="preserve"> reduction in density depending on the ratio of empty space to the solid matrix. </w:t>
      </w:r>
    </w:p>
    <w:p w14:paraId="6D7CA1A0" w14:textId="382E5494" w:rsidR="00D2198E" w:rsidRDefault="00D2198E" w:rsidP="00C730E9">
      <w:proofErr w:type="spellStart"/>
      <w:r>
        <w:t>Mouritz</w:t>
      </w:r>
      <w:proofErr w:type="spellEnd"/>
      <w:r>
        <w:t xml:space="preserve"> et al. </w:t>
      </w:r>
      <w:r>
        <w:fldChar w:fldCharType="begin" w:fldLock="1"/>
      </w:r>
      <w:r w:rsidR="00B274D5">
        <w:instrText>ADDIN CSL_CITATION {"citationItems":[{"id":"ITEM-1","itemData":{"DOI":"10.1177/002199830003400303","ISSN":"0021-9983","abstract":"The effect of increasing void content (up to 30%) on the ultrasound attenuation coefficient, interlaminar shear strength and Mode I interlaminar fracture toughness properties of a glass fibre reinforced polymer (GFRP) composite were investigated. Also studied was the effect of increasing the thickness (up to 150 mm) of highly porous GFRP composites on ultrasound attenuation. A pulse-echo ultrasonics technique was used to measure the amount of attenuation through the GFRP, and this increased linearly with thickness up to 150 mm. Attenuation also increased rapidly with void content, and these measurements were used to further test the accuracy of models proposed by Martin and by Hale and Ashton for calculating the attenuation coefficient of porous composites. Poor agreement was found between the measured and calculated attenuation coefficients, and the causes for the discrepancies are discussed. As expected, the interlaminar shear strength and interlaminar fracture toughness decreased rapidly with increasing void content.","author":[{"dropping-particle":"","family":"Mouritz","given":"A P","non-dropping-particle":"","parse-names":false,"suffix":""}],"container-title":"Journal of Composite Materials","id":"ITEM-1","issue":"3","issued":{"date-parts":[["2000","2","1"]]},"note":"doi: 10.1177/002199830003400303","page":"218-239","publisher":"SAGE Publications Ltd STM","title":"Ultrasonic and Interlaminar Properties of Highly Porous Composites","type":"article-journal","volume":"34"},"uris":["http://www.mendeley.com/documents/?uuid=69c1a7e1-ee53-420f-9e80-44ff8a99e0b1"]}],"mendeley":{"formattedCitation":"[102]","plainTextFormattedCitation":"[102]","previouslyFormattedCitation":"[102]"},"properties":{"noteIndex":0},"schema":"https://github.com/citation-style-language/schema/raw/master/csl-citation.json"}</w:instrText>
      </w:r>
      <w:r>
        <w:fldChar w:fldCharType="separate"/>
      </w:r>
      <w:r w:rsidR="004F42A2" w:rsidRPr="004F42A2">
        <w:rPr>
          <w:noProof/>
        </w:rPr>
        <w:t>[102]</w:t>
      </w:r>
      <w:r>
        <w:fldChar w:fldCharType="end"/>
      </w:r>
      <w:r>
        <w:t xml:space="preserve"> investigated the effect of pore content on mechanical properties of glass fiber/epoxy composites. The researchers controlled the pore size and content by introducing hollow polymer spheres into the resin when manufacturing the composite. They reported that the interlaminar shear strength and Mode I fracture toughness de</w:t>
      </w:r>
      <w:r w:rsidRPr="005057CA">
        <w:t>teriorate</w:t>
      </w:r>
      <w:r>
        <w:t xml:space="preserve">d with increasing pore content. It should be noted here that Mode I fracture toughness remained practically constant as pore content goes above 15%. Although, increasing pore content leads to inferior mechanical properties, foams are also used as </w:t>
      </w:r>
      <w:r w:rsidRPr="00FE163D">
        <w:t xml:space="preserve">core </w:t>
      </w:r>
      <w:r w:rsidRPr="00FE163D">
        <w:lastRenderedPageBreak/>
        <w:t xml:space="preserve">in continuous fiber polymer composites to reduce the weight of the composite while increasing the mechanical performance. By increasing the core thickness, the </w:t>
      </w:r>
      <w:r w:rsidR="00B823A8">
        <w:t xml:space="preserve">flexural </w:t>
      </w:r>
      <w:r w:rsidRPr="00FE163D">
        <w:t xml:space="preserve">stiffness of the sandwich </w:t>
      </w:r>
      <w:r w:rsidR="00B823A8">
        <w:t xml:space="preserve">laminate </w:t>
      </w:r>
      <w:r w:rsidRPr="00FE163D">
        <w:t xml:space="preserve">improves without substantially increasing weight and cost </w:t>
      </w:r>
      <w:r w:rsidRPr="00FE163D">
        <w:fldChar w:fldCharType="begin" w:fldLock="1"/>
      </w:r>
      <w:r w:rsidR="00B274D5">
        <w:instrText>ADDIN CSL_CITATION {"citationItems":[{"id":"ITEM-1","itemData":{"DOI":"10.1002/9780470686652.eae206","ISBN":"9780470686652","author":[{"dropping-particle":"","family":"Vizzini","given":"Anthony J","non-dropping-particle":"","parse-names":false,"suffix":""}],"container-title":"Aerospace Engineering","id":"ITEM-1","issued":{"date-parts":[["2010"]]},"page":"1-10","title":"Lightweight Sandwich Structures","type":"article-journal"},"uris":["http://www.mendeley.com/documents/?uuid=9bbecd62-009f-4be9-b42a-1bbfd2b4fa04"]}],"mendeley":{"formattedCitation":"[101]","plainTextFormattedCitation":"[101]","previouslyFormattedCitation":"[101]"},"properties":{"noteIndex":0},"schema":"https://github.com/citation-style-language/schema/raw/master/csl-citation.json"}</w:instrText>
      </w:r>
      <w:r w:rsidRPr="00FE163D">
        <w:fldChar w:fldCharType="separate"/>
      </w:r>
      <w:r w:rsidR="004F42A2" w:rsidRPr="004F42A2">
        <w:rPr>
          <w:noProof/>
        </w:rPr>
        <w:t>[101]</w:t>
      </w:r>
      <w:r w:rsidRPr="00FE163D">
        <w:fldChar w:fldCharType="end"/>
      </w:r>
      <w:r w:rsidRPr="00FE163D">
        <w:t>.</w:t>
      </w:r>
      <w:r>
        <w:t xml:space="preserve"> </w:t>
      </w:r>
    </w:p>
    <w:p w14:paraId="615178C0" w14:textId="1CD5B5D1" w:rsidR="00D2198E" w:rsidRDefault="00D2198E" w:rsidP="00C730E9">
      <w:r>
        <w:t>Foams used in high</w:t>
      </w:r>
      <w:r w:rsidR="00485B74">
        <w:t>ly</w:t>
      </w:r>
      <w:r>
        <w:t xml:space="preserve"> humid environments absorbs extreme amount of liqui</w:t>
      </w:r>
      <w:r w:rsidR="00312CCD">
        <w:t>d due to available vacant sites, pores,</w:t>
      </w:r>
      <w:r>
        <w:t xml:space="preserve"> in foams </w:t>
      </w:r>
      <w:r>
        <w:fldChar w:fldCharType="begin" w:fldLock="1"/>
      </w:r>
      <w:r w:rsidR="00B274D5">
        <w:instrText>ADDIN CSL_CITATION {"citationItems":[{"id":"ITEM-1","itemData":{"DOI":"10.1177/1099636215582218","ISSN":"15307972","abstract":"The moisture diffusion behavior of two-part thermoset polyurethane neat resin, woven E-glass fiber-reinforced polyurethane face sheet, closed-cell rigid polyurethane foam core and their corresponding sandwich specimens was investigated in this study. The vacuum-assisted resin transfer molding process was used to manufacture the polyur-ethane sandwich panels. Open-edge moisture diffusion experiment was conducted for sandwich panel and its constituents by immersing each type of samples in distilled water at room temperature for nearly seven months. Moisture diffusivities and solubility for neat resin, face sheet and foam core specimens were characterized according to the experimental analysis. The moisture diffusion behavior for closed-cell polyurethane foam was found to deviate significantly from classical Fick's law, and a multi-stage diffu-sion model was thus proposed to explain this deviation using a time-dependent diffu-sivity scheme. A user-defined subroutine was developed to implement this scheme into the commercial finite element analysis code ABAQUS. A three-dimensional dynamic finite element model was developed to predict the moisture diffusion behavior in neat resin, face sheet, foam core and sandwich specimens. This finite element model was then validated by comparing simulation results with experimental findings.","author":[{"dropping-particle":"","family":"Huo","given":"Z.","non-dropping-particle":"","parse-names":false,"suffix":""},{"dropping-particle":"","family":"Mohamed","given":"M.","non-dropping-particle":"","parse-names":false,"suffix":""},{"dropping-particle":"","family":"Nicholas","given":"J. R.","non-dropping-particle":"","parse-names":false,"suffix":""},{"dropping-particle":"","family":"Wang","given":"X.","non-dropping-particle":"","parse-names":false,"suffix":""}],"container-title":"Journal of Sandwich Structures and Materials","id":"ITEM-1","issue":"1","issued":{"date-parts":[["2016"]]},"page":"30-49","title":"Experimentation and simulation of moisture diffusion in foam-cored polyurethane sandwich structure","type":"article-journal","volume":"18"},"uris":["http://www.mendeley.com/documents/?uuid=65c2c909-d0c1-4c3e-bd9d-7b4889c9811e"]}],"mendeley":{"formattedCitation":"[103]","plainTextFormattedCitation":"[103]","previouslyFormattedCitation":"[103]"},"properties":{"noteIndex":0},"schema":"https://github.com/citation-style-language/schema/raw/master/csl-citation.json"}</w:instrText>
      </w:r>
      <w:r>
        <w:fldChar w:fldCharType="separate"/>
      </w:r>
      <w:r w:rsidR="004F42A2" w:rsidRPr="004F42A2">
        <w:rPr>
          <w:noProof/>
        </w:rPr>
        <w:t>[103]</w:t>
      </w:r>
      <w:r>
        <w:fldChar w:fldCharType="end"/>
      </w:r>
      <w:r>
        <w:t xml:space="preserve">. </w:t>
      </w:r>
      <w:proofErr w:type="spellStart"/>
      <w:r>
        <w:t>Huo</w:t>
      </w:r>
      <w:proofErr w:type="spellEnd"/>
      <w:r>
        <w:t xml:space="preserve"> et al. </w:t>
      </w:r>
      <w:r>
        <w:fldChar w:fldCharType="begin" w:fldLock="1"/>
      </w:r>
      <w:r w:rsidR="00B274D5">
        <w:instrText>ADDIN CSL_CITATION {"citationItems":[{"id":"ITEM-1","itemData":{"DOI":"10.1177/1099636215582218","ISSN":"15307972","abstract":"The moisture diffusion behavior of two-part thermoset polyurethane neat resin, woven E-glass fiber-reinforced polyurethane face sheet, closed-cell rigid polyurethane foam core and their corresponding sandwich specimens was investigated in this study. The vacuum-assisted resin transfer molding process was used to manufacture the polyur-ethane sandwich panels. Open-edge moisture diffusion experiment was conducted for sandwich panel and its constituents by immersing each type of samples in distilled water at room temperature for nearly seven months. Moisture diffusivities and solubility for neat resin, face sheet and foam core specimens were characterized according to the experimental analysis. The moisture diffusion behavior for closed-cell polyurethane foam was found to deviate significantly from classical Fick's law, and a multi-stage diffu-sion model was thus proposed to explain this deviation using a time-dependent diffu-sivity scheme. A user-defined subroutine was developed to implement this scheme into the commercial finite element analysis code ABAQUS. A three-dimensional dynamic finite element model was developed to predict the moisture diffusion behavior in neat resin, face sheet, foam core and sandwich specimens. This finite element model was then validated by comparing simulation results with experimental findings.","author":[{"dropping-particle":"","family":"Huo","given":"Z.","non-dropping-particle":"","parse-names":false,"suffix":""},{"dropping-particle":"","family":"Mohamed","given":"M.","non-dropping-particle":"","parse-names":false,"suffix":""},{"dropping-particle":"","family":"Nicholas","given":"J. R.","non-dropping-particle":"","parse-names":false,"suffix":""},{"dropping-particle":"","family":"Wang","given":"X.","non-dropping-particle":"","parse-names":false,"suffix":""}],"container-title":"Journal of Sandwich Structures and Materials","id":"ITEM-1","issue":"1","issued":{"date-parts":[["2016"]]},"page":"30-49","title":"Experimentation and simulation of moisture diffusion in foam-cored polyurethane sandwich structure","type":"article-journal","volume":"18"},"uris":["http://www.mendeley.com/documents/?uuid=65c2c909-d0c1-4c3e-bd9d-7b4889c9811e"]}],"mendeley":{"formattedCitation":"[103]","plainTextFormattedCitation":"[103]","previouslyFormattedCitation":"[103]"},"properties":{"noteIndex":0},"schema":"https://github.com/citation-style-language/schema/raw/master/csl-citation.json"}</w:instrText>
      </w:r>
      <w:r>
        <w:fldChar w:fldCharType="separate"/>
      </w:r>
      <w:r w:rsidR="004F42A2" w:rsidRPr="004F42A2">
        <w:rPr>
          <w:noProof/>
        </w:rPr>
        <w:t>[103]</w:t>
      </w:r>
      <w:r>
        <w:fldChar w:fldCharType="end"/>
      </w:r>
      <w:r>
        <w:t xml:space="preserve"> investigated the moisture absorption behavior of </w:t>
      </w:r>
      <w:r w:rsidRPr="00636729">
        <w:t>closed-cell rigid</w:t>
      </w:r>
      <w:r>
        <w:t xml:space="preserve"> </w:t>
      </w:r>
      <w:r w:rsidRPr="00636729">
        <w:t>PU foam core</w:t>
      </w:r>
      <w:r>
        <w:t>,</w:t>
      </w:r>
      <w:r w:rsidRPr="00636729">
        <w:t xml:space="preserve"> woven E-glass fiber-reinforced thermoset</w:t>
      </w:r>
      <w:r>
        <w:t xml:space="preserve"> PU, and their sandwich composites. They showed that neat PU resin, face</w:t>
      </w:r>
      <w:r w:rsidR="00B823A8">
        <w:t xml:space="preserve"> </w:t>
      </w:r>
      <w:r>
        <w:t>sheets, PU foam</w:t>
      </w:r>
      <w:r w:rsidR="00980A92">
        <w:t>,</w:t>
      </w:r>
      <w:r>
        <w:t xml:space="preserve"> and foam core sandwich composite absorbed ~2.5 wt</w:t>
      </w:r>
      <w:proofErr w:type="gramStart"/>
      <w:r>
        <w:t>.%</w:t>
      </w:r>
      <w:proofErr w:type="gramEnd"/>
      <w:r>
        <w:t>, ~1 wt.%, ~75 wt.%</w:t>
      </w:r>
      <w:r w:rsidR="00980A92">
        <w:t>,</w:t>
      </w:r>
      <w:r>
        <w:t xml:space="preserve"> and ~10 wt.%, respectively. </w:t>
      </w:r>
    </w:p>
    <w:p w14:paraId="0D9240E2" w14:textId="79CB1D80" w:rsidR="00822542" w:rsidRDefault="00D2198E" w:rsidP="00C730E9">
      <w:r>
        <w:t xml:space="preserve">Some researchers not only investigated, but also modeled the molecular diffusion into foams and porous structures </w:t>
      </w:r>
      <w:r>
        <w:fldChar w:fldCharType="begin" w:fldLock="1"/>
      </w:r>
      <w:r w:rsidR="00B274D5">
        <w:instrText>ADDIN CSL_CITATION {"citationItems":[{"id":"ITEM-1","itemData":{"DOI":"10.1177/0021998308104229","ISSN":"0021-9983","abstract":"In order to predict the long-term durability of polymer matrix composite materials submitted to humid environments, the moisture diffusion behavior has to be investigated. The knowledge of the effective diffusivity is actually required, for estimating the moisture content of polymer-based fiber-reinforced materials, even when a basic behavior such as Fick's law is assumed to occur. The original contribution of the present work is to provide new analytical solutions for the effective diffusivities from the solving of unit cell problems on representative volume elements by means of several multi-scale approaches. Composite materials with impermeable or permeable fibers are extensively investigated. The proposed approaches are extended to the practical case of composite materials containing realistic voids volume fractions.","author":[{"dropping-particle":"","family":"Gueribiz","given":"D","non-dropping-particle":"","parse-names":false,"suffix":""},{"dropping-particle":"","family":"Rahmani","given":"M","non-dropping-particle":"","parse-names":false,"suffix":""},{"dropping-particle":"","family":"Jacquemin","given":"F","non-dropping-particle":"","parse-names":false,"suffix":""},{"dropping-particle":"","family":"Fréour","given":"S","non-dropping-particle":"","parse-names":false,"suffix":""},{"dropping-particle":"","family":"Guillen","given":"R","non-dropping-particle":"","parse-names":false,"suffix":""},{"dropping-particle":"","family":"Loucif","given":"K","non-dropping-particle":"","parse-names":false,"suffix":""}],"container-title":"Journal of Composite Materials","id":"ITEM-1","issue":"12","issued":{"date-parts":[["2009","5","27"]]},"note":"doi: 10.1177/0021998308104229","page":"1391-1408","publisher":"SAGE Publications Ltd STM","title":"Homogenization of Moisture Diffusing Behavior of Composite Materials with Impermeable or Permeable Fibers — Application to Porous Composite Materials","type":"article-journal","volume":"43"},"uris":["http://www.mendeley.com/documents/?uuid=9ddb46d2-5052-4795-a77a-c511f2a19cf8"]},{"id":"ITEM-2","itemData":{"DOI":"10.1177/0731684407081363","ISSN":"0731-6844","abstract":"A multi-scale approach is devoted to the analysis of hygro-elastic internal stresses in porous composite materials. Voids in composite materials are known to cause a significant reduction of mechanical properties. Moreover, in a humid environment they also affect the moisture absorption and the induced internal stresses. In this work, a self-consistent approach is used to estimate internal stresses induced by moisture absorption in composite materials with porous matrices. This work shows that the interaction between voids and moisture has a severe impact on the transient hygro-elastic stresses at both microscopic (fiber and matrix) and macroscopic (ply) scales.","author":[{"dropping-particle":"","family":"Youssef","given":"Z","non-dropping-particle":"","parse-names":false,"suffix":""},{"dropping-particle":"","family":"Jacquemin","given":"F","non-dropping-particle":"","parse-names":false,"suffix":""},{"dropping-particle":"","family":"Gloaguen","given":"D","non-dropping-particle":"","parse-names":false,"suffix":""},{"dropping-particle":"","family":"Guillén","given":"R","non-dropping-particle":"","parse-names":false,"suffix":""}],"container-title":"Journal of Reinforced Plastics and Composites","id":"ITEM-2","issue":"18","issued":{"date-parts":[["2007","10","31"]]},"note":"doi: 10.1177/0731684407081363","page":"1865-1880","publisher":"SAGE Publications Ltd STM","title":"Hygro-elastic Internal Stresses in Porous Composite Materials: A Multi-scale Analysis","type":"article-journal","volume":"26"},"uris":["http://www.mendeley.com/documents/?uuid=ea1e8161-b77f-40a5-9f4c-aed6a1324962"]},{"id":"ITEM-3","itemData":{"DOI":"10.1007/s00231-004-0547-z","ISBN":"0947-7411","ISSN":"09477411","abstract":"Double-diffusive natural convection within a multilayer anisotropic porous medium is studied numerically and analytically. The domain composed of two horizontal porous layers is subjected to a uniform horizontal heat flux and a vertical mass flux, where only the lower one is thermally anisotropic. Darcy model with classical Boussinesq approximation is used in formulating the mathematical model. The effect of thermal anisotropy and the relative width of the two layers on the flow and transfers is illustrated with characterising the transitions from the diffusive to the convective solution. Results were well compared with respect to a developed analytical approach, based on a parallel flow approximation for thermally anisotropic multilayer media.","author":[{"dropping-particle":"","family":"Bennacer","given":"R.","non-dropping-particle":"","parse-names":false,"suffix":""},{"dropping-particle":"","family":"Mohamad","given":"A. A.","non-dropping-particle":"","parse-names":false,"suffix":""},{"dropping-particle":"","family":"Ganaoui","given":"M.","non-dropping-particle":"El","parse-names":false,"suffix":""}],"container-title":"Heat and Mass Transfer/Waerme- und Stoffuebertragung","id":"ITEM-3","issue":"4","issued":{"date-parts":[["2005"]]},"page":"298-305","title":"Analytical and numerical investigation of double diffusion in thermally anisotropy multilayer porous medium","type":"article-journal","volume":"41"},"uris":["http://www.mendeley.com/documents/?uuid=f92f0178-dd87-47ef-982a-72d02f4dc2d6"]},{"id":"ITEM-4","itemData":{"DOI":"10.1016/j.jfoodeng.2009.07.004","ISBN":"02608774","ISSN":"02608774","abstract":"The purpose of this research was to determine the diffusion coefficient of moisture in the pores of banana foam mat using stochastic pore network. A 2-D pore network was used to represent the pore voids inside the banana foam sample and the moisture movement inside the individual pore segments was described by Fick's law. To determine the moisture diffusion coefficient, the adsorption experiments were carried out with standard static method using saturated salt solutions. Two banana foam densities of 0.21 and 0.26 g/cm3were used to adsorb the water vapour. The interactions between moisture and pore structure were illustrated using a 3-D pictorial representation of network concentration gradients in spaces with colour representing the moisture content. The network model described the experimental results relatively well. The diffusion coefficient of moisture in pores was in order of 10- 9m2/s which was nine times higher than the effective diffusion coefficient calculated from the continuum model. The value of moisture diffusion coefficient was dependent on the temperature and independent of the foam densities and the relative humidity, except for the diffusivity determined from the condition at higher relative humidity of 70%. © 2009 Elsevier Ltd. All rights reserved.","author":[{"dropping-particle":"","family":"Prakotmak","given":"Preeda","non-dropping-particle":"","parse-names":false,"suffix":""},{"dropping-particle":"","family":"Soponronnarit","given":"Somchart","non-dropping-particle":"","parse-names":false,"suffix":""},{"dropping-particle":"","family":"Prachayawarakorn","given":"Somkiat","non-dropping-particle":"","parse-names":false,"suffix":""}],"container-title":"Journal of Food Engineering","id":"ITEM-4","issue":"1","issued":{"date-parts":[["2010"]]},"page":"119-126","publisher":"Elsevier Ltd","title":"Modelling of moisture diffusion in pores of banana foam mat using a 2-D stochastic pore network: Determination of moisture diffusion coefficient during adsorption process","type":"article-journal","volume":"96"},"uris":["http://www.mendeley.com/documents/?uuid=f44ca92a-42cc-4128-aacd-e59c21fc4c8a"]},{"id":"ITEM-5","itemData":{"DOI":"10.1002/polb.23784","ISSN":"10990488","abstract":"Moisture may cause many detrimental effects to polymers and their composites, thus inhibiting the applications of polymeric materials in hot and humid environments. In this article, a convection–diffusion porous media model is derived to better characterize rapid moisture transport in polymer composites at high temperatures. The model considers both continuum diffusion in solid and high-pressure convection taking place in the pore network. Coupling of convection and diffusion is achieved by combining the law of conservation of mass, Darcy's law, the liquid–vapor chemical equilibrium, and the ideal gas law. The presented model is validated by conducting experimental tests on an epoxy compound. It is found that the proposed convection–diffusion model is more effective than diffusion-only and convection-only models for interpreting rapid desorption tests at high temperatures. A numerical study is also performed to predict maximum vapor pressure during a rapid heating process. Vapor pressure is found to be as high as 6.5 MPa at a heating rate of 10 K/s. It is concluded that the convection–diffusion model is able to capture both vapor dynamics and diffusion mechanism in porous polymeric materials, and can be potentially used to further investigate polymer-moisture interactions. © 2015 Wiley Periodicals, Inc. J. Polym. Sci., Part B: Polym. Phys. 2015","author":[{"dropping-particle":"","family":"Chen","given":"Liangbiao","non-dropping-particle":"","parse-names":false,"suffix":""},{"dropping-particle":"","family":"Chu","given":"Hsing Wei","non-dropping-particle":"","parse-names":false,"suffix":""},{"dropping-particle":"","family":"Fan","given":"Xuejun","non-dropping-particle":"","parse-names":false,"suffix":""}],"container-title":"Journal of Polymer Science, Part B: Polymer Physics","id":"ITEM-5","issue":"20","issued":{"date-parts":[["2015"]]},"page":"1440-1449","title":"A convection-diffusion porous media model for moisture transport in polymer composites: Model development and validation","type":"article-journal","volume":"53"},"uris":["http://www.mendeley.com/documents/?uuid=0ef8ed8d-3aaf-4261-b1b2-6e7882c9a44f"]}],"mendeley":{"formattedCitation":"[104–108]","plainTextFormattedCitation":"[104–108]","previouslyFormattedCitation":"[104–108]"},"properties":{"noteIndex":0},"schema":"https://github.com/citation-style-language/schema/raw/master/csl-citation.json"}</w:instrText>
      </w:r>
      <w:r>
        <w:fldChar w:fldCharType="separate"/>
      </w:r>
      <w:r w:rsidR="004F42A2" w:rsidRPr="004F42A2">
        <w:rPr>
          <w:noProof/>
        </w:rPr>
        <w:t>[104–108]</w:t>
      </w:r>
      <w:r>
        <w:fldChar w:fldCharType="end"/>
      </w:r>
      <w:r>
        <w:t xml:space="preserve">. </w:t>
      </w:r>
      <w:proofErr w:type="spellStart"/>
      <w:r>
        <w:t>Gueribiz</w:t>
      </w:r>
      <w:proofErr w:type="spellEnd"/>
      <w:r>
        <w:t xml:space="preserve"> et al. </w:t>
      </w:r>
      <w:r>
        <w:fldChar w:fldCharType="begin" w:fldLock="1"/>
      </w:r>
      <w:r w:rsidR="00B274D5">
        <w:instrText>ADDIN CSL_CITATION {"citationItems":[{"id":"ITEM-1","itemData":{"DOI":"10.1177/0021998308104229","ISSN":"0021-9983","abstract":"In order to predict the long-term durability of polymer matrix composite materials submitted to humid environments, the moisture diffusion behavior has to be investigated. The knowledge of the effective diffusivity is actually required, for estimating the moisture content of polymer-based fiber-reinforced materials, even when a basic behavior such as Fick's law is assumed to occur. The original contribution of the present work is to provide new analytical solutions for the effective diffusivities from the solving of unit cell problems on representative volume elements by means of several multi-scale approaches. Composite materials with impermeable or permeable fibers are extensively investigated. The proposed approaches are extended to the practical case of composite materials containing realistic voids volume fractions.","author":[{"dropping-particle":"","family":"Gueribiz","given":"D","non-dropping-particle":"","parse-names":false,"suffix":""},{"dropping-particle":"","family":"Rahmani","given":"M","non-dropping-particle":"","parse-names":false,"suffix":""},{"dropping-particle":"","family":"Jacquemin","given":"F","non-dropping-particle":"","parse-names":false,"suffix":""},{"dropping-particle":"","family":"Fréour","given":"S","non-dropping-particle":"","parse-names":false,"suffix":""},{"dropping-particle":"","family":"Guillen","given":"R","non-dropping-particle":"","parse-names":false,"suffix":""},{"dropping-particle":"","family":"Loucif","given":"K","non-dropping-particle":"","parse-names":false,"suffix":""}],"container-title":"Journal of Composite Materials","id":"ITEM-1","issue":"12","issued":{"date-parts":[["2009","5","27"]]},"note":"doi: 10.1177/0021998308104229","page":"1391-1408","publisher":"SAGE Publications Ltd STM","title":"Homogenization of Moisture Diffusing Behavior of Composite Materials with Impermeable or Permeable Fibers — Application to Porous Composite Materials","type":"article-journal","volume":"43"},"uris":["http://www.mendeley.com/documents/?uuid=9ddb46d2-5052-4795-a77a-c511f2a19cf8"]}],"mendeley":{"formattedCitation":"[104]","plainTextFormattedCitation":"[104]","previouslyFormattedCitation":"[104]"},"properties":{"noteIndex":0},"schema":"https://github.com/citation-style-language/schema/raw/master/csl-citation.json"}</w:instrText>
      </w:r>
      <w:r>
        <w:fldChar w:fldCharType="separate"/>
      </w:r>
      <w:r w:rsidR="004F42A2" w:rsidRPr="004F42A2">
        <w:rPr>
          <w:noProof/>
        </w:rPr>
        <w:t>[104]</w:t>
      </w:r>
      <w:r>
        <w:fldChar w:fldCharType="end"/>
      </w:r>
      <w:r>
        <w:t xml:space="preserve"> used micro-modeling of the composite medium with homogenous microstructure (uniformly distributed pores) to find an effective diffusivity using the diffusivities of the constituents (matrix and void). Likewise, Youssef et al. </w:t>
      </w:r>
      <w:r>
        <w:fldChar w:fldCharType="begin" w:fldLock="1"/>
      </w:r>
      <w:r w:rsidR="00B274D5">
        <w:instrText>ADDIN CSL_CITATION {"citationItems":[{"id":"ITEM-1","itemData":{"DOI":"10.1177/0731684407081363","ISSN":"0731-6844","abstract":"A multi-scale approach is devoted to the analysis of hygro-elastic internal stresses in porous composite materials. Voids in composite materials are known to cause a significant reduction of mechanical properties. Moreover, in a humid environment they also affect the moisture absorption and the induced internal stresses. In this work, a self-consistent approach is used to estimate internal stresses induced by moisture absorption in composite materials with porous matrices. This work shows that the interaction between voids and moisture has a severe impact on the transient hygro-elastic stresses at both microscopic (fiber and matrix) and macroscopic (ply) scales.","author":[{"dropping-particle":"","family":"Youssef","given":"Z","non-dropping-particle":"","parse-names":false,"suffix":""},{"dropping-particle":"","family":"Jacquemin","given":"F","non-dropping-particle":"","parse-names":false,"suffix":""},{"dropping-particle":"","family":"Gloaguen","given":"D","non-dropping-particle":"","parse-names":false,"suffix":""},{"dropping-particle":"","family":"Guillén","given":"R","non-dropping-particle":"","parse-names":false,"suffix":""}],"container-title":"Journal of Reinforced Plastics and Composites","id":"ITEM-1","issue":"18","issued":{"date-parts":[["2007","10","31"]]},"note":"doi: 10.1177/0731684407081363","page":"1865-1880","publisher":"SAGE Publications Ltd STM","title":"Hygro-elastic Internal Stresses in Porous Composite Materials: A Multi-scale Analysis","type":"article-journal","volume":"26"},"uris":["http://www.mendeley.com/documents/?uuid=ea1e8161-b77f-40a5-9f4c-aed6a1324962"]}],"mendeley":{"formattedCitation":"[105]","plainTextFormattedCitation":"[105]","previouslyFormattedCitation":"[105]"},"properties":{"noteIndex":0},"schema":"https://github.com/citation-style-language/schema/raw/master/csl-citation.json"}</w:instrText>
      </w:r>
      <w:r>
        <w:fldChar w:fldCharType="separate"/>
      </w:r>
      <w:r w:rsidR="004F42A2" w:rsidRPr="004F42A2">
        <w:rPr>
          <w:noProof/>
        </w:rPr>
        <w:t>[105]</w:t>
      </w:r>
      <w:r>
        <w:fldChar w:fldCharType="end"/>
      </w:r>
      <w:r>
        <w:t xml:space="preserve"> also used microstructural approach to find effective diffusion coefficient using electrical analogy model </w:t>
      </w:r>
      <w:r>
        <w:fldChar w:fldCharType="begin" w:fldLock="1"/>
      </w:r>
      <w:r w:rsidR="00B274D5">
        <w:instrText>ADDIN CSL_CITATION {"citationItems":[{"id":"ITEM-1","itemData":{"ISSN":"0884-6804","author":[{"dropping-particle":"","family":"Piggott","given":"MR","non-dropping-particle":"","parse-names":false,"suffix":""},{"dropping-particle":"","family":"Woo","given":"M","non-dropping-particle":"","parse-names":false,"suffix":""}],"container-title":"Journal of Composites, Technology and Research","id":"ITEM-1","issue":"1","issued":{"date-parts":[["1988"]]},"page":"20-24","title":"Water Absorption of Resins and Composites: IV. Water Transport in Fiber Reinforced Plastics","type":"article-journal","volume":"10"},"uris":["http://www.mendeley.com/documents/?uuid=ceee8368-29b3-4add-883d-f1286c83f439"]}],"mendeley":{"formattedCitation":"[109]","plainTextFormattedCitation":"[109]","previouslyFormattedCitation":"[109]"},"properties":{"noteIndex":0},"schema":"https://github.com/citation-style-language/schema/raw/master/csl-citation.json"}</w:instrText>
      </w:r>
      <w:r>
        <w:fldChar w:fldCharType="separate"/>
      </w:r>
      <w:r w:rsidR="004F42A2" w:rsidRPr="004F42A2">
        <w:rPr>
          <w:noProof/>
        </w:rPr>
        <w:t>[109]</w:t>
      </w:r>
      <w:r>
        <w:fldChar w:fldCharType="end"/>
      </w:r>
      <w:r>
        <w:t xml:space="preserve">. </w:t>
      </w:r>
      <w:proofErr w:type="spellStart"/>
      <w:r>
        <w:t>Prakotmak</w:t>
      </w:r>
      <w:proofErr w:type="spellEnd"/>
      <w:r>
        <w:t xml:space="preserve"> et al. </w:t>
      </w:r>
      <w:r>
        <w:fldChar w:fldCharType="begin" w:fldLock="1"/>
      </w:r>
      <w:r w:rsidR="00B274D5">
        <w:instrText>ADDIN CSL_CITATION {"citationItems":[{"id":"ITEM-1","itemData":{"DOI":"10.1016/j.jfoodeng.2009.07.004","ISBN":"02608774","ISSN":"02608774","abstract":"The purpose of this research was to determine the diffusion coefficient of moisture in the pores of banana foam mat using stochastic pore network. A 2-D pore network was used to represent the pore voids inside the banana foam sample and the moisture movement inside the individual pore segments was described by Fick's law. To determine the moisture diffusion coefficient, the adsorption experiments were carried out with standard static method using saturated salt solutions. Two banana foam densities of 0.21 and 0.26 g/cm3were used to adsorb the water vapour. The interactions between moisture and pore structure were illustrated using a 3-D pictorial representation of network concentration gradients in spaces with colour representing the moisture content. The network model described the experimental results relatively well. The diffusion coefficient of moisture in pores was in order of 10- 9m2/s which was nine times higher than the effective diffusion coefficient calculated from the continuum model. The value of moisture diffusion coefficient was dependent on the temperature and independent of the foam densities and the relative humidity, except for the diffusivity determined from the condition at higher relative humidity of 70%. © 2009 Elsevier Ltd. All rights reserved.","author":[{"dropping-particle":"","family":"Prakotmak","given":"Preeda","non-dropping-particle":"","parse-names":false,"suffix":""},{"dropping-particle":"","family":"Soponronnarit","given":"Somchart","non-dropping-particle":"","parse-names":false,"suffix":""},{"dropping-particle":"","family":"Prachayawarakorn","given":"Somkiat","non-dropping-particle":"","parse-names":false,"suffix":""}],"container-title":"Journal of Food Engineering","id":"ITEM-1","issue":"1","issued":{"date-parts":[["2010"]]},"page":"119-126","publisher":"Elsevier Ltd","title":"Modelling of moisture diffusion in pores of banana foam mat using a 2-D stochastic pore network: Determination of moisture diffusion coefficient during adsorption process","type":"article-journal","volume":"96"},"uris":["http://www.mendeley.com/documents/?uuid=f44ca92a-42cc-4128-aacd-e59c21fc4c8a"]}],"mendeley":{"formattedCitation":"[107]","plainTextFormattedCitation":"[107]","previouslyFormattedCitation":"[107]"},"properties":{"noteIndex":0},"schema":"https://github.com/citation-style-language/schema/raw/master/csl-citation.json"}</w:instrText>
      </w:r>
      <w:r>
        <w:fldChar w:fldCharType="separate"/>
      </w:r>
      <w:r w:rsidR="004F42A2" w:rsidRPr="004F42A2">
        <w:rPr>
          <w:noProof/>
        </w:rPr>
        <w:t>[107]</w:t>
      </w:r>
      <w:r>
        <w:fldChar w:fldCharType="end"/>
      </w:r>
      <w:r>
        <w:t xml:space="preserve"> numerically modeled the pores in banana foam mat using 2-</w:t>
      </w:r>
      <w:r w:rsidR="00B823A8">
        <w:t>D</w:t>
      </w:r>
      <w:r>
        <w:t xml:space="preserve"> stochastic pore network. They used finite difference method to solve the convective mass transfer model. </w:t>
      </w:r>
      <w:r w:rsidR="00485B74">
        <w:t>M</w:t>
      </w:r>
      <w:r>
        <w:t xml:space="preserve">oisture absorption behavior of foams </w:t>
      </w:r>
      <w:r w:rsidR="00B823A8">
        <w:t xml:space="preserve">was successfully predicted </w:t>
      </w:r>
      <w:r>
        <w:t>with different foam density by using th</w:t>
      </w:r>
      <w:r w:rsidR="00B823A8">
        <w:t>is</w:t>
      </w:r>
      <w:r>
        <w:t xml:space="preserve"> numerical approach. Chen et al. </w:t>
      </w:r>
      <w:r>
        <w:fldChar w:fldCharType="begin" w:fldLock="1"/>
      </w:r>
      <w:r w:rsidR="00B274D5">
        <w:instrText>ADDIN CSL_CITATION {"citationItems":[{"id":"ITEM-1","itemData":{"DOI":"10.1002/polb.23784","ISSN":"10990488","abstract":"Moisture may cause many detrimental effects to polymers and their composites, thus inhibiting the applications of polymeric materials in hot and humid environments. In this article, a convection–diffusion porous media model is derived to better characterize rapid moisture transport in polymer composites at high temperatures. The model considers both continuum diffusion in solid and high-pressure convection taking place in the pore network. Coupling of convection and diffusion is achieved by combining the law of conservation of mass, Darcy's law, the liquid–vapor chemical equilibrium, and the ideal gas law. The presented model is validated by conducting experimental tests on an epoxy compound. It is found that the proposed convection–diffusion model is more effective than diffusion-only and convection-only models for interpreting rapid desorption tests at high temperatures. A numerical study is also performed to predict maximum vapor pressure during a rapid heating process. Vapor pressure is found to be as high as 6.5 MPa at a heating rate of 10 K/s. It is concluded that the convection–diffusion model is able to capture both vapor dynamics and diffusion mechanism in porous polymeric materials, and can be potentially used to further investigate polymer-moisture interactions. © 2015 Wiley Periodicals, Inc. J. Polym. Sci., Part B: Polym. Phys. 2015","author":[{"dropping-particle":"","family":"Chen","given":"Liangbiao","non-dropping-particle":"","parse-names":false,"suffix":""},{"dropping-particle":"","family":"Chu","given":"Hsing Wei","non-dropping-particle":"","parse-names":false,"suffix":""},{"dropping-particle":"","family":"Fan","given":"Xuejun","non-dropping-particle":"","parse-names":false,"suffix":""}],"container-title":"Journal of Polymer Science, Part B: Polymer Physics","id":"ITEM-1","issue":"20","issued":{"date-parts":[["2015"]]},"page":"1440-1449","title":"A convection-diffusion porous media model for moisture transport in polymer composites: Model development and validation","type":"article-journal","volume":"53"},"uris":["http://www.mendeley.com/documents/?uuid=0ef8ed8d-3aaf-4261-b1b2-6e7882c9a44f"]}],"mendeley":{"formattedCitation":"[108]","plainTextFormattedCitation":"[108]","previouslyFormattedCitation":"[108]"},"properties":{"noteIndex":0},"schema":"https://github.com/citation-style-language/schema/raw/master/csl-citation.json"}</w:instrText>
      </w:r>
      <w:r>
        <w:fldChar w:fldCharType="separate"/>
      </w:r>
      <w:r w:rsidR="004F42A2" w:rsidRPr="004F42A2">
        <w:rPr>
          <w:noProof/>
        </w:rPr>
        <w:t>[108]</w:t>
      </w:r>
      <w:r>
        <w:fldChar w:fldCharType="end"/>
      </w:r>
      <w:r>
        <w:t xml:space="preserve"> derived a convection-diffusion model that couples the vapor transport and water diffusion. They stated the water molecules diffuse into the solid matrix whereas vapor flows through the pore network assuming Fickian diffusion and vapor transport following Darcy’s law.</w:t>
      </w:r>
      <w:r w:rsidRPr="00E83938">
        <w:t xml:space="preserve"> The researchers </w:t>
      </w:r>
      <w:r>
        <w:t>reported that the</w:t>
      </w:r>
      <w:r w:rsidRPr="00E83938">
        <w:t xml:space="preserve"> </w:t>
      </w:r>
      <w:r w:rsidRPr="00E83938">
        <w:lastRenderedPageBreak/>
        <w:t>convection–diffusion model is able to accurately</w:t>
      </w:r>
      <w:r>
        <w:t xml:space="preserve"> recover the diffusion mechanism in high</w:t>
      </w:r>
      <w:r w:rsidR="00485B74">
        <w:t xml:space="preserve">ly </w:t>
      </w:r>
      <w:r>
        <w:t>porous polymers</w:t>
      </w:r>
      <w:r w:rsidRPr="00E83938">
        <w:t xml:space="preserve"> by combining both diff</w:t>
      </w:r>
      <w:r>
        <w:t xml:space="preserve">usion and convection mechanisms. Diffusion into </w:t>
      </w:r>
      <w:r w:rsidR="00312CCD">
        <w:t xml:space="preserve">foams </w:t>
      </w:r>
      <w:r>
        <w:t>and transport phenomena in porous structure</w:t>
      </w:r>
      <w:r w:rsidR="00312CCD">
        <w:t>s</w:t>
      </w:r>
      <w:r>
        <w:t xml:space="preserve"> will be further discussed in</w:t>
      </w:r>
      <w:r w:rsidR="00822542">
        <w:t xml:space="preserve"> </w:t>
      </w:r>
      <w:r w:rsidR="00822542">
        <w:fldChar w:fldCharType="begin"/>
      </w:r>
      <w:r w:rsidR="00822542">
        <w:instrText xml:space="preserve"> REF _Ref520894063 \r \h </w:instrText>
      </w:r>
      <w:r w:rsidR="00C730E9">
        <w:instrText xml:space="preserve"> \* MERGEFORMAT </w:instrText>
      </w:r>
      <w:r w:rsidR="00822542">
        <w:fldChar w:fldCharType="separate"/>
      </w:r>
      <w:r w:rsidR="006D52C2">
        <w:t>Chapter 4</w:t>
      </w:r>
      <w:r w:rsidR="00822542">
        <w:fldChar w:fldCharType="end"/>
      </w:r>
      <w:r>
        <w:t>.</w:t>
      </w:r>
    </w:p>
    <w:p w14:paraId="568B5398" w14:textId="77777777" w:rsidR="00822542" w:rsidRDefault="00822542" w:rsidP="00C730E9">
      <w:r>
        <w:br w:type="page"/>
      </w:r>
    </w:p>
    <w:p w14:paraId="4813B863" w14:textId="77777777" w:rsidR="000C2D31" w:rsidRDefault="000C2D31" w:rsidP="00C730E9">
      <w:pPr>
        <w:pStyle w:val="Heading1"/>
      </w:pPr>
      <w:bookmarkStart w:id="17" w:name="_Toc403980418"/>
      <w:bookmarkStart w:id="18" w:name="_Ref520893943"/>
      <w:bookmarkStart w:id="19" w:name="_Ref520893997"/>
      <w:bookmarkStart w:id="20" w:name="_Ref520894039"/>
      <w:bookmarkStart w:id="21" w:name="_Ref520894196"/>
      <w:bookmarkStart w:id="22" w:name="_Ref523397942"/>
      <w:bookmarkStart w:id="23" w:name="_Toc531943737"/>
      <w:bookmarkStart w:id="24" w:name="_Ref391469818"/>
      <w:r w:rsidRPr="00883AA1">
        <w:lastRenderedPageBreak/>
        <w:t>Moisture Absorption Modeling in Polymeric Composites</w:t>
      </w:r>
      <w:bookmarkEnd w:id="17"/>
      <w:bookmarkEnd w:id="18"/>
      <w:bookmarkEnd w:id="19"/>
      <w:bookmarkEnd w:id="20"/>
      <w:bookmarkEnd w:id="21"/>
      <w:bookmarkEnd w:id="22"/>
      <w:bookmarkEnd w:id="23"/>
    </w:p>
    <w:p w14:paraId="379579F1" w14:textId="77777777" w:rsidR="000C2D31" w:rsidRDefault="000C2D31" w:rsidP="00BB2C1B">
      <w:pPr>
        <w:pStyle w:val="Heading2"/>
      </w:pPr>
      <w:bookmarkStart w:id="25" w:name="_Toc403980419"/>
      <w:bookmarkStart w:id="26" w:name="_Toc531943738"/>
      <w:r>
        <w:t xml:space="preserve">2.1. </w:t>
      </w:r>
      <w:r w:rsidRPr="00982120">
        <w:t>Fickian</w:t>
      </w:r>
      <w:r>
        <w:t xml:space="preserve"> Diffusion</w:t>
      </w:r>
      <w:r w:rsidRPr="005A3E52">
        <w:t xml:space="preserve"> Model</w:t>
      </w:r>
      <w:bookmarkEnd w:id="25"/>
      <w:bookmarkEnd w:id="26"/>
    </w:p>
    <w:p w14:paraId="7C73F36E" w14:textId="77777777" w:rsidR="000C2D31" w:rsidRPr="00244FA0" w:rsidRDefault="000C2D31" w:rsidP="00C730E9">
      <w:r>
        <w:t>Molecular diffusion process was first introduced in 1885 by A. Fick, assuming steady flow of molecules from high concentration to low concentration region. Fick’s first law of diffusion relates the mass flux to the change in concentration and is given as:</w:t>
      </w:r>
    </w:p>
    <w:tbl>
      <w:tblPr>
        <w:tblW w:w="0" w:type="auto"/>
        <w:tblLook w:val="04A0" w:firstRow="1" w:lastRow="0" w:firstColumn="1" w:lastColumn="0" w:noHBand="0" w:noVBand="1"/>
      </w:tblPr>
      <w:tblGrid>
        <w:gridCol w:w="7533"/>
        <w:gridCol w:w="963"/>
      </w:tblGrid>
      <w:tr w:rsidR="000C2D31" w:rsidRPr="00244FA0" w14:paraId="11906C9E" w14:textId="77777777" w:rsidTr="000C2D31">
        <w:tc>
          <w:tcPr>
            <w:tcW w:w="7533" w:type="dxa"/>
            <w:vAlign w:val="center"/>
          </w:tcPr>
          <w:p w14:paraId="074EBDD9" w14:textId="77777777" w:rsidR="000C2D31" w:rsidRPr="00244FA0" w:rsidRDefault="000C2D31" w:rsidP="000C2D31">
            <w:pPr>
              <w:rPr>
                <w:rFonts w:cs="Times New Roman"/>
                <w:szCs w:val="24"/>
              </w:rPr>
            </w:pPr>
            <m:oMathPara>
              <m:oMath>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D</m:t>
                </m:r>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m:t>
                    </m:r>
                    <m:r>
                      <m:rPr>
                        <m:sty m:val="p"/>
                      </m:rPr>
                      <w:rPr>
                        <w:rFonts w:ascii="Cambria Math" w:hAnsi="Cambria Math" w:cs="Times New Roman"/>
                        <w:szCs w:val="24"/>
                      </w:rPr>
                      <m:t>x</m:t>
                    </m:r>
                  </m:den>
                </m:f>
              </m:oMath>
            </m:oMathPara>
          </w:p>
        </w:tc>
        <w:tc>
          <w:tcPr>
            <w:tcW w:w="963" w:type="dxa"/>
            <w:vAlign w:val="center"/>
          </w:tcPr>
          <w:p w14:paraId="72D5DD1C" w14:textId="77777777" w:rsidR="000C2D31" w:rsidRPr="00244FA0" w:rsidRDefault="000C2D31" w:rsidP="000C2D31">
            <w:pPr>
              <w:jc w:val="right"/>
              <w:rPr>
                <w:rFonts w:cs="Times New Roman"/>
                <w:szCs w:val="24"/>
              </w:rPr>
            </w:pPr>
            <w:r>
              <w:rPr>
                <w:rFonts w:cs="Times New Roman"/>
                <w:szCs w:val="24"/>
              </w:rPr>
              <w:t>(1</w:t>
            </w:r>
            <w:r w:rsidRPr="00244FA0">
              <w:rPr>
                <w:rFonts w:cs="Times New Roman"/>
                <w:szCs w:val="24"/>
              </w:rPr>
              <w:t>)</w:t>
            </w:r>
          </w:p>
        </w:tc>
      </w:tr>
    </w:tbl>
    <w:p w14:paraId="6CA39D2C" w14:textId="77777777" w:rsidR="000C2D31" w:rsidRDefault="000C2D31" w:rsidP="000C2D31">
      <w:pPr>
        <w:ind w:firstLine="0"/>
        <w:rPr>
          <w:rFonts w:cs="Times New Roman"/>
          <w:szCs w:val="24"/>
        </w:rPr>
      </w:pPr>
      <w:proofErr w:type="gramStart"/>
      <w:r w:rsidRPr="00244FA0">
        <w:rPr>
          <w:rFonts w:cs="Times New Roman"/>
          <w:szCs w:val="24"/>
        </w:rPr>
        <w:t>where</w:t>
      </w:r>
      <w:proofErr w:type="gramEnd"/>
      <w:r w:rsidRPr="00244FA0">
        <w:rPr>
          <w:rFonts w:cs="Times New Roman"/>
          <w:szCs w:val="24"/>
        </w:rPr>
        <w:t xml:space="preserve"> </w:t>
      </w:r>
      <m:oMath>
        <m:r>
          <w:rPr>
            <w:rFonts w:ascii="Cambria Math" w:hAnsi="Cambria Math" w:cs="Times New Roman"/>
            <w:szCs w:val="24"/>
          </w:rPr>
          <m:t>D</m:t>
        </m:r>
      </m:oMath>
      <w:r w:rsidRPr="00244FA0">
        <w:rPr>
          <w:rFonts w:cs="Times New Roman"/>
          <w:szCs w:val="24"/>
        </w:rPr>
        <w:t xml:space="preserve"> is the diffusion coefficient, </w:t>
      </w:r>
      <m:oMath>
        <m:r>
          <w:rPr>
            <w:rFonts w:ascii="Cambria Math" w:hAnsi="Cambria Math" w:cs="Times New Roman"/>
            <w:szCs w:val="24"/>
          </w:rPr>
          <m:t>C</m:t>
        </m:r>
      </m:oMath>
      <w:r w:rsidRPr="00244FA0">
        <w:rPr>
          <w:rFonts w:cs="Times New Roman"/>
          <w:szCs w:val="24"/>
        </w:rPr>
        <w:t xml:space="preserve"> is the concentration and </w:t>
      </w:r>
      <m:oMath>
        <m:r>
          <w:rPr>
            <w:rFonts w:ascii="Cambria Math" w:hAnsi="Cambria Math" w:cs="Times New Roman"/>
            <w:szCs w:val="24"/>
          </w:rPr>
          <m:t>x</m:t>
        </m:r>
      </m:oMath>
      <w:r w:rsidRPr="00244FA0">
        <w:rPr>
          <w:rFonts w:cs="Times New Roman"/>
          <w:szCs w:val="24"/>
        </w:rPr>
        <w:t xml:space="preserve"> is the position.</w:t>
      </w:r>
    </w:p>
    <w:p w14:paraId="5BD18E87" w14:textId="070B1D5C" w:rsidR="000C2D31" w:rsidRPr="000C4DD8" w:rsidRDefault="000C2D31" w:rsidP="000C2D31">
      <w:pPr>
        <w:rPr>
          <w:rFonts w:cs="Times New Roman"/>
          <w:szCs w:val="24"/>
        </w:rPr>
      </w:pPr>
      <w:r>
        <w:rPr>
          <w:rFonts w:cs="Times New Roman"/>
          <w:szCs w:val="24"/>
        </w:rPr>
        <w:t>Fick also formulated the relation between change of concentration in time and concentration curvature</w:t>
      </w:r>
      <w:r w:rsidR="009B05F7">
        <w:rPr>
          <w:rFonts w:cs="Times New Roman"/>
          <w:szCs w:val="24"/>
        </w:rPr>
        <w:t xml:space="preserve"> in space, using his first law in </w:t>
      </w:r>
      <w:r>
        <w:rPr>
          <w:rFonts w:cs="Times New Roman"/>
          <w:szCs w:val="24"/>
        </w:rPr>
        <w:t xml:space="preserve">Eq. </w:t>
      </w:r>
      <w:r w:rsidR="009B05F7">
        <w:rPr>
          <w:rFonts w:cs="Times New Roman"/>
          <w:szCs w:val="24"/>
        </w:rPr>
        <w:t>(</w:t>
      </w:r>
      <w:r>
        <w:rPr>
          <w:rFonts w:cs="Times New Roman"/>
          <w:szCs w:val="24"/>
        </w:rPr>
        <w:t>1</w:t>
      </w:r>
      <w:r w:rsidR="009B05F7">
        <w:rPr>
          <w:rFonts w:cs="Times New Roman"/>
          <w:szCs w:val="24"/>
        </w:rPr>
        <w:t>)</w:t>
      </w:r>
      <w:r>
        <w:rPr>
          <w:rFonts w:cs="Times New Roman"/>
          <w:szCs w:val="24"/>
        </w:rPr>
        <w:t xml:space="preserve"> and conservation of mass. Fick’s formulation for diffusion, known as Fick’s second law, assumes no chemical interactions and reactions during diffusion process. Fick’s second law is given in Eq. </w:t>
      </w:r>
      <w:r w:rsidR="009B05F7">
        <w:rPr>
          <w:rFonts w:cs="Times New Roman"/>
          <w:szCs w:val="24"/>
        </w:rPr>
        <w:t>(</w:t>
      </w:r>
      <w:r>
        <w:rPr>
          <w:rFonts w:cs="Times New Roman"/>
          <w:szCs w:val="24"/>
        </w:rPr>
        <w:t>2</w:t>
      </w:r>
      <w:r w:rsidR="009B05F7">
        <w:rPr>
          <w:rFonts w:cs="Times New Roman"/>
          <w:szCs w:val="24"/>
        </w:rPr>
        <w:t>)</w:t>
      </w:r>
      <w:r>
        <w:rPr>
          <w:rFonts w:cs="Times New Roman"/>
          <w:szCs w:val="24"/>
        </w:rPr>
        <w:t>.</w:t>
      </w:r>
    </w:p>
    <w:tbl>
      <w:tblPr>
        <w:tblW w:w="0" w:type="auto"/>
        <w:tblLook w:val="04A0" w:firstRow="1" w:lastRow="0" w:firstColumn="1" w:lastColumn="0" w:noHBand="0" w:noVBand="1"/>
      </w:tblPr>
      <w:tblGrid>
        <w:gridCol w:w="7520"/>
        <w:gridCol w:w="976"/>
      </w:tblGrid>
      <w:tr w:rsidR="000C2D31" w:rsidRPr="001F73E5" w14:paraId="2915B2D5" w14:textId="77777777" w:rsidTr="000C2D31">
        <w:tc>
          <w:tcPr>
            <w:tcW w:w="7520" w:type="dxa"/>
            <w:vAlign w:val="center"/>
          </w:tcPr>
          <w:p w14:paraId="1155C077" w14:textId="77777777" w:rsidR="000C2D31" w:rsidRPr="001F73E5" w:rsidRDefault="007B3686" w:rsidP="000C2D31">
            <w:pPr>
              <w:rPr>
                <w:rFonts w:cs="Times New Roman"/>
                <w:szCs w:val="24"/>
              </w:rPr>
            </w:pPr>
            <m:oMathPara>
              <m:oMath>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∂t</m:t>
                    </m:r>
                  </m:den>
                </m:f>
                <m:r>
                  <m:rPr>
                    <m:sty m:val="p"/>
                  </m:rPr>
                  <w:rPr>
                    <w:rFonts w:ascii="Cambria Math" w:hAnsi="Cambria Math" w:cs="Times New Roman"/>
                    <w:szCs w:val="24"/>
                  </w:rPr>
                  <m:t>=</m:t>
                </m:r>
                <m:r>
                  <w:rPr>
                    <w:rFonts w:ascii="Cambria Math" w:hAnsi="Cambria Math" w:cs="Times New Roman"/>
                    <w:szCs w:val="24"/>
                  </w:rPr>
                  <m:t>D</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C</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oMath>
            </m:oMathPara>
          </w:p>
        </w:tc>
        <w:tc>
          <w:tcPr>
            <w:tcW w:w="976" w:type="dxa"/>
            <w:vAlign w:val="center"/>
          </w:tcPr>
          <w:p w14:paraId="21C54C88" w14:textId="77777777" w:rsidR="000C2D31" w:rsidRPr="001F73E5" w:rsidRDefault="000C2D31" w:rsidP="000C2D31">
            <w:pPr>
              <w:jc w:val="right"/>
              <w:rPr>
                <w:rFonts w:cs="Times New Roman"/>
                <w:szCs w:val="24"/>
              </w:rPr>
            </w:pPr>
            <w:r w:rsidRPr="001F73E5">
              <w:rPr>
                <w:rFonts w:cs="Times New Roman"/>
                <w:szCs w:val="24"/>
              </w:rPr>
              <w:t>(2)</w:t>
            </w:r>
          </w:p>
        </w:tc>
      </w:tr>
    </w:tbl>
    <w:p w14:paraId="407A5C69" w14:textId="77777777" w:rsidR="000C2D31" w:rsidRPr="001F73E5" w:rsidRDefault="000C2D31" w:rsidP="000C2D31">
      <w:pPr>
        <w:ind w:firstLine="0"/>
        <w:rPr>
          <w:rFonts w:cs="Times New Roman"/>
          <w:szCs w:val="24"/>
        </w:rPr>
      </w:pPr>
      <w:proofErr w:type="gramStart"/>
      <w:r w:rsidRPr="001F73E5">
        <w:rPr>
          <w:rFonts w:cs="Times New Roman"/>
          <w:szCs w:val="24"/>
        </w:rPr>
        <w:t>where</w:t>
      </w:r>
      <w:proofErr w:type="gramEnd"/>
      <w:r w:rsidRPr="001F73E5">
        <w:rPr>
          <w:rFonts w:cs="Times New Roman"/>
          <w:szCs w:val="24"/>
        </w:rPr>
        <w:t xml:space="preserve">, </w:t>
      </w:r>
      <m:oMath>
        <m:r>
          <w:rPr>
            <w:rFonts w:ascii="Cambria Math" w:hAnsi="Cambria Math" w:cs="Times New Roman"/>
            <w:szCs w:val="24"/>
          </w:rPr>
          <m:t>t</m:t>
        </m:r>
      </m:oMath>
      <w:r w:rsidRPr="001F73E5">
        <w:rPr>
          <w:rFonts w:cs="Times New Roman"/>
          <w:szCs w:val="24"/>
        </w:rPr>
        <w:t xml:space="preserve"> is the time.</w:t>
      </w:r>
    </w:p>
    <w:p w14:paraId="3138097A" w14:textId="1C391DE5" w:rsidR="000C2D31" w:rsidRDefault="000C2D31" w:rsidP="000C2D31">
      <w:pPr>
        <w:rPr>
          <w:rFonts w:cs="Times New Roman"/>
          <w:szCs w:val="24"/>
        </w:rPr>
      </w:pPr>
      <w:r w:rsidRPr="000C4DD8">
        <w:rPr>
          <w:rFonts w:cs="Times New Roman"/>
          <w:szCs w:val="24"/>
        </w:rPr>
        <w:t>Well-known Fick’s second law</w:t>
      </w:r>
      <w:r>
        <w:rPr>
          <w:rFonts w:cs="Times New Roman"/>
          <w:szCs w:val="24"/>
        </w:rPr>
        <w:t>,</w:t>
      </w:r>
      <w:r w:rsidRPr="000C4DD8">
        <w:rPr>
          <w:rFonts w:cs="Times New Roman"/>
          <w:szCs w:val="24"/>
        </w:rPr>
        <w:t xml:space="preserve"> which governs the time-dependent change in concentration,</w:t>
      </w:r>
      <w:r>
        <w:rPr>
          <w:rFonts w:cs="Times New Roman"/>
          <w:szCs w:val="24"/>
        </w:rPr>
        <w:t xml:space="preserve"> can be advanced to describe the one-dimensional mass diffusion process. </w:t>
      </w:r>
      <w:r w:rsidR="004F080F">
        <w:rPr>
          <w:rFonts w:cs="Times New Roman"/>
          <w:szCs w:val="24"/>
        </w:rPr>
        <w:t xml:space="preserve">The classical Fickian model </w:t>
      </w:r>
      <w:r w:rsidR="004F080F">
        <w:rPr>
          <w:rFonts w:cs="Times New Roman"/>
          <w:szCs w:val="24"/>
        </w:rPr>
        <w:fldChar w:fldCharType="begin" w:fldLock="1"/>
      </w:r>
      <w:r w:rsidR="00B274D5">
        <w:rPr>
          <w:rFonts w:cs="Times New Roman"/>
          <w:szCs w:val="24"/>
        </w:rPr>
        <w:instrText>ADDIN CSL_CITATION {"citationItems":[{"id":"ITEM-1","itemData":{"DOI":"10.1016/0306-4549(77)90072-X","ISBN":"978-0198534112","ISSN":"03064549","PMID":"2221199","author":[{"dropping-particle":"","family":"Crank","given":"J","non-dropping-particle":"","parse-names":false,"suffix":""}],"id":"ITEM-1","issued":{"date-parts":[["1975"]]},"title":"the Mathematics of Diffusion","type":"article-journal"},"uris":["http://www.mendeley.com/documents/?uuid=cb045004-82b3-460b-bd23-67dcb281c671"]}],"mendeley":{"formattedCitation":"[110]","plainTextFormattedCitation":"[110]","previouslyFormattedCitation":"[110]"},"properties":{"noteIndex":0},"schema":"https://github.com/citation-style-language/schema/raw/master/csl-citation.json"}</w:instrText>
      </w:r>
      <w:r w:rsidR="004F080F">
        <w:rPr>
          <w:rFonts w:cs="Times New Roman"/>
          <w:szCs w:val="24"/>
        </w:rPr>
        <w:fldChar w:fldCharType="separate"/>
      </w:r>
      <w:r w:rsidR="004F080F" w:rsidRPr="007021F2">
        <w:rPr>
          <w:rFonts w:cs="Times New Roman"/>
          <w:noProof/>
          <w:szCs w:val="24"/>
        </w:rPr>
        <w:t>[110]</w:t>
      </w:r>
      <w:r w:rsidR="004F080F">
        <w:rPr>
          <w:rFonts w:cs="Times New Roman"/>
          <w:szCs w:val="24"/>
        </w:rPr>
        <w:fldChar w:fldCharType="end"/>
      </w:r>
      <w:r w:rsidR="004F080F">
        <w:rPr>
          <w:rFonts w:cs="Times New Roman"/>
          <w:szCs w:val="24"/>
        </w:rPr>
        <w:t xml:space="preserve"> is one of the most widely used model that</w:t>
      </w:r>
      <w:r w:rsidR="004F080F" w:rsidRPr="000C4DD8">
        <w:rPr>
          <w:rFonts w:cs="Times New Roman"/>
          <w:szCs w:val="24"/>
        </w:rPr>
        <w:t xml:space="preserve"> </w:t>
      </w:r>
      <w:r w:rsidR="004F080F">
        <w:rPr>
          <w:rFonts w:cs="Times New Roman"/>
          <w:szCs w:val="24"/>
        </w:rPr>
        <w:t>utilizes the</w:t>
      </w:r>
      <w:r>
        <w:rPr>
          <w:rFonts w:cs="Times New Roman"/>
          <w:szCs w:val="24"/>
        </w:rPr>
        <w:t xml:space="preserve"> governing differential equation of the Fick’s second law </w:t>
      </w:r>
      <w:r w:rsidRPr="000C4DD8">
        <w:rPr>
          <w:rFonts w:cs="Times New Roman"/>
          <w:szCs w:val="24"/>
        </w:rPr>
        <w:t xml:space="preserve">to predict the moisture </w:t>
      </w:r>
      <w:r>
        <w:rPr>
          <w:rFonts w:cs="Times New Roman"/>
          <w:szCs w:val="24"/>
        </w:rPr>
        <w:t>mass gain</w:t>
      </w:r>
      <w:r w:rsidRPr="000C4DD8">
        <w:rPr>
          <w:rFonts w:cs="Times New Roman"/>
          <w:szCs w:val="24"/>
        </w:rPr>
        <w:t xml:space="preserve"> in polymers</w:t>
      </w:r>
      <w:r>
        <w:rPr>
          <w:rFonts w:cs="Times New Roman"/>
          <w:szCs w:val="24"/>
        </w:rPr>
        <w:t xml:space="preserve"> </w:t>
      </w:r>
      <w:r>
        <w:rPr>
          <w:rFonts w:cs="Times New Roman"/>
          <w:szCs w:val="24"/>
        </w:rPr>
        <w:fldChar w:fldCharType="begin" w:fldLock="1"/>
      </w:r>
      <w:r w:rsidR="00B274D5">
        <w:rPr>
          <w:rFonts w:cs="Times New Roman"/>
          <w:szCs w:val="24"/>
        </w:rPr>
        <w:instrText>ADDIN CSL_CITATION {"citationItems":[{"id":"ITEM-1","itemData":{"DOI":"10.1177/002199837601000101","ISSN":"0021-9983","abstract":"Expressions are presented for the moisture distribution and the mois ture content as a function of time of one dimensional homogeneous and composite materials exposed either on one side or on both sides to humid air or to water. The results apply during both moisture absorption and desorption when the moisture content and the temperature of the environ ment are constant. Test procedures are described for determining experi mentally the values of the moisture content and the diffusivity of com posite materials. A series of tests using unidirectional and {pi}/4 Graphite T-300 Fiberite 1034 composites were performed in the temperature range 300--425 K with the material submerged both in moist air (humidity 0 to 100%) and in water. The test data support the analytical results and pro vide the moisture absorption and desorption characteristics of such com posites. Extension of the results to materials exposed to time varying envi ronmental conditions is indicated.","author":[{"dropping-particle":"","family":"Shen","given":"Chi-Hung","non-dropping-particle":"","parse-names":false,"suffix":""},{"dropping-particle":"","family":"Springer","given":"George S.","non-dropping-particle":"","parse-names":false,"suffix":""}],"container-title":"Journal of Composite Materials","id":"ITEM-1","issue":"1","issued":{"date-parts":[["1976"]]},"page":"2-20","title":"Moisture Absorption and Desorption of Composite Materials","type":"article-journal","volume":"10"},"uris":["http://www.mendeley.com/documents/?uuid=ad4663de-8f66-4715-8dc6-cafc3cd756d9"]},{"id":"ITEM-2","itemData":{"DOI":"10.1016/j.commatsci.2012.05.029","ISBN":"9788888785332","ISSN":"09270256","abstract":"This study is a first approach of water diffusion in unidirectional (UD) composite, associating experimental measurements, analytical and numerical modelling. In the initial state, an interphase of several micrometers width around each monofilament is revealed from micro-thermal analysis measurements. This interphase is characterized by a higher molecular mobility than the bulk resin, which is a determining parameter for water diffusion. Water absorption measurements on both the resin and the UD composite show a Fickian kinetic in first approximation. A finite element analysis of water diffusion in the composite clearly shows the influence of the interphase properties on water diffusion kinetic. © 2012 Elsevier B.V. All rights reserved.","author":[{"dropping-particle":"","family":"Joliff","given":"Y.","non-dropping-particle":"","parse-names":false,"suffix":""},{"dropping-particle":"","family":"Belec","given":"L.","non-dropping-particle":"","parse-names":false,"suffix":""},{"dropping-particle":"","family":"Heman","given":"M. B.","non-dropping-particle":"","parse-names":false,"suffix":""},{"dropping-particle":"","family":"Chailan","given":"J. F.","non-dropping-particle":"","parse-names":false,"suffix":""}],"container-title":"Computational Materials Science","id":"ITEM-2","issued":{"date-parts":[["2012"]]},"page":"141-145","publisher":"Elsevier B.V.","title":"Experimental, analytical and numerical study of water diffusion in unidirectional composite materials - Interphase impact","type":"article-journal","volume":"64"},"uris":["http://www.mendeley.com/documents/?uuid=9d1bea73-3c4b-41f2-9356-a1fdd8efe964"]},{"id":"ITEM-3","itemData":{"DOI":"10.1016/j.compscitech.2009.08.013","ISSN":"02663538","abstract":"The peculiarities of moisture absorption of epoxy-nanoclay composite are estimated in the paper. Second Fick's law of diffusion was used to predict moisture diffusivity and equilibrium moisture content using accelerated analytical procedure. It was experimentally confirmed that sorption process in NC passes more slowly than in pure epoxy resin, for the highest filler content diffusivity reduces about half of diffusivity as for epoxy resin. The deviation from mixture rule was obtained for the equilibrium moisture content and the estimation of interphase content in composite was undertaken. It was determined that the higher content of interphase consistently leads to greater moisture absorption. © 2009 Elsevier Ltd. All rights reserved.","author":[{"dropping-particle":"","family":"Glaskova","given":"T.","non-dropping-particle":"","parse-names":false,"suffix":""},{"dropping-particle":"","family":"Aniskevich","given":"A.","non-dropping-particle":"","parse-names":false,"suffix":""}],"container-title":"Composites Science and Technology","id":"ITEM-3","issue":"15-16","issued":{"date-parts":[["2009"]]},"page":"2711-2715","publisher":"Elsevier Ltd","title":"Moisture absorption by epoxy/montmorillonite nanocomposite","type":"article-journal","volume":"69"},"uris":["http://www.mendeley.com/documents/?uuid=0838729a-9dc0-4cd6-8d1a-fbbcefed5385"]},{"id":"ITEM-4","itemData":{"DOI":"10.1177/073168448300200406","ISSN":"15307964","author":[{"dropping-particle":"","family":"Rao","given":"R. M.V.G.K.","non-dropping-particle":"","parse-names":false,"suffix":""},{"dropping-particle":"","family":"Chanda","given":"Manas","non-dropping-particle":"","parse-names":false,"suffix":""},{"dropping-particle":"","family":"Balasubramanian","given":"N.","non-dropping-particle":"","parse-names":false,"suffix":""}],"container-title":"Journal of Reinforced Plastics and Composites","id":"ITEM-4","issue":"4","issued":{"date-parts":[["1983"]]},"page":"289-299","title":"A Fickian Diffusion Model for Permeable Fibre Polymer Composites","type":"article-journal","volume":"2"},"uris":["http://www.mendeley.com/documents/?uuid=26c3bfed-a28a-40dc-9501-5605ca31918e"]},{"id":"ITEM-5","itemData":{"DOI":"10.1016/S0032-3861(96)00614-3","ISSN":"00323861","abstract":"Dielectric measurements were performed to determine the effect of chlorine, methyl and trifluoromethyl substituents on the cure of bis[N,N-bis(2,3-epoxypropyl)-4-aminophenyl]methane with 4,4′-diaminodiphenylsulfone and 4,4′-bis[1,4-phenylenebis(1-methylethylidene)]-bis[2,6-dimethyl]benzamine, and the data were analysed to give gelation and vitrification points. Infra-red measurements were also carried out during the cure process to monitor the consumption of epoxy groups. Dynamic mechanical thermal analysis and density measurements were carried out on the N,N-diglycidylaniline system and a reduction in the glass transition temperature was observed to occur with the incorporation of a trifluoromethyl group into the resin structure. Dielectric and gravimetric studies are reported on the absorption of water by these resins. In agreement with gravimetric data for water absorption, dielectric data obtained at 10 Hz showed that trifluoromethyl substitution increases the diffusion coefficient whereas chlorine substitution decreased it. The chlorinated resin exhibited a higher than expected initial dielectric increment, which has been attributed to the effect of a micro-porous surface structure of the resin. Atomic force microscopy of the resins surfaces indicates that the chlorinated and fluorinated resins have greater surface roughness than the protonated analogues, consistent with the dielectric observations. Analysis of the amount of 'bound' and 'free' water in the resin systems shows that the halogenated resins have a lower percentage of bound water and more of the water is in the 'free' state. © 1997 Elsevier Science Ltd. All rights reserved.","author":[{"dropping-particle":"","family":"Hayward","given":"David","non-dropping-particle":"","parse-names":false,"suffix":""},{"dropping-particle":"","family":"Hollins","given":"Elisabeth","non-dropping-particle":"","parse-names":false,"suffix":""},{"dropping-particle":"","family":"Johncock","given":"Peter","non-dropping-particle":"","parse-names":false,"suffix":""},{"dropping-particle":"","family":"McEwan","given":"Iain","non-dropping-particle":"","parse-names":false,"suffix":""},{"dropping-particle":"","family":"Pethrick","given":"Richard A.","non-dropping-particle":"","parse-names":false,"suffix":""},{"dropping-particle":"","family":"Pollock","given":"Elisabeth A.","non-dropping-particle":"","parse-names":false,"suffix":""}],"container-title":"Polymer","id":"ITEM-5","issue":"5","issued":{"date-parts":[["1997"]]},"page":"1151-1168","title":"The cure and diffusion of water in halogen containing epoxy/amine thermosets","type":"article-journal","volume":"38"},"uris":["http://www.mendeley.com/documents/?uuid=7c312e6b-649f-4513-8379-89bb1d69a4c0"]},{"id":"ITEM-6","itemData":{"DOI":"10.1007/s10450-007-9011-y","ISBN":"0929-5607","ISSN":"09295607","abstract":"Moisture diffusion into epoxy adhesive is investigated through utilizing complete fluid immersion tests in distilled water. Apparent diffusivity for each specimen is determined by two methods, one using the diffusion data at early times (at low loading) and the other using the data at large times (close to the saturation point). The results of the two methods are quite different, indicating that diffusivity is concentration dependent. The apparent diffusivity values obtained through the method using the early data points are about twice those obtained through the method utilizing the data points at large diffusion times. Variance of diffusivity with concentration is also considered as the third method of analysis to determine the concentration dependency. A good agreement is observed between the resultant Fickian model solved numerically and the experimental data. The latter result appears to indicate a change in the excess volume of mixing during the sorption process.","author":[{"dropping-particle":"","family":"Al-Harthi","given":"Mamdouh","non-dropping-particle":"","parse-names":false,"suffix":""},{"dropping-particle":"","family":"Loughlin","given":"Kevin","non-dropping-particle":"","parse-names":false,"suffix":""},{"dropping-particle":"","family":"Kahraman","given":"Ramazan","non-dropping-particle":"","parse-names":false,"suffix":""}],"container-title":"Adsorption","id":"ITEM-6","issue":"2","issued":{"date-parts":[["2007"]]},"page":"115-120","title":"Moisture diffusion into epoxy adhesive: Testing and modeling","type":"article-journal","volume":"13"},"uris":["http://www.mendeley.com/documents/?uuid=3979aeb3-a383-473a-9fb0-f8ef3f15b7d6"]},{"id":"ITEM-7","itemData":{"DOI":"10.1016/j.polymer.2006.09.066","ISBN":"0032-3861","ISSN":"00323861","abstract":"Water transport in a densely crosslinked epoxy network, TGDDM-HHPA, was investigated by coupling time-resolved FTIR spectroscopy and gravimetric measurements. Vibrational analysis yielded information on the different water species present in the system and allowed a quantitative estimation of their population at sorption equilibrium. The transport of water molecules was found to follow a Fickian behaviour characterized by an effective diffusion coefficient which increases with total water concentration. The dependence of the effective diffusion coefficient, Deff(C), on concentration, as obtained from integral sorption curves, was interpreted by introducing a concentration dependent term, D(C), and an \"interaction factor\", φ{symbol}, which accounts for the effect of the molecular interactions which effectively slow down the diffusion process. The results were compared with those obtained on another epoxy network, TGDDM-DDS, characterized by the presence of stronger interacting sites. Differences and similarities of the spectroscopic and gravimetric results are critically discussed in the light of the structure of the two networks. © 2006 Elsevier Ltd. All rights reserved.","author":[{"dropping-particle":"","family":"Mensitieri","given":"G.","non-dropping-particle":"","parse-names":false,"suffix":""},{"dropping-particle":"","family":"Lavorgna","given":"M.","non-dropping-particle":"","parse-names":false,"suffix":""},{"dropping-particle":"","family":"Musto","given":"P.","non-dropping-particle":"","parse-names":false,"suffix":""},{"dropping-particle":"","family":"Ragosta","given":"G.","non-dropping-particle":"","parse-names":false,"suffix":""}],"container-title":"Polymer","id":"ITEM-7","issue":"25","issued":{"date-parts":[["2006"]]},"page":"8326-8336","title":"Water transport in densely crosslinked networks: A comparison between epoxy systems having different interactive characters","type":"article-journal","volume":"47"},"uris":["http://www.mendeley.com/documents/?uuid=616bece3-659f-4238-955f-c60837f81d4e"]}],"mendeley":{"formattedCitation":"[2,43–48]","plainTextFormattedCitation":"[2,43–48]","previouslyFormattedCitation":"[2,43–48]"},"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[2,43–48]</w:t>
      </w:r>
      <w:r>
        <w:rPr>
          <w:rFonts w:cs="Times New Roman"/>
          <w:szCs w:val="24"/>
        </w:rPr>
        <w:fldChar w:fldCharType="end"/>
      </w:r>
      <w:r>
        <w:rPr>
          <w:rFonts w:cs="Times New Roman"/>
          <w:szCs w:val="24"/>
        </w:rPr>
        <w:t>.</w:t>
      </w:r>
      <w:r w:rsidRPr="000C4DD8">
        <w:rPr>
          <w:rFonts w:cs="Times New Roman"/>
          <w:szCs w:val="24"/>
        </w:rPr>
        <w:t xml:space="preserve"> The classical Fickian model</w:t>
      </w:r>
      <w:r>
        <w:rPr>
          <w:rFonts w:cs="Times New Roman"/>
          <w:szCs w:val="24"/>
        </w:rPr>
        <w:t xml:space="preserve"> gives an analytical solution of concentration for a fully immersed thin </w:t>
      </w:r>
      <w:r w:rsidR="00860CC5">
        <w:rPr>
          <w:rFonts w:cs="Times New Roman"/>
          <w:szCs w:val="24"/>
        </w:rPr>
        <w:t>plate</w:t>
      </w:r>
      <w:r>
        <w:rPr>
          <w:rFonts w:cs="Times New Roman"/>
          <w:szCs w:val="24"/>
        </w:rPr>
        <w:t>:</w:t>
      </w:r>
    </w:p>
    <w:tbl>
      <w:tblPr>
        <w:tblW w:w="0" w:type="auto"/>
        <w:tblLook w:val="04A0" w:firstRow="1" w:lastRow="0" w:firstColumn="1" w:lastColumn="0" w:noHBand="0" w:noVBand="1"/>
      </w:tblPr>
      <w:tblGrid>
        <w:gridCol w:w="7784"/>
        <w:gridCol w:w="856"/>
      </w:tblGrid>
      <w:tr w:rsidR="000C2D31" w:rsidRPr="00EA0C0F" w14:paraId="4A5579CC" w14:textId="77777777" w:rsidTr="000C2D31">
        <w:tc>
          <w:tcPr>
            <w:tcW w:w="9198" w:type="dxa"/>
            <w:vAlign w:val="center"/>
          </w:tcPr>
          <w:p w14:paraId="4DD06549" w14:textId="77777777" w:rsidR="000C2D31" w:rsidRPr="00EA0C0F" w:rsidRDefault="007B3686" w:rsidP="000C2D31">
            <w:pPr>
              <w:spacing w:after="120"/>
              <w:rPr>
                <w:rFonts w:cs="Times New Roman"/>
              </w:rPr>
            </w:pPr>
            <m:oMathPara>
              <m:oMath>
                <m:f>
                  <m:fPr>
                    <m:ctrlPr>
                      <w:rPr>
                        <w:rFonts w:ascii="Cambria Math" w:hAnsi="Cambria Math" w:cs="Times New Roman"/>
                        <w:i/>
                      </w:rPr>
                    </m:ctrlPr>
                  </m:fPr>
                  <m:num>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en>
                </m:f>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π</m:t>
                    </m:r>
                  </m:den>
                </m:f>
                <m:nary>
                  <m:naryPr>
                    <m:chr m:val="∑"/>
                    <m:limLoc m:val="undOvr"/>
                    <m:ctrlPr>
                      <w:rPr>
                        <w:rFonts w:ascii="Cambria Math" w:hAnsi="Cambria Math" w:cs="Times New Roman"/>
                        <w:i/>
                      </w:rPr>
                    </m:ctrlPr>
                  </m:naryPr>
                  <m:sub>
                    <m:r>
                      <w:rPr>
                        <w:rFonts w:ascii="Cambria Math" w:hAnsi="Cambria Math" w:cs="Times New Roman"/>
                      </w:rPr>
                      <m:t>j=0</m:t>
                    </m:r>
                  </m:sub>
                  <m:sup>
                    <m:r>
                      <w:rPr>
                        <w:rFonts w:ascii="Cambria Math" w:hAnsi="Cambria Math" w:cs="Times New Roman"/>
                      </w:rPr>
                      <m:t>∞</m:t>
                    </m:r>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2j+1</m:t>
                        </m:r>
                      </m:den>
                    </m:f>
                    <m:func>
                      <m:funcPr>
                        <m:ctrlPr>
                          <w:rPr>
                            <w:rFonts w:ascii="Cambria Math" w:hAnsi="Cambria Math" w:cs="Times New Roman"/>
                            <w:i/>
                          </w:rPr>
                        </m:ctrlPr>
                      </m:funcPr>
                      <m:fName>
                        <m:r>
                          <w:rPr>
                            <w:rFonts w:ascii="Cambria Math" w:hAnsi="Cambria Math" w:cs="Times New Roman"/>
                          </w:rPr>
                          <m:t>sin</m:t>
                        </m:r>
                      </m:fName>
                      <m:e>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2j+1</m:t>
                                </m:r>
                              </m:e>
                            </m:d>
                            <m:r>
                              <w:rPr>
                                <w:rFonts w:ascii="Cambria Math" w:hAnsi="Cambria Math" w:cs="Times New Roman"/>
                              </w:rPr>
                              <m:t>πx</m:t>
                            </m:r>
                          </m:num>
                          <m:den>
                            <m:r>
                              <w:rPr>
                                <w:rFonts w:ascii="Cambria Math" w:hAnsi="Cambria Math" w:cs="Times New Roman"/>
                              </w:rPr>
                              <m:t>h</m:t>
                            </m:r>
                          </m:den>
                        </m:f>
                      </m:e>
                    </m:func>
                  </m:e>
                </m:nary>
                <m: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(2j+1)</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r>
                          <w:rPr>
                            <w:rFonts w:ascii="Cambria Math" w:hAnsi="Cambria Math" w:cs="Times New Roman"/>
                          </w:rPr>
                          <m:t>Dt</m:t>
                        </m:r>
                      </m:num>
                      <m:den>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den>
                    </m:f>
                  </m:e>
                </m:d>
              </m:oMath>
            </m:oMathPara>
          </w:p>
        </w:tc>
        <w:tc>
          <w:tcPr>
            <w:tcW w:w="378" w:type="dxa"/>
            <w:vAlign w:val="center"/>
          </w:tcPr>
          <w:p w14:paraId="4ECA84CD" w14:textId="77777777" w:rsidR="000C2D31" w:rsidRPr="00EA0C0F" w:rsidRDefault="000C2D31" w:rsidP="000C2D31">
            <w:pPr>
              <w:spacing w:after="120"/>
              <w:jc w:val="center"/>
              <w:rPr>
                <w:rFonts w:eastAsiaTheme="majorEastAsia" w:cs="Times New Roman"/>
              </w:rPr>
            </w:pPr>
            <w:r>
              <w:rPr>
                <w:rFonts w:eastAsiaTheme="majorEastAsia" w:cs="Times New Roman"/>
              </w:rPr>
              <w:t>(3</w:t>
            </w:r>
            <w:r w:rsidRPr="00EA0C0F">
              <w:rPr>
                <w:rFonts w:eastAsiaTheme="majorEastAsia" w:cs="Times New Roman"/>
              </w:rPr>
              <w:t>)</w:t>
            </w:r>
          </w:p>
        </w:tc>
      </w:tr>
    </w:tbl>
    <w:p w14:paraId="4C2E7255" w14:textId="6645A76D" w:rsidR="000C2D31" w:rsidRPr="00EA0C0F" w:rsidRDefault="000C2D31" w:rsidP="000C2D31">
      <w:pPr>
        <w:spacing w:after="120"/>
        <w:ind w:firstLine="0"/>
        <w:rPr>
          <w:rFonts w:cs="Times New Roman"/>
        </w:rPr>
      </w:pPr>
      <w:proofErr w:type="gramStart"/>
      <w:r w:rsidRPr="00EA0C0F">
        <w:rPr>
          <w:rFonts w:cs="Times New Roman"/>
        </w:rPr>
        <w:lastRenderedPageBreak/>
        <w:t>where</w:t>
      </w:r>
      <w:proofErr w:type="gramEnd"/>
      <w:r w:rsidRPr="00EA0C0F">
        <w:rPr>
          <w:rFonts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Pr="00EA0C0F">
        <w:rPr>
          <w:rFonts w:cs="Times New Roman"/>
        </w:rPr>
        <w:t xml:space="preserve"> is the initial moisture concentration,</w:t>
      </w:r>
      <m:oMath>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oMath>
      <w:r w:rsidRPr="00EA0C0F">
        <w:rPr>
          <w:rFonts w:cs="Times New Roman"/>
          <w:i/>
        </w:rPr>
        <w:t xml:space="preserve"> </w:t>
      </w:r>
      <w:r w:rsidRPr="00EA0C0F">
        <w:rPr>
          <w:rFonts w:cs="Times New Roman"/>
        </w:rPr>
        <w:t xml:space="preserve">is the maximum moisture concentration and </w:t>
      </w:r>
      <m:oMath>
        <m:r>
          <w:rPr>
            <w:rFonts w:ascii="Cambria Math" w:hAnsi="Cambria Math" w:cs="Times New Roman"/>
          </w:rPr>
          <m:t>h</m:t>
        </m:r>
      </m:oMath>
      <w:r w:rsidRPr="00EA0C0F">
        <w:rPr>
          <w:rFonts w:cs="Times New Roman"/>
        </w:rPr>
        <w:t xml:space="preserve"> is the thickness of the </w:t>
      </w:r>
      <w:r w:rsidR="00860CC5">
        <w:rPr>
          <w:rFonts w:cs="Times New Roman"/>
        </w:rPr>
        <w:t>plate</w:t>
      </w:r>
      <w:r w:rsidRPr="00EA0C0F">
        <w:rPr>
          <w:rFonts w:cs="Times New Roman"/>
        </w:rPr>
        <w:t>.</w:t>
      </w:r>
      <w:r>
        <w:rPr>
          <w:rFonts w:cs="Times New Roman"/>
        </w:rPr>
        <w:t xml:space="preserve"> </w:t>
      </w:r>
      <w:r w:rsidR="004F080F">
        <w:rPr>
          <w:rFonts w:cs="Times New Roman"/>
        </w:rPr>
        <w:t xml:space="preserve">Solution for the concentration profile can illustrate the dynamics of the entire diffusion process until the plate absorbs the maximum amount of moisture. </w:t>
      </w:r>
      <w:r>
        <w:rPr>
          <w:rFonts w:cs="Times New Roman"/>
        </w:rPr>
        <w:t xml:space="preserve">However, it is not the most suitable tool for experimental validation. Integrating the function of concentration over the </w:t>
      </w:r>
      <w:r w:rsidR="00860CC5">
        <w:rPr>
          <w:rFonts w:cs="Times New Roman"/>
        </w:rPr>
        <w:t>plate</w:t>
      </w:r>
      <w:r>
        <w:rPr>
          <w:rFonts w:cs="Times New Roman"/>
        </w:rPr>
        <w:t xml:space="preserve"> thickness would yield the change of mass in time which can easily be used for validation purposes.</w:t>
      </w:r>
      <w:r w:rsidRPr="00EA0C0F">
        <w:rPr>
          <w:rFonts w:cs="Times New Roman"/>
        </w:rPr>
        <w:t xml:space="preserve"> The total moi</w:t>
      </w:r>
      <w:r>
        <w:rPr>
          <w:rFonts w:cs="Times New Roman"/>
        </w:rPr>
        <w:t xml:space="preserve">sture content in a fully immersed thin </w:t>
      </w:r>
      <w:r w:rsidR="00860CC5">
        <w:rPr>
          <w:rFonts w:cs="Times New Roman"/>
        </w:rPr>
        <w:t>plate</w:t>
      </w:r>
      <w:r>
        <w:rPr>
          <w:rFonts w:cs="Times New Roman"/>
        </w:rPr>
        <w:t xml:space="preserve"> is </w:t>
      </w:r>
    </w:p>
    <w:tbl>
      <w:tblPr>
        <w:tblW w:w="0" w:type="auto"/>
        <w:tblLook w:val="04A0" w:firstRow="1" w:lastRow="0" w:firstColumn="1" w:lastColumn="0" w:noHBand="0" w:noVBand="1"/>
      </w:tblPr>
      <w:tblGrid>
        <w:gridCol w:w="7784"/>
        <w:gridCol w:w="856"/>
      </w:tblGrid>
      <w:tr w:rsidR="000C2D31" w:rsidRPr="00EA0C0F" w14:paraId="5844A763" w14:textId="77777777" w:rsidTr="000C2D31">
        <w:tc>
          <w:tcPr>
            <w:tcW w:w="9198" w:type="dxa"/>
            <w:vAlign w:val="center"/>
          </w:tcPr>
          <w:p w14:paraId="2CE4FDF2" w14:textId="77777777" w:rsidR="000C2D31" w:rsidRPr="00EA0C0F" w:rsidRDefault="007B3686" w:rsidP="000C2D31">
            <w:pPr>
              <w:spacing w:after="120"/>
              <w:rPr>
                <w:rFonts w:cs="Times New Roman"/>
              </w:rPr>
            </w:pPr>
            <m:oMathPara>
              <m:oMath>
                <m:f>
                  <m:fPr>
                    <m:ctrlPr>
                      <w:rPr>
                        <w:rFonts w:ascii="Cambria Math" w:hAnsi="Cambria Math" w:cs="Times New Roman"/>
                        <w:i/>
                      </w:rPr>
                    </m:ctrlPr>
                  </m:fPr>
                  <m:num>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den>
                </m:f>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8</m:t>
                    </m:r>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m:t>
                    </m:r>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2j+1)</m:t>
                            </m:r>
                          </m:e>
                          <m:sup>
                            <m:r>
                              <w:rPr>
                                <w:rFonts w:ascii="Cambria Math" w:hAnsi="Cambria Math" w:cs="Times New Roman"/>
                              </w:rPr>
                              <m:t>2</m:t>
                            </m:r>
                          </m:sup>
                        </m:sSup>
                      </m:den>
                    </m:f>
                  </m:e>
                </m:nary>
                <m: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(2j+1)</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r>
                          <w:rPr>
                            <w:rFonts w:ascii="Cambria Math" w:hAnsi="Cambria Math" w:cs="Times New Roman"/>
                          </w:rPr>
                          <m:t>Dt</m:t>
                        </m:r>
                      </m:num>
                      <m:den>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den>
                    </m:f>
                  </m:e>
                </m:d>
              </m:oMath>
            </m:oMathPara>
          </w:p>
        </w:tc>
        <w:tc>
          <w:tcPr>
            <w:tcW w:w="378" w:type="dxa"/>
            <w:vAlign w:val="center"/>
          </w:tcPr>
          <w:p w14:paraId="67EF094C" w14:textId="77777777" w:rsidR="000C2D31" w:rsidRPr="00EA0C0F" w:rsidRDefault="000C2D31" w:rsidP="000C2D31">
            <w:pPr>
              <w:spacing w:after="120"/>
              <w:jc w:val="center"/>
              <w:rPr>
                <w:rFonts w:eastAsiaTheme="majorEastAsia" w:cs="Times New Roman"/>
              </w:rPr>
            </w:pPr>
            <w:r>
              <w:rPr>
                <w:rFonts w:eastAsiaTheme="majorEastAsia" w:cs="Times New Roman"/>
              </w:rPr>
              <w:t>(4</w:t>
            </w:r>
            <w:r w:rsidRPr="00EA0C0F">
              <w:rPr>
                <w:rFonts w:eastAsiaTheme="majorEastAsia" w:cs="Times New Roman"/>
              </w:rPr>
              <w:t>)</w:t>
            </w:r>
          </w:p>
        </w:tc>
      </w:tr>
    </w:tbl>
    <w:p w14:paraId="5CD667B1" w14:textId="77777777" w:rsidR="000C2D31" w:rsidRDefault="000C2D31" w:rsidP="000C2D31">
      <w:pPr>
        <w:spacing w:after="120"/>
        <w:ind w:firstLine="0"/>
        <w:rPr>
          <w:rFonts w:cs="Times New Roman"/>
        </w:rPr>
      </w:pPr>
      <w:proofErr w:type="gramStart"/>
      <w:r w:rsidRPr="00EA0C0F">
        <w:rPr>
          <w:rFonts w:cs="Times New Roman"/>
        </w:rPr>
        <w:t>where</w:t>
      </w:r>
      <w:proofErr w:type="gramEnd"/>
      <w:r w:rsidRPr="00EA0C0F">
        <w:rPr>
          <w:rFonts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oMath>
      <w:r w:rsidRPr="00EA0C0F">
        <w:rPr>
          <w:rFonts w:cs="Times New Roman"/>
        </w:rPr>
        <w:t xml:space="preserve"> is the initial weight of the moisture,</w:t>
      </w:r>
      <m:oMath>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oMath>
      <w:r>
        <w:rPr>
          <w:rFonts w:cs="Times New Roman"/>
        </w:rPr>
        <w:t xml:space="preserve"> is the </w:t>
      </w:r>
      <w:r w:rsidRPr="00EA0C0F">
        <w:rPr>
          <w:rFonts w:cs="Times New Roman"/>
        </w:rPr>
        <w:t xml:space="preserve">weight of the </w:t>
      </w:r>
      <w:r>
        <w:rPr>
          <w:rFonts w:cs="Times New Roman"/>
        </w:rPr>
        <w:t xml:space="preserve">maximum </w:t>
      </w:r>
      <w:r w:rsidRPr="00EA0C0F">
        <w:rPr>
          <w:rFonts w:cs="Times New Roman"/>
        </w:rPr>
        <w:t>moisture</w:t>
      </w:r>
      <w:r>
        <w:rPr>
          <w:rFonts w:cs="Times New Roman"/>
        </w:rPr>
        <w:t xml:space="preserve"> that material can absorb</w:t>
      </w:r>
      <w:r w:rsidRPr="00EA0C0F">
        <w:rPr>
          <w:rFonts w:cs="Times New Roman"/>
        </w:rPr>
        <w:t>.</w:t>
      </w:r>
      <w:r>
        <w:rPr>
          <w:rFonts w:cs="Times New Roman"/>
        </w:rPr>
        <w:t xml:space="preserve"> </w:t>
      </w:r>
    </w:p>
    <w:p w14:paraId="7FA012C6" w14:textId="77777777" w:rsidR="00FF2519" w:rsidRDefault="000C2D31" w:rsidP="000C2D31">
      <w:pPr>
        <w:spacing w:after="120"/>
        <w:ind w:firstLine="0"/>
        <w:rPr>
          <w:rFonts w:cs="Times New Roman"/>
        </w:rPr>
      </w:pPr>
      <w:r>
        <w:rPr>
          <w:rFonts w:cs="Times New Roman"/>
        </w:rPr>
        <w:t xml:space="preserve">The mass absorption equation, Eq. </w:t>
      </w:r>
      <w:r w:rsidR="009B05F7">
        <w:rPr>
          <w:rFonts w:cs="Times New Roman"/>
        </w:rPr>
        <w:t>(</w:t>
      </w:r>
      <w:r>
        <w:rPr>
          <w:rFonts w:cs="Times New Roman"/>
        </w:rPr>
        <w:t>4</w:t>
      </w:r>
      <w:r w:rsidR="009B05F7">
        <w:rPr>
          <w:rFonts w:cs="Times New Roman"/>
        </w:rPr>
        <w:t>)</w:t>
      </w:r>
      <w:r>
        <w:rPr>
          <w:rFonts w:cs="Times New Roman"/>
        </w:rPr>
        <w:t xml:space="preserve">, shows the mass gain of a fully immersed thin </w:t>
      </w:r>
      <w:r w:rsidR="00860CC5">
        <w:rPr>
          <w:rFonts w:cs="Times New Roman"/>
        </w:rPr>
        <w:t>plate</w:t>
      </w:r>
      <w:r>
        <w:rPr>
          <w:rFonts w:cs="Times New Roman"/>
        </w:rPr>
        <w:t xml:space="preserve"> as a function of time. </w:t>
      </w:r>
      <w:r w:rsidR="004F080F">
        <w:rPr>
          <w:rFonts w:cs="Times New Roman"/>
        </w:rPr>
        <w:t>This one-dimensional solution assumes</w:t>
      </w:r>
      <w:r>
        <w:rPr>
          <w:rFonts w:cs="Times New Roman"/>
        </w:rPr>
        <w:t xml:space="preserve"> that the absorption through the edges is negligible. Although, Eq. </w:t>
      </w:r>
      <w:r w:rsidR="009B05F7">
        <w:rPr>
          <w:rFonts w:cs="Times New Roman"/>
        </w:rPr>
        <w:t>(</w:t>
      </w:r>
      <w:r>
        <w:rPr>
          <w:rFonts w:cs="Times New Roman"/>
        </w:rPr>
        <w:t>4</w:t>
      </w:r>
      <w:r w:rsidR="009B05F7">
        <w:rPr>
          <w:rFonts w:cs="Times New Roman"/>
        </w:rPr>
        <w:t>)</w:t>
      </w:r>
      <w:r>
        <w:rPr>
          <w:rFonts w:cs="Times New Roman"/>
        </w:rPr>
        <w:t xml:space="preserve"> is an absolutely effective tool to characterize the moisture absorption behavior, </w:t>
      </w:r>
      <w:r w:rsidR="004F080F">
        <w:rPr>
          <w:rFonts w:cs="Times New Roman"/>
        </w:rPr>
        <w:t>the infinite sum in the solution may require computational effort</w:t>
      </w:r>
      <w:r>
        <w:rPr>
          <w:rFonts w:cs="Times New Roman"/>
        </w:rPr>
        <w:t xml:space="preserve">. It has been observed that the effect of each term of the summation over </w:t>
      </w:r>
      <w:r w:rsidR="004F080F">
        <w:rPr>
          <w:rFonts w:cs="Times New Roman"/>
        </w:rPr>
        <w:t xml:space="preserve">the total sum decreases as </w:t>
      </w:r>
      <w:r>
        <w:rPr>
          <w:rFonts w:cs="Times New Roman"/>
        </w:rPr>
        <w:t>number</w:t>
      </w:r>
      <w:r w:rsidR="004F080F">
        <w:rPr>
          <w:rFonts w:cs="Times New Roman"/>
        </w:rPr>
        <w:t xml:space="preserve"> of terms</w:t>
      </w:r>
      <w:proofErr w:type="gramStart"/>
      <w:r>
        <w:rPr>
          <w:rFonts w:cs="Times New Roman"/>
        </w:rPr>
        <w:t xml:space="preserve">, </w:t>
      </w:r>
      <w:proofErr w:type="gramEnd"/>
      <m:oMath>
        <m:r>
          <w:rPr>
            <w:rFonts w:ascii="Cambria Math" w:hAnsi="Cambria Math" w:cs="Times New Roman"/>
          </w:rPr>
          <m:t>j</m:t>
        </m:r>
      </m:oMath>
      <w:r>
        <w:rPr>
          <w:rFonts w:cs="Times New Roman"/>
        </w:rPr>
        <w:t xml:space="preserve">, increases. Adding a stopping criterion to the solution may </w:t>
      </w:r>
      <w:r w:rsidR="004F080F">
        <w:rPr>
          <w:rFonts w:cs="Times New Roman"/>
        </w:rPr>
        <w:t>better manage</w:t>
      </w:r>
      <w:r>
        <w:rPr>
          <w:rFonts w:cs="Times New Roman"/>
        </w:rPr>
        <w:t xml:space="preserve"> the computational efforts. Our experiments indicated that </w:t>
      </w:r>
      <m:oMath>
        <m:r>
          <w:rPr>
            <w:rFonts w:ascii="Cambria Math" w:hAnsi="Cambria Math" w:cs="Times New Roman"/>
          </w:rPr>
          <m:t>j≈10000</m:t>
        </m:r>
      </m:oMath>
      <w:r>
        <w:rPr>
          <w:rFonts w:cs="Times New Roman"/>
        </w:rPr>
        <w:t xml:space="preserve"> yields accurate predictions</w:t>
      </w:r>
      <w:r w:rsidR="004F080F" w:rsidRPr="004F080F">
        <w:rPr>
          <w:rFonts w:cs="Times New Roman"/>
        </w:rPr>
        <w:t xml:space="preserve"> </w:t>
      </w:r>
      <w:r w:rsidR="004F080F">
        <w:rPr>
          <w:rFonts w:cs="Times New Roman"/>
        </w:rPr>
        <w:t>over the entire time scale</w:t>
      </w:r>
      <w:r>
        <w:rPr>
          <w:rFonts w:cs="Times New Roman"/>
        </w:rPr>
        <w:t xml:space="preserve">. </w:t>
      </w:r>
    </w:p>
    <w:p w14:paraId="208EFC8B" w14:textId="77777777" w:rsidR="00FF2519" w:rsidRDefault="00FF2519" w:rsidP="00FF2519">
      <w:pPr>
        <w:rPr>
          <w:rFonts w:cs="Times New Roman"/>
          <w:szCs w:val="24"/>
        </w:rPr>
      </w:pPr>
      <w:r w:rsidRPr="00DC5384">
        <w:rPr>
          <w:rFonts w:cs="Times New Roman"/>
          <w:szCs w:val="24"/>
        </w:rPr>
        <w:t xml:space="preserve">A typical classical Fickian moisture absorption curve is illustrated in </w:t>
      </w:r>
      <w:r>
        <w:rPr>
          <w:rFonts w:cs="Times New Roman"/>
          <w:szCs w:val="24"/>
        </w:rPr>
        <w:fldChar w:fldCharType="begin"/>
      </w:r>
      <w:r>
        <w:rPr>
          <w:rFonts w:cs="Times New Roman"/>
          <w:szCs w:val="24"/>
        </w:rPr>
        <w:instrText xml:space="preserve"> REF _Ref521415821 \h </w:instrText>
      </w:r>
      <w:r>
        <w:rPr>
          <w:rFonts w:cs="Times New Roman"/>
          <w:szCs w:val="24"/>
        </w:rPr>
      </w:r>
      <w:r>
        <w:rPr>
          <w:rFonts w:cs="Times New Roman"/>
          <w:szCs w:val="24"/>
        </w:rPr>
        <w:fldChar w:fldCharType="separate"/>
      </w:r>
      <w:r w:rsidR="006D52C2">
        <w:t xml:space="preserve">Figure </w:t>
      </w:r>
      <w:r w:rsidR="006D52C2">
        <w:rPr>
          <w:noProof/>
        </w:rPr>
        <w:t>1</w:t>
      </w:r>
      <w:r>
        <w:rPr>
          <w:rFonts w:cs="Times New Roman"/>
          <w:szCs w:val="24"/>
        </w:rPr>
        <w:fldChar w:fldCharType="end"/>
      </w:r>
      <w:r w:rsidRPr="00DC5384">
        <w:rPr>
          <w:rFonts w:cs="Times New Roman"/>
          <w:szCs w:val="24"/>
        </w:rPr>
        <w:t>.</w:t>
      </w:r>
      <w:r>
        <w:rPr>
          <w:rFonts w:cs="Times New Roman"/>
          <w:szCs w:val="24"/>
        </w:rPr>
        <w:t xml:space="preserve"> Absorption starts with initial fast moisture uptake with a constant slope and slows down to reach an equilibrium moisture content.</w:t>
      </w:r>
    </w:p>
    <w:p w14:paraId="5655469D" w14:textId="77777777" w:rsidR="00FF2519" w:rsidRDefault="00FF2519" w:rsidP="00FF2519">
      <w:pPr>
        <w:pStyle w:val="NoSpacing"/>
      </w:pPr>
      <w:bookmarkStart w:id="27" w:name="_Ref392583643"/>
      <w:bookmarkStart w:id="28" w:name="_Toc392702970"/>
      <w:bookmarkStart w:id="29" w:name="_Toc392771576"/>
      <w:bookmarkStart w:id="30" w:name="_Toc392773231"/>
      <w:bookmarkStart w:id="31" w:name="_Toc404672075"/>
      <w:r>
        <w:rPr>
          <w:noProof/>
          <w:lang w:bidi="ar-SA"/>
        </w:rPr>
        <w:lastRenderedPageBreak/>
        <w:drawing>
          <wp:inline distT="0" distB="0" distL="0" distR="0" wp14:anchorId="5982E84A" wp14:editId="0E164B88">
            <wp:extent cx="4691270"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1270" cy="3657600"/>
                    </a:xfrm>
                    <a:prstGeom prst="rect">
                      <a:avLst/>
                    </a:prstGeom>
                    <a:noFill/>
                    <a:ln>
                      <a:noFill/>
                    </a:ln>
                  </pic:spPr>
                </pic:pic>
              </a:graphicData>
            </a:graphic>
          </wp:inline>
        </w:drawing>
      </w:r>
      <w:bookmarkStart w:id="32" w:name="_Toc405036763"/>
    </w:p>
    <w:bookmarkEnd w:id="27"/>
    <w:p w14:paraId="2082EB20" w14:textId="77777777" w:rsidR="00FF2519" w:rsidRDefault="00FF2519" w:rsidP="00FF2519">
      <w:pPr>
        <w:pStyle w:val="Caption"/>
      </w:pPr>
      <w:r w:rsidRPr="0077282F">
        <w:t xml:space="preserve"> </w:t>
      </w:r>
      <w:bookmarkStart w:id="33" w:name="_Ref521415821"/>
      <w:bookmarkStart w:id="34" w:name="_Toc530997357"/>
      <w:bookmarkEnd w:id="28"/>
      <w:bookmarkEnd w:id="29"/>
      <w:bookmarkEnd w:id="30"/>
      <w:bookmarkEnd w:id="31"/>
      <w:bookmarkEnd w:id="32"/>
      <w:r>
        <w:t xml:space="preserve">Figure </w:t>
      </w:r>
      <w:r>
        <w:rPr>
          <w:noProof/>
        </w:rPr>
        <w:fldChar w:fldCharType="begin"/>
      </w:r>
      <w:r>
        <w:rPr>
          <w:noProof/>
        </w:rPr>
        <w:instrText xml:space="preserve"> SEQ Figure \* ARABIC </w:instrText>
      </w:r>
      <w:r>
        <w:rPr>
          <w:noProof/>
        </w:rPr>
        <w:fldChar w:fldCharType="separate"/>
      </w:r>
      <w:r w:rsidR="006D52C2">
        <w:rPr>
          <w:noProof/>
        </w:rPr>
        <w:t>1</w:t>
      </w:r>
      <w:r>
        <w:rPr>
          <w:noProof/>
        </w:rPr>
        <w:fldChar w:fldCharType="end"/>
      </w:r>
      <w:bookmarkEnd w:id="33"/>
      <w:r>
        <w:t>.</w:t>
      </w:r>
      <w:r w:rsidRPr="005B3DBB">
        <w:t xml:space="preserve"> </w:t>
      </w:r>
      <w:r>
        <w:t xml:space="preserve">Typical </w:t>
      </w:r>
      <w:r w:rsidRPr="00B02610">
        <w:t>Fickian</w:t>
      </w:r>
      <w:r>
        <w:t xml:space="preserve"> moisture uptake curve.</w:t>
      </w:r>
      <w:bookmarkEnd w:id="34"/>
    </w:p>
    <w:p w14:paraId="085C626C" w14:textId="77777777" w:rsidR="00FF2519" w:rsidRDefault="00FF2519" w:rsidP="00FF2519"/>
    <w:p w14:paraId="2854CC44" w14:textId="5B387DAF" w:rsidR="000C2D31" w:rsidRDefault="000C2D31" w:rsidP="00FF2519">
      <w:r>
        <w:t xml:space="preserve">Shen and Springer </w:t>
      </w:r>
      <w:r>
        <w:fldChar w:fldCharType="begin" w:fldLock="1"/>
      </w:r>
      <w:r w:rsidR="00B274D5">
        <w:instrText>ADDIN CSL_CITATION {"citationItems":[{"id":"ITEM-1","itemData":{"DOI":"10.1177/002199837601000101","ISSN":"0021-9983","abstract":"Expressions are presented for the moisture distribution and the mois ture content as a function of time of one dimensional homogeneous and composite materials exposed either on one side or on both sides to humid air or to water. The results apply during both moisture absorption and desorption when the moisture content and the temperature of the environ ment are constant. Test procedures are described for determining experi mentally the values of the moisture content and the diffusivity of com posite materials. A series of tests using unidirectional and {pi}/4 Graphite T-300 Fiberite 1034 composites were performed in the temperature range 300--425 K with the material submerged both in moist air (humidity 0 to 100%) and in water. The test data support the analytical results and pro vide the moisture absorption and desorption characteristics of such com posites. Extension of the results to materials exposed to time varying envi ronmental conditions is indicated.","author":[{"dropping-particle":"","family":"Shen","given":"Chi-Hung","non-dropping-particle":"","parse-names":false,"suffix":""},{"dropping-particle":"","family":"Springer","given":"George S.","non-dropping-particle":"","parse-names":false,"suffix":""}],"container-title":"Journal of Composite Materials","id":"ITEM-1","issue":"1","issued":{"date-parts":[["1976"]]},"page":"2-20","title":"Moisture Absorption and Desorption of Composite Materials","type":"article-journal","volume":"10"},"uris":["http://www.mendeley.com/documents/?uuid=ad4663de-8f66-4715-8dc6-cafc3cd756d9"]}],"mendeley":{"formattedCitation":"[43]","plainTextFormattedCitation":"[43]","previouslyFormattedCitation":"[43]"},"properties":{"noteIndex":0},"schema":"https://github.com/citation-style-language/schema/raw/master/csl-citation.json"}</w:instrText>
      </w:r>
      <w:r>
        <w:fldChar w:fldCharType="separate"/>
      </w:r>
      <w:r w:rsidR="007021F2" w:rsidRPr="007021F2">
        <w:rPr>
          <w:noProof/>
        </w:rPr>
        <w:t>[43]</w:t>
      </w:r>
      <w:r>
        <w:fldChar w:fldCharType="end"/>
      </w:r>
      <w:r>
        <w:t xml:space="preserve"> </w:t>
      </w:r>
      <w:r w:rsidR="00FF2519">
        <w:t xml:space="preserve">also </w:t>
      </w:r>
      <w:r>
        <w:t>suggested a useful approximation that the maximum moisture content and diffusivity can be quickly found. Researcher</w:t>
      </w:r>
      <w:r w:rsidR="004F080F">
        <w:t xml:space="preserve">s </w:t>
      </w:r>
      <w:r w:rsidR="004F080F">
        <w:fldChar w:fldCharType="begin" w:fldLock="1"/>
      </w:r>
      <w:r w:rsidR="00B274D5">
        <w:instrText>ADDIN CSL_CITATION {"citationItems":[{"id":"ITEM-1","itemData":{"DOI":"10.1177/002199837601000101","ISSN":"0021-9983","abstract":"Expressions are presented for the moisture distribution and the mois ture content as a function of time of one dimensional homogeneous and composite materials exposed either on one side or on both sides to humid air or to water. The results apply during both moisture absorption and desorption when the moisture content and the temperature of the environ ment are constant. Test procedures are described for determining experi mentally the values of the moisture content and the diffusivity of com posite materials. A series of tests using unidirectional and {pi}/4 Graphite T-300 Fiberite 1034 composites were performed in the temperature range 300--425 K with the material submerged both in moist air (humidity 0 to 100%) and in water. The test data support the analytical results and pro vide the moisture absorption and desorption characteristics of such com posites. Extension of the results to materials exposed to time varying envi ronmental conditions is indicated.","author":[{"dropping-particle":"","family":"Shen","given":"Chi-Hung","non-dropping-particle":"","parse-names":false,"suffix":""},{"dropping-particle":"","family":"Springer","given":"George S.","non-dropping-particle":"","parse-names":false,"suffix":""}],"container-title":"Journal of Composite Materials","id":"ITEM-1","issue":"1","issued":{"date-parts":[["1976"]]},"page":"2-20","title":"Moisture Absorption and Desorption of Composite Materials","type":"article-journal","volume":"10"},"uris":["http://www.mendeley.com/documents/?uuid=ad4663de-8f66-4715-8dc6-cafc3cd756d9"]}],"mendeley":{"formattedCitation":"[43]","plainTextFormattedCitation":"[43]","previouslyFormattedCitation":"[43]"},"properties":{"noteIndex":0},"schema":"https://github.com/citation-style-language/schema/raw/master/csl-citation.json"}</w:instrText>
      </w:r>
      <w:r w:rsidR="004F080F">
        <w:fldChar w:fldCharType="separate"/>
      </w:r>
      <w:r w:rsidR="004F080F" w:rsidRPr="007021F2">
        <w:rPr>
          <w:noProof/>
        </w:rPr>
        <w:t>[43]</w:t>
      </w:r>
      <w:r w:rsidR="004F080F">
        <w:fldChar w:fldCharType="end"/>
      </w:r>
      <w:r>
        <w:t xml:space="preserve"> proposed to set the maximum moisture content to the last data point where the absorption reached an equilibrium. Using the</w:t>
      </w:r>
      <w:r w:rsidRPr="00545BF3">
        <w:t xml:space="preserve"> </w:t>
      </w:r>
      <w:r>
        <w:t>maximum moisture content and the initial slope of the absorption curve diffusivity can be found using:</w:t>
      </w:r>
    </w:p>
    <w:tbl>
      <w:tblPr>
        <w:tblW w:w="0" w:type="auto"/>
        <w:tblLook w:val="04A0" w:firstRow="1" w:lastRow="0" w:firstColumn="1" w:lastColumn="0" w:noHBand="0" w:noVBand="1"/>
      </w:tblPr>
      <w:tblGrid>
        <w:gridCol w:w="7784"/>
        <w:gridCol w:w="856"/>
      </w:tblGrid>
      <w:tr w:rsidR="000C2D31" w:rsidRPr="00EA0C0F" w14:paraId="2EAE0659" w14:textId="77777777" w:rsidTr="000C2D31">
        <w:tc>
          <w:tcPr>
            <w:tcW w:w="9198" w:type="dxa"/>
            <w:vAlign w:val="center"/>
          </w:tcPr>
          <w:p w14:paraId="582D13CF" w14:textId="77777777" w:rsidR="000C2D31" w:rsidRPr="00F91CE0" w:rsidRDefault="000C2D31" w:rsidP="000C2D31">
            <m:oMathPara>
              <m:oMath>
                <m:r>
                  <w:rPr>
                    <w:rFonts w:ascii="Cambria Math" w:hAnsi="Cambria Math"/>
                  </w:rPr>
                  <m:t>D=π</m:t>
                </m:r>
                <m:sSup>
                  <m:sSupPr>
                    <m:ctrlPr>
                      <w:rPr>
                        <w:rFonts w:ascii="Cambria Math" w:hAnsi="Cambria Math"/>
                        <w:i/>
                      </w:rPr>
                    </m:ctrlPr>
                  </m:sSupPr>
                  <m:e>
                    <m:d>
                      <m:dPr>
                        <m:begChr m:val="["/>
                        <m:endChr m:val="]"/>
                        <m:ctrlPr>
                          <w:rPr>
                            <w:rFonts w:ascii="Cambria Math" w:hAnsi="Cambria Math"/>
                            <w:i/>
                          </w:rPr>
                        </m:ctrlPr>
                      </m:d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t</m:t>
                                        </m:r>
                                      </m:e>
                                      <m:sub>
                                        <m:r>
                                          <w:rPr>
                                            <w:rFonts w:ascii="Cambria Math" w:hAnsi="Cambria Math"/>
                                          </w:rPr>
                                          <m:t>2</m:t>
                                        </m:r>
                                      </m:sub>
                                    </m:sSub>
                                  </m:e>
                                </m:ra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t</m:t>
                                        </m:r>
                                      </m:e>
                                      <m:sub>
                                        <m:r>
                                          <w:rPr>
                                            <w:rFonts w:ascii="Cambria Math" w:hAnsi="Cambria Math"/>
                                          </w:rPr>
                                          <m:t>1</m:t>
                                        </m:r>
                                      </m:sub>
                                    </m:sSub>
                                  </m:e>
                                </m:rad>
                              </m:den>
                            </m:f>
                          </m:e>
                        </m:d>
                        <m:f>
                          <m:fPr>
                            <m:ctrlPr>
                              <w:rPr>
                                <w:rFonts w:ascii="Cambria Math" w:hAnsi="Cambria Math"/>
                                <w:i/>
                              </w:rPr>
                            </m:ctrlPr>
                          </m:fPr>
                          <m:num>
                            <m:r>
                              <w:rPr>
                                <w:rFonts w:ascii="Cambria Math" w:hAnsi="Cambria Math"/>
                              </w:rPr>
                              <m:t>h</m:t>
                            </m:r>
                          </m:num>
                          <m:den>
                            <m:r>
                              <w:rPr>
                                <w:rFonts w:ascii="Cambria Math" w:hAnsi="Cambria Math"/>
                              </w:rPr>
                              <m:t>4</m:t>
                            </m:r>
                            <m:sSub>
                              <m:sSubPr>
                                <m:ctrlPr>
                                  <w:rPr>
                                    <w:rFonts w:ascii="Cambria Math" w:hAnsi="Cambria Math"/>
                                    <w:i/>
                                  </w:rPr>
                                </m:ctrlPr>
                              </m:sSubPr>
                              <m:e>
                                <m:r>
                                  <w:rPr>
                                    <w:rFonts w:ascii="Cambria Math" w:hAnsi="Cambria Math"/>
                                  </w:rPr>
                                  <m:t>M</m:t>
                                </m:r>
                              </m:e>
                              <m:sub>
                                <m:r>
                                  <w:rPr>
                                    <w:rFonts w:ascii="Cambria Math" w:hAnsi="Cambria Math"/>
                                  </w:rPr>
                                  <m:t>∞</m:t>
                                </m:r>
                              </m:sub>
                            </m:sSub>
                          </m:den>
                        </m:f>
                      </m:e>
                    </m:d>
                  </m:e>
                  <m:sup>
                    <m:r>
                      <w:rPr>
                        <w:rFonts w:ascii="Cambria Math" w:hAnsi="Cambria Math"/>
                      </w:rPr>
                      <m:t>2</m:t>
                    </m:r>
                  </m:sup>
                </m:sSup>
              </m:oMath>
            </m:oMathPara>
          </w:p>
        </w:tc>
        <w:tc>
          <w:tcPr>
            <w:tcW w:w="378" w:type="dxa"/>
            <w:vAlign w:val="center"/>
          </w:tcPr>
          <w:p w14:paraId="545DD480" w14:textId="77777777" w:rsidR="000C2D31" w:rsidRPr="00EA0C0F" w:rsidRDefault="000C2D31" w:rsidP="000C2D31">
            <w:pPr>
              <w:spacing w:after="120"/>
              <w:jc w:val="center"/>
              <w:rPr>
                <w:rFonts w:eastAsiaTheme="majorEastAsia" w:cs="Times New Roman"/>
              </w:rPr>
            </w:pPr>
            <w:r>
              <w:rPr>
                <w:rFonts w:eastAsiaTheme="majorEastAsia" w:cs="Times New Roman"/>
              </w:rPr>
              <w:t>(5</w:t>
            </w:r>
            <w:r w:rsidRPr="00EA0C0F">
              <w:rPr>
                <w:rFonts w:eastAsiaTheme="majorEastAsia" w:cs="Times New Roman"/>
              </w:rPr>
              <w:t>)</w:t>
            </w:r>
          </w:p>
        </w:tc>
      </w:tr>
    </w:tbl>
    <w:p w14:paraId="6536419F" w14:textId="77777777" w:rsidR="000C2D31" w:rsidRDefault="000C2D31" w:rsidP="000C2D31">
      <w:pPr>
        <w:ind w:firstLine="0"/>
      </w:pPr>
      <w:proofErr w:type="gramStart"/>
      <w:r>
        <w:t>where</w:t>
      </w:r>
      <w:proofErr w:type="gramEnd"/>
      <w:r>
        <w:t xml:space="preserve">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t</m:t>
                        </m:r>
                      </m:e>
                      <m:sub>
                        <m:r>
                          <w:rPr>
                            <w:rFonts w:ascii="Cambria Math" w:hAnsi="Cambria Math"/>
                          </w:rPr>
                          <m:t>2</m:t>
                        </m:r>
                      </m:sub>
                    </m:sSub>
                  </m:e>
                </m:ra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t</m:t>
                        </m:r>
                      </m:e>
                      <m:sub>
                        <m:r>
                          <w:rPr>
                            <w:rFonts w:ascii="Cambria Math" w:hAnsi="Cambria Math"/>
                          </w:rPr>
                          <m:t>1</m:t>
                        </m:r>
                      </m:sub>
                    </m:sSub>
                  </m:e>
                </m:rad>
              </m:den>
            </m:f>
          </m:e>
        </m:d>
      </m:oMath>
      <w:r>
        <w:t xml:space="preserve"> is the initial slope of moisture absorption curve.</w:t>
      </w:r>
    </w:p>
    <w:p w14:paraId="6D8060ED" w14:textId="26AD7559" w:rsidR="000C2D31" w:rsidRDefault="000C2D31" w:rsidP="000C2D31">
      <w:pPr>
        <w:ind w:firstLine="0"/>
      </w:pPr>
      <w:r>
        <w:t xml:space="preserve">Shen and Springer also provided an approximation for the mass gain function in Eq. </w:t>
      </w:r>
      <w:r w:rsidR="009B05F7">
        <w:t>(</w:t>
      </w:r>
      <w:r>
        <w:t>3</w:t>
      </w:r>
      <w:r w:rsidR="009B05F7">
        <w:t>)</w:t>
      </w:r>
      <w:r>
        <w:t xml:space="preserve">: </w:t>
      </w:r>
    </w:p>
    <w:tbl>
      <w:tblPr>
        <w:tblW w:w="0" w:type="auto"/>
        <w:tblLook w:val="04A0" w:firstRow="1" w:lastRow="0" w:firstColumn="1" w:lastColumn="0" w:noHBand="0" w:noVBand="1"/>
      </w:tblPr>
      <w:tblGrid>
        <w:gridCol w:w="7784"/>
        <w:gridCol w:w="856"/>
      </w:tblGrid>
      <w:tr w:rsidR="000C2D31" w:rsidRPr="00EA0C0F" w14:paraId="3FBA5D1C" w14:textId="77777777" w:rsidTr="000C2D31">
        <w:tc>
          <w:tcPr>
            <w:tcW w:w="9198" w:type="dxa"/>
            <w:vAlign w:val="center"/>
          </w:tcPr>
          <w:p w14:paraId="71136113" w14:textId="77777777" w:rsidR="000C2D31" w:rsidRPr="00EA0C0F" w:rsidRDefault="007B3686" w:rsidP="000C2D31">
            <w:pPr>
              <w:spacing w:after="120"/>
              <w:rPr>
                <w:rFonts w:cs="Times New Roman"/>
              </w:rPr>
            </w:pPr>
            <m:oMathPara>
              <m:oMath>
                <m:f>
                  <m:fPr>
                    <m:ctrlPr>
                      <w:rPr>
                        <w:rFonts w:ascii="Cambria Math" w:hAnsi="Cambria Math" w:cs="Times New Roman"/>
                        <w:i/>
                      </w:rPr>
                    </m:ctrlPr>
                  </m:fPr>
                  <m:num>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den>
                </m:f>
                <m:r>
                  <w:rPr>
                    <w:rFonts w:ascii="Cambria Math" w:hAnsi="Cambria Math" w:cs="Times New Roman"/>
                  </w:rPr>
                  <m:t>=1-exp</m:t>
                </m:r>
                <m:d>
                  <m:dPr>
                    <m:begChr m:val="["/>
                    <m:endChr m:val="]"/>
                    <m:ctrlPr>
                      <w:rPr>
                        <w:rFonts w:ascii="Cambria Math" w:hAnsi="Cambria Math" w:cs="Times New Roman"/>
                        <w:i/>
                      </w:rPr>
                    </m:ctrlPr>
                  </m:dPr>
                  <m:e>
                    <m:r>
                      <w:rPr>
                        <w:rFonts w:ascii="Cambria Math" w:hAnsi="Cambria Math" w:cs="Times New Roman"/>
                      </w:rPr>
                      <m:t>-7.3</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Dt</m:t>
                                </m:r>
                              </m:num>
                              <m:den>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den>
                            </m:f>
                          </m:e>
                        </m:d>
                      </m:e>
                      <m:sup>
                        <m:r>
                          <w:rPr>
                            <w:rFonts w:ascii="Cambria Math" w:hAnsi="Cambria Math" w:cs="Times New Roman"/>
                          </w:rPr>
                          <m:t>0.75</m:t>
                        </m:r>
                      </m:sup>
                    </m:sSup>
                  </m:e>
                </m:d>
              </m:oMath>
            </m:oMathPara>
          </w:p>
        </w:tc>
        <w:tc>
          <w:tcPr>
            <w:tcW w:w="378" w:type="dxa"/>
            <w:vAlign w:val="center"/>
          </w:tcPr>
          <w:p w14:paraId="0F801535" w14:textId="77777777" w:rsidR="000C2D31" w:rsidRPr="00EA0C0F" w:rsidRDefault="000C2D31" w:rsidP="000C2D31">
            <w:pPr>
              <w:spacing w:after="120"/>
              <w:jc w:val="center"/>
              <w:rPr>
                <w:rFonts w:eastAsiaTheme="majorEastAsia" w:cs="Times New Roman"/>
              </w:rPr>
            </w:pPr>
            <w:r w:rsidRPr="00EA0C0F">
              <w:rPr>
                <w:rFonts w:eastAsiaTheme="majorEastAsia" w:cs="Times New Roman"/>
              </w:rPr>
              <w:t>(</w:t>
            </w:r>
            <w:r>
              <w:rPr>
                <w:rFonts w:eastAsiaTheme="majorEastAsia" w:cs="Times New Roman"/>
              </w:rPr>
              <w:t>6</w:t>
            </w:r>
            <w:r w:rsidRPr="00EA0C0F">
              <w:rPr>
                <w:rFonts w:eastAsiaTheme="majorEastAsia" w:cs="Times New Roman"/>
              </w:rPr>
              <w:t>)</w:t>
            </w:r>
          </w:p>
        </w:tc>
      </w:tr>
    </w:tbl>
    <w:p w14:paraId="5C9E3659" w14:textId="344C6B58" w:rsidR="00FF2519" w:rsidRPr="00BB2C1B" w:rsidRDefault="000C2D31" w:rsidP="00BB2C1B">
      <w:pPr>
        <w:spacing w:after="120"/>
        <w:ind w:firstLine="0"/>
        <w:rPr>
          <w:rFonts w:cs="Times New Roman"/>
        </w:rPr>
      </w:pPr>
      <w:r>
        <w:rPr>
          <w:rFonts w:cs="Times New Roman"/>
        </w:rPr>
        <w:lastRenderedPageBreak/>
        <w:t xml:space="preserve">It should be noted here that the approximate methods for classical Fickian model, Eqs. </w:t>
      </w:r>
      <w:r w:rsidR="009B05F7">
        <w:rPr>
          <w:rFonts w:cs="Times New Roman"/>
        </w:rPr>
        <w:t>(</w:t>
      </w:r>
      <w:r>
        <w:rPr>
          <w:rFonts w:cs="Times New Roman"/>
        </w:rPr>
        <w:t>5-6</w:t>
      </w:r>
      <w:r w:rsidR="009B05F7">
        <w:rPr>
          <w:rFonts w:cs="Times New Roman"/>
        </w:rPr>
        <w:t>)</w:t>
      </w:r>
      <w:r>
        <w:rPr>
          <w:rFonts w:cs="Times New Roman"/>
        </w:rPr>
        <w:t>, may not yield accurate results since it highly depend</w:t>
      </w:r>
      <w:r w:rsidR="00270BC2">
        <w:rPr>
          <w:rFonts w:cs="Times New Roman"/>
        </w:rPr>
        <w:t>s</w:t>
      </w:r>
      <w:r>
        <w:rPr>
          <w:rFonts w:cs="Times New Roman"/>
        </w:rPr>
        <w:t xml:space="preserve"> on the maximum moisture content selection and experimental error i</w:t>
      </w:r>
      <w:r w:rsidR="00BB2C1B">
        <w:rPr>
          <w:rFonts w:cs="Times New Roman"/>
        </w:rPr>
        <w:t xml:space="preserve">n initial slope determination. </w:t>
      </w:r>
    </w:p>
    <w:p w14:paraId="6EAFB1CA" w14:textId="61121746" w:rsidR="000C2D31" w:rsidRDefault="000C2D31" w:rsidP="00BB2C1B">
      <w:pPr>
        <w:pStyle w:val="Heading2"/>
      </w:pPr>
      <w:bookmarkStart w:id="35" w:name="_Toc403980421"/>
      <w:bookmarkStart w:id="36" w:name="_Toc531943739"/>
      <w:r>
        <w:t>2.</w:t>
      </w:r>
      <w:r w:rsidR="006D2C83">
        <w:t>2</w:t>
      </w:r>
      <w:r>
        <w:t xml:space="preserve">. </w:t>
      </w:r>
      <w:r w:rsidRPr="005A3E52">
        <w:t>Langmuir-Type Diffusion Model</w:t>
      </w:r>
      <w:bookmarkEnd w:id="35"/>
      <w:bookmarkEnd w:id="36"/>
    </w:p>
    <w:p w14:paraId="65448253" w14:textId="72BEE270" w:rsidR="000C2D31" w:rsidRDefault="000C2D31" w:rsidP="000C2D31">
      <w:pPr>
        <w:rPr>
          <w:rFonts w:cs="Times New Roman"/>
          <w:szCs w:val="24"/>
        </w:rPr>
      </w:pPr>
      <w:r>
        <w:t>Polymers and polymer composites mostly display non-Fickian moisture absorption behavior where Fickian model is not sufficiently accurate</w:t>
      </w:r>
      <w:r w:rsidRPr="004A42E5">
        <w:rPr>
          <w:rFonts w:cs="Times New Roman"/>
          <w:szCs w:val="24"/>
        </w:rPr>
        <w:t xml:space="preserve"> </w:t>
      </w:r>
      <w:r>
        <w:rPr>
          <w:rFonts w:cs="Times New Roman"/>
          <w:szCs w:val="24"/>
        </w:rPr>
        <w:fldChar w:fldCharType="begin" w:fldLock="1"/>
      </w:r>
      <w:r w:rsidR="007961A0">
        <w:rPr>
          <w:rFonts w:cs="Times New Roman"/>
          <w:szCs w:val="24"/>
        </w:rPr>
        <w:instrText>ADDIN CSL_CITATION {"citationItems":[{"id":"ITEM-1","itemData":{"DOI":"10.1115/1.1304912","ISSN":"00218936","abstract":"It is now well known that Fick’s Law is frequently inadequate for describing moisture diffusion in polymers or polymer composites. Non-Fickian or anomalous diffusion typically occurs when the rates of diffusion and viscoelastic relaxation in a polymer are comparable, and the ambient temperature is below the glass transition temperature (Tg) of the polymer. As a result, it is necessary to take into account the time-dependent response of a polymer, analogous to viscoelastic relaxation of mechanical properties, in constructing such a model. In this paper, a simple yet robust methodology is proposed that would allow characterization of non-Fickian diffusion coefficients from moisture weight gain data for a polymer below its Tg. Subsequently, these diffusion coefficients are used for predicting moisture concentration profiles through the thickness of a polymer. Moisture weight gain data at different temperatures for an epoxy adhesive is employed to calibrate the model. Specimen thickness independence of the modeling parameters is established through comparison with test data. A finite element procedure that extends this methodology to more complex shapes and boundary conditions is also validated. [S0021-8936(00)02402-8]","author":[{"dropping-particle":"","family":"Roy","given":"S.","non-dropping-particle":"","parse-names":false,"suffix":""},{"dropping-particle":"","family":"Xu","given":"W. X.","non-dropping-particle":"","parse-names":false,"suffix":""},{"dropping-particle":"","family":"Park","given":"S. J.","non-dropping-particle":"","parse-names":false,"suffix":""},{"dropping-particle":"","family":"Liechti","given":"K. M.","non-dropping-particle":"","parse-names":false,"suffix":""}],"container-title":"Journal of Applied Mechanics","id":"ITEM-1","issue":"2","issued":{"date-parts":[["2000"]]},"page":"391","title":"Anomalous Moisture Diffusion in Viscoelastic Polymers: Modeling and Testing","type":"article-journal","volume":"67"},"uris":["http://www.mendeley.com/documents/?uuid=4d1d015a-73cb-4097-ab75-17efcffba419"]},{"id":"ITEM-2","itemData":{"DOI":"10.1007/BF01174494","ISSN":"00222461","author":[{"dropping-particle":"","family":"Jacobs","given":"P. M.","non-dropping-particle":"","parse-names":false,"suffix":""},{"dropping-particle":"","family":"Jones","given":"E. R.","non-dropping-particle":"","parse-names":false,"suffix":""}],"container-title":"Journal of Materials Science","id":"ITEM-2","issue":"7","issued":{"date-parts":[["1989"]]},"page":"2343-2347","title":"Diffusion of moisture into two-phase polymers - Part 2 Styrenated polyester resins","type":"article-journal","volume":"24"},"uris":["http://www.mendeley.com/documents/?uuid=59367bef-043a-42a2-ba22-db5730ed88f6"]},{"id":"ITEM-3","itemData":{"DOI":"10.1002/(SICI)1099-0488(19990601)37:11&lt;1165::AID-POLB11&gt;3.0.CO;2-EView/save citation","ISBN":"0887-6266","ISSN":"08876266","abstract":"The kinetics of water absorption in epoxide materials was studied by the aid of a diglycidyl ether of bisphenol-A–triethylenetetramine (DGEBA–TETA) epoxy– resin system containing various amounts of the plasticizer THIOCOL (0–40 phr). The presence of plasticizer permits the formation of products with different crosslinking densities and hydrophilic characters. Dynamic water absorption experiments were carried out at 15, 40, and 70°C. For the fitting of the experimental results, a new model was used, based on a model proposed earlier by Jacobs and Jones. This model considers epoxide product as a two-phase system consisting of a master phase (where the major part of the water is absorbed), which is homogeneous and nonpolar (phase 1), and of a second phase with different density and/or hydrophilic character (phase 2). By making the assumption that water diffusion can take place independently in the different phases of the material in accordance with Fick’s second law, we can calculate the diffusion coefficient D and the water content at saturation M? for each phase sepa- rately. Equilibrium water sorption measurements were performed at 40°C, and the data were analyzed and discussed based on the Guggenheim–Anderson–de Boer (GAB) equation, the results being in support of the two-phase model used in the analysis of absorption kinetics. The linear expansion coefficient and the glass transition temper- ature of the materials, employed in the discussion of the results, were measured by thermomechanical analysis. ©","author":[{"dropping-particle":"","family":"Maggana","given":"C.","non-dropping-particle":"","parse-names":false,"suffix":""},{"dropping-particle":"","family":"Pissis","given":"P.","non-dropping-particle":"","parse-names":false,"suffix":""}],"container-title":"Journal Of Polymer Science Part B-Polymer Physics","id":"ITEM-3","issued":{"date-parts":[["1999"]]},"page":"1165 - 1182","title":"Water Sorption and Diffusion in an Epoxy Resin System","type":"article-journal","volume":"37"},"uris":["http://www.mendeley.com/documents/?uuid=59bdf007-fa98-410a-ae1f-1a542bee3d50"]},{"id":"ITEM-4","itemData":{"DOI":"10.1016/0032-3861(78)90269-0","ISBN":"0032-3861","ISSN":"00323861","abstract":"Gravimetric sorption measurements for organic vapours in monodisperse glassy polymer powders have shown widely varied non-Fickian kinetic behaviour. These varied kinetics are interpreted by a single mathematical model involving a linear superposition of one or two phenomenologically independent first order relaxation terms upon the ideal Fickian diffusion equation. Analysis of experimental data for submicron powders through this model yields kinetic and equilibrium parameters describing the individual contributions of the diffusion and relaxation processes. This analysis has been applied to both integral and incremental sorption data for vinyl chloride, acetone, and methanol in poly(vinyl chloride) and for n-hexane in polystyrene. Sorption by initially penetrant-free polymer samples is dominated by a rapid Fickian diffusion process, while incremental sorptions show larger relative contributions from slow relaxation processes. The relaxation processes appear to be related to slow redistribution of available free volume through relatively large scale segmental motions in the relaxing polymer. The diffusion-relaxation model seems to provide a meaningful analysis of several non-Fickian 'anomalies', including a very slow approach to apparent equilibrium, two-stage and sigmoidal sorption curves, and sorption curves involving an initial maximum followed by temporary desorption and subsequent resorption. © 1978.","author":[{"dropping-particle":"","family":"Berens","given":"A. R.","non-dropping-particle":"","parse-names":false,"suffix":""},{"dropping-particle":"","family":"Hopfenberg","given":"H. B.","non-dropping-particle":"","parse-names":false,"suffix":""}],"container-title":"Polymer","id":"ITEM-4","issue":"5","issued":{"date-parts":[["1978"]]},"page":"489-496","title":"Diffusion and relaxation in glassy polymer powders: 2. Separation of diffusion and relaxation parameters","type":"article-journal","volume":"19"},"uris":["http://www.mendeley.com/documents/?uuid=07f6786e-2953-4736-85e7-a200f41af922"]},{"id":"ITEM-5","itemData":{"DOI":"10.1002/pol.1979.180171011","ISSN":"00981273","abstract":"Recent gravimetric studies of the sorption of organic vapors by poly(vinyl chloride) and polystyrene powders have demonstrated several features which promise to be generally useful in studying the structure and properties of the glassy state. The uptake of vapor can be significantly altered by prior thermal or vapor treatment of the polymer, apparently reflecting changes in the microvoid content or free volume of the polymer. Fickian sorption in sufficiently fine powders proceeds to equilibrium in a few minutes. Upon exposure of a polymer powder to an appreciable pressure of vapor, both a rapid Fickian sorption and a slower, relaxation-controlled sorption are observed. superposition of these processes leads to widely varied sorption kinetics; a model comprising Fickian diffusion and first-order relaxation terms accurately describes the data and allows estimation of equilibrium and rate constants for both processes. The rates of both swelling and consolidation relaxations appear to be retarded by the presence of low concentrations of vapor in the polymer, suggesting that vapor molecules may preempt some of the free volume required for relaxation.","author":[{"dropping-particle":"","family":"Berens","given":"A. R.","non-dropping-particle":"","parse-names":false,"suffix":""}],"container-title":"Journal of Polymer Science","id":"ITEM-5","issued":{"date-parts":[["1979"]]},"page":"1757-1770","title":"Induction and Measurement of Glassy-State Relaxations by Vapor Sorption Techniques","type":"article-journal","volume":"17"},"uris":["http://www.mendeley.com/documents/?uuid=335650d1-7cfd-40f8-a8bc-63e225c688e2"]},{"id":"ITEM-6","itemData":{"DOI":"10.1177/002199837801200201","ISSN":"1530793x","abstract":"Considerable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Materials","id":"ITEM-6","issue":"2","issued":{"date-parts":[["1978"]]},"page":"118-131","title":"Langmuir-Type Model for Anomalous Moisture Diffusion In Composite Resins","type":"article-journal","volume":"12"},"uris":["http://www.mendeley.com/documents/?uuid=7e8bc570-081d-4fa2-94d2-083031d4ba9a"]},{"id":"ITEM-7","itemData":{"DOI":"10.1002/pc.22523","ISSN":"0272-8397","abstract":"A new, three?dimensional, anisotropic non?Fickian diffusion model is developed to characterize moisture absorption in polymeric composites. The new hindered diffusion model extends the classical Fickian theory to include the effects of the interaction of diffusing molecules with the chemical and physical structure of polymeric composites. The numerical solution of the hindered diffusion model is obtained for a three?dimensional, anisotropic domain by using a forward?time, centered?space finite difference technique. The moisture weight gain over time predicted by the model is shown to mimic a wide variety of anomalous absorption behavior, often exhibited by anisotropic composite laminates. The accuracy of the numerical solutions is verified by comparing the results to known analytical solutions of a one?dimensional, ?Langmuir?type? diffusion model and for the limiting case of the three?dimensional Fickian model. The utility of the proposed hindered diffusion model is demonstrated by accurately recovering the absorption behavior of three different material systems reported in literature. First, it is shown that the hindered diffusion model can accurately predict the moisture absorption data for unidirectional glass?reinforced epoxy plates of varying dimensions exposed to a relative humidity of 80%. Second, the one?dimensional version of the model is applied to experimental moisture absorption data for isotropic epoxy resin samples of different thicknesses. Anomalous effects due to sample thickness reported in the original article are accurately captured. Third, the proposed model is shown to be more accurate than a two?stage diffusion model applied to moisture absorption data obtained from a woven 3?ply carbon fiber reinforced bismaleimide composite. POLYM. COMPOS., 34:1144?1157, 2013. ? 2013 Society of Plastics Engineers","author":[{"dropping-particle":"","family":"Grace","given":"L. R.","non-dropping-particle":"","parse-names":false,"suffix":""},{"dropping-particle":"","family":"Altan","given":"M. C.","non-dropping-particle":"","parse-names":false,"suffix":""}],"container-title":"Polymer Composites","id":"ITEM-7","issue":"7","issued":{"date-parts":[["2013","6","3"]]},"note":"doi: 10.1002/pc.22523","page":"1144-1157","publisher":"Wiley-Blackwell","title":"Non</w:instrText>
      </w:r>
      <w:r w:rsidR="007961A0">
        <w:rPr>
          <w:rFonts w:ascii="Cambria Math" w:hAnsi="Cambria Math" w:cs="Cambria Math"/>
          <w:szCs w:val="24"/>
        </w:rPr>
        <w:instrText>‐</w:instrText>
      </w:r>
      <w:r w:rsidR="007961A0">
        <w:rPr>
          <w:rFonts w:cs="Times New Roman"/>
          <w:szCs w:val="24"/>
        </w:rPr>
        <w:instrText>Fickian three-dimensional hindered moisture absorption in polymeric composites: Model development and validation","type":"article-journal","volume":"34"},"uris":["http://www.mendeley.com/documents/?uuid=3e1b81e9-e63c-466a-8dde-12dc160d81da"]}],"mendeley":{"formattedCitation":"[49–55]","plainTextFormattedCitation":"[49–55]","previouslyFormattedCitation":"[49–55]"},"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[49–55]</w:t>
      </w:r>
      <w:r>
        <w:rPr>
          <w:rFonts w:cs="Times New Roman"/>
          <w:szCs w:val="24"/>
        </w:rPr>
        <w:fldChar w:fldCharType="end"/>
      </w:r>
      <w:r>
        <w:rPr>
          <w:rFonts w:cs="Times New Roman"/>
          <w:szCs w:val="24"/>
        </w:rPr>
        <w:t xml:space="preserve">. </w:t>
      </w:r>
      <w:r w:rsidRPr="001E6BA7">
        <w:rPr>
          <w:rFonts w:cs="Times New Roman"/>
          <w:szCs w:val="24"/>
        </w:rPr>
        <w:t>The Langmuir model, pr</w:t>
      </w:r>
      <w:r>
        <w:rPr>
          <w:rFonts w:cs="Times New Roman"/>
          <w:szCs w:val="24"/>
        </w:rPr>
        <w:t xml:space="preserve">oposed by Carter and Kibler </w:t>
      </w:r>
      <w:r>
        <w:rPr>
          <w:rFonts w:cs="Times New Roman"/>
          <w:szCs w:val="24"/>
        </w:rPr>
        <w:fldChar w:fldCharType="begin" w:fldLock="1"/>
      </w:r>
      <w:r w:rsidR="00B274D5">
        <w:rPr>
          <w:rFonts w:cs="Times New Roman"/>
          <w:szCs w:val="24"/>
        </w:rPr>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[54]</w:t>
      </w:r>
      <w:r>
        <w:rPr>
          <w:rFonts w:cs="Times New Roman"/>
          <w:szCs w:val="24"/>
        </w:rPr>
        <w:fldChar w:fldCharType="end"/>
      </w:r>
      <w:r w:rsidRPr="001E6BA7">
        <w:rPr>
          <w:rFonts w:cs="Times New Roman"/>
          <w:szCs w:val="24"/>
        </w:rPr>
        <w:t>, essentially modifies the Fickian diffusion kinetics by account</w:t>
      </w:r>
      <w:r>
        <w:rPr>
          <w:rFonts w:cs="Times New Roman"/>
          <w:szCs w:val="24"/>
        </w:rPr>
        <w:t>ing</w:t>
      </w:r>
      <w:r w:rsidRPr="001E6BA7">
        <w:rPr>
          <w:rFonts w:cs="Times New Roman"/>
          <w:szCs w:val="24"/>
        </w:rPr>
        <w:t xml:space="preserve"> </w:t>
      </w:r>
      <w:r>
        <w:rPr>
          <w:rFonts w:cs="Times New Roman"/>
          <w:szCs w:val="24"/>
        </w:rPr>
        <w:t xml:space="preserve">for </w:t>
      </w:r>
      <w:r w:rsidRPr="001E6BA7">
        <w:rPr>
          <w:rFonts w:cs="Times New Roman"/>
          <w:szCs w:val="24"/>
        </w:rPr>
        <w:t>the hindrance introduced by chemical interactions between the penetrant and the medium.</w:t>
      </w:r>
      <w:r>
        <w:rPr>
          <w:rFonts w:cs="Times New Roman"/>
          <w:szCs w:val="24"/>
        </w:rPr>
        <w:t xml:space="preserve"> The model considers the chemical interactions by separating the diffused moisture molecules into two categories: </w:t>
      </w:r>
      <w:proofErr w:type="spellStart"/>
      <w:r w:rsidRPr="002B06F5">
        <w:rPr>
          <w:rFonts w:cs="Times New Roman"/>
          <w:i/>
          <w:szCs w:val="24"/>
        </w:rPr>
        <w:t>i</w:t>
      </w:r>
      <w:proofErr w:type="spellEnd"/>
      <w:r w:rsidRPr="002B06F5">
        <w:rPr>
          <w:rFonts w:cs="Times New Roman"/>
          <w:i/>
          <w:szCs w:val="24"/>
        </w:rPr>
        <w:t xml:space="preserve">) </w:t>
      </w:r>
      <w:r w:rsidRPr="002B06F5">
        <w:rPr>
          <w:rFonts w:cs="Times New Roman"/>
          <w:szCs w:val="24"/>
        </w:rPr>
        <w:t>unbound moisture molecules and</w:t>
      </w:r>
      <w:r w:rsidRPr="002B06F5">
        <w:rPr>
          <w:rFonts w:cs="Times New Roman"/>
          <w:i/>
          <w:szCs w:val="24"/>
        </w:rPr>
        <w:t xml:space="preserve"> ii) </w:t>
      </w:r>
      <w:r w:rsidRPr="002B06F5">
        <w:rPr>
          <w:rFonts w:cs="Times New Roman"/>
          <w:szCs w:val="24"/>
        </w:rPr>
        <w:t>bound moisture molecules</w:t>
      </w:r>
      <w:r w:rsidRPr="002B06F5">
        <w:rPr>
          <w:rFonts w:cs="Times New Roman"/>
          <w:i/>
          <w:szCs w:val="24"/>
        </w:rPr>
        <w:t>.</w:t>
      </w:r>
      <w:r>
        <w:rPr>
          <w:rFonts w:cs="Times New Roman"/>
          <w:szCs w:val="24"/>
        </w:rPr>
        <w:t xml:space="preserve"> Water molecules diffuse into the material as unbound moisture can either remain as unbound moisture or interact with polymer chain and become bound moisture. Likewise, bound moisture can transform back to unbound moisture. The rate of exchange between bound and unbound molecules, which sets the speed of moisture absorption, gradually decreases and reaches zero; whereas, only the diffusing molecules set the speed of absorption</w:t>
      </w:r>
      <w:r w:rsidRPr="00E0224D">
        <w:rPr>
          <w:rFonts w:cs="Times New Roman"/>
          <w:szCs w:val="24"/>
        </w:rPr>
        <w:t xml:space="preserve"> </w:t>
      </w:r>
      <w:r>
        <w:rPr>
          <w:rFonts w:cs="Times New Roman"/>
          <w:szCs w:val="24"/>
        </w:rPr>
        <w:t xml:space="preserve">in Fickian diffusion. This ongoing transformation between the bound and unbound moisture hinders the absorption behavior. </w:t>
      </w:r>
      <w:r w:rsidRPr="00E0224D">
        <w:rPr>
          <w:rFonts w:cs="Times New Roman"/>
          <w:szCs w:val="24"/>
        </w:rPr>
        <w:t>Corollary to this, the time required to reach moisture equilibrium is often much longer compared to a pure Fickian absorption</w:t>
      </w:r>
      <w:r>
        <w:rPr>
          <w:rFonts w:cs="Times New Roman"/>
          <w:szCs w:val="24"/>
        </w:rPr>
        <w:t>.</w:t>
      </w:r>
      <w:r w:rsidRPr="001E6BA7">
        <w:rPr>
          <w:rFonts w:cs="Times New Roman"/>
          <w:szCs w:val="24"/>
        </w:rPr>
        <w:t xml:space="preserve"> The governing set of differential equations of </w:t>
      </w:r>
      <w:r>
        <w:rPr>
          <w:rFonts w:cs="Times New Roman"/>
          <w:szCs w:val="24"/>
        </w:rPr>
        <w:t xml:space="preserve">the </w:t>
      </w:r>
      <w:r w:rsidRPr="001E6BA7">
        <w:rPr>
          <w:rFonts w:cs="Times New Roman"/>
          <w:szCs w:val="24"/>
        </w:rPr>
        <w:t xml:space="preserve">one-dimensional hindered diffusion is </w:t>
      </w:r>
      <w:r>
        <w:rPr>
          <w:rFonts w:cs="Times New Roman"/>
          <w:szCs w:val="24"/>
        </w:rPr>
        <w:t xml:space="preserve">written </w:t>
      </w:r>
      <w:r w:rsidRPr="001E6BA7">
        <w:rPr>
          <w:rFonts w:cs="Times New Roman"/>
          <w:szCs w:val="24"/>
        </w:rPr>
        <w:t>as</w:t>
      </w:r>
      <w:r>
        <w:rPr>
          <w:rFonts w:cs="Times New Roman"/>
          <w:szCs w:val="24"/>
        </w:rPr>
        <w:t>:</w:t>
      </w:r>
    </w:p>
    <w:p w14:paraId="16B0E340" w14:textId="77777777" w:rsidR="00810427" w:rsidRPr="001E6BA7" w:rsidRDefault="00810427" w:rsidP="000C2D31">
      <w:pPr>
        <w:rPr>
          <w:rFonts w:cs="Times New Roman"/>
          <w:szCs w:val="24"/>
        </w:rPr>
      </w:pPr>
    </w:p>
    <w:tbl>
      <w:tblPr>
        <w:tblW w:w="0" w:type="auto"/>
        <w:tblLook w:val="04A0" w:firstRow="1" w:lastRow="0" w:firstColumn="1" w:lastColumn="0" w:noHBand="0" w:noVBand="1"/>
      </w:tblPr>
      <w:tblGrid>
        <w:gridCol w:w="7664"/>
        <w:gridCol w:w="976"/>
      </w:tblGrid>
      <w:tr w:rsidR="000C2D31" w:rsidRPr="001E6BA7" w14:paraId="4D88204F" w14:textId="77777777" w:rsidTr="000C2D31">
        <w:tc>
          <w:tcPr>
            <w:tcW w:w="9103" w:type="dxa"/>
            <w:vAlign w:val="center"/>
          </w:tcPr>
          <w:p w14:paraId="10489261" w14:textId="77777777" w:rsidR="000C2D31" w:rsidRPr="001E6BA7" w:rsidRDefault="000C2D31" w:rsidP="000C2D31">
            <w:pPr>
              <w:spacing w:after="200"/>
              <w:jc w:val="center"/>
              <w:rPr>
                <w:rFonts w:cs="Times New Roman"/>
                <w:szCs w:val="24"/>
              </w:rPr>
            </w:pPr>
            <m:oMathPara>
              <m:oMath>
                <m:r>
                  <w:rPr>
                    <w:rFonts w:ascii="Cambria Math" w:hAnsi="Cambria Math" w:cs="Times New Roman"/>
                    <w:szCs w:val="24"/>
                  </w:rPr>
                  <w:lastRenderedPageBreak/>
                  <m:t>D</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r>
                      <w:rPr>
                        <w:rFonts w:ascii="Cambria Math" w:hAnsi="Cambria Math" w:cs="Times New Roman"/>
                        <w:szCs w:val="24"/>
                      </w:rPr>
                      <m:t>n</m:t>
                    </m:r>
                  </m:num>
                  <m:den>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m:t>
                    </m:r>
                  </m:num>
                  <m:den>
                    <m:r>
                      <w:rPr>
                        <w:rFonts w:ascii="Cambria Math" w:hAnsi="Cambria Math" w:cs="Times New Roman"/>
                        <w:szCs w:val="24"/>
                      </w:rPr>
                      <m:t>∂t</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m:t>
                    </m:r>
                  </m:num>
                  <m:den>
                    <m:r>
                      <w:rPr>
                        <w:rFonts w:ascii="Cambria Math" w:hAnsi="Cambria Math" w:cs="Times New Roman"/>
                        <w:szCs w:val="24"/>
                      </w:rPr>
                      <m:t>∂t</m:t>
                    </m:r>
                  </m:den>
                </m:f>
              </m:oMath>
            </m:oMathPara>
          </w:p>
        </w:tc>
        <w:tc>
          <w:tcPr>
            <w:tcW w:w="473" w:type="dxa"/>
            <w:vAlign w:val="center"/>
          </w:tcPr>
          <w:p w14:paraId="4B24601D" w14:textId="77777777" w:rsidR="000C2D31" w:rsidRPr="001E6BA7" w:rsidRDefault="000C2D31" w:rsidP="000C2D31">
            <w:pPr>
              <w:spacing w:after="200"/>
              <w:jc w:val="center"/>
              <w:rPr>
                <w:rFonts w:eastAsiaTheme="majorEastAsia" w:cs="Times New Roman"/>
                <w:szCs w:val="24"/>
              </w:rPr>
            </w:pPr>
            <w:r w:rsidRPr="001E6BA7">
              <w:rPr>
                <w:rFonts w:eastAsiaTheme="majorEastAsia" w:cs="Times New Roman"/>
                <w:szCs w:val="24"/>
              </w:rPr>
              <w:t>(</w:t>
            </w:r>
            <w:r>
              <w:rPr>
                <w:rFonts w:eastAsiaTheme="majorEastAsia" w:cs="Times New Roman"/>
                <w:szCs w:val="24"/>
              </w:rPr>
              <w:t>7</w:t>
            </w:r>
            <w:r w:rsidRPr="001E6BA7">
              <w:rPr>
                <w:rFonts w:eastAsiaTheme="majorEastAsia" w:cs="Times New Roman"/>
                <w:szCs w:val="24"/>
              </w:rPr>
              <w:t>a)</w:t>
            </w:r>
          </w:p>
        </w:tc>
      </w:tr>
      <w:tr w:rsidR="000C2D31" w:rsidRPr="001E6BA7" w14:paraId="32C2DD44" w14:textId="77777777" w:rsidTr="000C2D31">
        <w:tc>
          <w:tcPr>
            <w:tcW w:w="9103" w:type="dxa"/>
            <w:vAlign w:val="center"/>
          </w:tcPr>
          <w:p w14:paraId="7A4C667D" w14:textId="77777777" w:rsidR="000C2D31" w:rsidRPr="001E6BA7" w:rsidRDefault="007B3686" w:rsidP="000C2D31">
            <w:pPr>
              <w:spacing w:after="200"/>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∂N</m:t>
                    </m:r>
                  </m:num>
                  <m:den>
                    <m:r>
                      <w:rPr>
                        <w:rFonts w:ascii="Cambria Math" w:hAnsi="Cambria Math" w:cs="Times New Roman"/>
                        <w:szCs w:val="24"/>
                      </w:rPr>
                      <m:t>∂t</m:t>
                    </m:r>
                  </m:den>
                </m:f>
                <m:r>
                  <w:rPr>
                    <w:rFonts w:ascii="Cambria Math" w:hAnsi="Cambria Math" w:cs="Times New Roman"/>
                    <w:szCs w:val="24"/>
                  </w:rPr>
                  <m:t>=γn-βN</m:t>
                </m:r>
              </m:oMath>
            </m:oMathPara>
          </w:p>
        </w:tc>
        <w:tc>
          <w:tcPr>
            <w:tcW w:w="473" w:type="dxa"/>
            <w:vAlign w:val="center"/>
          </w:tcPr>
          <w:p w14:paraId="6004C9E9" w14:textId="77777777" w:rsidR="000C2D31" w:rsidRPr="001E6BA7" w:rsidRDefault="000C2D31" w:rsidP="000C2D31">
            <w:pPr>
              <w:spacing w:after="200"/>
              <w:jc w:val="center"/>
              <w:rPr>
                <w:rFonts w:eastAsiaTheme="majorEastAsia" w:cs="Times New Roman"/>
                <w:szCs w:val="24"/>
              </w:rPr>
            </w:pPr>
            <w:r>
              <w:rPr>
                <w:rFonts w:eastAsiaTheme="majorEastAsia" w:cs="Times New Roman"/>
                <w:szCs w:val="24"/>
              </w:rPr>
              <w:t>(7</w:t>
            </w:r>
            <w:r w:rsidRPr="001E6BA7">
              <w:rPr>
                <w:rFonts w:eastAsiaTheme="majorEastAsia" w:cs="Times New Roman"/>
                <w:szCs w:val="24"/>
              </w:rPr>
              <w:t>b)</w:t>
            </w:r>
          </w:p>
        </w:tc>
      </w:tr>
    </w:tbl>
    <w:p w14:paraId="78AF4993" w14:textId="5F34EF5C" w:rsidR="000C2D31" w:rsidRDefault="000C2D31" w:rsidP="004F080F">
      <w:pPr>
        <w:ind w:firstLine="0"/>
        <w:rPr>
          <w:rFonts w:cs="Times New Roman"/>
          <w:szCs w:val="24"/>
        </w:rPr>
      </w:pPr>
      <w:proofErr w:type="gramStart"/>
      <w:r w:rsidRPr="001E6BA7">
        <w:rPr>
          <w:rFonts w:cs="Times New Roman"/>
          <w:szCs w:val="24"/>
        </w:rPr>
        <w:t>where</w:t>
      </w:r>
      <w:proofErr w:type="gramEnd"/>
      <w:r w:rsidRPr="001E6BA7">
        <w:rPr>
          <w:rFonts w:cs="Times New Roman"/>
          <w:szCs w:val="24"/>
        </w:rPr>
        <w:t xml:space="preserve"> </w:t>
      </w:r>
      <m:oMath>
        <m:r>
          <w:rPr>
            <w:rFonts w:ascii="Cambria Math" w:hAnsi="Cambria Math" w:cs="Times New Roman"/>
            <w:szCs w:val="24"/>
          </w:rPr>
          <m:t xml:space="preserve">n </m:t>
        </m:r>
      </m:oMath>
      <w:r w:rsidRPr="001E6BA7">
        <w:rPr>
          <w:rFonts w:cs="Times New Roman"/>
          <w:szCs w:val="24"/>
        </w:rPr>
        <w:t xml:space="preserve">represents the unbound molecules per unit volume, </w:t>
      </w:r>
      <m:oMath>
        <m:r>
          <w:rPr>
            <w:rFonts w:ascii="Cambria Math" w:hAnsi="Cambria Math" w:cs="Times New Roman"/>
            <w:szCs w:val="24"/>
          </w:rPr>
          <m:t>N</m:t>
        </m:r>
      </m:oMath>
      <w:r w:rsidRPr="001E6BA7">
        <w:rPr>
          <w:rFonts w:cs="Times New Roman"/>
          <w:szCs w:val="24"/>
        </w:rPr>
        <w:t xml:space="preserve"> represents the bound molecules per unit volume, </w:t>
      </w:r>
      <m:oMath>
        <m:r>
          <w:rPr>
            <w:rFonts w:ascii="Cambria Math" w:hAnsi="Cambria Math" w:cs="Times New Roman"/>
            <w:szCs w:val="24"/>
          </w:rPr>
          <m:t>γ</m:t>
        </m:r>
      </m:oMath>
      <w:r w:rsidRPr="001E6BA7">
        <w:rPr>
          <w:rFonts w:cs="Times New Roman"/>
          <w:i/>
          <w:szCs w:val="24"/>
        </w:rPr>
        <w:t xml:space="preserve"> </w:t>
      </w:r>
      <w:r w:rsidRPr="001E6BA7">
        <w:rPr>
          <w:rFonts w:cs="Times New Roman"/>
          <w:szCs w:val="24"/>
        </w:rPr>
        <w:t>is the rate at which unbound molecules become bound</w:t>
      </w:r>
      <w:r>
        <w:rPr>
          <w:rFonts w:cs="Times New Roman"/>
          <w:szCs w:val="24"/>
        </w:rPr>
        <w:t>,</w:t>
      </w:r>
      <w:r w:rsidRPr="001E6BA7">
        <w:rPr>
          <w:rFonts w:cs="Times New Roman"/>
          <w:szCs w:val="24"/>
        </w:rPr>
        <w:t xml:space="preserve"> and </w:t>
      </w:r>
      <m:oMath>
        <m:r>
          <w:rPr>
            <w:rFonts w:ascii="Cambria Math" w:hAnsi="Cambria Math" w:cs="Times New Roman"/>
            <w:szCs w:val="24"/>
          </w:rPr>
          <m:t>β</m:t>
        </m:r>
      </m:oMath>
      <w:r w:rsidRPr="001E6BA7">
        <w:rPr>
          <w:rFonts w:cs="Times New Roman"/>
          <w:szCs w:val="24"/>
        </w:rPr>
        <w:t xml:space="preserve"> is the rate of bound molecules becoming unbound.</w:t>
      </w:r>
    </w:p>
    <w:p w14:paraId="77A67E5D" w14:textId="7CB31472" w:rsidR="000C2D31" w:rsidRPr="001E6BA7" w:rsidRDefault="000C2D31" w:rsidP="000C2D31">
      <w:pPr>
        <w:rPr>
          <w:rFonts w:cs="Times New Roman"/>
          <w:szCs w:val="24"/>
        </w:rPr>
      </w:pPr>
      <w:r w:rsidRPr="001E6BA7">
        <w:rPr>
          <w:rFonts w:cs="Times New Roman"/>
          <w:szCs w:val="24"/>
        </w:rPr>
        <w:t xml:space="preserve">The hindered diffusion model expresses the total concentration </w:t>
      </w:r>
      <w:r>
        <w:rPr>
          <w:rFonts w:cs="Times New Roman"/>
          <w:szCs w:val="24"/>
        </w:rPr>
        <w:t>as the sum of</w:t>
      </w:r>
      <w:r w:rsidRPr="001E6BA7">
        <w:rPr>
          <w:rFonts w:cs="Times New Roman"/>
          <w:szCs w:val="24"/>
        </w:rPr>
        <w:t xml:space="preserve"> two terms: bound moisture concentration </w:t>
      </w:r>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x,t</m:t>
            </m:r>
          </m:e>
        </m:d>
      </m:oMath>
      <w:r w:rsidRPr="001E6BA7">
        <w:rPr>
          <w:rFonts w:cs="Times New Roman"/>
          <w:i/>
          <w:szCs w:val="24"/>
        </w:rPr>
        <w:t xml:space="preserve"> </w:t>
      </w:r>
      <w:r w:rsidRPr="001E6BA7">
        <w:rPr>
          <w:rFonts w:cs="Times New Roman"/>
          <w:szCs w:val="24"/>
        </w:rPr>
        <w:t>and unbound moisture concentration</w:t>
      </w:r>
      <m:oMath>
        <m:r>
          <w:rPr>
            <w:rFonts w:ascii="Cambria Math" w:hAnsi="Cambria Math" w:cs="Times New Roman"/>
            <w:szCs w:val="24"/>
          </w:rPr>
          <m:t xml:space="preserve"> n</m:t>
        </m:r>
        <m:d>
          <m:dPr>
            <m:ctrlPr>
              <w:rPr>
                <w:rFonts w:ascii="Cambria Math" w:hAnsi="Cambria Math" w:cs="Times New Roman"/>
                <w:i/>
                <w:szCs w:val="24"/>
              </w:rPr>
            </m:ctrlPr>
          </m:dPr>
          <m:e>
            <m:r>
              <w:rPr>
                <w:rFonts w:ascii="Cambria Math" w:hAnsi="Cambria Math" w:cs="Times New Roman"/>
                <w:szCs w:val="24"/>
              </w:rPr>
              <m:t>x,t</m:t>
            </m:r>
          </m:e>
        </m:d>
      </m:oMath>
      <w:r w:rsidRPr="001E6BA7">
        <w:rPr>
          <w:rFonts w:cs="Times New Roman"/>
          <w:szCs w:val="24"/>
        </w:rPr>
        <w:t xml:space="preserve">, proportional to </w:t>
      </w:r>
      <w:r>
        <w:rPr>
          <w:rFonts w:cs="Times New Roman"/>
          <w:szCs w:val="24"/>
        </w:rPr>
        <w:t>material parameters</w:t>
      </w:r>
      <m:oMath>
        <m:r>
          <w:rPr>
            <w:rFonts w:ascii="Cambria Math" w:hAnsi="Cambria Math" w:cs="Times New Roman"/>
            <w:szCs w:val="24"/>
          </w:rPr>
          <m:t xml:space="preserve"> γ</m:t>
        </m:r>
      </m:oMath>
      <w:r w:rsidRPr="001E6BA7">
        <w:rPr>
          <w:rFonts w:cs="Times New Roman"/>
          <w:szCs w:val="24"/>
        </w:rPr>
        <w:t xml:space="preserve"> and </w:t>
      </w:r>
      <m:oMath>
        <m:r>
          <w:rPr>
            <w:rFonts w:ascii="Cambria Math" w:hAnsi="Cambria Math" w:cs="Times New Roman"/>
            <w:szCs w:val="24"/>
          </w:rPr>
          <m:t>β</m:t>
        </m:r>
      </m:oMath>
      <w:r w:rsidRPr="001E6BA7">
        <w:rPr>
          <w:rFonts w:cs="Times New Roman"/>
          <w:szCs w:val="24"/>
        </w:rPr>
        <w:t xml:space="preserve"> at equilibrium. The Fickian diffusion model does not consider bound molecules, and thus the total concentration is expressed in terms of</w:t>
      </w:r>
      <m:oMath>
        <m:r>
          <w:rPr>
            <w:rFonts w:ascii="Cambria Math" w:hAnsi="Cambria Math" w:cs="Times New Roman"/>
            <w:szCs w:val="24"/>
          </w:rPr>
          <m:t xml:space="preserve"> C(x,t)</m:t>
        </m:r>
      </m:oMath>
      <w:r w:rsidRPr="001E6BA7">
        <w:rPr>
          <w:rFonts w:cs="Times New Roman"/>
          <w:szCs w:val="24"/>
        </w:rPr>
        <w:t>. In the hindered diffusion model, if the rate of unbound molecules becoming bound,</w:t>
      </w:r>
      <m:oMath>
        <m:r>
          <w:rPr>
            <w:rFonts w:ascii="Cambria Math" w:eastAsiaTheme="majorEastAsia" w:hAnsi="Cambria Math" w:cs="Times New Roman"/>
            <w:szCs w:val="24"/>
          </w:rPr>
          <m:t xml:space="preserve"> γ,</m:t>
        </m:r>
      </m:oMath>
      <w:r w:rsidRPr="001E6BA7">
        <w:rPr>
          <w:rFonts w:cs="Times New Roman"/>
          <w:szCs w:val="24"/>
        </w:rPr>
        <w:t xml:space="preserve"> is equal to zero</w:t>
      </w:r>
      <w:proofErr w:type="gramStart"/>
      <w:r w:rsidRPr="001E6BA7">
        <w:rPr>
          <w:rFonts w:cs="Times New Roman"/>
          <w:szCs w:val="24"/>
        </w:rPr>
        <w:t xml:space="preserve">, </w:t>
      </w:r>
      <w:proofErr w:type="gramEnd"/>
      <m:oMath>
        <m:r>
          <w:rPr>
            <w:rFonts w:ascii="Cambria Math" w:hAnsi="Cambria Math" w:cs="Times New Roman"/>
            <w:szCs w:val="24"/>
          </w:rPr>
          <m:t>N(x,t)</m:t>
        </m:r>
      </m:oMath>
      <w:r w:rsidRPr="001E6BA7">
        <w:rPr>
          <w:rFonts w:cs="Times New Roman"/>
          <w:szCs w:val="24"/>
        </w:rPr>
        <w:t>, the concentration of bound molecules goes to zero</w:t>
      </w:r>
      <w:r>
        <w:rPr>
          <w:rFonts w:cs="Times New Roman"/>
          <w:szCs w:val="24"/>
        </w:rPr>
        <w:t>,</w:t>
      </w:r>
      <w:r w:rsidRPr="001E6BA7">
        <w:rPr>
          <w:rFonts w:cs="Times New Roman"/>
          <w:szCs w:val="24"/>
        </w:rPr>
        <w:t xml:space="preserve"> and</w:t>
      </w:r>
      <w:r>
        <w:rPr>
          <w:rFonts w:cs="Times New Roman"/>
          <w:szCs w:val="24"/>
        </w:rPr>
        <w:t xml:space="preserve"> thus,</w:t>
      </w:r>
      <w:r w:rsidRPr="001E6BA7">
        <w:rPr>
          <w:rFonts w:cs="Times New Roman"/>
          <w:szCs w:val="24"/>
        </w:rPr>
        <w:t xml:space="preserve"> </w:t>
      </w:r>
      <m:oMath>
        <m:r>
          <w:rPr>
            <w:rFonts w:ascii="Cambria Math" w:hAnsi="Cambria Math" w:cs="Times New Roman"/>
            <w:szCs w:val="24"/>
          </w:rPr>
          <m:t>n(x,t)</m:t>
        </m:r>
      </m:oMath>
      <w:r w:rsidRPr="001E6BA7">
        <w:rPr>
          <w:rFonts w:cs="Times New Roman"/>
          <w:szCs w:val="24"/>
        </w:rPr>
        <w:t xml:space="preserve">, the concentration of unbound molecules, </w:t>
      </w:r>
      <w:r>
        <w:rPr>
          <w:rFonts w:cs="Times New Roman"/>
          <w:szCs w:val="24"/>
        </w:rPr>
        <w:t>becomes equivalent to</w:t>
      </w:r>
      <w:r w:rsidRPr="001E6BA7">
        <w:rPr>
          <w:rFonts w:cs="Times New Roman"/>
          <w:szCs w:val="24"/>
        </w:rPr>
        <w:t xml:space="preserve"> </w:t>
      </w:r>
      <m:oMath>
        <m:r>
          <w:rPr>
            <w:rFonts w:ascii="Cambria Math" w:hAnsi="Cambria Math" w:cs="Times New Roman"/>
            <w:szCs w:val="24"/>
          </w:rPr>
          <m:t>C(x,t)</m:t>
        </m:r>
      </m:oMath>
      <w:r w:rsidRPr="001E6BA7">
        <w:rPr>
          <w:rFonts w:cs="Times New Roman"/>
          <w:szCs w:val="24"/>
        </w:rPr>
        <w:t xml:space="preserve">. </w:t>
      </w:r>
      <w:r>
        <w:rPr>
          <w:rFonts w:cs="Times New Roman"/>
          <w:szCs w:val="24"/>
        </w:rPr>
        <w:t xml:space="preserve">In other words, the hindered diffusion simplifies to Fickian behavior, if there are no bound molecules. </w:t>
      </w:r>
      <w:r w:rsidRPr="001E6BA7">
        <w:rPr>
          <w:rFonts w:cs="Times New Roman"/>
          <w:szCs w:val="24"/>
        </w:rPr>
        <w:t>Th</w:t>
      </w:r>
      <w:r>
        <w:rPr>
          <w:rFonts w:cs="Times New Roman"/>
          <w:szCs w:val="24"/>
        </w:rPr>
        <w:t>e</w:t>
      </w:r>
      <w:r w:rsidRPr="001E6BA7">
        <w:rPr>
          <w:rFonts w:cs="Times New Roman"/>
          <w:szCs w:val="24"/>
        </w:rPr>
        <w:t xml:space="preserve"> ability to </w:t>
      </w:r>
      <w:r>
        <w:rPr>
          <w:rFonts w:cs="Times New Roman"/>
          <w:szCs w:val="24"/>
        </w:rPr>
        <w:t>simplify to</w:t>
      </w:r>
      <w:r w:rsidRPr="001E6BA7">
        <w:rPr>
          <w:rFonts w:cs="Times New Roman"/>
          <w:szCs w:val="24"/>
        </w:rPr>
        <w:t xml:space="preserve"> Fickian behavior is an additional advantage of the hindered diffusion model</w:t>
      </w:r>
      <w:r>
        <w:rPr>
          <w:rFonts w:cs="Times New Roman"/>
          <w:szCs w:val="24"/>
        </w:rPr>
        <w:t>, where a priori knowledge of the absorption behavior is not needed</w:t>
      </w:r>
      <w:r w:rsidRPr="001E6BA7">
        <w:rPr>
          <w:rFonts w:cs="Times New Roman"/>
          <w:szCs w:val="24"/>
        </w:rPr>
        <w:t>.</w:t>
      </w:r>
    </w:p>
    <w:p w14:paraId="494AC0A1" w14:textId="77777777" w:rsidR="000C2D31" w:rsidRPr="001E6BA7" w:rsidRDefault="000C2D31" w:rsidP="000C2D31">
      <w:pPr>
        <w:rPr>
          <w:rFonts w:cs="Times New Roman"/>
          <w:szCs w:val="24"/>
        </w:rPr>
      </w:pPr>
      <w:r>
        <w:rPr>
          <w:rFonts w:cs="Times New Roman"/>
          <w:szCs w:val="24"/>
        </w:rPr>
        <w:t xml:space="preserve">Hindered diffusion model states that the moisture absorption continues until the dynamic equilibrium is reached. Dynamic equilibrium is where the rate of exchange between the unbound and bound molecule is the same. In other words, for every unbound molecule becoming bound, a bound molecule will become unbound. </w:t>
      </w:r>
      <w:r w:rsidRPr="00C679E0">
        <w:rPr>
          <w:rFonts w:cs="Times New Roman"/>
          <w:szCs w:val="24"/>
        </w:rPr>
        <w:t>The equation describing this equilibrium condition can be written as:</w:t>
      </w:r>
    </w:p>
    <w:tbl>
      <w:tblPr>
        <w:tblW w:w="0" w:type="auto"/>
        <w:tblLook w:val="04A0" w:firstRow="1" w:lastRow="0" w:firstColumn="1" w:lastColumn="0" w:noHBand="0" w:noVBand="1"/>
      </w:tblPr>
      <w:tblGrid>
        <w:gridCol w:w="7784"/>
        <w:gridCol w:w="856"/>
      </w:tblGrid>
      <w:tr w:rsidR="000C2D31" w:rsidRPr="001E6BA7" w14:paraId="40F2583A" w14:textId="77777777" w:rsidTr="000C2D31">
        <w:tc>
          <w:tcPr>
            <w:tcW w:w="8864" w:type="dxa"/>
            <w:vAlign w:val="center"/>
          </w:tcPr>
          <w:p w14:paraId="53CCAA4B" w14:textId="77777777" w:rsidR="000C2D31" w:rsidRPr="001E6BA7" w:rsidRDefault="007B3686" w:rsidP="000C2D31">
            <w:pPr>
              <w:spacing w:after="200"/>
              <w:jc w:val="center"/>
              <w:rPr>
                <w:rFonts w:cs="Times New Roman"/>
                <w:szCs w:val="24"/>
              </w:rPr>
            </w:pPr>
            <m:oMathPara>
              <m:oMath>
                <m:f>
                  <m:fPr>
                    <m:type m:val="skw"/>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m:t>
                        </m:r>
                      </m:sub>
                    </m:sSub>
                  </m:num>
                  <m:den>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m:t>
                        </m:r>
                      </m:sub>
                    </m:sSub>
                  </m:den>
                </m:f>
                <m:r>
                  <w:rPr>
                    <w:rFonts w:ascii="Cambria Math" w:hAnsi="Cambria Math" w:cs="Times New Roman"/>
                    <w:szCs w:val="24"/>
                  </w:rPr>
                  <m:t>=</m:t>
                </m:r>
                <m:f>
                  <m:fPr>
                    <m:type m:val="skw"/>
                    <m:ctrlPr>
                      <w:rPr>
                        <w:rFonts w:ascii="Cambria Math" w:hAnsi="Cambria Math" w:cs="Times New Roman"/>
                        <w:i/>
                        <w:szCs w:val="24"/>
                      </w:rPr>
                    </m:ctrlPr>
                  </m:fPr>
                  <m:num>
                    <m:r>
                      <w:rPr>
                        <w:rFonts w:ascii="Cambria Math" w:hAnsi="Cambria Math" w:cs="Times New Roman"/>
                        <w:szCs w:val="24"/>
                      </w:rPr>
                      <m:t>γ</m:t>
                    </m:r>
                  </m:num>
                  <m:den>
                    <m:r>
                      <w:rPr>
                        <w:rFonts w:ascii="Cambria Math" w:hAnsi="Cambria Math" w:cs="Times New Roman"/>
                        <w:szCs w:val="24"/>
                      </w:rPr>
                      <m:t>β</m:t>
                    </m:r>
                  </m:den>
                </m:f>
                <m:r>
                  <w:rPr>
                    <w:rFonts w:ascii="Cambria Math" w:hAnsi="Cambria Math" w:cs="Times New Roman"/>
                    <w:szCs w:val="24"/>
                  </w:rPr>
                  <m:t>=μ</m:t>
                </m:r>
              </m:oMath>
            </m:oMathPara>
          </w:p>
        </w:tc>
        <w:tc>
          <w:tcPr>
            <w:tcW w:w="496" w:type="dxa"/>
            <w:vAlign w:val="center"/>
          </w:tcPr>
          <w:p w14:paraId="6DADD5DC" w14:textId="77777777" w:rsidR="000C2D31" w:rsidRPr="001E6BA7" w:rsidRDefault="000C2D31" w:rsidP="000C2D31">
            <w:pPr>
              <w:spacing w:after="200"/>
              <w:jc w:val="center"/>
              <w:rPr>
                <w:rFonts w:eastAsiaTheme="majorEastAsia" w:cs="Times New Roman"/>
                <w:szCs w:val="24"/>
              </w:rPr>
            </w:pPr>
            <w:r>
              <w:rPr>
                <w:rFonts w:eastAsiaTheme="majorEastAsia" w:cs="Times New Roman"/>
                <w:szCs w:val="24"/>
              </w:rPr>
              <w:t>(8</w:t>
            </w:r>
            <w:r w:rsidRPr="001E6BA7">
              <w:rPr>
                <w:rFonts w:eastAsiaTheme="majorEastAsia" w:cs="Times New Roman"/>
                <w:szCs w:val="24"/>
              </w:rPr>
              <w:t>)</w:t>
            </w:r>
          </w:p>
        </w:tc>
      </w:tr>
    </w:tbl>
    <w:p w14:paraId="2C2F73ED" w14:textId="7D244E39" w:rsidR="000C2D31" w:rsidRDefault="000C2D31" w:rsidP="004F080F">
      <w:pPr>
        <w:ind w:firstLine="0"/>
        <w:rPr>
          <w:rFonts w:cs="Times New Roman"/>
          <w:szCs w:val="24"/>
        </w:rPr>
      </w:pPr>
      <w:proofErr w:type="gramStart"/>
      <w:r>
        <w:rPr>
          <w:rFonts w:cs="Times New Roman"/>
          <w:szCs w:val="24"/>
        </w:rPr>
        <w:t>where</w:t>
      </w:r>
      <w:proofErr w:type="gramEnd"/>
      <w:r>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m:t>
            </m:r>
          </m:sub>
        </m:sSub>
      </m:oMath>
      <w:r w:rsidRPr="00175288">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m:t>
            </m:r>
          </m:sub>
        </m:sSub>
      </m:oMath>
      <w:r w:rsidRPr="00175288">
        <w:rPr>
          <w:rFonts w:cs="Times New Roman"/>
          <w:szCs w:val="24"/>
        </w:rPr>
        <w:t xml:space="preserve"> </w:t>
      </w:r>
      <w:r>
        <w:rPr>
          <w:rFonts w:cs="Times New Roman"/>
          <w:szCs w:val="24"/>
        </w:rPr>
        <w:t>are</w:t>
      </w:r>
      <w:r w:rsidRPr="00175288">
        <w:rPr>
          <w:rFonts w:cs="Times New Roman"/>
          <w:szCs w:val="24"/>
        </w:rPr>
        <w:t xml:space="preserve"> the equilibrium bound</w:t>
      </w:r>
      <w:r>
        <w:rPr>
          <w:rFonts w:cs="Times New Roman"/>
          <w:szCs w:val="24"/>
        </w:rPr>
        <w:t xml:space="preserve"> and unbound</w:t>
      </w:r>
      <w:r w:rsidRPr="00175288">
        <w:rPr>
          <w:rFonts w:cs="Times New Roman"/>
          <w:szCs w:val="24"/>
        </w:rPr>
        <w:t xml:space="preserve"> moisture contents</w:t>
      </w:r>
      <w:r>
        <w:rPr>
          <w:rFonts w:cs="Times New Roman"/>
          <w:szCs w:val="24"/>
        </w:rPr>
        <w:t>,</w:t>
      </w:r>
      <w:r w:rsidRPr="00175288">
        <w:rPr>
          <w:rFonts w:cs="Times New Roman"/>
          <w:szCs w:val="24"/>
        </w:rPr>
        <w:t xml:space="preserve"> </w:t>
      </w:r>
      <w:r>
        <w:rPr>
          <w:rFonts w:cs="Times New Roman"/>
          <w:szCs w:val="24"/>
        </w:rPr>
        <w:t>respectively</w:t>
      </w:r>
      <w:r w:rsidRPr="00175288">
        <w:rPr>
          <w:rFonts w:cs="Times New Roman"/>
          <w:szCs w:val="24"/>
        </w:rPr>
        <w:t>.</w:t>
      </w:r>
      <w:r>
        <w:rPr>
          <w:rFonts w:cs="Times New Roman"/>
          <w:szCs w:val="24"/>
        </w:rPr>
        <w:t xml:space="preserve"> Eq. </w:t>
      </w:r>
      <w:r w:rsidR="009B05F7">
        <w:rPr>
          <w:rFonts w:cs="Times New Roman"/>
          <w:szCs w:val="24"/>
        </w:rPr>
        <w:t>(</w:t>
      </w:r>
      <w:r>
        <w:rPr>
          <w:rFonts w:cs="Times New Roman"/>
          <w:szCs w:val="24"/>
        </w:rPr>
        <w:t>8</w:t>
      </w:r>
      <w:r w:rsidR="009B05F7">
        <w:rPr>
          <w:rFonts w:cs="Times New Roman"/>
          <w:szCs w:val="24"/>
        </w:rPr>
        <w:t>)</w:t>
      </w:r>
      <w:r>
        <w:rPr>
          <w:rFonts w:cs="Times New Roman"/>
          <w:szCs w:val="24"/>
        </w:rPr>
        <w:t xml:space="preserve"> indicates that the ratio of the bound to unbound equilibrium moisture becomes constant throughout the sample, regardless of the location. In other words, Eq. </w:t>
      </w:r>
      <w:r w:rsidR="009B05F7">
        <w:rPr>
          <w:rFonts w:cs="Times New Roman"/>
          <w:szCs w:val="24"/>
        </w:rPr>
        <w:t>(</w:t>
      </w:r>
      <w:r>
        <w:rPr>
          <w:rFonts w:cs="Times New Roman"/>
          <w:szCs w:val="24"/>
        </w:rPr>
        <w:t>8</w:t>
      </w:r>
      <w:r w:rsidR="009B05F7">
        <w:rPr>
          <w:rFonts w:cs="Times New Roman"/>
          <w:szCs w:val="24"/>
        </w:rPr>
        <w:t>)</w:t>
      </w:r>
      <w:r>
        <w:rPr>
          <w:rFonts w:cs="Times New Roman"/>
          <w:szCs w:val="24"/>
        </w:rPr>
        <w:t xml:space="preserve"> suggests that when the moisture equilibrium is reached, there is a generalized microstructural ratio between the bound and unbound molecules at any location within the material.</w:t>
      </w:r>
    </w:p>
    <w:p w14:paraId="337F102F" w14:textId="6B3625AB" w:rsidR="000C2D31" w:rsidRDefault="000C2D31" w:rsidP="000C2D31">
      <w:r>
        <w:t xml:space="preserve">The analytical solutions of </w:t>
      </w:r>
      <w:r w:rsidRPr="005A3E52">
        <w:t xml:space="preserve">bound moisture concentration </w:t>
      </w:r>
      <m:oMath>
        <m:r>
          <w:rPr>
            <w:rFonts w:ascii="Cambria Math" w:hAnsi="Cambria Math"/>
          </w:rPr>
          <m:t>N</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oMath>
      <w:r w:rsidRPr="005A3E52">
        <w:t xml:space="preserve"> and unbound moisture concentration </w:t>
      </w:r>
      <m:oMath>
        <m:r>
          <w:rPr>
            <w:rFonts w:ascii="Cambria Math" w:hAnsi="Cambria Math"/>
          </w:rPr>
          <m:t>n</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oMath>
      <w:r>
        <w:t xml:space="preserve"> are given in Eqs. </w:t>
      </w:r>
      <w:r w:rsidR="009B05F7">
        <w:t>(9a-</w:t>
      </w:r>
      <w:r>
        <w:t>b</w:t>
      </w:r>
      <w:r w:rsidR="009B05F7">
        <w:t>)</w:t>
      </w:r>
      <w:r>
        <w:t>.</w:t>
      </w:r>
    </w:p>
    <w:tbl>
      <w:tblPr>
        <w:tblW w:w="0" w:type="auto"/>
        <w:tblLook w:val="04A0" w:firstRow="1" w:lastRow="0" w:firstColumn="1" w:lastColumn="0" w:noHBand="0" w:noVBand="1"/>
      </w:tblPr>
      <w:tblGrid>
        <w:gridCol w:w="7735"/>
        <w:gridCol w:w="751"/>
      </w:tblGrid>
      <w:tr w:rsidR="000C2D31" w14:paraId="3CF4FD6D" w14:textId="77777777" w:rsidTr="000C2D31">
        <w:tc>
          <w:tcPr>
            <w:tcW w:w="7735" w:type="dxa"/>
          </w:tcPr>
          <w:p w14:paraId="2C9CA0AF" w14:textId="77777777" w:rsidR="000C2D31" w:rsidRPr="002814EF" w:rsidRDefault="000C2D31" w:rsidP="000C2D31">
            <w:pPr>
              <w:rPr>
                <w:rFonts w:cs="Times New Roman"/>
                <w:szCs w:val="24"/>
              </w:rPr>
            </w:pPr>
            <m:oMathPara>
              <m:oMath>
                <m:r>
                  <w:rPr>
                    <w:rFonts w:ascii="Cambria Math" w:hAnsi="Cambria Math" w:cs="Times New Roman"/>
                    <w:szCs w:val="24"/>
                  </w:rPr>
                  <m:t>N</m:t>
                </m:r>
                <m:d>
                  <m:dPr>
                    <m:ctrlPr>
                      <w:rPr>
                        <w:rFonts w:ascii="Cambria Math" w:hAnsi="Cambria Math" w:cs="Times New Roman"/>
                        <w:szCs w:val="24"/>
                      </w:rPr>
                    </m:ctrlPr>
                  </m:dPr>
                  <m:e>
                    <m:r>
                      <w:rPr>
                        <w:rFonts w:ascii="Cambria Math" w:hAnsi="Cambria Math" w:cs="Times New Roman"/>
                        <w:szCs w:val="24"/>
                      </w:rPr>
                      <m:t>z,t</m:t>
                    </m:r>
                  </m:e>
                </m:d>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γ</m:t>
                    </m:r>
                  </m:num>
                  <m:den>
                    <m:r>
                      <w:rPr>
                        <w:rFonts w:ascii="Cambria Math" w:hAnsi="Cambria Math" w:cs="Times New Roman"/>
                        <w:szCs w:val="24"/>
                      </w:rPr>
                      <m:t>β</m:t>
                    </m:r>
                  </m:den>
                </m:f>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m:t>
                    </m:r>
                  </m:sub>
                </m:sSub>
                <m:d>
                  <m:dPr>
                    <m:begChr m:val="{"/>
                    <m:endChr m:val="}"/>
                    <m:ctrlPr>
                      <w:rPr>
                        <w:rFonts w:ascii="Cambria Math" w:hAnsi="Cambria Math" w:cs="Times New Roman"/>
                        <w:szCs w:val="24"/>
                      </w:rPr>
                    </m:ctrlPr>
                  </m:dP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4</m:t>
                        </m:r>
                      </m:num>
                      <m:den>
                        <m:r>
                          <m:rPr>
                            <m:sty m:val="p"/>
                          </m:rPr>
                          <w:rPr>
                            <w:rFonts w:ascii="Cambria Math" w:hAnsi="Cambria Math" w:cs="Times New Roman"/>
                            <w:szCs w:val="24"/>
                          </w:rPr>
                          <m:t>π</m:t>
                        </m:r>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sSup>
                          <m:sSupPr>
                            <m:ctrlPr>
                              <w:rPr>
                                <w:rFonts w:ascii="Cambria Math" w:hAnsi="Cambria Math" w:cs="Times New Roman"/>
                                <w:i/>
                                <w:szCs w:val="24"/>
                              </w:rPr>
                            </m:ctrlPr>
                          </m:sSupPr>
                          <m:e>
                            <m:r>
                              <w:rPr>
                                <w:rFonts w:ascii="Cambria Math" w:hAnsi="Cambria Math" w:cs="Times New Roman"/>
                                <w:szCs w:val="24"/>
                              </w:rPr>
                              <m:t>(-1)</m:t>
                            </m:r>
                          </m:e>
                          <m:sup>
                            <m:f>
                              <m:fPr>
                                <m:ctrlPr>
                                  <w:rPr>
                                    <w:rFonts w:ascii="Cambria Math" w:hAnsi="Cambria Math" w:cs="Times New Roman"/>
                                    <w:i/>
                                    <w:szCs w:val="24"/>
                                  </w:rPr>
                                </m:ctrlPr>
                              </m:fPr>
                              <m:num>
                                <m:r>
                                  <w:rPr>
                                    <w:rFonts w:ascii="Cambria Math" w:hAnsi="Cambria Math" w:cs="Times New Roman"/>
                                    <w:szCs w:val="24"/>
                                  </w:rPr>
                                  <m:t>i-1</m:t>
                                </m:r>
                              </m:num>
                              <m:den>
                                <m:r>
                                  <w:rPr>
                                    <w:rFonts w:ascii="Cambria Math" w:hAnsi="Cambria Math" w:cs="Times New Roman"/>
                                    <w:szCs w:val="24"/>
                                  </w:rPr>
                                  <m:t>2</m:t>
                                </m:r>
                              </m:den>
                            </m:f>
                          </m:sup>
                        </m:sSup>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r>
                              <m:rPr>
                                <m:sty m:val="p"/>
                              </m:rPr>
                              <w:rPr>
                                <w:rFonts w:ascii="Cambria Math" w:hAnsi="Cambria Math" w:cs="Times New Roman"/>
                                <w:szCs w:val="24"/>
                              </w:rPr>
                              <m:t>i(</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πix</m:t>
                            </m:r>
                          </m:num>
                          <m:den>
                            <m:r>
                              <w:rPr>
                                <w:rFonts w:ascii="Cambria Math" w:hAnsi="Cambria Math" w:cs="Times New Roman"/>
                                <w:szCs w:val="24"/>
                              </w:rPr>
                              <m:t>2δ</m:t>
                            </m:r>
                          </m:den>
                        </m:f>
                        <m:r>
                          <w:rPr>
                            <w:rFonts w:ascii="Cambria Math" w:hAnsi="Cambria Math" w:cs="Times New Roman"/>
                            <w:szCs w:val="24"/>
                          </w:rPr>
                          <m:t>)</m:t>
                        </m:r>
                      </m:e>
                    </m:nary>
                  </m:e>
                </m:d>
              </m:oMath>
            </m:oMathPara>
          </w:p>
          <w:p w14:paraId="0FCD299A" w14:textId="77777777" w:rsidR="000C2D31" w:rsidRDefault="000C2D31" w:rsidP="000C2D31">
            <w:pPr>
              <w:ind w:firstLine="0"/>
              <w:rPr>
                <w:rFonts w:cs="Times New Roman"/>
                <w:szCs w:val="24"/>
              </w:rPr>
            </w:pPr>
          </w:p>
        </w:tc>
        <w:tc>
          <w:tcPr>
            <w:tcW w:w="751" w:type="dxa"/>
            <w:vAlign w:val="center"/>
          </w:tcPr>
          <w:p w14:paraId="4CC1AC1F" w14:textId="77777777" w:rsidR="000C2D31" w:rsidRDefault="000C2D31" w:rsidP="000C2D31">
            <w:pPr>
              <w:ind w:firstLine="0"/>
              <w:jc w:val="right"/>
              <w:rPr>
                <w:rFonts w:cs="Times New Roman"/>
                <w:szCs w:val="24"/>
              </w:rPr>
            </w:pPr>
            <w:r>
              <w:rPr>
                <w:rFonts w:cs="Times New Roman"/>
                <w:szCs w:val="24"/>
              </w:rPr>
              <w:t>(9a)</w:t>
            </w:r>
          </w:p>
        </w:tc>
      </w:tr>
      <w:tr w:rsidR="000C2D31" w14:paraId="7FCE2964" w14:textId="77777777" w:rsidTr="000C2D31">
        <w:tc>
          <w:tcPr>
            <w:tcW w:w="7735" w:type="dxa"/>
          </w:tcPr>
          <w:p w14:paraId="1DAB021C" w14:textId="77777777" w:rsidR="000C2D31" w:rsidRDefault="000C2D31" w:rsidP="000C2D31">
            <w:pPr>
              <w:rPr>
                <w:rFonts w:cs="Times New Roman"/>
                <w:szCs w:val="24"/>
              </w:rPr>
            </w:pPr>
            <m:oMathPara>
              <m:oMath>
                <m:r>
                  <w:rPr>
                    <w:rFonts w:ascii="Cambria Math" w:hAnsi="Cambria Math" w:cs="Times New Roman"/>
                    <w:szCs w:val="24"/>
                  </w:rPr>
                  <m:t>n</m:t>
                </m:r>
                <m:d>
                  <m:dPr>
                    <m:ctrlPr>
                      <w:rPr>
                        <w:rFonts w:ascii="Cambria Math" w:hAnsi="Cambria Math" w:cs="Times New Roman"/>
                        <w:szCs w:val="24"/>
                      </w:rPr>
                    </m:ctrlPr>
                  </m:dPr>
                  <m:e>
                    <m:r>
                      <w:rPr>
                        <w:rFonts w:ascii="Cambria Math" w:hAnsi="Cambria Math" w:cs="Times New Roman"/>
                        <w:szCs w:val="24"/>
                      </w:rPr>
                      <m:t>z,t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m:t>
                    </m:r>
                  </m:sub>
                </m:sSub>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4</m:t>
                              </m:r>
                            </m:num>
                            <m:den>
                              <m:r>
                                <m:rPr>
                                  <m:sty m:val="p"/>
                                </m:rPr>
                                <w:rPr>
                                  <w:rFonts w:ascii="Cambria Math" w:hAnsi="Cambria Math" w:cs="Times New Roman"/>
                                  <w:szCs w:val="24"/>
                                </w:rPr>
                                <m:t>π</m:t>
                              </m:r>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sSup>
                                <m:sSupPr>
                                  <m:ctrlPr>
                                    <w:rPr>
                                      <w:rFonts w:ascii="Cambria Math" w:hAnsi="Cambria Math" w:cs="Times New Roman"/>
                                      <w:i/>
                                      <w:szCs w:val="24"/>
                                    </w:rPr>
                                  </m:ctrlPr>
                                </m:sSupPr>
                                <m:e>
                                  <m:r>
                                    <w:rPr>
                                      <w:rFonts w:ascii="Cambria Math" w:hAnsi="Cambria Math" w:cs="Times New Roman"/>
                                      <w:szCs w:val="24"/>
                                    </w:rPr>
                                    <m:t>(-1)</m:t>
                                  </m:r>
                                </m:e>
                                <m:sup>
                                  <m:f>
                                    <m:fPr>
                                      <m:ctrlPr>
                                        <w:rPr>
                                          <w:rFonts w:ascii="Cambria Math" w:hAnsi="Cambria Math" w:cs="Times New Roman"/>
                                          <w:i/>
                                          <w:szCs w:val="24"/>
                                        </w:rPr>
                                      </m:ctrlPr>
                                    </m:fPr>
                                    <m:num>
                                      <m:r>
                                        <w:rPr>
                                          <w:rFonts w:ascii="Cambria Math" w:hAnsi="Cambria Math" w:cs="Times New Roman"/>
                                          <w:szCs w:val="24"/>
                                        </w:rPr>
                                        <m:t>i-1</m:t>
                                      </m:r>
                                    </m:num>
                                    <m:den>
                                      <m:r>
                                        <w:rPr>
                                          <w:rFonts w:ascii="Cambria Math" w:hAnsi="Cambria Math" w:cs="Times New Roman"/>
                                          <w:szCs w:val="24"/>
                                        </w:rPr>
                                        <m:t>2</m:t>
                                      </m:r>
                                    </m:den>
                                  </m:f>
                                </m:sup>
                              </m:sSup>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r>
                                    <m:rPr>
                                      <m:sty m:val="p"/>
                                    </m:rPr>
                                    <w:rPr>
                                      <w:rFonts w:ascii="Cambria Math" w:hAnsi="Cambria Math" w:cs="Times New Roman"/>
                                      <w:szCs w:val="24"/>
                                    </w:rPr>
                                    <m:t>i(</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func>
                                <m:funcPr>
                                  <m:ctrlPr>
                                    <w:rPr>
                                      <w:rFonts w:ascii="Cambria Math" w:hAnsi="Cambria Math" w:cs="Times New Roman"/>
                                      <w:szCs w:val="24"/>
                                    </w:rPr>
                                  </m:ctrlPr>
                                </m:funcPr>
                                <m:fName>
                                  <m:r>
                                    <m:rPr>
                                      <m:sty m:val="p"/>
                                    </m:rPr>
                                    <w:rPr>
                                      <w:rFonts w:ascii="Cambria Math" w:hAnsi="Cambria Math" w:cs="Times New Roman"/>
                                      <w:szCs w:val="24"/>
                                    </w:rPr>
                                    <m:t>cos</m:t>
                                  </m:r>
                                </m:fName>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πix</m:t>
                                          </m:r>
                                        </m:num>
                                        <m:den>
                                          <m:r>
                                            <w:rPr>
                                              <w:rFonts w:ascii="Cambria Math" w:hAnsi="Cambria Math" w:cs="Times New Roman"/>
                                              <w:szCs w:val="24"/>
                                            </w:rPr>
                                            <m:t>2δ</m:t>
                                          </m:r>
                                        </m:den>
                                      </m:f>
                                    </m:e>
                                  </m:d>
                                </m:e>
                              </m:func>
                              <m:r>
                                <w:rPr>
                                  <w:rFonts w:ascii="Cambria Math" w:hAnsi="Cambria Math" w:cs="Times New Roman"/>
                                  <w:szCs w:val="24"/>
                                </w:rPr>
                                <m:t>+</m:t>
                              </m:r>
                            </m:e>
                          </m:nary>
                        </m:e>
                      </m:mr>
                      <m:mr>
                        <m:e>
                          <m:f>
                            <m:fPr>
                              <m:ctrlPr>
                                <w:rPr>
                                  <w:rFonts w:ascii="Cambria Math" w:hAnsi="Cambria Math" w:cs="Times New Roman"/>
                                  <w:szCs w:val="24"/>
                                </w:rPr>
                              </m:ctrlPr>
                            </m:fPr>
                            <m:num>
                              <m:r>
                                <m:rPr>
                                  <m:sty m:val="p"/>
                                </m:rPr>
                                <w:rPr>
                                  <w:rFonts w:ascii="Cambria Math" w:hAnsi="Cambria Math" w:cs="Times New Roman"/>
                                  <w:szCs w:val="24"/>
                                </w:rPr>
                                <m:t>4</m:t>
                              </m:r>
                            </m:num>
                            <m:den>
                              <m:r>
                                <w:rPr>
                                  <w:rFonts w:ascii="Cambria Math" w:hAnsi="Cambria Math" w:cs="Times New Roman"/>
                                  <w:szCs w:val="24"/>
                                </w:rPr>
                                <m:t>πβ</m:t>
                              </m:r>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sSup>
                                <m:sSupPr>
                                  <m:ctrlPr>
                                    <w:rPr>
                                      <w:rFonts w:ascii="Cambria Math" w:hAnsi="Cambria Math" w:cs="Times New Roman"/>
                                      <w:i/>
                                      <w:szCs w:val="24"/>
                                    </w:rPr>
                                  </m:ctrlPr>
                                </m:sSupPr>
                                <m:e>
                                  <m:r>
                                    <w:rPr>
                                      <w:rFonts w:ascii="Cambria Math" w:hAnsi="Cambria Math" w:cs="Times New Roman"/>
                                      <w:szCs w:val="24"/>
                                    </w:rPr>
                                    <m:t>(-1)</m:t>
                                  </m:r>
                                </m:e>
                                <m:sup>
                                  <m:f>
                                    <m:fPr>
                                      <m:ctrlPr>
                                        <w:rPr>
                                          <w:rFonts w:ascii="Cambria Math" w:hAnsi="Cambria Math" w:cs="Times New Roman"/>
                                          <w:i/>
                                          <w:szCs w:val="24"/>
                                        </w:rPr>
                                      </m:ctrlPr>
                                    </m:fPr>
                                    <m:num>
                                      <m:r>
                                        <w:rPr>
                                          <w:rFonts w:ascii="Cambria Math" w:hAnsi="Cambria Math" w:cs="Times New Roman"/>
                                          <w:szCs w:val="24"/>
                                        </w:rPr>
                                        <m:t>i-1</m:t>
                                      </m:r>
                                    </m:num>
                                    <m:den>
                                      <m:r>
                                        <w:rPr>
                                          <w:rFonts w:ascii="Cambria Math" w:hAnsi="Cambria Math" w:cs="Times New Roman"/>
                                          <w:szCs w:val="24"/>
                                        </w:rPr>
                                        <m:t>2</m:t>
                                      </m:r>
                                    </m:den>
                                  </m:f>
                                </m:sup>
                              </m:sSup>
                              <m: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m:t>
                              </m:r>
                              <m:f>
                                <m:fPr>
                                  <m:ctrlPr>
                                    <w:rPr>
                                      <w:rFonts w:ascii="Cambria Math" w:hAnsi="Cambria Math" w:cs="Times New Roman"/>
                                      <w:szCs w:val="24"/>
                                    </w:rPr>
                                  </m:ctrlPr>
                                </m:fPr>
                                <m:num>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r>
                                    <m:rPr>
                                      <m:sty m:val="p"/>
                                    </m:rPr>
                                    <w:rPr>
                                      <w:rFonts w:ascii="Cambria Math" w:hAnsi="Cambria Math" w:cs="Times New Roman"/>
                                      <w:szCs w:val="24"/>
                                    </w:rPr>
                                    <m:t>i(</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e>
                          </m:nary>
                          <m:func>
                            <m:funcPr>
                              <m:ctrlPr>
                                <w:rPr>
                                  <w:rFonts w:ascii="Cambria Math" w:hAnsi="Cambria Math" w:cs="Times New Roman"/>
                                  <w:szCs w:val="24"/>
                                </w:rPr>
                              </m:ctrlPr>
                            </m:funcPr>
                            <m:fName>
                              <m:r>
                                <m:rPr>
                                  <m:sty m:val="p"/>
                                </m:rPr>
                                <w:rPr>
                                  <w:rFonts w:ascii="Cambria Math" w:hAnsi="Cambria Math" w:cs="Times New Roman"/>
                                  <w:szCs w:val="24"/>
                                </w:rPr>
                                <m:t>cos</m:t>
                              </m:r>
                            </m:fName>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πix</m:t>
                                      </m:r>
                                    </m:num>
                                    <m:den>
                                      <m:r>
                                        <w:rPr>
                                          <w:rFonts w:ascii="Cambria Math" w:hAnsi="Cambria Math" w:cs="Times New Roman"/>
                                          <w:szCs w:val="24"/>
                                        </w:rPr>
                                        <m:t>2δ</m:t>
                                      </m:r>
                                    </m:den>
                                  </m:f>
                                </m:e>
                              </m:d>
                            </m:e>
                          </m:func>
                        </m:e>
                      </m:mr>
                    </m:m>
                  </m:e>
                </m:d>
              </m:oMath>
            </m:oMathPara>
          </w:p>
        </w:tc>
        <w:tc>
          <w:tcPr>
            <w:tcW w:w="751" w:type="dxa"/>
            <w:vAlign w:val="center"/>
          </w:tcPr>
          <w:p w14:paraId="447CB8E6" w14:textId="77777777" w:rsidR="000C2D31" w:rsidRDefault="000C2D31" w:rsidP="000C2D31">
            <w:pPr>
              <w:ind w:firstLine="0"/>
              <w:jc w:val="right"/>
              <w:rPr>
                <w:rFonts w:cs="Times New Roman"/>
                <w:szCs w:val="24"/>
              </w:rPr>
            </w:pPr>
            <w:r>
              <w:rPr>
                <w:rFonts w:cs="Times New Roman"/>
                <w:szCs w:val="24"/>
              </w:rPr>
              <w:t>(9b)</w:t>
            </w:r>
          </w:p>
        </w:tc>
      </w:tr>
    </w:tbl>
    <w:p w14:paraId="2316D95E" w14:textId="77777777" w:rsidR="000C2D31" w:rsidRDefault="000C2D31" w:rsidP="000C2D31">
      <w:pPr>
        <w:ind w:firstLine="0"/>
        <w:rPr>
          <w:rFonts w:cs="Times New Roman"/>
          <w:szCs w:val="24"/>
        </w:rPr>
      </w:pPr>
      <w:proofErr w:type="gramStart"/>
      <w:r>
        <w:rPr>
          <w:rFonts w:cs="Times New Roman"/>
          <w:szCs w:val="24"/>
        </w:rPr>
        <w:t>where</w:t>
      </w:r>
      <w:proofErr w:type="gramEnd"/>
    </w:p>
    <w:tbl>
      <w:tblPr>
        <w:tblW w:w="8550" w:type="dxa"/>
        <w:tblLayout w:type="fixed"/>
        <w:tblLook w:val="04A0" w:firstRow="1" w:lastRow="0" w:firstColumn="1" w:lastColumn="0" w:noHBand="0" w:noVBand="1"/>
      </w:tblPr>
      <w:tblGrid>
        <w:gridCol w:w="7915"/>
        <w:gridCol w:w="635"/>
      </w:tblGrid>
      <w:tr w:rsidR="000C2D31" w:rsidRPr="005A3E52" w14:paraId="1DF890F0" w14:textId="77777777" w:rsidTr="000C2D31">
        <w:trPr>
          <w:trHeight w:val="755"/>
        </w:trPr>
        <w:tc>
          <w:tcPr>
            <w:tcW w:w="7915" w:type="dxa"/>
            <w:vAlign w:val="center"/>
          </w:tcPr>
          <w:p w14:paraId="3E9D9E53" w14:textId="77777777" w:rsidR="000C2D31" w:rsidRPr="00AF79B9" w:rsidRDefault="007B3686" w:rsidP="000C2D31">
            <w:pPr>
              <w:spacing w:line="240" w:lineRule="auto"/>
              <w:ind w:firstLine="0"/>
              <w:rPr>
                <w:rFonts w:cs="Times New Roman"/>
                <w:szCs w:val="24"/>
              </w:rPr>
            </w:pPr>
            <m:oMathPara>
              <m:oMathParaPr>
                <m:jc m:val="center"/>
              </m:oMathParaPr>
              <m:oMath>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2</m:t>
                    </m:r>
                  </m:den>
                </m:f>
                <m:r>
                  <m:rPr>
                    <m:sty m:val="p"/>
                  </m:rPr>
                  <w:rPr>
                    <w:rFonts w:ascii="Cambria Math" w:hAnsi="Cambria Math" w:cs="Times New Roman"/>
                    <w:szCs w:val="24"/>
                  </w:rPr>
                  <m:t>[(</m:t>
                </m:r>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m:rPr>
                            <m:sty m:val="p"/>
                          </m:rPr>
                          <w:rPr>
                            <w:rFonts w:ascii="Cambria Math" w:hAnsi="Cambria Math" w:cs="Times New Roman"/>
                            <w:szCs w:val="24"/>
                          </w:rPr>
                          <m:t>(</m:t>
                        </m:r>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e>
                      <m:sup>
                        <m:r>
                          <m:rPr>
                            <m:sty m:val="p"/>
                          </m:rPr>
                          <w:rPr>
                            <w:rFonts w:ascii="Cambria Math" w:hAnsi="Cambria Math" w:cs="Times New Roman"/>
                            <w:szCs w:val="24"/>
                          </w:rPr>
                          <m:t>2</m:t>
                        </m:r>
                      </m:sup>
                    </m:sSup>
                    <m:r>
                      <m:rPr>
                        <m:sty m:val="p"/>
                      </m:rPr>
                      <w:rPr>
                        <w:rFonts w:ascii="Cambria Math" w:hAnsi="Cambria Math" w:cs="Times New Roman"/>
                        <w:szCs w:val="24"/>
                      </w:rPr>
                      <m:t>-4</m:t>
                    </m:r>
                    <m:r>
                      <w:rPr>
                        <w:rFonts w:ascii="Cambria Math" w:hAnsi="Cambria Math" w:cs="Times New Roman"/>
                        <w:szCs w:val="24"/>
                      </w:rPr>
                      <m:t>Kβ</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e>
                </m:rad>
                <m:r>
                  <m:rPr>
                    <m:sty m:val="p"/>
                  </m:rPr>
                  <w:rPr>
                    <w:rFonts w:ascii="Cambria Math" w:hAnsi="Cambria Math" w:cs="Times New Roman"/>
                    <w:szCs w:val="24"/>
                  </w:rPr>
                  <m:t>]</m:t>
                </m:r>
              </m:oMath>
            </m:oMathPara>
          </w:p>
        </w:tc>
        <w:tc>
          <w:tcPr>
            <w:tcW w:w="635" w:type="dxa"/>
            <w:vMerge w:val="restart"/>
            <w:vAlign w:val="center"/>
          </w:tcPr>
          <w:p w14:paraId="3FCFB251" w14:textId="77777777" w:rsidR="000C2D31" w:rsidRPr="005A3E52" w:rsidRDefault="000C2D31" w:rsidP="000C2D31">
            <w:pPr>
              <w:ind w:firstLine="0"/>
              <w:jc w:val="right"/>
              <w:rPr>
                <w:rFonts w:cs="Times New Roman"/>
                <w:szCs w:val="24"/>
              </w:rPr>
            </w:pPr>
            <w:r w:rsidRPr="005A3E52">
              <w:rPr>
                <w:rFonts w:cs="Times New Roman"/>
                <w:szCs w:val="24"/>
              </w:rPr>
              <w:t>(</w:t>
            </w:r>
            <w:r>
              <w:rPr>
                <w:rFonts w:cs="Times New Roman"/>
                <w:szCs w:val="24"/>
              </w:rPr>
              <w:t>9c</w:t>
            </w:r>
            <w:r w:rsidRPr="005A3E52">
              <w:rPr>
                <w:rFonts w:cs="Times New Roman"/>
                <w:szCs w:val="24"/>
              </w:rPr>
              <w:t>)</w:t>
            </w:r>
          </w:p>
        </w:tc>
      </w:tr>
      <w:tr w:rsidR="000C2D31" w:rsidRPr="005A3E52" w14:paraId="64EC4380" w14:textId="77777777" w:rsidTr="000C2D31">
        <w:trPr>
          <w:trHeight w:val="755"/>
        </w:trPr>
        <w:tc>
          <w:tcPr>
            <w:tcW w:w="7915" w:type="dxa"/>
            <w:vAlign w:val="center"/>
          </w:tcPr>
          <w:p w14:paraId="63DD13EA" w14:textId="77777777" w:rsidR="000C2D31" w:rsidRPr="00AF79B9" w:rsidRDefault="000C2D31" w:rsidP="000C2D31">
            <w:pPr>
              <w:spacing w:line="240" w:lineRule="auto"/>
              <w:ind w:firstLine="0"/>
              <w:rPr>
                <w:rFonts w:eastAsia="Times New Roman" w:cs="Times New Roman"/>
                <w:szCs w:val="24"/>
              </w:rPr>
            </w:pPr>
            <m:oMathPara>
              <m:oMathParaPr>
                <m:jc m:val="center"/>
              </m:oMathParaPr>
              <m:oMath>
                <m:r>
                  <w:rPr>
                    <w:rFonts w:ascii="Cambria Math" w:hAnsi="Cambria Math" w:cs="Times New Roman"/>
                    <w:szCs w:val="24"/>
                  </w:rPr>
                  <m:t>K</m:t>
                </m:r>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r>
                      <w:rPr>
                        <w:rFonts w:ascii="Cambria Math" w:hAnsi="Cambria Math" w:cs="Times New Roman"/>
                        <w:szCs w:val="24"/>
                      </w:rPr>
                      <m:t>D</m:t>
                    </m:r>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oMath>
            </m:oMathPara>
          </w:p>
        </w:tc>
        <w:tc>
          <w:tcPr>
            <w:tcW w:w="635" w:type="dxa"/>
            <w:vMerge/>
            <w:vAlign w:val="center"/>
          </w:tcPr>
          <w:p w14:paraId="3351D1D9" w14:textId="77777777" w:rsidR="000C2D31" w:rsidRPr="005A3E52" w:rsidRDefault="000C2D31" w:rsidP="000C2D31">
            <w:pPr>
              <w:jc w:val="right"/>
              <w:rPr>
                <w:rFonts w:cs="Times New Roman"/>
                <w:szCs w:val="24"/>
              </w:rPr>
            </w:pPr>
          </w:p>
        </w:tc>
      </w:tr>
    </w:tbl>
    <w:p w14:paraId="56E68540" w14:textId="77777777" w:rsidR="000C2D31" w:rsidRPr="001E6BA7" w:rsidRDefault="000C2D31" w:rsidP="000C2D31">
      <w:pPr>
        <w:rPr>
          <w:rFonts w:cs="Times New Roman"/>
          <w:szCs w:val="24"/>
        </w:rPr>
      </w:pPr>
      <w:r w:rsidRPr="001E6BA7">
        <w:rPr>
          <w:rFonts w:cs="Times New Roman"/>
          <w:szCs w:val="24"/>
        </w:rPr>
        <w:lastRenderedPageBreak/>
        <w:t xml:space="preserve">When the sum of the bound moisture concentration </w:t>
      </w:r>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x,t</m:t>
            </m:r>
          </m:e>
        </m:d>
      </m:oMath>
      <w:r w:rsidRPr="001E6BA7">
        <w:rPr>
          <w:rFonts w:cs="Times New Roman"/>
          <w:i/>
          <w:szCs w:val="24"/>
        </w:rPr>
        <w:t xml:space="preserve"> </w:t>
      </w:r>
      <w:r w:rsidRPr="001E6BA7">
        <w:rPr>
          <w:rFonts w:cs="Times New Roman"/>
          <w:szCs w:val="24"/>
        </w:rPr>
        <w:t xml:space="preserve">and the unbound moisture concentration </w:t>
      </w:r>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x,t</m:t>
            </m:r>
          </m:e>
        </m:d>
      </m:oMath>
      <w:r w:rsidRPr="001E6BA7">
        <w:rPr>
          <w:rFonts w:cs="Times New Roman"/>
          <w:i/>
          <w:szCs w:val="24"/>
        </w:rPr>
        <w:t xml:space="preserve"> </w:t>
      </w:r>
      <w:r w:rsidRPr="001E6BA7">
        <w:rPr>
          <w:rFonts w:cs="Times New Roman"/>
          <w:szCs w:val="24"/>
        </w:rPr>
        <w:t>is integrated over the thickness, the resulting exact analytical solution gives the mass frac</w:t>
      </w:r>
      <w:r>
        <w:rPr>
          <w:rFonts w:cs="Times New Roman"/>
          <w:szCs w:val="24"/>
        </w:rPr>
        <w:t>tion of the absorbed moisture</w:t>
      </w:r>
      <w:r w:rsidRPr="001E6BA7">
        <w:rPr>
          <w:rFonts w:cs="Times New Roman"/>
          <w:szCs w:val="24"/>
        </w:rPr>
        <w:t>, and is expressed as:</w:t>
      </w:r>
    </w:p>
    <w:tbl>
      <w:tblPr>
        <w:tblW w:w="0" w:type="auto"/>
        <w:tblLook w:val="04A0" w:firstRow="1" w:lastRow="0" w:firstColumn="1" w:lastColumn="0" w:noHBand="0" w:noVBand="1"/>
      </w:tblPr>
      <w:tblGrid>
        <w:gridCol w:w="7640"/>
        <w:gridCol w:w="976"/>
      </w:tblGrid>
      <w:tr w:rsidR="000C2D31" w:rsidRPr="005A3E52" w14:paraId="30B496E7" w14:textId="77777777" w:rsidTr="000C2D31">
        <w:tc>
          <w:tcPr>
            <w:tcW w:w="7640" w:type="dxa"/>
            <w:vAlign w:val="center"/>
          </w:tcPr>
          <w:p w14:paraId="6492DCD6" w14:textId="77777777" w:rsidR="000C2D31" w:rsidRPr="005A3E52" w:rsidRDefault="000C2D31" w:rsidP="000C2D31">
            <w:pPr>
              <w:rPr>
                <w:rFonts w:cs="Times New Roman"/>
                <w:szCs w:val="24"/>
              </w:rPr>
            </w:pPr>
            <m:oMathPara>
              <m:oMath>
                <m:r>
                  <w:rPr>
                    <w:rFonts w:ascii="Cambria Math" w:hAnsi="Cambria Math" w:cs="Times New Roman"/>
                    <w:szCs w:val="24"/>
                  </w:rPr>
                  <m:t>M</m:t>
                </m:r>
                <m:d>
                  <m:dPr>
                    <m:ctrlPr>
                      <w:rPr>
                        <w:rFonts w:ascii="Cambria Math" w:hAnsi="Cambria Math" w:cs="Times New Roman"/>
                        <w:szCs w:val="24"/>
                      </w:rPr>
                    </m:ctrlPr>
                  </m:dPr>
                  <m:e>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m:t>
                    </m:r>
                  </m:sub>
                </m:sSub>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8</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r>
                                <m:rPr>
                                  <m:sty m:val="p"/>
                                </m:rPr>
                                <w:rPr>
                                  <w:rFonts w:ascii="Cambria Math" w:hAnsi="Cambria Math" w:cs="Times New Roman"/>
                                  <w:szCs w:val="24"/>
                                </w:rPr>
                                <m:t>+</m:t>
                              </m:r>
                            </m:e>
                          </m:nary>
                        </m:e>
                      </m:mr>
                      <m:mr>
                        <m:e>
                          <m:f>
                            <m:fPr>
                              <m:ctrlPr>
                                <w:rPr>
                                  <w:rFonts w:ascii="Cambria Math" w:hAnsi="Cambria Math" w:cs="Times New Roman"/>
                                  <w:szCs w:val="24"/>
                                </w:rPr>
                              </m:ctrlPr>
                            </m:fPr>
                            <m:num>
                              <m:r>
                                <m:rPr>
                                  <m:sty m:val="p"/>
                                </m:rPr>
                                <w:rPr>
                                  <w:rFonts w:ascii="Cambria Math" w:hAnsi="Cambria Math" w:cs="Times New Roman"/>
                                  <w:szCs w:val="24"/>
                                </w:rPr>
                                <m:t>8</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den>
                          </m:f>
                          <m:d>
                            <m:dPr>
                              <m:ctrlPr>
                                <w:rPr>
                                  <w:rFonts w:ascii="Cambria Math" w:hAnsi="Cambria Math" w:cs="Times New Roman"/>
                                  <w:szCs w:val="24"/>
                                </w:rPr>
                              </m:ctrlPr>
                            </m:dPr>
                            <m:e>
                              <m:r>
                                <w:rPr>
                                  <w:rFonts w:ascii="Cambria Math" w:hAnsi="Cambria Math" w:cs="Times New Roman"/>
                                  <w:szCs w:val="24"/>
                                </w:rPr>
                                <m:t>K</m:t>
                              </m:r>
                              <m:f>
                                <m:fPr>
                                  <m:ctrlPr>
                                    <w:rPr>
                                      <w:rFonts w:ascii="Cambria Math" w:hAnsi="Cambria Math" w:cs="Times New Roman"/>
                                      <w:szCs w:val="24"/>
                                    </w:rPr>
                                  </m:ctrlPr>
                                </m:fPr>
                                <m:num>
                                  <m:r>
                                    <w:rPr>
                                      <w:rFonts w:ascii="Cambria Math" w:hAnsi="Cambria Math" w:cs="Times New Roman"/>
                                      <w:szCs w:val="24"/>
                                    </w:rPr>
                                    <m:t>β</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e>
                          </m:d>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e>
                          </m:nary>
                        </m:e>
                      </m:mr>
                    </m:m>
                  </m:e>
                </m:d>
              </m:oMath>
            </m:oMathPara>
          </w:p>
        </w:tc>
        <w:tc>
          <w:tcPr>
            <w:tcW w:w="856" w:type="dxa"/>
            <w:vAlign w:val="center"/>
          </w:tcPr>
          <w:p w14:paraId="712EEFDB" w14:textId="77777777" w:rsidR="000C2D31" w:rsidRPr="005A3E52" w:rsidRDefault="000C2D31" w:rsidP="000C2D31">
            <w:pPr>
              <w:rPr>
                <w:rFonts w:cs="Times New Roman"/>
                <w:szCs w:val="24"/>
              </w:rPr>
            </w:pPr>
            <w:r>
              <w:rPr>
                <w:rFonts w:cs="Times New Roman"/>
                <w:szCs w:val="24"/>
              </w:rPr>
              <w:t>(10</w:t>
            </w:r>
            <w:r w:rsidRPr="005A3E52">
              <w:rPr>
                <w:rFonts w:cs="Times New Roman"/>
                <w:szCs w:val="24"/>
              </w:rPr>
              <w:t>)</w:t>
            </w:r>
          </w:p>
        </w:tc>
      </w:tr>
    </w:tbl>
    <w:p w14:paraId="7CEE1AF2" w14:textId="73227747" w:rsidR="000C2D31" w:rsidRDefault="000C2D31" w:rsidP="00FF2519">
      <w:pPr>
        <w:ind w:firstLine="0"/>
        <w:rPr>
          <w:rFonts w:cs="Times New Roman"/>
          <w:szCs w:val="24"/>
        </w:rPr>
      </w:pPr>
      <m:oMath>
        <m:r>
          <w:rPr>
            <w:rFonts w:ascii="Cambria Math" w:hAnsi="Cambria Math" w:cs="Times New Roman"/>
            <w:szCs w:val="24"/>
          </w:rPr>
          <m:t>M</m:t>
        </m:r>
        <m:d>
          <m:dPr>
            <m:ctrlPr>
              <w:rPr>
                <w:rFonts w:ascii="Cambria Math" w:hAnsi="Cambria Math" w:cs="Times New Roman"/>
                <w:szCs w:val="24"/>
              </w:rPr>
            </m:ctrlPr>
          </m:dPr>
          <m:e>
            <m:r>
              <w:rPr>
                <w:rFonts w:ascii="Cambria Math" w:hAnsi="Cambria Math" w:cs="Times New Roman"/>
                <w:szCs w:val="24"/>
              </w:rPr>
              <m:t>t</m:t>
            </m:r>
          </m:e>
        </m:d>
      </m:oMath>
      <w:r w:rsidRPr="005A3E52">
        <w:rPr>
          <w:rFonts w:cs="Times New Roman"/>
          <w:szCs w:val="24"/>
        </w:rPr>
        <w:t xml:space="preserve"> </w:t>
      </w:r>
      <w:proofErr w:type="gramStart"/>
      <w:r w:rsidRPr="005A3E52">
        <w:rPr>
          <w:rFonts w:cs="Times New Roman"/>
          <w:szCs w:val="24"/>
        </w:rPr>
        <w:t>is</w:t>
      </w:r>
      <w:proofErr w:type="gramEnd"/>
      <w:r w:rsidRPr="005A3E52">
        <w:rPr>
          <w:rFonts w:cs="Times New Roman"/>
          <w:szCs w:val="24"/>
        </w:rPr>
        <w:t xml:space="preserve"> the weight percent of absorbed moisture at time </w:t>
      </w:r>
      <m:oMath>
        <m:r>
          <w:rPr>
            <w:rFonts w:ascii="Cambria Math" w:hAnsi="Cambria Math" w:cs="Times New Roman"/>
            <w:szCs w:val="24"/>
          </w:rPr>
          <m:t>t</m:t>
        </m:r>
      </m:oMath>
      <w:r>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m:t>
            </m:r>
          </m:sub>
        </m:sSub>
      </m:oMath>
      <w:r w:rsidRPr="005A3E52">
        <w:rPr>
          <w:rFonts w:cs="Times New Roman"/>
          <w:szCs w:val="24"/>
        </w:rPr>
        <w:t xml:space="preserve"> is the equilibrium moisture weight percent</w:t>
      </w:r>
      <w:r>
        <w:rPr>
          <w:rFonts w:cs="Times New Roman"/>
          <w:szCs w:val="24"/>
        </w:rPr>
        <w:t>.</w:t>
      </w:r>
      <w:r w:rsidRPr="005A3E52">
        <w:rPr>
          <w:rFonts w:cs="Times New Roman"/>
          <w:szCs w:val="24"/>
        </w:rPr>
        <w:t xml:space="preserve"> </w:t>
      </w:r>
      <w:r w:rsidRPr="00DC5384">
        <w:rPr>
          <w:rFonts w:cs="Times New Roman"/>
          <w:szCs w:val="24"/>
        </w:rPr>
        <w:t xml:space="preserve">A typical </w:t>
      </w:r>
      <w:r>
        <w:rPr>
          <w:rFonts w:cs="Times New Roman"/>
          <w:szCs w:val="24"/>
        </w:rPr>
        <w:t>hindered</w:t>
      </w:r>
      <w:r w:rsidRPr="00DC5384">
        <w:rPr>
          <w:rFonts w:cs="Times New Roman"/>
          <w:szCs w:val="24"/>
        </w:rPr>
        <w:t xml:space="preserve"> moisture absorptio</w:t>
      </w:r>
      <w:r>
        <w:rPr>
          <w:rFonts w:cs="Times New Roman"/>
          <w:szCs w:val="24"/>
        </w:rPr>
        <w:t>n curve is illustrated in</w:t>
      </w:r>
      <w:r w:rsidR="00E95B4D">
        <w:rPr>
          <w:rFonts w:cs="Times New Roman"/>
          <w:szCs w:val="24"/>
        </w:rPr>
        <w:t xml:space="preserve"> </w:t>
      </w:r>
      <w:r w:rsidR="00E95B4D">
        <w:rPr>
          <w:rFonts w:cs="Times New Roman"/>
          <w:szCs w:val="24"/>
        </w:rPr>
        <w:fldChar w:fldCharType="begin"/>
      </w:r>
      <w:r w:rsidR="00E95B4D">
        <w:rPr>
          <w:rFonts w:cs="Times New Roman"/>
          <w:szCs w:val="24"/>
        </w:rPr>
        <w:instrText xml:space="preserve"> REF _Ref521415851 \h </w:instrText>
      </w:r>
      <w:r w:rsidR="00E95B4D">
        <w:rPr>
          <w:rFonts w:cs="Times New Roman"/>
          <w:szCs w:val="24"/>
        </w:rPr>
      </w:r>
      <w:r w:rsidR="00E95B4D">
        <w:rPr>
          <w:rFonts w:cs="Times New Roman"/>
          <w:szCs w:val="24"/>
        </w:rPr>
        <w:fldChar w:fldCharType="separate"/>
      </w:r>
      <w:r w:rsidR="006D52C2">
        <w:t xml:space="preserve">Figure </w:t>
      </w:r>
      <w:r w:rsidR="006D52C2">
        <w:rPr>
          <w:noProof/>
        </w:rPr>
        <w:t>2</w:t>
      </w:r>
      <w:r w:rsidR="00E95B4D">
        <w:rPr>
          <w:rFonts w:cs="Times New Roman"/>
          <w:szCs w:val="24"/>
        </w:rPr>
        <w:fldChar w:fldCharType="end"/>
      </w:r>
      <w:r w:rsidRPr="00DC5384">
        <w:rPr>
          <w:rFonts w:cs="Times New Roman"/>
          <w:szCs w:val="24"/>
        </w:rPr>
        <w:t>.</w:t>
      </w:r>
      <w:r>
        <w:rPr>
          <w:rFonts w:cs="Times New Roman"/>
          <w:szCs w:val="24"/>
        </w:rPr>
        <w:t xml:space="preserve"> </w:t>
      </w:r>
    </w:p>
    <w:p w14:paraId="1056441E" w14:textId="77777777" w:rsidR="000C2D31" w:rsidRDefault="00FB4BE3" w:rsidP="00554848">
      <w:pPr>
        <w:pStyle w:val="NoSpacing"/>
      </w:pPr>
      <w:r w:rsidRPr="00083ABA">
        <w:rPr>
          <w:noProof/>
          <w:lang w:bidi="ar-SA"/>
        </w:rPr>
        <mc:AlternateContent>
          <mc:Choice Requires="wps">
            <w:drawing>
              <wp:anchor distT="0" distB="0" distL="114300" distR="114300" simplePos="0" relativeHeight="251668480" behindDoc="0" locked="0" layoutInCell="1" allowOverlap="1" wp14:anchorId="0EFB8E3F" wp14:editId="6C712F8D">
                <wp:simplePos x="0" y="0"/>
                <wp:positionH relativeFrom="margin">
                  <wp:posOffset>2622742</wp:posOffset>
                </wp:positionH>
                <wp:positionV relativeFrom="paragraph">
                  <wp:posOffset>1492767</wp:posOffset>
                </wp:positionV>
                <wp:extent cx="2343150" cy="369332"/>
                <wp:effectExtent l="0" t="0" r="0" b="0"/>
                <wp:wrapNone/>
                <wp:docPr id="26" name="TextBox 25"/>
                <wp:cNvGraphicFramePr/>
                <a:graphic xmlns:a="http://schemas.openxmlformats.org/drawingml/2006/main">
                  <a:graphicData uri="http://schemas.microsoft.com/office/word/2010/wordprocessingShape">
                    <wps:wsp>
                      <wps:cNvSpPr txBox="1"/>
                      <wps:spPr>
                        <a:xfrm>
                          <a:off x="0" y="0"/>
                          <a:ext cx="2343150" cy="369332"/>
                        </a:xfrm>
                        <a:prstGeom prst="rect">
                          <a:avLst/>
                        </a:prstGeom>
                        <a:noFill/>
                      </wps:spPr>
                      <wps:txbx>
                        <w:txbxContent>
                          <w:p w14:paraId="73902F1E" w14:textId="77777777" w:rsidR="000A15D2" w:rsidRPr="00083ABA" w:rsidRDefault="000A15D2" w:rsidP="000C2D31">
                            <w:pPr>
                              <w:pStyle w:val="NormalWeb"/>
                              <w:spacing w:before="0" w:beforeAutospacing="0" w:after="0" w:afterAutospacing="0"/>
                            </w:pPr>
                            <w:r w:rsidRPr="00083ABA">
                              <w:rPr>
                                <w:color w:val="000000" w:themeColor="text1"/>
                                <w:kern w:val="24"/>
                              </w:rPr>
                              <w:t>Unbound</w:t>
                            </w:r>
                            <w:r>
                              <w:rPr>
                                <w:color w:val="000000" w:themeColor="text1"/>
                                <w:kern w:val="24"/>
                              </w:rPr>
                              <w:t xml:space="preserve"> </w:t>
                            </w:r>
                            <w:r w:rsidRPr="00083ABA">
                              <w:rPr>
                                <w:color w:val="000000" w:themeColor="text1"/>
                                <w:kern w:val="24"/>
                              </w:rPr>
                              <w:t>Moisture Absorption</w:t>
                            </w:r>
                          </w:p>
                        </w:txbxContent>
                      </wps:txbx>
                      <wps:bodyPr wrap="square" rtlCol="0">
                        <a:spAutoFit/>
                      </wps:bodyPr>
                    </wps:wsp>
                  </a:graphicData>
                </a:graphic>
                <wp14:sizeRelH relativeFrom="margin">
                  <wp14:pctWidth>0</wp14:pctWidth>
                </wp14:sizeRelH>
              </wp:anchor>
            </w:drawing>
          </mc:Choice>
          <mc:Fallback>
            <w:pict>
              <v:shapetype w14:anchorId="0EFB8E3F" id="_x0000_t202" coordsize="21600,21600" o:spt="202" path="m,l,21600r21600,l21600,xe">
                <v:stroke joinstyle="miter"/>
                <v:path gradientshapeok="t" o:connecttype="rect"/>
              </v:shapetype>
              <v:shape id="TextBox 25" o:spid="_x0000_s1026" type="#_x0000_t202" style="position:absolute;left:0;text-align:left;margin-left:206.5pt;margin-top:117.55pt;width:184.5pt;height:29.1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" filled="f" stroked="f">
                <v:textbox style="mso-fit-shape-to-text:t">
                  <w:txbxContent>
                    <w:p w14:paraId="73902F1E" w14:textId="77777777" w:rsidR="000A15D2" w:rsidRPr="00083ABA" w:rsidRDefault="000A15D2" w:rsidP="000C2D31">
                      <w:pPr>
                        <w:pStyle w:val="NormalWeb"/>
                        <w:spacing w:before="0" w:beforeAutospacing="0" w:after="0" w:afterAutospacing="0"/>
                      </w:pPr>
                      <w:r w:rsidRPr="00083ABA">
                        <w:rPr>
                          <w:color w:val="000000" w:themeColor="text1"/>
                          <w:kern w:val="24"/>
                        </w:rPr>
                        <w:t>Unbound</w:t>
                      </w:r>
                      <w:r>
                        <w:rPr>
                          <w:color w:val="000000" w:themeColor="text1"/>
                          <w:kern w:val="24"/>
                        </w:rPr>
                        <w:t xml:space="preserve"> </w:t>
                      </w:r>
                      <w:r w:rsidRPr="00083ABA">
                        <w:rPr>
                          <w:color w:val="000000" w:themeColor="text1"/>
                          <w:kern w:val="24"/>
                        </w:rPr>
                        <w:t>Moisture Absorption</w:t>
                      </w:r>
                    </w:p>
                  </w:txbxContent>
                </v:textbox>
                <w10:wrap anchorx="margin"/>
              </v:shape>
            </w:pict>
          </mc:Fallback>
        </mc:AlternateContent>
      </w:r>
      <w:r w:rsidRPr="00083ABA">
        <w:rPr>
          <w:noProof/>
          <w:lang w:bidi="ar-SA"/>
        </w:rPr>
        <mc:AlternateContent>
          <mc:Choice Requires="wps">
            <w:drawing>
              <wp:anchor distT="0" distB="0" distL="114300" distR="114300" simplePos="0" relativeHeight="251667456" behindDoc="0" locked="0" layoutInCell="1" allowOverlap="1" wp14:anchorId="26FC08CC" wp14:editId="7DD5C5A4">
                <wp:simplePos x="0" y="0"/>
                <wp:positionH relativeFrom="column">
                  <wp:posOffset>2719099</wp:posOffset>
                </wp:positionH>
                <wp:positionV relativeFrom="paragraph">
                  <wp:posOffset>2313689</wp:posOffset>
                </wp:positionV>
                <wp:extent cx="2200275" cy="369332"/>
                <wp:effectExtent l="0" t="0" r="0" b="0"/>
                <wp:wrapNone/>
                <wp:docPr id="27" name="TextBox 26"/>
                <wp:cNvGraphicFramePr/>
                <a:graphic xmlns:a="http://schemas.openxmlformats.org/drawingml/2006/main">
                  <a:graphicData uri="http://schemas.microsoft.com/office/word/2010/wordprocessingShape">
                    <wps:wsp>
                      <wps:cNvSpPr txBox="1"/>
                      <wps:spPr>
                        <a:xfrm>
                          <a:off x="0" y="0"/>
                          <a:ext cx="2200275" cy="369332"/>
                        </a:xfrm>
                        <a:prstGeom prst="rect">
                          <a:avLst/>
                        </a:prstGeom>
                        <a:noFill/>
                      </wps:spPr>
                      <wps:txbx>
                        <w:txbxContent>
                          <w:p w14:paraId="475C1625" w14:textId="77777777" w:rsidR="000A15D2" w:rsidRPr="00083ABA" w:rsidRDefault="000A15D2" w:rsidP="000C2D31">
                            <w:pPr>
                              <w:pStyle w:val="NormalWeb"/>
                              <w:spacing w:before="0" w:beforeAutospacing="0" w:after="0" w:afterAutospacing="0"/>
                            </w:pPr>
                            <w:r w:rsidRPr="00083ABA">
                              <w:rPr>
                                <w:color w:val="000000" w:themeColor="text1"/>
                                <w:kern w:val="24"/>
                              </w:rPr>
                              <w:t>Bound Moisture Absorption</w:t>
                            </w:r>
                          </w:p>
                        </w:txbxContent>
                      </wps:txbx>
                      <wps:bodyPr wrap="square" rtlCol="0">
                        <a:spAutoFit/>
                      </wps:bodyPr>
                    </wps:wsp>
                  </a:graphicData>
                </a:graphic>
                <wp14:sizeRelH relativeFrom="margin">
                  <wp14:pctWidth>0</wp14:pctWidth>
                </wp14:sizeRelH>
              </wp:anchor>
            </w:drawing>
          </mc:Choice>
          <mc:Fallback>
            <w:pict>
              <v:shape w14:anchorId="26FC08CC" id="TextBox 26" o:spid="_x0000_s1027" type="#_x0000_t202" style="position:absolute;left:0;text-align:left;margin-left:214.1pt;margin-top:182.2pt;width:173.25pt;height:29.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" filled="f" stroked="f">
                <v:textbox style="mso-fit-shape-to-text:t">
                  <w:txbxContent>
                    <w:p w14:paraId="475C1625" w14:textId="77777777" w:rsidR="000A15D2" w:rsidRPr="00083ABA" w:rsidRDefault="000A15D2" w:rsidP="000C2D31">
                      <w:pPr>
                        <w:pStyle w:val="NormalWeb"/>
                        <w:spacing w:before="0" w:beforeAutospacing="0" w:after="0" w:afterAutospacing="0"/>
                      </w:pPr>
                      <w:r w:rsidRPr="00083ABA">
                        <w:rPr>
                          <w:color w:val="000000" w:themeColor="text1"/>
                          <w:kern w:val="24"/>
                        </w:rPr>
                        <w:t>Bound Moisture Absorption</w:t>
                      </w:r>
                    </w:p>
                  </w:txbxContent>
                </v:textbox>
              </v:shape>
            </w:pict>
          </mc:Fallback>
        </mc:AlternateContent>
      </w:r>
      <w:r w:rsidR="000C2D31" w:rsidRPr="00083ABA">
        <w:rPr>
          <w:noProof/>
          <w:lang w:bidi="ar-SA"/>
        </w:rPr>
        <mc:AlternateContent>
          <mc:Choice Requires="wps">
            <w:drawing>
              <wp:anchor distT="0" distB="0" distL="114300" distR="114300" simplePos="0" relativeHeight="251666432" behindDoc="0" locked="0" layoutInCell="1" allowOverlap="1" wp14:anchorId="0FFCD5F7" wp14:editId="71A90FBD">
                <wp:simplePos x="0" y="0"/>
                <wp:positionH relativeFrom="page">
                  <wp:posOffset>3183255</wp:posOffset>
                </wp:positionH>
                <wp:positionV relativeFrom="paragraph">
                  <wp:posOffset>304800</wp:posOffset>
                </wp:positionV>
                <wp:extent cx="2892379" cy="369332"/>
                <wp:effectExtent l="0" t="0" r="0" b="0"/>
                <wp:wrapNone/>
                <wp:docPr id="12" name="TextBox 24"/>
                <wp:cNvGraphicFramePr/>
                <a:graphic xmlns:a="http://schemas.openxmlformats.org/drawingml/2006/main">
                  <a:graphicData uri="http://schemas.microsoft.com/office/word/2010/wordprocessingShape">
                    <wps:wsp>
                      <wps:cNvSpPr txBox="1"/>
                      <wps:spPr>
                        <a:xfrm>
                          <a:off x="0" y="0"/>
                          <a:ext cx="2892379" cy="369332"/>
                        </a:xfrm>
                        <a:prstGeom prst="rect">
                          <a:avLst/>
                        </a:prstGeom>
                        <a:noFill/>
                      </wps:spPr>
                      <wps:txbx>
                        <w:txbxContent>
                          <w:p w14:paraId="16DCEF06" w14:textId="77777777" w:rsidR="000A15D2" w:rsidRPr="00083ABA" w:rsidRDefault="000A15D2" w:rsidP="000C2D31">
                            <w:pPr>
                              <w:pStyle w:val="NormalWeb"/>
                              <w:spacing w:before="0" w:beforeAutospacing="0" w:after="0" w:afterAutospacing="0"/>
                            </w:pPr>
                            <w:r w:rsidRPr="00083ABA">
                              <w:rPr>
                                <w:color w:val="000000" w:themeColor="text1"/>
                                <w:kern w:val="24"/>
                              </w:rPr>
                              <w:t>Total Moisture Absorption</w:t>
                            </w:r>
                          </w:p>
                        </w:txbxContent>
                      </wps:txbx>
                      <wps:bodyPr wrap="square" rtlCol="0">
                        <a:spAutoFit/>
                      </wps:bodyPr>
                    </wps:wsp>
                  </a:graphicData>
                </a:graphic>
              </wp:anchor>
            </w:drawing>
          </mc:Choice>
          <mc:Fallback>
            <w:pict>
              <v:shape w14:anchorId="0FFCD5F7" id="TextBox 24" o:spid="_x0000_s1028" type="#_x0000_t202" style="position:absolute;left:0;text-align:left;margin-left:250.65pt;margin-top:24pt;width:227.75pt;height:29.1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" filled="f" stroked="f">
                <v:textbox style="mso-fit-shape-to-text:t">
                  <w:txbxContent>
                    <w:p w14:paraId="16DCEF06" w14:textId="77777777" w:rsidR="000A15D2" w:rsidRPr="00083ABA" w:rsidRDefault="000A15D2" w:rsidP="000C2D31">
                      <w:pPr>
                        <w:pStyle w:val="NormalWeb"/>
                        <w:spacing w:before="0" w:beforeAutospacing="0" w:after="0" w:afterAutospacing="0"/>
                      </w:pPr>
                      <w:r w:rsidRPr="00083ABA">
                        <w:rPr>
                          <w:color w:val="000000" w:themeColor="text1"/>
                          <w:kern w:val="24"/>
                        </w:rPr>
                        <w:t>Total Moisture Absorption</w:t>
                      </w:r>
                    </w:p>
                  </w:txbxContent>
                </v:textbox>
                <w10:wrap anchorx="page"/>
              </v:shape>
            </w:pict>
          </mc:Fallback>
        </mc:AlternateContent>
      </w:r>
      <w:r w:rsidR="000C2D31">
        <w:rPr>
          <w:noProof/>
          <w:lang w:bidi="ar-SA"/>
        </w:rPr>
        <w:drawing>
          <wp:inline distT="0" distB="0" distL="0" distR="0" wp14:anchorId="7DCDA989" wp14:editId="024ED627">
            <wp:extent cx="4676060"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060" cy="3657600"/>
                    </a:xfrm>
                    <a:prstGeom prst="rect">
                      <a:avLst/>
                    </a:prstGeom>
                    <a:noFill/>
                    <a:ln>
                      <a:noFill/>
                    </a:ln>
                  </pic:spPr>
                </pic:pic>
              </a:graphicData>
            </a:graphic>
          </wp:inline>
        </w:drawing>
      </w:r>
    </w:p>
    <w:p w14:paraId="587FE673" w14:textId="0D7C320A" w:rsidR="000C2D31" w:rsidRDefault="005B3DBB" w:rsidP="0069708C">
      <w:pPr>
        <w:pStyle w:val="Caption"/>
      </w:pPr>
      <w:bookmarkStart w:id="37" w:name="_Ref521415851"/>
      <w:bookmarkStart w:id="38" w:name="_Toc405036765"/>
      <w:bookmarkStart w:id="39" w:name="_Toc530997358"/>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2</w:t>
      </w:r>
      <w:r w:rsidR="0023508C">
        <w:rPr>
          <w:noProof/>
        </w:rPr>
        <w:fldChar w:fldCharType="end"/>
      </w:r>
      <w:bookmarkEnd w:id="37"/>
      <w:r>
        <w:t xml:space="preserve">. </w:t>
      </w:r>
      <w:r w:rsidR="000C2D31" w:rsidRPr="0077282F">
        <w:t>Typical</w:t>
      </w:r>
      <w:r w:rsidR="000C2D31">
        <w:t xml:space="preserve"> Langmuir-type moisture uptake curve showing bound, unbound and total mass gain.</w:t>
      </w:r>
      <w:bookmarkEnd w:id="38"/>
      <w:bookmarkEnd w:id="39"/>
    </w:p>
    <w:p w14:paraId="314055E6" w14:textId="77777777" w:rsidR="00FB4BE3" w:rsidRDefault="00FB4BE3" w:rsidP="00FF2519"/>
    <w:p w14:paraId="0C46D808" w14:textId="4BEB89D1" w:rsidR="00FF2519" w:rsidRDefault="00FF2519" w:rsidP="00BB2C1B">
      <w:r>
        <w:lastRenderedPageBreak/>
        <w:t xml:space="preserve">Overall moisture absorption starts with fast mass gain as in Fickian, followed by secondary slower absorption. As can be seen from </w:t>
      </w:r>
      <w:r>
        <w:fldChar w:fldCharType="begin"/>
      </w:r>
      <w:r>
        <w:instrText xml:space="preserve"> REF _Ref521415851 \h </w:instrText>
      </w:r>
      <w:r>
        <w:fldChar w:fldCharType="separate"/>
      </w:r>
      <w:r w:rsidR="006D52C2">
        <w:t xml:space="preserve">Figure </w:t>
      </w:r>
      <w:r w:rsidR="006D52C2">
        <w:rPr>
          <w:noProof/>
        </w:rPr>
        <w:t>2</w:t>
      </w:r>
      <w:r>
        <w:fldChar w:fldCharType="end"/>
      </w:r>
      <w:r>
        <w:t>, secondary slower absorption is due to bound moisture absorption. The rate of transformation between the unbound and bound molecules determines the behavior of the secondary absorption kinetics. Due to ongoing transformation, hindered diffusion takes more time to reach equilibr</w:t>
      </w:r>
      <w:r w:rsidR="00BB2C1B">
        <w:t>ium than the Fickian diffusion.</w:t>
      </w:r>
    </w:p>
    <w:p w14:paraId="54E22C99" w14:textId="03D5D5C8" w:rsidR="0005441A" w:rsidRDefault="0005441A" w:rsidP="00B63058">
      <w:pPr>
        <w:pStyle w:val="Heading3"/>
        <w:numPr>
          <w:ilvl w:val="0"/>
          <w:numId w:val="27"/>
        </w:numPr>
      </w:pPr>
      <w:bookmarkStart w:id="40" w:name="_Toc531943740"/>
      <w:r>
        <w:t>Effect of chemical interactions on moisture absorption kinetics</w:t>
      </w:r>
      <w:bookmarkEnd w:id="40"/>
    </w:p>
    <w:p w14:paraId="7DAF4CEE" w14:textId="2001C9DE" w:rsidR="002B557D" w:rsidRDefault="003B4541" w:rsidP="002B557D">
      <w:r>
        <w:t>Addition of two absorption parameters</w:t>
      </w:r>
      <w:r w:rsidR="00EC6109">
        <w:t xml:space="preserve"> to Fickian diffusion model</w:t>
      </w:r>
      <w:r>
        <w:t xml:space="preserve">, </w:t>
      </w:r>
      <m:oMath>
        <m:r>
          <w:rPr>
            <w:rFonts w:ascii="Cambria Math" w:hAnsi="Cambria Math"/>
          </w:rPr>
          <m:t>γ</m:t>
        </m:r>
      </m:oMath>
      <w:r>
        <w:t xml:space="preserve"> </w:t>
      </w:r>
      <w:proofErr w:type="gramStart"/>
      <w:r>
        <w:t xml:space="preserve">and </w:t>
      </w:r>
      <w:proofErr w:type="gramEnd"/>
      <m:oMath>
        <m:r>
          <w:rPr>
            <w:rFonts w:ascii="Cambria Math" w:hAnsi="Cambria Math"/>
          </w:rPr>
          <m:t>β</m:t>
        </m:r>
      </m:oMath>
      <w:r>
        <w:t xml:space="preserve">, to consider the chemical interaction between the penetrant and medium institute new absorption kinetics in polymers. Depending on the polymer-water affinity, rate of </w:t>
      </w:r>
      <w:r w:rsidR="00101F72">
        <w:t>exchange between the bound and unbound molecules result</w:t>
      </w:r>
      <w:r w:rsidR="00270BC2">
        <w:t>s</w:t>
      </w:r>
      <w:r w:rsidR="00101F72">
        <w:t xml:space="preserve"> in distinct absorption behavior. </w:t>
      </w:r>
    </w:p>
    <w:p w14:paraId="24F5AB7C" w14:textId="101B99CD" w:rsidR="0005441A" w:rsidRPr="0005441A" w:rsidRDefault="00E95B4D" w:rsidP="0005441A">
      <w:r>
        <w:fldChar w:fldCharType="begin"/>
      </w:r>
      <w:r>
        <w:instrText xml:space="preserve"> REF _Ref521415872 \h </w:instrText>
      </w:r>
      <w:r>
        <w:fldChar w:fldCharType="separate"/>
      </w:r>
      <w:r w:rsidR="006D52C2">
        <w:t xml:space="preserve">Figure </w:t>
      </w:r>
      <w:r w:rsidR="006D52C2">
        <w:rPr>
          <w:noProof/>
        </w:rPr>
        <w:t>3</w:t>
      </w:r>
      <w:r>
        <w:fldChar w:fldCharType="end"/>
      </w:r>
      <w:r w:rsidR="00101F72">
        <w:t xml:space="preserve"> illustrates the effect of rate of bound molecule to become unbound on overall moisture absorption kinetics of a representative mass gain curve.</w:t>
      </w:r>
      <w:r w:rsidR="002B557D">
        <w:t xml:space="preserve"> The representative curve illustrated as the red line uses the absorption </w:t>
      </w:r>
      <w:proofErr w:type="gramStart"/>
      <w:r w:rsidR="002B557D">
        <w:t xml:space="preserve">parameters </w:t>
      </w:r>
      <w:proofErr w:type="gramEnd"/>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D</m:t>
                  </m:r>
                </m:e>
              </m:mr>
              <m:mr>
                <m:e>
                  <m:sSub>
                    <m:sSubPr>
                      <m:ctrlPr>
                        <w:rPr>
                          <w:rFonts w:ascii="Cambria Math" w:hAnsi="Cambria Math"/>
                          <w:i/>
                          <w:iCs/>
                        </w:rPr>
                      </m:ctrlPr>
                    </m:sSubPr>
                    <m:e>
                      <m:r>
                        <w:rPr>
                          <w:rFonts w:ascii="Cambria Math" w:hAnsi="Cambria Math"/>
                        </w:rPr>
                        <m:t>γ</m:t>
                      </m:r>
                    </m:e>
                    <m:sub>
                      <m:r>
                        <w:rPr>
                          <w:rFonts w:ascii="Cambria Math" w:hAnsi="Cambria Math"/>
                        </w:rPr>
                        <m:t>0</m:t>
                      </m:r>
                    </m:sub>
                  </m:sSub>
                </m:e>
              </m:mr>
              <m:mr>
                <m:e>
                  <m:m>
                    <m:mPr>
                      <m:mcs>
                        <m:mc>
                          <m:mcPr>
                            <m:count m:val="1"/>
                            <m:mcJc m:val="center"/>
                          </m:mcPr>
                        </m:mc>
                      </m:mcs>
                      <m:ctrlPr>
                        <w:rPr>
                          <w:rFonts w:ascii="Cambria Math" w:hAnsi="Cambria Math"/>
                        </w:rPr>
                      </m:ctrlPr>
                    </m:mPr>
                    <m:mr>
                      <m:e>
                        <m:sSub>
                          <m:sSubPr>
                            <m:ctrlPr>
                              <w:rPr>
                                <w:rFonts w:ascii="Cambria Math" w:hAnsi="Cambria Math"/>
                                <w:i/>
                                <w:iCs/>
                              </w:rPr>
                            </m:ctrlPr>
                          </m:sSubPr>
                          <m:e>
                            <m:r>
                              <w:rPr>
                                <w:rFonts w:ascii="Cambria Math" w:hAnsi="Cambria Math"/>
                              </w:rPr>
                              <m:t>β</m:t>
                            </m:r>
                          </m:e>
                          <m:sub>
                            <m:r>
                              <w:rPr>
                                <w:rFonts w:ascii="Cambria Math" w:hAnsi="Cambria Math"/>
                              </w:rPr>
                              <m:t>0</m:t>
                            </m:r>
                          </m:sub>
                        </m:sSub>
                      </m:e>
                    </m:mr>
                    <m:mr>
                      <m:e>
                        <m:sSub>
                          <m:sSubPr>
                            <m:ctrlPr>
                              <w:rPr>
                                <w:rFonts w:ascii="Cambria Math" w:hAnsi="Cambria Math"/>
                              </w:rPr>
                            </m:ctrlPr>
                          </m:sSubPr>
                          <m:e>
                            <m:r>
                              <w:rPr>
                                <w:rFonts w:ascii="Cambria Math" w:hAnsi="Cambria Math"/>
                              </w:rPr>
                              <m:t>M</m:t>
                            </m:r>
                          </m:e>
                          <m:sub>
                            <m:r>
                              <m:rPr>
                                <m:sty m:val="p"/>
                              </m:rPr>
                              <w:rPr>
                                <w:rFonts w:ascii="Cambria Math" w:hAnsi="Cambria Math"/>
                              </w:rPr>
                              <m:t>∞</m:t>
                            </m:r>
                          </m:sub>
                        </m:sSub>
                      </m:e>
                    </m:mr>
                  </m:m>
                </m:e>
              </m:mr>
            </m:m>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 xml:space="preserve">1.4 ×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e>
              </m:mr>
              <m:mr>
                <m:e>
                  <m:r>
                    <m:rPr>
                      <m:sty m:val="p"/>
                    </m:rPr>
                    <w:rPr>
                      <w:rFonts w:ascii="Cambria Math" w:hAnsi="Cambria Math"/>
                    </w:rPr>
                    <m:t>1.0×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e>
              </m:mr>
              <m:mr>
                <m:e>
                  <m:m>
                    <m:mPr>
                      <m:mcs>
                        <m:mc>
                          <m:mcPr>
                            <m:count m:val="1"/>
                            <m:mcJc m:val="center"/>
                          </m:mcPr>
                        </m:mc>
                      </m:mcs>
                      <m:ctrlPr>
                        <w:rPr>
                          <w:rFonts w:ascii="Cambria Math" w:hAnsi="Cambria Math"/>
                        </w:rPr>
                      </m:ctrlPr>
                    </m:mPr>
                    <m:mr>
                      <m:e>
                        <m:r>
                          <m:rPr>
                            <m:sty m:val="p"/>
                          </m:rPr>
                          <w:rPr>
                            <w:rFonts w:ascii="Cambria Math" w:hAnsi="Cambria Math"/>
                          </w:rPr>
                          <m:t>7.0×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e>
                    </m:mr>
                    <m:mr>
                      <m:e>
                        <m:r>
                          <m:rPr>
                            <m:sty m:val="p"/>
                          </m:rPr>
                          <w:rPr>
                            <w:rFonts w:ascii="Cambria Math" w:hAnsi="Cambria Math"/>
                          </w:rPr>
                          <m:t>2.2</m:t>
                        </m:r>
                      </m:e>
                    </m:mr>
                  </m:m>
                </m:e>
              </m:mr>
            </m:m>
          </m:e>
        </m:d>
      </m:oMath>
      <w:r w:rsidR="002B557D" w:rsidRPr="002B557D">
        <w:t>. The other curves</w:t>
      </w:r>
      <w:r w:rsidR="0001587D">
        <w:t xml:space="preserve"> in </w:t>
      </w:r>
      <w:r>
        <w:fldChar w:fldCharType="begin"/>
      </w:r>
      <w:r>
        <w:instrText xml:space="preserve"> REF _Ref521415872 \h </w:instrText>
      </w:r>
      <w:r>
        <w:fldChar w:fldCharType="separate"/>
      </w:r>
      <w:r w:rsidR="006D52C2">
        <w:t xml:space="preserve">Figure </w:t>
      </w:r>
      <w:r w:rsidR="006D52C2">
        <w:rPr>
          <w:noProof/>
        </w:rPr>
        <w:t>3</w:t>
      </w:r>
      <w:r>
        <w:fldChar w:fldCharType="end"/>
      </w:r>
      <w:r>
        <w:t xml:space="preserve"> </w:t>
      </w:r>
      <w:r w:rsidR="00270BC2">
        <w:t>use</w:t>
      </w:r>
      <w:r w:rsidR="002B557D">
        <w:t xml:space="preserve"> the same absorption parameters </w:t>
      </w:r>
      <w:proofErr w:type="gramStart"/>
      <w:r w:rsidR="002B557D">
        <w:t xml:space="preserve">except </w:t>
      </w:r>
      <w:proofErr w:type="gramEnd"/>
      <m:oMath>
        <m:sSub>
          <m:sSubPr>
            <m:ctrlPr>
              <w:rPr>
                <w:rFonts w:ascii="Cambria Math" w:hAnsi="Cambria Math"/>
                <w:i/>
                <w:iCs/>
              </w:rPr>
            </m:ctrlPr>
          </m:sSubPr>
          <m:e>
            <m:r>
              <w:rPr>
                <w:rFonts w:ascii="Cambria Math" w:hAnsi="Cambria Math"/>
              </w:rPr>
              <m:t>β</m:t>
            </m:r>
          </m:e>
          <m:sub>
            <m:r>
              <w:rPr>
                <w:rFonts w:ascii="Cambria Math" w:hAnsi="Cambria Math"/>
              </w:rPr>
              <m:t>0</m:t>
            </m:r>
          </m:sub>
        </m:sSub>
      </m:oMath>
      <w:r w:rsidR="002B557D">
        <w:t xml:space="preserve">. </w:t>
      </w:r>
      <w:r w:rsidR="00101F72">
        <w:t xml:space="preserve">As the rate of transformation from bound to unbound molecule, </w:t>
      </w:r>
      <m:oMath>
        <m:r>
          <w:rPr>
            <w:rFonts w:ascii="Cambria Math" w:hAnsi="Cambria Math"/>
          </w:rPr>
          <m:t>β,</m:t>
        </m:r>
      </m:oMath>
      <w:r w:rsidR="00101F72">
        <w:t xml:space="preserve"> increases, </w:t>
      </w:r>
      <w:r w:rsidR="00AA722C">
        <w:t>time to reach the equilibrium decreases.</w:t>
      </w:r>
      <w:r w:rsidR="00101F72">
        <w:t xml:space="preserve"> </w:t>
      </w:r>
      <w:r w:rsidR="00AA722C">
        <w:t xml:space="preserve">In other words, decreasing </w:t>
      </w:r>
      <m:oMath>
        <m:r>
          <w:rPr>
            <w:rFonts w:ascii="Cambria Math" w:hAnsi="Cambria Math"/>
          </w:rPr>
          <m:t>β</m:t>
        </m:r>
      </m:oMath>
      <w:r w:rsidR="00AA722C">
        <w:t xml:space="preserve"> results in more non-Fickian absorption behavior</w:t>
      </w:r>
      <w:r w:rsidR="00A04F2B">
        <w:t xml:space="preserve">. </w:t>
      </w:r>
    </w:p>
    <w:p w14:paraId="2519BA1B" w14:textId="5E7BA4AC" w:rsidR="005B3DBB" w:rsidRDefault="0086455C" w:rsidP="00554848">
      <w:pPr>
        <w:pStyle w:val="NoSpacing"/>
      </w:pPr>
      <w:r>
        <w:rPr>
          <w:noProof/>
          <w:lang w:bidi="ar-SA"/>
        </w:rPr>
        <w:lastRenderedPageBreak/>
        <w:drawing>
          <wp:inline distT="0" distB="0" distL="0" distR="0" wp14:anchorId="1784A271" wp14:editId="20581094">
            <wp:extent cx="5028088" cy="3657600"/>
            <wp:effectExtent l="0" t="0" r="1270" b="0"/>
            <wp:docPr id="44" name="Picture 44" descr="C:\Users\Administrator\Desktop\proje\PhD Dissertation\Hindrance effects\Figures New\Beta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proje\PhD Dissertation\Hindrance effects\Figures New\Beta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r w:rsidR="002B557D" w:rsidRPr="002B557D">
        <w:t xml:space="preserve"> </w:t>
      </w:r>
    </w:p>
    <w:p w14:paraId="47BA34AA" w14:textId="79B57A7D" w:rsidR="002B557D" w:rsidRDefault="005B3DBB" w:rsidP="0069708C">
      <w:pPr>
        <w:pStyle w:val="Caption"/>
      </w:pPr>
      <w:bookmarkStart w:id="41" w:name="_Ref521415872"/>
      <w:bookmarkStart w:id="42" w:name="_Toc530997359"/>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3</w:t>
      </w:r>
      <w:r w:rsidR="0023508C">
        <w:rPr>
          <w:noProof/>
        </w:rPr>
        <w:fldChar w:fldCharType="end"/>
      </w:r>
      <w:bookmarkEnd w:id="41"/>
      <w:r w:rsidR="002B557D">
        <w:rPr>
          <w:noProof/>
        </w:rPr>
        <w:t>.</w:t>
      </w:r>
      <w:r w:rsidR="002B557D" w:rsidRPr="0077282F">
        <w:t xml:space="preserve"> </w:t>
      </w:r>
      <w:r w:rsidR="002B557D">
        <w:t xml:space="preserve">The effect of </w:t>
      </w:r>
      <w:r w:rsidR="004B3584">
        <w:t xml:space="preserve">change </w:t>
      </w:r>
      <w:proofErr w:type="gramStart"/>
      <w:r w:rsidR="004B3584">
        <w:t xml:space="preserve">in </w:t>
      </w:r>
      <w:proofErr w:type="gramEnd"/>
      <m:oMath>
        <m:r>
          <m:rPr>
            <m:sty m:val="bi"/>
          </m:rPr>
          <w:rPr>
            <w:rFonts w:ascii="Cambria Math" w:hAnsi="Cambria Math"/>
          </w:rPr>
          <m:t>β</m:t>
        </m:r>
      </m:oMath>
      <w:r w:rsidR="004B3584">
        <w:t xml:space="preserve">, rate of bound molecule to become unbound, on moisture absorption </w:t>
      </w:r>
      <w:r w:rsidR="004B3584" w:rsidRPr="004B3584">
        <w:t>(</w:t>
      </w: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0</m:t>
            </m:r>
          </m:sub>
        </m:sSub>
        <m:r>
          <m:rPr>
            <m:sty m:val="bi"/>
          </m:rPr>
          <w:rPr>
            <w:rFonts w:ascii="Cambria Math" w:hAnsi="Cambria Math"/>
          </w:rPr>
          <m:t>=</m:t>
        </m:r>
        <m:r>
          <m:rPr>
            <m:sty m:val="b"/>
          </m:rPr>
          <w:rPr>
            <w:rFonts w:ascii="Cambria Math" w:hAnsi="Cambria Math"/>
          </w:rPr>
          <m:t>7.0×</m:t>
        </m:r>
        <m:sSup>
          <m:sSupPr>
            <m:ctrlPr>
              <w:rPr>
                <w:rFonts w:ascii="Cambria Math" w:hAnsi="Cambria Math"/>
              </w:rPr>
            </m:ctrlPr>
          </m:sSupPr>
          <m:e>
            <m:r>
              <m:rPr>
                <m:sty m:val="b"/>
              </m:rPr>
              <w:rPr>
                <w:rFonts w:ascii="Cambria Math" w:hAnsi="Cambria Math"/>
              </w:rPr>
              <m:t>10</m:t>
            </m:r>
          </m:e>
          <m:sup>
            <m:r>
              <m:rPr>
                <m:sty m:val="b"/>
              </m:rPr>
              <w:rPr>
                <w:rFonts w:ascii="Cambria Math" w:hAnsi="Cambria Math"/>
              </w:rPr>
              <m:t>-4</m:t>
            </m:r>
          </m:sup>
        </m:sSup>
      </m:oMath>
      <w:r w:rsidR="004B3584" w:rsidRPr="004B3584">
        <w:t>).</w:t>
      </w:r>
      <w:bookmarkEnd w:id="42"/>
    </w:p>
    <w:p w14:paraId="2D337122" w14:textId="77777777" w:rsidR="00B02610" w:rsidRPr="00B02610" w:rsidRDefault="00B02610" w:rsidP="00FF2519"/>
    <w:p w14:paraId="42010BBC" w14:textId="582B4344" w:rsidR="00A04F2B" w:rsidRPr="0005441A" w:rsidRDefault="00A04F2B" w:rsidP="00A04F2B">
      <w:r>
        <w:t xml:space="preserve">In addition, </w:t>
      </w:r>
      <w:r w:rsidR="00E95B4D">
        <w:fldChar w:fldCharType="begin"/>
      </w:r>
      <w:r w:rsidR="00E95B4D">
        <w:instrText xml:space="preserve"> REF _Ref521415917 \h </w:instrText>
      </w:r>
      <w:r w:rsidR="00E95B4D">
        <w:fldChar w:fldCharType="separate"/>
      </w:r>
      <w:r w:rsidR="006D52C2">
        <w:t xml:space="preserve">Figure </w:t>
      </w:r>
      <w:r w:rsidR="006D52C2">
        <w:rPr>
          <w:noProof/>
        </w:rPr>
        <w:t>4</w:t>
      </w:r>
      <w:r w:rsidR="00E95B4D">
        <w:fldChar w:fldCharType="end"/>
      </w:r>
      <w:r>
        <w:t xml:space="preserve"> shows the change in bound and unbound moisture absorption by the rate of bound molecule to become unbound. Increasing </w:t>
      </w:r>
      <m:oMath>
        <m:r>
          <w:rPr>
            <w:rFonts w:ascii="Cambria Math" w:hAnsi="Cambria Math"/>
          </w:rPr>
          <m:t>β</m:t>
        </m:r>
      </m:oMath>
      <w:r>
        <w:t xml:space="preserve"> means that more bound molecule will be transformed to </w:t>
      </w:r>
      <w:proofErr w:type="gramStart"/>
      <w:r>
        <w:t>unbound</w:t>
      </w:r>
      <w:proofErr w:type="gramEnd"/>
      <w:r w:rsidR="001358CC">
        <w:t xml:space="preserve"> per unit time</w:t>
      </w:r>
      <w:r>
        <w:t xml:space="preserve">. Thus, unbound moisture content increases </w:t>
      </w:r>
      <w:proofErr w:type="gramStart"/>
      <w:r>
        <w:t xml:space="preserve">with </w:t>
      </w:r>
      <w:proofErr w:type="gramEnd"/>
      <m:oMath>
        <m:r>
          <w:rPr>
            <w:rFonts w:ascii="Cambria Math" w:hAnsi="Cambria Math"/>
          </w:rPr>
          <m:t>β</m:t>
        </m:r>
      </m:oMath>
      <w:r>
        <w:t>. As more bound molecule is transformed to unbound, the equilibrium bound molecule content decreases with increasing</w:t>
      </w:r>
      <m:oMath>
        <m:r>
          <w:rPr>
            <w:rFonts w:ascii="Cambria Math" w:hAnsi="Cambria Math"/>
          </w:rPr>
          <m:t xml:space="preserve"> β</m:t>
        </m:r>
      </m:oMath>
      <w:r>
        <w:t>.</w:t>
      </w:r>
    </w:p>
    <w:p w14:paraId="0877F0E1" w14:textId="11912C2D" w:rsidR="005B3DBB" w:rsidRDefault="0086455C" w:rsidP="00554848">
      <w:pPr>
        <w:pStyle w:val="NoSpacing"/>
      </w:pPr>
      <w:r>
        <w:rPr>
          <w:noProof/>
          <w:lang w:bidi="ar-SA"/>
        </w:rPr>
        <w:lastRenderedPageBreak/>
        <w:drawing>
          <wp:inline distT="0" distB="0" distL="0" distR="0" wp14:anchorId="11789756" wp14:editId="6EDFD8FB">
            <wp:extent cx="5028088" cy="3657600"/>
            <wp:effectExtent l="0" t="0" r="1270" b="0"/>
            <wp:docPr id="45" name="Picture 45" descr="C:\Users\Administrator\Desktop\proje\PhD Dissertation\Hindrance effects\Figures New\Bet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proje\PhD Dissertation\Hindrance effects\Figures New\Beta2.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r w:rsidR="002B557D" w:rsidRPr="002B557D">
        <w:t xml:space="preserve"> </w:t>
      </w:r>
    </w:p>
    <w:p w14:paraId="3DB8A26B" w14:textId="4EA21C68" w:rsidR="000C2D31" w:rsidRDefault="005B3DBB" w:rsidP="0069708C">
      <w:pPr>
        <w:pStyle w:val="Caption"/>
      </w:pPr>
      <w:bookmarkStart w:id="43" w:name="_Ref521415917"/>
      <w:bookmarkStart w:id="44" w:name="_Toc530997360"/>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4</w:t>
      </w:r>
      <w:r w:rsidR="0023508C">
        <w:rPr>
          <w:noProof/>
        </w:rPr>
        <w:fldChar w:fldCharType="end"/>
      </w:r>
      <w:bookmarkEnd w:id="43"/>
      <w:r w:rsidR="002B557D">
        <w:rPr>
          <w:noProof/>
        </w:rPr>
        <w:t>.</w:t>
      </w:r>
      <w:r w:rsidR="002B557D" w:rsidRPr="0077282F">
        <w:t xml:space="preserve"> </w:t>
      </w:r>
      <w:r w:rsidR="002B557D">
        <w:t>The effect of</w:t>
      </w:r>
      <w:r w:rsidR="004B3584">
        <w:t xml:space="preserve"> change </w:t>
      </w:r>
      <w:proofErr w:type="gramStart"/>
      <w:r w:rsidR="004B3584">
        <w:t xml:space="preserve">in </w:t>
      </w:r>
      <w:proofErr w:type="gramEnd"/>
      <m:oMath>
        <m:r>
          <m:rPr>
            <m:sty m:val="bi"/>
          </m:rPr>
          <w:rPr>
            <w:rFonts w:ascii="Cambria Math" w:hAnsi="Cambria Math"/>
          </w:rPr>
          <m:t>β</m:t>
        </m:r>
      </m:oMath>
      <w:r w:rsidR="004B3584">
        <w:t xml:space="preserve">, </w:t>
      </w:r>
      <w:r w:rsidR="002B557D">
        <w:t>rate of bound molecule to become unbound</w:t>
      </w:r>
      <w:r w:rsidR="004B3584">
        <w:t>,</w:t>
      </w:r>
      <w:r w:rsidR="002B557D">
        <w:t xml:space="preserve"> on bound and unbound moisture absorption</w:t>
      </w:r>
      <w:r w:rsidR="004B3584">
        <w:t xml:space="preserve"> </w:t>
      </w:r>
      <w:r w:rsidR="004B3584" w:rsidRPr="004B3584">
        <w:t>(</w:t>
      </w: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0</m:t>
            </m:r>
          </m:sub>
        </m:sSub>
        <m:r>
          <m:rPr>
            <m:sty m:val="bi"/>
          </m:rPr>
          <w:rPr>
            <w:rFonts w:ascii="Cambria Math" w:hAnsi="Cambria Math"/>
          </w:rPr>
          <m:t>=</m:t>
        </m:r>
        <m:r>
          <m:rPr>
            <m:sty m:val="b"/>
          </m:rPr>
          <w:rPr>
            <w:rFonts w:ascii="Cambria Math" w:hAnsi="Cambria Math"/>
          </w:rPr>
          <m:t>7.0×</m:t>
        </m:r>
        <m:sSup>
          <m:sSupPr>
            <m:ctrlPr>
              <w:rPr>
                <w:rFonts w:ascii="Cambria Math" w:hAnsi="Cambria Math"/>
              </w:rPr>
            </m:ctrlPr>
          </m:sSupPr>
          <m:e>
            <m:r>
              <m:rPr>
                <m:sty m:val="b"/>
              </m:rPr>
              <w:rPr>
                <w:rFonts w:ascii="Cambria Math" w:hAnsi="Cambria Math"/>
              </w:rPr>
              <m:t>10</m:t>
            </m:r>
          </m:e>
          <m:sup>
            <m:r>
              <m:rPr>
                <m:sty m:val="b"/>
              </m:rPr>
              <w:rPr>
                <w:rFonts w:ascii="Cambria Math" w:hAnsi="Cambria Math"/>
              </w:rPr>
              <m:t>-4</m:t>
            </m:r>
          </m:sup>
        </m:sSup>
      </m:oMath>
      <w:r w:rsidR="004B3584" w:rsidRPr="004B3584">
        <w:t>)</w:t>
      </w:r>
      <w:r w:rsidR="002B557D" w:rsidRPr="004B3584">
        <w:t>.</w:t>
      </w:r>
      <w:bookmarkEnd w:id="44"/>
    </w:p>
    <w:p w14:paraId="5D3C9BAD" w14:textId="77777777" w:rsidR="00B02610" w:rsidRPr="00B02610" w:rsidRDefault="00B02610" w:rsidP="00FF2519"/>
    <w:p w14:paraId="3006E1F8" w14:textId="08330462" w:rsidR="00A04F2B" w:rsidRPr="0005441A" w:rsidRDefault="00E95B4D" w:rsidP="00A04F2B">
      <w:r>
        <w:fldChar w:fldCharType="begin"/>
      </w:r>
      <w:r>
        <w:instrText xml:space="preserve"> REF _Ref521415930 \h </w:instrText>
      </w:r>
      <w:r>
        <w:fldChar w:fldCharType="separate"/>
      </w:r>
      <w:r w:rsidR="006D52C2">
        <w:t xml:space="preserve">Figure </w:t>
      </w:r>
      <w:r w:rsidR="006D52C2">
        <w:rPr>
          <w:noProof/>
        </w:rPr>
        <w:t>5</w:t>
      </w:r>
      <w:r>
        <w:fldChar w:fldCharType="end"/>
      </w:r>
      <w:r>
        <w:t xml:space="preserve"> </w:t>
      </w:r>
      <w:r w:rsidR="00DF492D">
        <w:t>shows the effect of rate of unbound molecule to become bound</w:t>
      </w:r>
      <w:proofErr w:type="gramStart"/>
      <w:r w:rsidR="001358CC">
        <w:t xml:space="preserve">, </w:t>
      </w:r>
      <w:proofErr w:type="gramEnd"/>
      <m:oMath>
        <m:r>
          <w:rPr>
            <w:rFonts w:ascii="Cambria Math" w:hAnsi="Cambria Math"/>
          </w:rPr>
          <m:t>γ</m:t>
        </m:r>
      </m:oMath>
      <w:r w:rsidR="001358CC">
        <w:t>,</w:t>
      </w:r>
      <w:r w:rsidR="00DF492D">
        <w:t xml:space="preserve"> on overall moisture absorption. </w:t>
      </w:r>
      <w:r w:rsidR="00A04F2B">
        <w:t xml:space="preserve">Change </w:t>
      </w:r>
      <w:r w:rsidR="00EC6109">
        <w:t xml:space="preserve">in </w:t>
      </w:r>
      <m:oMath>
        <m:r>
          <w:rPr>
            <w:rFonts w:ascii="Cambria Math" w:hAnsi="Cambria Math"/>
          </w:rPr>
          <m:t>γ</m:t>
        </m:r>
      </m:oMath>
      <w:r w:rsidR="00A04F2B">
        <w:t xml:space="preserve"> has similar effect on overall moisture like </w:t>
      </w:r>
      <m:oMath>
        <m:r>
          <w:rPr>
            <w:rFonts w:ascii="Cambria Math" w:hAnsi="Cambria Math"/>
          </w:rPr>
          <m:t>β</m:t>
        </m:r>
      </m:oMath>
      <w:r w:rsidR="001358CC">
        <w:t xml:space="preserve"> such as </w:t>
      </w:r>
      <w:r w:rsidR="00A04F2B">
        <w:t xml:space="preserve">retardation in reaching the equilibrium. However, </w:t>
      </w:r>
      <w:r w:rsidR="00DF492D">
        <w:t xml:space="preserve">effect of </w:t>
      </w:r>
      <m:oMath>
        <m:r>
          <w:rPr>
            <w:rFonts w:ascii="Cambria Math" w:hAnsi="Cambria Math"/>
          </w:rPr>
          <m:t>β</m:t>
        </m:r>
      </m:oMath>
      <w:r w:rsidR="00DF492D">
        <w:t xml:space="preserve"> on time to reach equilibrium is significantly higher than the</w:t>
      </w:r>
      <w:r w:rsidR="00394D74">
        <w:t xml:space="preserve"> effect </w:t>
      </w:r>
      <w:proofErr w:type="gramStart"/>
      <w:r w:rsidR="00394D74">
        <w:t>of</w:t>
      </w:r>
      <w:r w:rsidR="00DF492D">
        <w:t xml:space="preserve"> </w:t>
      </w:r>
      <w:proofErr w:type="gramEnd"/>
      <m:oMath>
        <m:r>
          <w:rPr>
            <w:rFonts w:ascii="Cambria Math" w:hAnsi="Cambria Math"/>
          </w:rPr>
          <m:t>γ</m:t>
        </m:r>
      </m:oMath>
      <w:r w:rsidR="00DF492D">
        <w:t xml:space="preserve">. Smaller </w:t>
      </w:r>
      <m:oMath>
        <m:r>
          <w:rPr>
            <w:rFonts w:ascii="Cambria Math" w:hAnsi="Cambria Math"/>
          </w:rPr>
          <m:t>γ</m:t>
        </m:r>
      </m:oMath>
      <w:r w:rsidR="00DF492D">
        <w:t xml:space="preserve"> and </w:t>
      </w:r>
      <m:oMath>
        <m:r>
          <w:rPr>
            <w:rFonts w:ascii="Cambria Math" w:hAnsi="Cambria Math"/>
          </w:rPr>
          <m:t>β</m:t>
        </m:r>
      </m:oMath>
      <w:r w:rsidR="00DF492D">
        <w:t xml:space="preserve"> mean that the rate of chemical interaction is </w:t>
      </w:r>
      <w:r w:rsidR="001358CC">
        <w:t>slow</w:t>
      </w:r>
      <w:r w:rsidR="00DF492D">
        <w:t xml:space="preserve"> which leads to longer time to reach the equilibrium. However, decreasing </w:t>
      </w:r>
      <m:oMath>
        <m:f>
          <m:fPr>
            <m:type m:val="skw"/>
            <m:ctrlPr>
              <w:rPr>
                <w:rFonts w:ascii="Cambria Math" w:hAnsi="Cambria Math"/>
                <w:i/>
              </w:rPr>
            </m:ctrlPr>
          </m:fPr>
          <m:num>
            <m:r>
              <w:rPr>
                <w:rFonts w:ascii="Cambria Math" w:hAnsi="Cambria Math"/>
              </w:rPr>
              <m:t>γ</m:t>
            </m:r>
          </m:num>
          <m:den>
            <m:r>
              <w:rPr>
                <w:rFonts w:ascii="Cambria Math" w:hAnsi="Cambria Math"/>
              </w:rPr>
              <m:t>β</m:t>
            </m:r>
          </m:den>
        </m:f>
      </m:oMath>
      <w:r w:rsidR="00DF492D">
        <w:t xml:space="preserve"> ratio results in more Fickian behavior. Thus, overall effect of </w:t>
      </w:r>
      <m:oMath>
        <m:r>
          <w:rPr>
            <w:rFonts w:ascii="Cambria Math" w:hAnsi="Cambria Math"/>
          </w:rPr>
          <m:t>γ</m:t>
        </m:r>
      </m:oMath>
      <w:r w:rsidR="00DF492D">
        <w:t xml:space="preserve"> on hindrance is lower than the</w:t>
      </w:r>
      <w:r w:rsidR="00394D74" w:rsidRPr="00394D74">
        <w:t xml:space="preserve"> </w:t>
      </w:r>
      <w:r w:rsidR="00394D74">
        <w:t xml:space="preserve">effect </w:t>
      </w:r>
      <w:proofErr w:type="gramStart"/>
      <w:r w:rsidR="00394D74">
        <w:t>of</w:t>
      </w:r>
      <w:r w:rsidR="00DF492D">
        <w:t xml:space="preserve"> </w:t>
      </w:r>
      <w:proofErr w:type="gramEnd"/>
      <m:oMath>
        <m:r>
          <w:rPr>
            <w:rFonts w:ascii="Cambria Math" w:hAnsi="Cambria Math"/>
          </w:rPr>
          <m:t>β</m:t>
        </m:r>
      </m:oMath>
      <w:r w:rsidR="00DF492D">
        <w:t>.</w:t>
      </w:r>
    </w:p>
    <w:p w14:paraId="29AA1B71" w14:textId="5125BE6B" w:rsidR="00A04F2B" w:rsidRDefault="00A04F2B" w:rsidP="000C2D31"/>
    <w:p w14:paraId="3D2BFE8B" w14:textId="77777777" w:rsidR="00A04F2B" w:rsidRDefault="00A04F2B" w:rsidP="000C2D31"/>
    <w:p w14:paraId="4BA20088" w14:textId="1A6A7454" w:rsidR="005B3DBB" w:rsidRDefault="0086455C" w:rsidP="00554848">
      <w:pPr>
        <w:pStyle w:val="NoSpacing"/>
      </w:pPr>
      <w:r>
        <w:rPr>
          <w:noProof/>
          <w:lang w:bidi="ar-SA"/>
        </w:rPr>
        <w:lastRenderedPageBreak/>
        <w:drawing>
          <wp:inline distT="0" distB="0" distL="0" distR="0" wp14:anchorId="7832CEEB" wp14:editId="044DAAA4">
            <wp:extent cx="5028088" cy="3657600"/>
            <wp:effectExtent l="0" t="0" r="1270" b="0"/>
            <wp:docPr id="47" name="Picture 47" descr="C:\Users\Administrator\Desktop\proje\PhD Dissertation\Hindrance effects\Figures New\Gamma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proje\PhD Dissertation\Hindrance effects\Figures New\Gamma1.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r w:rsidR="002B557D" w:rsidRPr="002B557D">
        <w:t xml:space="preserve"> </w:t>
      </w:r>
    </w:p>
    <w:p w14:paraId="4D3A2716" w14:textId="23A9BDD2" w:rsidR="00FB4BE3" w:rsidRDefault="005B3DBB" w:rsidP="0069708C">
      <w:pPr>
        <w:pStyle w:val="Caption"/>
      </w:pPr>
      <w:bookmarkStart w:id="45" w:name="_Ref521415930"/>
      <w:bookmarkStart w:id="46" w:name="_Toc530997361"/>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5</w:t>
      </w:r>
      <w:r w:rsidR="0023508C">
        <w:rPr>
          <w:noProof/>
        </w:rPr>
        <w:fldChar w:fldCharType="end"/>
      </w:r>
      <w:bookmarkEnd w:id="45"/>
      <w:r w:rsidR="002B557D">
        <w:rPr>
          <w:noProof/>
        </w:rPr>
        <w:t>.</w:t>
      </w:r>
      <w:r w:rsidR="002B557D" w:rsidRPr="0077282F">
        <w:t xml:space="preserve"> </w:t>
      </w:r>
      <w:r w:rsidR="002B557D">
        <w:t>The effect of</w:t>
      </w:r>
      <w:r w:rsidR="004B3584">
        <w:t xml:space="preserve"> change </w:t>
      </w:r>
      <w:proofErr w:type="gramStart"/>
      <w:r w:rsidR="004B3584">
        <w:t>in</w:t>
      </w:r>
      <w:r w:rsidR="002B557D">
        <w:t xml:space="preserve"> </w:t>
      </w:r>
      <w:proofErr w:type="gramEnd"/>
      <m:oMath>
        <m:r>
          <m:rPr>
            <m:sty m:val="bi"/>
          </m:rPr>
          <w:rPr>
            <w:rFonts w:ascii="Cambria Math" w:hAnsi="Cambria Math"/>
          </w:rPr>
          <m:t>γ</m:t>
        </m:r>
      </m:oMath>
      <w:r w:rsidR="004B3584">
        <w:t xml:space="preserve">, </w:t>
      </w:r>
      <w:r w:rsidR="002B557D">
        <w:t>rate of unbound molecule to become bound</w:t>
      </w:r>
      <w:r w:rsidR="004B3584">
        <w:t>,</w:t>
      </w:r>
      <w:r w:rsidR="002B557D">
        <w:t xml:space="preserve"> on moisture absorption</w:t>
      </w:r>
      <w:r w:rsidR="004B3584">
        <w:t xml:space="preserve"> </w:t>
      </w:r>
      <w:r w:rsidR="004B3584" w:rsidRPr="004B3584">
        <w:t>(</w:t>
      </w:r>
      <m:oMath>
        <m:sSub>
          <m:sSubPr>
            <m:ctrlPr>
              <w:rPr>
                <w:rFonts w:ascii="Cambria Math" w:hAnsi="Cambria Math"/>
                <w:i/>
              </w:rPr>
            </m:ctrlPr>
          </m:sSubPr>
          <m:e>
            <m:r>
              <m:rPr>
                <m:sty m:val="bi"/>
              </m:rPr>
              <w:rPr>
                <w:rFonts w:ascii="Cambria Math" w:hAnsi="Cambria Math"/>
              </w:rPr>
              <m:t>γ</m:t>
            </m:r>
          </m:e>
          <m:sub>
            <m:r>
              <m:rPr>
                <m:sty m:val="bi"/>
              </m:rPr>
              <w:rPr>
                <w:rFonts w:ascii="Cambria Math" w:hAnsi="Cambria Math"/>
              </w:rPr>
              <m:t>0</m:t>
            </m:r>
          </m:sub>
        </m:sSub>
        <m:r>
          <m:rPr>
            <m:sty m:val="bi"/>
          </m:rPr>
          <w:rPr>
            <w:rFonts w:ascii="Cambria Math" w:hAnsi="Cambria Math"/>
          </w:rPr>
          <m:t>=1</m:t>
        </m:r>
        <m:r>
          <m:rPr>
            <m:sty m:val="b"/>
          </m:rPr>
          <w:rPr>
            <w:rFonts w:ascii="Cambria Math" w:hAnsi="Cambria Math"/>
          </w:rPr>
          <m:t>.0×</m:t>
        </m:r>
        <m:sSup>
          <m:sSupPr>
            <m:ctrlPr>
              <w:rPr>
                <w:rFonts w:ascii="Cambria Math" w:hAnsi="Cambria Math"/>
              </w:rPr>
            </m:ctrlPr>
          </m:sSupPr>
          <m:e>
            <m:r>
              <m:rPr>
                <m:sty m:val="b"/>
              </m:rPr>
              <w:rPr>
                <w:rFonts w:ascii="Cambria Math" w:hAnsi="Cambria Math"/>
              </w:rPr>
              <m:t>10</m:t>
            </m:r>
          </m:e>
          <m:sup>
            <m:r>
              <m:rPr>
                <m:sty m:val="b"/>
              </m:rPr>
              <w:rPr>
                <w:rFonts w:ascii="Cambria Math" w:hAnsi="Cambria Math"/>
              </w:rPr>
              <m:t>-4</m:t>
            </m:r>
          </m:sup>
        </m:sSup>
      </m:oMath>
      <w:r w:rsidR="004B3584" w:rsidRPr="004B3584">
        <w:t>).</w:t>
      </w:r>
      <w:bookmarkEnd w:id="46"/>
    </w:p>
    <w:p w14:paraId="6EA80B7E" w14:textId="77777777" w:rsidR="002B557D" w:rsidRPr="002B557D" w:rsidRDefault="002B557D" w:rsidP="00FF2519"/>
    <w:p w14:paraId="605BBF2D" w14:textId="0DE9E414" w:rsidR="00DF492D" w:rsidRDefault="00E95B4D" w:rsidP="000C2D31">
      <w:r>
        <w:fldChar w:fldCharType="begin"/>
      </w:r>
      <w:r>
        <w:instrText xml:space="preserve"> REF _Ref521415942 \h </w:instrText>
      </w:r>
      <w:r>
        <w:fldChar w:fldCharType="separate"/>
      </w:r>
      <w:r w:rsidR="006D52C2">
        <w:t xml:space="preserve">Figure </w:t>
      </w:r>
      <w:r w:rsidR="006D52C2">
        <w:rPr>
          <w:noProof/>
        </w:rPr>
        <w:t>6</w:t>
      </w:r>
      <w:r>
        <w:fldChar w:fldCharType="end"/>
      </w:r>
      <w:r>
        <w:t xml:space="preserve"> </w:t>
      </w:r>
      <w:r w:rsidR="00DF492D">
        <w:t xml:space="preserve">portrays the change in unbound and bound moisture mass gain </w:t>
      </w:r>
      <w:r w:rsidR="00394D74">
        <w:t xml:space="preserve">for </w:t>
      </w:r>
      <w:r w:rsidR="00B964E3">
        <w:t>various</w:t>
      </w:r>
      <w:r w:rsidR="00394D74">
        <w:t xml:space="preserve"> values of</w:t>
      </w:r>
      <m:oMath>
        <m:r>
          <w:rPr>
            <w:rFonts w:ascii="Cambria Math" w:hAnsi="Cambria Math"/>
          </w:rPr>
          <m:t xml:space="preserve"> γ</m:t>
        </m:r>
      </m:oMath>
      <w:r w:rsidR="00DF492D">
        <w:t xml:space="preserve">. The comparison of unbound moisture content of mediums with distinct rate of unbound molecule to become bound yields inverse relation between the unbound moisture content and </w:t>
      </w:r>
      <w:proofErr w:type="gramStart"/>
      <w:r w:rsidR="00DF492D">
        <w:t xml:space="preserve">the </w:t>
      </w:r>
      <w:proofErr w:type="gramEnd"/>
      <m:oMath>
        <m:r>
          <w:rPr>
            <w:rFonts w:ascii="Cambria Math" w:hAnsi="Cambria Math"/>
          </w:rPr>
          <m:t>γ</m:t>
        </m:r>
      </m:oMath>
      <w:r w:rsidR="00DF492D">
        <w:t xml:space="preserve">. As the rate of </w:t>
      </w:r>
      <w:r w:rsidR="00AC6003">
        <w:t xml:space="preserve">unbound molecule to become </w:t>
      </w:r>
      <w:r w:rsidR="00DF492D">
        <w:t>bound increases more unbound molecule will b</w:t>
      </w:r>
      <w:r w:rsidR="001358CC">
        <w:t>e transformed to bound molecule leading to</w:t>
      </w:r>
      <w:r w:rsidR="00AC6003">
        <w:t xml:space="preserve"> escalation in</w:t>
      </w:r>
      <w:r w:rsidR="001358CC">
        <w:t xml:space="preserve"> overall bound moisture.</w:t>
      </w:r>
      <w:r w:rsidR="00DF492D">
        <w:t xml:space="preserve"> </w:t>
      </w:r>
    </w:p>
    <w:p w14:paraId="45C0BBF7" w14:textId="5260D1CD" w:rsidR="005B3DBB" w:rsidRDefault="0086455C" w:rsidP="00554848">
      <w:pPr>
        <w:pStyle w:val="NoSpacing"/>
      </w:pPr>
      <w:r>
        <w:rPr>
          <w:noProof/>
          <w:lang w:bidi="ar-SA"/>
        </w:rPr>
        <w:lastRenderedPageBreak/>
        <w:drawing>
          <wp:inline distT="0" distB="0" distL="0" distR="0" wp14:anchorId="2CD8ECB2" wp14:editId="4A6C7867">
            <wp:extent cx="5028088" cy="3657600"/>
            <wp:effectExtent l="0" t="0" r="1270" b="0"/>
            <wp:docPr id="50" name="Picture 50" descr="C:\Users\Administrator\Desktop\proje\PhD Dissertation\Hindrance effects\Figures New\Gamm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Hindrance effects\Figures New\Gamma2.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r w:rsidR="002B557D" w:rsidRPr="002B557D">
        <w:t xml:space="preserve"> </w:t>
      </w:r>
    </w:p>
    <w:p w14:paraId="1A11E9BE" w14:textId="67825082" w:rsidR="002B557D" w:rsidRDefault="005B3DBB" w:rsidP="0069708C">
      <w:pPr>
        <w:pStyle w:val="Caption"/>
      </w:pPr>
      <w:bookmarkStart w:id="47" w:name="_Ref521415942"/>
      <w:bookmarkStart w:id="48" w:name="_Toc530997362"/>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6</w:t>
      </w:r>
      <w:r w:rsidR="0023508C">
        <w:rPr>
          <w:noProof/>
        </w:rPr>
        <w:fldChar w:fldCharType="end"/>
      </w:r>
      <w:bookmarkEnd w:id="47"/>
      <w:r w:rsidR="002B557D">
        <w:rPr>
          <w:noProof/>
        </w:rPr>
        <w:t>.</w:t>
      </w:r>
      <w:r w:rsidR="002B557D" w:rsidRPr="0077282F">
        <w:t xml:space="preserve"> </w:t>
      </w:r>
      <w:r w:rsidR="002B557D">
        <w:t>The effect of</w:t>
      </w:r>
      <w:r w:rsidR="004B3584">
        <w:t xml:space="preserve"> change </w:t>
      </w:r>
      <w:proofErr w:type="gramStart"/>
      <w:r w:rsidR="004B3584">
        <w:t>in</w:t>
      </w:r>
      <w:r w:rsidR="002B557D">
        <w:t xml:space="preserve"> </w:t>
      </w:r>
      <w:proofErr w:type="gramEnd"/>
      <m:oMath>
        <m:r>
          <m:rPr>
            <m:sty m:val="bi"/>
          </m:rPr>
          <w:rPr>
            <w:rFonts w:ascii="Cambria Math" w:hAnsi="Cambria Math"/>
          </w:rPr>
          <m:t>γ</m:t>
        </m:r>
      </m:oMath>
      <w:r w:rsidR="004B3584">
        <w:t xml:space="preserve">, </w:t>
      </w:r>
      <w:r w:rsidR="002B557D">
        <w:t>rate of unbound molecule to become bound</w:t>
      </w:r>
      <w:r w:rsidR="004B3584">
        <w:t xml:space="preserve">, </w:t>
      </w:r>
      <w:r w:rsidR="002B557D">
        <w:t>on bound and unbound moisture absorption</w:t>
      </w:r>
      <w:r w:rsidR="004B3584">
        <w:t xml:space="preserve"> </w:t>
      </w:r>
      <w:r w:rsidR="004B3584" w:rsidRPr="004B3584">
        <w:t>(</w:t>
      </w:r>
      <m:oMath>
        <m:sSub>
          <m:sSubPr>
            <m:ctrlPr>
              <w:rPr>
                <w:rFonts w:ascii="Cambria Math" w:hAnsi="Cambria Math"/>
                <w:i/>
              </w:rPr>
            </m:ctrlPr>
          </m:sSubPr>
          <m:e>
            <m:r>
              <m:rPr>
                <m:sty m:val="bi"/>
              </m:rPr>
              <w:rPr>
                <w:rFonts w:ascii="Cambria Math" w:hAnsi="Cambria Math"/>
              </w:rPr>
              <m:t>γ</m:t>
            </m:r>
          </m:e>
          <m:sub>
            <m:r>
              <m:rPr>
                <m:sty m:val="bi"/>
              </m:rPr>
              <w:rPr>
                <w:rFonts w:ascii="Cambria Math" w:hAnsi="Cambria Math"/>
              </w:rPr>
              <m:t>0</m:t>
            </m:r>
          </m:sub>
        </m:sSub>
        <m:r>
          <m:rPr>
            <m:sty m:val="bi"/>
          </m:rPr>
          <w:rPr>
            <w:rFonts w:ascii="Cambria Math" w:hAnsi="Cambria Math"/>
          </w:rPr>
          <m:t>=1</m:t>
        </m:r>
        <m:r>
          <m:rPr>
            <m:sty m:val="b"/>
          </m:rPr>
          <w:rPr>
            <w:rFonts w:ascii="Cambria Math" w:hAnsi="Cambria Math"/>
          </w:rPr>
          <m:t>.0×</m:t>
        </m:r>
        <m:sSup>
          <m:sSupPr>
            <m:ctrlPr>
              <w:rPr>
                <w:rFonts w:ascii="Cambria Math" w:hAnsi="Cambria Math"/>
              </w:rPr>
            </m:ctrlPr>
          </m:sSupPr>
          <m:e>
            <m:r>
              <m:rPr>
                <m:sty m:val="b"/>
              </m:rPr>
              <w:rPr>
                <w:rFonts w:ascii="Cambria Math" w:hAnsi="Cambria Math"/>
              </w:rPr>
              <m:t>10</m:t>
            </m:r>
          </m:e>
          <m:sup>
            <m:r>
              <m:rPr>
                <m:sty m:val="b"/>
              </m:rPr>
              <w:rPr>
                <w:rFonts w:ascii="Cambria Math" w:hAnsi="Cambria Math"/>
              </w:rPr>
              <m:t>-4</m:t>
            </m:r>
          </m:sup>
        </m:sSup>
      </m:oMath>
      <w:r w:rsidR="004B3584" w:rsidRPr="004B3584">
        <w:t>).</w:t>
      </w:r>
      <w:bookmarkEnd w:id="48"/>
    </w:p>
    <w:p w14:paraId="3696BE1F" w14:textId="5570C6F4" w:rsidR="00FB4BE3" w:rsidRDefault="00FB4BE3" w:rsidP="00FF2519"/>
    <w:p w14:paraId="7B6DCBA7" w14:textId="74D9E7CD" w:rsidR="00DF492D" w:rsidRDefault="00DF492D" w:rsidP="000C2D31">
      <w:r>
        <w:t xml:space="preserve">Last, the effect of </w:t>
      </w:r>
      <m:oMath>
        <m:r>
          <w:rPr>
            <w:rFonts w:ascii="Cambria Math" w:hAnsi="Cambria Math"/>
          </w:rPr>
          <m:t>γ</m:t>
        </m:r>
      </m:oMath>
      <w:r>
        <w:t xml:space="preserve"> and </w:t>
      </w:r>
      <m:oMath>
        <m:r>
          <w:rPr>
            <w:rFonts w:ascii="Cambria Math" w:hAnsi="Cambria Math"/>
          </w:rPr>
          <m:t>β</m:t>
        </m:r>
      </m:oMath>
      <w:r>
        <w:t xml:space="preserve"> on moisture absorption of a medium having the same hindrance coefficient</w:t>
      </w:r>
      <w:proofErr w:type="gramStart"/>
      <w:r>
        <w:t>,</w:t>
      </w:r>
      <w:r w:rsidR="00AC6003">
        <w:t xml:space="preserve"> </w:t>
      </w:r>
      <w:proofErr w:type="gramEnd"/>
      <m:oMath>
        <m:f>
          <m:fPr>
            <m:type m:val="skw"/>
            <m:ctrlPr>
              <w:rPr>
                <w:rFonts w:ascii="Cambria Math" w:hAnsi="Cambria Math"/>
                <w:i/>
              </w:rPr>
            </m:ctrlPr>
          </m:fPr>
          <m:num>
            <m:r>
              <w:rPr>
                <w:rFonts w:ascii="Cambria Math" w:hAnsi="Cambria Math"/>
              </w:rPr>
              <m:t>γ</m:t>
            </m:r>
          </m:num>
          <m:den>
            <m:r>
              <w:rPr>
                <w:rFonts w:ascii="Cambria Math" w:hAnsi="Cambria Math"/>
              </w:rPr>
              <m:t>β</m:t>
            </m:r>
          </m:den>
        </m:f>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7</m:t>
            </m:r>
          </m:den>
        </m:f>
      </m:oMath>
      <w:r>
        <w:t xml:space="preserve">, is investigated and illustrated in </w:t>
      </w:r>
      <w:r w:rsidR="00E95B4D">
        <w:fldChar w:fldCharType="begin"/>
      </w:r>
      <w:r w:rsidR="00E95B4D">
        <w:instrText xml:space="preserve"> REF _Ref521415955 \h </w:instrText>
      </w:r>
      <w:r w:rsidR="00E95B4D">
        <w:fldChar w:fldCharType="separate"/>
      </w:r>
      <w:r w:rsidR="006D52C2">
        <w:t xml:space="preserve">Figure </w:t>
      </w:r>
      <w:r w:rsidR="006D52C2">
        <w:rPr>
          <w:noProof/>
        </w:rPr>
        <w:t>7</w:t>
      </w:r>
      <w:r w:rsidR="00E95B4D">
        <w:fldChar w:fldCharType="end"/>
      </w:r>
      <w:r>
        <w:t xml:space="preserve">. </w:t>
      </w:r>
      <w:r w:rsidR="00D05E6D">
        <w:t>Even though a</w:t>
      </w:r>
      <w:r>
        <w:t>ll th</w:t>
      </w:r>
      <w:r w:rsidR="00AC6003">
        <w:t xml:space="preserve">e absorption curves on </w:t>
      </w:r>
      <w:r w:rsidR="00E95B4D">
        <w:fldChar w:fldCharType="begin"/>
      </w:r>
      <w:r w:rsidR="00E95B4D">
        <w:instrText xml:space="preserve"> REF _Ref521415955 \h </w:instrText>
      </w:r>
      <w:r w:rsidR="00E95B4D">
        <w:fldChar w:fldCharType="separate"/>
      </w:r>
      <w:r w:rsidR="006D52C2">
        <w:t xml:space="preserve">Figure </w:t>
      </w:r>
      <w:r w:rsidR="006D52C2">
        <w:rPr>
          <w:noProof/>
        </w:rPr>
        <w:t>7</w:t>
      </w:r>
      <w:r w:rsidR="00E95B4D">
        <w:fldChar w:fldCharType="end"/>
      </w:r>
      <w:r>
        <w:t xml:space="preserve"> have </w:t>
      </w:r>
      <w:r w:rsidR="00D05E6D">
        <w:t xml:space="preserve">the same hindrance coefficient, they have distinctive absorption behavior. Smaller </w:t>
      </w:r>
      <m:oMath>
        <m:r>
          <w:rPr>
            <w:rFonts w:ascii="Cambria Math" w:hAnsi="Cambria Math"/>
          </w:rPr>
          <m:t>γ</m:t>
        </m:r>
      </m:oMath>
      <w:r w:rsidR="00D05E6D">
        <w:t xml:space="preserve"> and </w:t>
      </w:r>
      <m:oMath>
        <m:r>
          <w:rPr>
            <w:rFonts w:ascii="Cambria Math" w:hAnsi="Cambria Math"/>
          </w:rPr>
          <m:t>β</m:t>
        </m:r>
      </m:oMath>
      <w:r w:rsidR="005C3096">
        <w:t xml:space="preserve"> retard</w:t>
      </w:r>
      <w:r w:rsidR="00D05E6D">
        <w:t xml:space="preserve"> reaching to equilibrium while the bound, unbound</w:t>
      </w:r>
      <w:r w:rsidR="00980A92">
        <w:t>,</w:t>
      </w:r>
      <w:r w:rsidR="00D05E6D">
        <w:t xml:space="preserve"> and overall maximum moisture content does not change. Moreover, for a constant hindrance coefficient, kinetics of unbound moisture absorption is identical. </w:t>
      </w:r>
    </w:p>
    <w:p w14:paraId="1B04CDCB" w14:textId="2EE4C689" w:rsidR="005B3DBB" w:rsidRDefault="0086455C" w:rsidP="00554848">
      <w:pPr>
        <w:pStyle w:val="NoSpacing"/>
      </w:pPr>
      <w:r>
        <w:rPr>
          <w:noProof/>
          <w:lang w:bidi="ar-SA"/>
        </w:rPr>
        <w:lastRenderedPageBreak/>
        <w:drawing>
          <wp:inline distT="0" distB="0" distL="0" distR="0" wp14:anchorId="5E03659C" wp14:editId="3E844B78">
            <wp:extent cx="5028088" cy="3657600"/>
            <wp:effectExtent l="0" t="0" r="1270" b="0"/>
            <wp:docPr id="51" name="Picture 51" descr="C:\Users\Administrator\Desktop\proje\PhD Dissertation\Hindrance effects\Figures New\m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Hindrance effects\Figures New\mu.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r w:rsidR="002B557D" w:rsidRPr="002B557D">
        <w:t xml:space="preserve"> </w:t>
      </w:r>
    </w:p>
    <w:p w14:paraId="7B006CB3" w14:textId="2612F50A" w:rsidR="002B557D" w:rsidRDefault="005B3DBB" w:rsidP="00BB2C1B">
      <w:pPr>
        <w:pStyle w:val="Caption"/>
        <w:ind w:firstLine="360"/>
      </w:pPr>
      <w:bookmarkStart w:id="49" w:name="_Ref521415955"/>
      <w:bookmarkStart w:id="50" w:name="_Toc530997363"/>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7</w:t>
      </w:r>
      <w:r w:rsidR="0023508C">
        <w:rPr>
          <w:noProof/>
        </w:rPr>
        <w:fldChar w:fldCharType="end"/>
      </w:r>
      <w:bookmarkEnd w:id="49"/>
      <w:r w:rsidR="002B557D">
        <w:rPr>
          <w:noProof/>
        </w:rPr>
        <w:t>.</w:t>
      </w:r>
      <w:r w:rsidR="002B557D" w:rsidRPr="0077282F">
        <w:t xml:space="preserve"> </w:t>
      </w:r>
      <w:r w:rsidR="005C38F9">
        <w:t>Effect of rate of conversion (bound</w:t>
      </w:r>
      <w:r w:rsidR="005C38F9">
        <w:sym w:font="Wingdings" w:char="F0F3"/>
      </w:r>
      <w:r w:rsidR="005C38F9">
        <w:t>unbound) on time to reach the equilibrium for the same hindrance coefficient (µ=0.143).</w:t>
      </w:r>
      <w:bookmarkEnd w:id="50"/>
    </w:p>
    <w:p w14:paraId="4A5DE2F2" w14:textId="77777777" w:rsidR="00810427" w:rsidRPr="00810427" w:rsidRDefault="00810427" w:rsidP="00810427">
      <w:pPr>
        <w:pStyle w:val="NoSpacing"/>
      </w:pPr>
    </w:p>
    <w:p w14:paraId="628D5D46" w14:textId="43D195DA" w:rsidR="00FB4BE3" w:rsidRDefault="00D05E6D" w:rsidP="00B63058">
      <w:pPr>
        <w:pStyle w:val="Heading3"/>
      </w:pPr>
      <w:bookmarkStart w:id="51" w:name="_Toc531943741"/>
      <w:r w:rsidRPr="00BB2C1B">
        <w:t>Approximate</w:t>
      </w:r>
      <w:r>
        <w:t xml:space="preserve"> Solutions</w:t>
      </w:r>
      <w:bookmarkEnd w:id="51"/>
    </w:p>
    <w:p w14:paraId="6F3BB823" w14:textId="4027D9C5" w:rsidR="000C2D31" w:rsidRDefault="000C2D31" w:rsidP="000C2D31">
      <w:pPr>
        <w:rPr>
          <w:rFonts w:cs="Times New Roman"/>
          <w:szCs w:val="24"/>
        </w:rPr>
      </w:pPr>
      <w:r>
        <w:rPr>
          <w:rFonts w:cs="Times New Roman"/>
          <w:szCs w:val="24"/>
        </w:rPr>
        <w:t>T</w:t>
      </w:r>
      <w:r w:rsidRPr="001E6BA7">
        <w:rPr>
          <w:rFonts w:cs="Times New Roman"/>
          <w:szCs w:val="24"/>
        </w:rPr>
        <w:t>he one-dimensional hindered diffusion model has a</w:t>
      </w:r>
      <w:r>
        <w:rPr>
          <w:rFonts w:cs="Times New Roman"/>
          <w:szCs w:val="24"/>
        </w:rPr>
        <w:t>n analytical</w:t>
      </w:r>
      <w:r w:rsidRPr="001E6BA7">
        <w:rPr>
          <w:rFonts w:cs="Times New Roman"/>
          <w:szCs w:val="24"/>
        </w:rPr>
        <w:t xml:space="preserve"> approximation for cases where </w:t>
      </w:r>
      <m:oMath>
        <m:r>
          <w:rPr>
            <w:rFonts w:ascii="Cambria Math" w:hAnsi="Cambria Math" w:cs="Times New Roman"/>
            <w:szCs w:val="24"/>
          </w:rPr>
          <m:t>2β</m:t>
        </m:r>
      </m:oMath>
      <w:r w:rsidRPr="001E6BA7">
        <w:rPr>
          <w:rFonts w:cs="Times New Roman"/>
          <w:szCs w:val="24"/>
        </w:rPr>
        <w:t xml:space="preserve"> and </w:t>
      </w:r>
      <m:oMath>
        <m:r>
          <w:rPr>
            <w:rFonts w:ascii="Cambria Math" w:hAnsi="Cambria Math" w:cs="Times New Roman"/>
            <w:szCs w:val="24"/>
          </w:rPr>
          <m:t>2γ</m:t>
        </m:r>
      </m:oMath>
      <w:r w:rsidRPr="001E6BA7">
        <w:rPr>
          <w:rFonts w:cs="Times New Roman"/>
          <w:szCs w:val="24"/>
        </w:rPr>
        <w:t xml:space="preserve"> are </w:t>
      </w:r>
      <w:r>
        <w:rPr>
          <w:rFonts w:cs="Times New Roman"/>
          <w:szCs w:val="24"/>
        </w:rPr>
        <w:t xml:space="preserve">very </w:t>
      </w:r>
      <w:r w:rsidRPr="001E6BA7">
        <w:rPr>
          <w:rFonts w:cs="Times New Roman"/>
          <w:szCs w:val="24"/>
        </w:rPr>
        <w:t xml:space="preserve">small when compared to </w:t>
      </w:r>
      <m:oMath>
        <m:r>
          <w:rPr>
            <w:rFonts w:ascii="Cambria Math" w:hAnsi="Cambria Math" w:cs="Times New Roman"/>
            <w:szCs w:val="24"/>
          </w:rPr>
          <m:t>K</m:t>
        </m:r>
      </m:oMath>
      <w:r>
        <w:rPr>
          <w:rFonts w:cs="Times New Roman"/>
          <w:szCs w:val="24"/>
        </w:rPr>
        <w:t xml:space="preserve"> </w:t>
      </w:r>
      <w:r>
        <w:rPr>
          <w:rFonts w:cs="Times New Roman"/>
          <w:szCs w:val="24"/>
        </w:rPr>
        <w:fldChar w:fldCharType="begin" w:fldLock="1"/>
      </w:r>
      <w:r w:rsidR="00B274D5">
        <w:rPr>
          <w:rFonts w:cs="Times New Roman"/>
          <w:szCs w:val="24"/>
        </w:rPr>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[54]</w:t>
      </w:r>
      <w:r>
        <w:rPr>
          <w:rFonts w:cs="Times New Roman"/>
          <w:szCs w:val="24"/>
        </w:rPr>
        <w:fldChar w:fldCharType="end"/>
      </w:r>
      <w:r w:rsidRPr="001E6BA7">
        <w:rPr>
          <w:rFonts w:cs="Times New Roman"/>
          <w:szCs w:val="24"/>
        </w:rPr>
        <w:t>:</w:t>
      </w:r>
    </w:p>
    <w:tbl>
      <w:tblPr>
        <w:tblW w:w="0" w:type="auto"/>
        <w:tblLook w:val="04A0" w:firstRow="1" w:lastRow="0" w:firstColumn="1" w:lastColumn="0" w:noHBand="0" w:noVBand="1"/>
      </w:tblPr>
      <w:tblGrid>
        <w:gridCol w:w="8000"/>
        <w:gridCol w:w="616"/>
      </w:tblGrid>
      <w:tr w:rsidR="000C2D31" w:rsidRPr="005A3E52" w14:paraId="769BDEA7" w14:textId="77777777" w:rsidTr="00FF2519">
        <w:tc>
          <w:tcPr>
            <w:tcW w:w="8000" w:type="dxa"/>
            <w:vAlign w:val="center"/>
          </w:tcPr>
          <w:p w14:paraId="61140BAD" w14:textId="3A6F9101" w:rsidR="000C2D31" w:rsidRPr="005A3E52" w:rsidRDefault="000C2D31" w:rsidP="00810427">
            <w:pPr>
              <w:pStyle w:val="Equations"/>
            </w:pPr>
            <m:oMathPara>
              <m:oMath>
                <m:r>
                  <w:rPr>
                    <w:rFonts w:ascii="Cambria Math" w:hAnsi="Cambria Math"/>
                  </w:rPr>
                  <m:t>M</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t>
                    </m:r>
                  </m:sub>
                </m:sSub>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rPr>
                            </m:ctrlPr>
                          </m:fPr>
                          <m:num>
                            <m:r>
                              <w:rPr>
                                <w:rFonts w:ascii="Cambria Math" w:hAnsi="Cambria Math"/>
                              </w:rPr>
                              <m:t>β</m:t>
                            </m:r>
                          </m:num>
                          <m:den>
                            <m:r>
                              <w:rPr>
                                <w:rFonts w:ascii="Cambria Math" w:hAnsi="Cambria Math"/>
                              </w:rPr>
                              <m:t>γ</m:t>
                            </m:r>
                            <m:r>
                              <m:rPr>
                                <m:sty m:val="p"/>
                              </m:rPr>
                              <w:rPr>
                                <w:rFonts w:ascii="Cambria Math" w:hAnsi="Cambria Math"/>
                              </w:rPr>
                              <m:t>+</m:t>
                            </m:r>
                            <m:r>
                              <w:rPr>
                                <w:rFonts w:ascii="Cambria Math" w:hAnsi="Cambria Math"/>
                              </w:rPr>
                              <m:t>β</m:t>
                            </m:r>
                          </m:den>
                        </m:f>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γt</m:t>
                            </m:r>
                          </m:sup>
                        </m:sSup>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8</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d>
                                  <m:dPr>
                                    <m:ctrlPr>
                                      <w:rPr>
                                        <w:rFonts w:ascii="Cambria Math" w:hAnsi="Cambria Math"/>
                                      </w:rPr>
                                    </m:ctrlPr>
                                  </m:dPr>
                                  <m:e>
                                    <m:r>
                                      <w:rPr>
                                        <w:rFonts w:ascii="Cambria Math" w:hAnsi="Cambria Math"/>
                                      </w:rPr>
                                      <m:t>odd</m:t>
                                    </m:r>
                                  </m:e>
                                </m:d>
                              </m:sup>
                              <m:e>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i</m:t>
                                        </m:r>
                                      </m:e>
                                      <m:sup>
                                        <m:r>
                                          <m:rPr>
                                            <m:sty m:val="p"/>
                                          </m:rPr>
                                          <w:rPr>
                                            <w:rFonts w:ascii="Cambria Math" w:hAnsi="Cambria Math"/>
                                          </w:rPr>
                                          <m:t>2</m:t>
                                        </m:r>
                                      </m:sup>
                                    </m:sSup>
                                  </m:den>
                                </m:f>
                                <m:r>
                                  <m:rPr>
                                    <m:sty m:val="p"/>
                                  </m:rPr>
                                  <w:rPr>
                                    <w:rFonts w:ascii="Cambria Math" w:hAnsi="Cambria Math"/>
                                  </w:rPr>
                                  <m:t xml:space="preserve"> </m:t>
                                </m:r>
                              </m:e>
                            </m:nary>
                            <m:sSup>
                              <m:sSupPr>
                                <m:ctrlPr>
                                  <w:rPr>
                                    <w:rFonts w:ascii="Cambria Math" w:hAnsi="Cambria Math"/>
                                  </w:rPr>
                                </m:ctrlPr>
                              </m:sSupPr>
                              <m:e>
                                <m:r>
                                  <w:rPr>
                                    <w:rFonts w:ascii="Cambria Math" w:hAnsi="Cambria Math"/>
                                  </w:rPr>
                                  <m:t>e</m:t>
                                </m:r>
                              </m:e>
                              <m:sup>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π</m:t>
                                        </m:r>
                                        <m:r>
                                          <m:rPr>
                                            <m:sty m:val="p"/>
                                          </m:rPr>
                                          <w:rPr>
                                            <w:rFonts w:ascii="Cambria Math" w:hAnsi="Cambria Math"/>
                                          </w:rPr>
                                          <m:t xml:space="preserve"> </m:t>
                                        </m:r>
                                        <m:r>
                                          <w:rPr>
                                            <w:rFonts w:ascii="Cambria Math" w:hAnsi="Cambria Math"/>
                                          </w:rPr>
                                          <m:t>t</m:t>
                                        </m:r>
                                        <m:r>
                                          <m:rPr>
                                            <m:sty m:val="p"/>
                                          </m:rPr>
                                          <w:rPr>
                                            <w:rFonts w:ascii="Cambria Math" w:hAnsi="Cambria Math"/>
                                          </w:rPr>
                                          <m:t xml:space="preserve"> </m:t>
                                        </m:r>
                                        <m:r>
                                          <w:rPr>
                                            <w:rFonts w:ascii="Cambria Math" w:hAnsi="Cambria Math"/>
                                          </w:rPr>
                                          <m:t>D</m:t>
                                        </m:r>
                                        <m:r>
                                          <m:rPr>
                                            <m:sty m:val="p"/>
                                          </m:rPr>
                                          <w:rPr>
                                            <w:rFonts w:ascii="Cambria Math" w:hAnsi="Cambria Math"/>
                                          </w:rPr>
                                          <m:t xml:space="preserve"> </m:t>
                                        </m:r>
                                        <m:sSup>
                                          <m:sSupPr>
                                            <m:ctrlPr>
                                              <w:rPr>
                                                <w:rFonts w:ascii="Cambria Math" w:hAnsi="Cambria Math"/>
                                              </w:rPr>
                                            </m:ctrlPr>
                                          </m:sSupPr>
                                          <m:e>
                                            <m:r>
                                              <w:rPr>
                                                <w:rFonts w:ascii="Cambria Math" w:hAnsi="Cambria Math"/>
                                              </w:rPr>
                                              <m:t>i</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sup>
                            </m:sSup>
                          </m:e>
                        </m:d>
                        <m:r>
                          <m:rPr>
                            <m:sty m:val="p"/>
                          </m:rPr>
                          <w:rPr>
                            <w:rFonts w:ascii="Cambria Math" w:hAnsi="Cambria Math"/>
                          </w:rPr>
                          <m:t>+</m:t>
                        </m:r>
                      </m:e>
                      <m:e>
                        <m:f>
                          <m:fPr>
                            <m:ctrlPr>
                              <w:rPr>
                                <w:rFonts w:ascii="Cambria Math" w:hAnsi="Cambria Math"/>
                              </w:rPr>
                            </m:ctrlPr>
                          </m:fPr>
                          <m:num>
                            <m:r>
                              <w:rPr>
                                <w:rFonts w:ascii="Cambria Math" w:hAnsi="Cambria Math"/>
                              </w:rPr>
                              <m:t>β</m:t>
                            </m:r>
                          </m:num>
                          <m:den>
                            <m:r>
                              <w:rPr>
                                <w:rFonts w:ascii="Cambria Math" w:hAnsi="Cambria Math"/>
                              </w:rPr>
                              <m:t>γ</m:t>
                            </m:r>
                            <m:r>
                              <m:rPr>
                                <m:sty m:val="p"/>
                              </m:rPr>
                              <w:rPr>
                                <w:rFonts w:ascii="Cambria Math" w:hAnsi="Cambria Math"/>
                              </w:rPr>
                              <m:t>+</m:t>
                            </m:r>
                            <m:r>
                              <w:rPr>
                                <w:rFonts w:ascii="Cambria Math" w:hAnsi="Cambria Math"/>
                              </w:rPr>
                              <m:t>β</m:t>
                            </m:r>
                          </m:den>
                        </m:f>
                        <m:d>
                          <m:dPr>
                            <m:ctrlPr>
                              <w:rPr>
                                <w:rFonts w:ascii="Cambria Math" w:hAnsi="Cambria Math"/>
                              </w:rPr>
                            </m:ctrlPr>
                          </m:dPr>
                          <m:e>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βt</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γt</m:t>
                                </m:r>
                              </m:sup>
                            </m:sSup>
                          </m:e>
                        </m:d>
                        <m:r>
                          <m:rPr>
                            <m:sty m:val="p"/>
                          </m:rPr>
                          <w:rPr>
                            <w:rFonts w:ascii="Cambria Math" w:hAnsi="Cambria Math"/>
                          </w:rPr>
                          <m:t>+</m:t>
                        </m:r>
                        <m:d>
                          <m:dPr>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βt</m:t>
                                </m:r>
                              </m:sup>
                            </m:sSup>
                          </m:e>
                        </m:d>
                      </m:e>
                    </m:eqArr>
                  </m:e>
                </m:d>
              </m:oMath>
            </m:oMathPara>
          </w:p>
        </w:tc>
        <w:tc>
          <w:tcPr>
            <w:tcW w:w="616" w:type="dxa"/>
            <w:vAlign w:val="center"/>
          </w:tcPr>
          <w:p w14:paraId="5910DA84" w14:textId="77777777" w:rsidR="000C2D31" w:rsidRPr="005A3E52" w:rsidRDefault="000C2D31" w:rsidP="00810427">
            <w:pPr>
              <w:pStyle w:val="Equations"/>
            </w:pPr>
            <w:r>
              <w:t>(11</w:t>
            </w:r>
            <w:r w:rsidRPr="005A3E52">
              <w:t>)</w:t>
            </w:r>
          </w:p>
        </w:tc>
      </w:tr>
    </w:tbl>
    <w:p w14:paraId="54B9B1AA" w14:textId="50E539B6" w:rsidR="000C2D31" w:rsidRDefault="000C2D31" w:rsidP="000C2D31">
      <w:pPr>
        <w:rPr>
          <w:rFonts w:cs="Times New Roman"/>
          <w:szCs w:val="24"/>
        </w:rPr>
      </w:pPr>
      <w:r>
        <w:rPr>
          <w:rFonts w:cs="Times New Roman"/>
          <w:szCs w:val="24"/>
        </w:rPr>
        <w:t xml:space="preserve">Eq. </w:t>
      </w:r>
      <w:r w:rsidR="009B05F7">
        <w:rPr>
          <w:rFonts w:cs="Times New Roman"/>
          <w:szCs w:val="24"/>
        </w:rPr>
        <w:t>(</w:t>
      </w:r>
      <w:r>
        <w:rPr>
          <w:rFonts w:cs="Times New Roman"/>
          <w:szCs w:val="24"/>
        </w:rPr>
        <w:t>11</w:t>
      </w:r>
      <w:r w:rsidR="009B05F7">
        <w:rPr>
          <w:rFonts w:cs="Times New Roman"/>
          <w:szCs w:val="24"/>
        </w:rPr>
        <w:t>)</w:t>
      </w:r>
      <w:r w:rsidRPr="001E6BA7">
        <w:rPr>
          <w:rFonts w:cs="Times New Roman"/>
          <w:szCs w:val="24"/>
        </w:rPr>
        <w:t xml:space="preserve"> may be further simplified </w:t>
      </w:r>
      <w:r>
        <w:rPr>
          <w:rFonts w:cs="Times New Roman"/>
          <w:szCs w:val="24"/>
        </w:rPr>
        <w:t>into “</w:t>
      </w:r>
      <w:r w:rsidRPr="001E6BA7">
        <w:rPr>
          <w:rFonts w:cs="Times New Roman"/>
          <w:szCs w:val="24"/>
        </w:rPr>
        <w:t>useful</w:t>
      </w:r>
      <w:r>
        <w:rPr>
          <w:rFonts w:cs="Times New Roman"/>
          <w:szCs w:val="24"/>
        </w:rPr>
        <w:t>”</w:t>
      </w:r>
      <w:r w:rsidRPr="001E6BA7">
        <w:rPr>
          <w:rFonts w:cs="Times New Roman"/>
          <w:szCs w:val="24"/>
        </w:rPr>
        <w:t xml:space="preserve"> </w:t>
      </w:r>
      <w:r>
        <w:rPr>
          <w:rFonts w:cs="Times New Roman"/>
          <w:szCs w:val="24"/>
        </w:rPr>
        <w:t xml:space="preserve">approximations </w:t>
      </w:r>
      <w:r w:rsidRPr="001E6BA7">
        <w:rPr>
          <w:rFonts w:cs="Times New Roman"/>
          <w:szCs w:val="24"/>
        </w:rPr>
        <w:t>both for very short or very long</w:t>
      </w:r>
      <w:r>
        <w:rPr>
          <w:rFonts w:cs="Times New Roman"/>
          <w:szCs w:val="24"/>
        </w:rPr>
        <w:t xml:space="preserve"> times </w:t>
      </w:r>
      <w:r>
        <w:rPr>
          <w:rFonts w:cs="Times New Roman"/>
          <w:szCs w:val="24"/>
        </w:rPr>
        <w:fldChar w:fldCharType="begin" w:fldLock="1"/>
      </w:r>
      <w:r w:rsidR="00B274D5">
        <w:rPr>
          <w:rFonts w:cs="Times New Roman"/>
          <w:szCs w:val="24"/>
        </w:rPr>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[54]</w:t>
      </w:r>
      <w:r>
        <w:rPr>
          <w:rFonts w:cs="Times New Roman"/>
          <w:szCs w:val="24"/>
        </w:rPr>
        <w:fldChar w:fldCharType="end"/>
      </w:r>
      <w:r>
        <w:rPr>
          <w:rFonts w:cs="Times New Roman"/>
          <w:szCs w:val="24"/>
        </w:rPr>
        <w:t>.</w:t>
      </w:r>
    </w:p>
    <w:tbl>
      <w:tblPr>
        <w:tblW w:w="0" w:type="auto"/>
        <w:tblLook w:val="04A0" w:firstRow="1" w:lastRow="0" w:firstColumn="1" w:lastColumn="0" w:noHBand="0" w:noVBand="1"/>
      </w:tblPr>
      <w:tblGrid>
        <w:gridCol w:w="4950"/>
        <w:gridCol w:w="2714"/>
        <w:gridCol w:w="976"/>
      </w:tblGrid>
      <w:tr w:rsidR="000C2D31" w:rsidRPr="00D047A2" w14:paraId="1F601152" w14:textId="77777777" w:rsidTr="00FF2519">
        <w:tc>
          <w:tcPr>
            <w:tcW w:w="4950" w:type="dxa"/>
            <w:vAlign w:val="center"/>
          </w:tcPr>
          <w:p w14:paraId="72E1B07B" w14:textId="77777777" w:rsidR="000C2D31" w:rsidRPr="00D047A2" w:rsidRDefault="000C2D31" w:rsidP="00810427">
            <w:pPr>
              <w:pStyle w:val="NoSpacing"/>
              <w:spacing w:after="240"/>
            </w:pPr>
            <m:oMathPara>
              <m:oMath>
                <m:r>
                  <w:rPr>
                    <w:rFonts w:ascii="Cambria Math" w:hAnsi="Cambria Math"/>
                  </w:rPr>
                  <m:t>M</m:t>
                </m:r>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4</m:t>
                    </m:r>
                  </m:num>
                  <m:den>
                    <m:sSup>
                      <m:sSupPr>
                        <m:ctrlPr>
                          <w:rPr>
                            <w:rFonts w:ascii="Cambria Math" w:hAnsi="Cambria Math"/>
                          </w:rPr>
                        </m:ctrlPr>
                      </m:sSupPr>
                      <m:e>
                        <m:r>
                          <w:rPr>
                            <w:rFonts w:ascii="Cambria Math" w:hAnsi="Cambria Math"/>
                          </w:rPr>
                          <m:t>π</m:t>
                        </m:r>
                      </m:e>
                      <m:sup>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sup>
                    </m:sSup>
                  </m:den>
                </m:f>
                <m:d>
                  <m:dPr>
                    <m:ctrlPr>
                      <w:rPr>
                        <w:rFonts w:ascii="Cambria Math" w:hAnsi="Cambria Math"/>
                      </w:rPr>
                    </m:ctrlPr>
                  </m:dPr>
                  <m:e>
                    <m:f>
                      <m:fPr>
                        <m:ctrlPr>
                          <w:rPr>
                            <w:rFonts w:ascii="Cambria Math" w:hAnsi="Cambria Math"/>
                          </w:rPr>
                        </m:ctrlPr>
                      </m:fPr>
                      <m:num>
                        <m:r>
                          <w:rPr>
                            <w:rFonts w:ascii="Cambria Math" w:hAnsi="Cambria Math"/>
                          </w:rPr>
                          <m:t>β</m:t>
                        </m:r>
                      </m:num>
                      <m:den>
                        <m:r>
                          <w:rPr>
                            <w:rFonts w:ascii="Cambria Math" w:hAnsi="Cambria Math"/>
                          </w:rPr>
                          <m:t>β</m:t>
                        </m:r>
                        <m:r>
                          <m:rPr>
                            <m:sty m:val="p"/>
                          </m:rPr>
                          <w:rPr>
                            <w:rFonts w:ascii="Cambria Math" w:hAnsi="Cambria Math"/>
                          </w:rPr>
                          <m:t>+</m:t>
                        </m:r>
                        <m:r>
                          <w:rPr>
                            <w:rFonts w:ascii="Cambria Math" w:hAnsi="Cambria Math"/>
                          </w:rPr>
                          <m:t>γ</m:t>
                        </m:r>
                      </m:den>
                    </m:f>
                  </m:e>
                </m:d>
                <m:sSub>
                  <m:sSubPr>
                    <m:ctrlPr>
                      <w:rPr>
                        <w:rFonts w:ascii="Cambria Math" w:hAnsi="Cambria Math"/>
                      </w:rPr>
                    </m:ctrlPr>
                  </m:sSubPr>
                  <m:e>
                    <m:r>
                      <w:rPr>
                        <w:rFonts w:ascii="Cambria Math" w:hAnsi="Cambria Math"/>
                      </w:rPr>
                      <m:t>M</m:t>
                    </m:r>
                  </m:e>
                  <m:sub>
                    <m:r>
                      <m:rPr>
                        <m:sty m:val="p"/>
                      </m:rPr>
                      <w:rPr>
                        <w:rFonts w:ascii="Cambria Math" w:hAnsi="Cambria Math"/>
                      </w:rPr>
                      <m:t>∞</m:t>
                    </m:r>
                  </m:sub>
                </m:sSub>
                <m:rad>
                  <m:radPr>
                    <m:degHide m:val="1"/>
                    <m:ctrlPr>
                      <w:rPr>
                        <w:rFonts w:ascii="Cambria Math" w:hAnsi="Cambria Math"/>
                      </w:rPr>
                    </m:ctrlPr>
                  </m:radPr>
                  <m:deg/>
                  <m:e>
                    <m:r>
                      <w:rPr>
                        <w:rFonts w:ascii="Cambria Math" w:hAnsi="Cambria Math"/>
                      </w:rPr>
                      <m:t>Kt</m:t>
                    </m:r>
                  </m:e>
                </m:rad>
                <m:r>
                  <m:rPr>
                    <m:sty m:val="p"/>
                  </m:rPr>
                  <w:rPr>
                    <w:rFonts w:ascii="Cambria Math" w:hAnsi="Cambria Math"/>
                  </w:rPr>
                  <m:t xml:space="preserve"> ,</m:t>
                </m:r>
              </m:oMath>
            </m:oMathPara>
          </w:p>
        </w:tc>
        <w:tc>
          <w:tcPr>
            <w:tcW w:w="2714" w:type="dxa"/>
          </w:tcPr>
          <w:p w14:paraId="573C43D6" w14:textId="77777777" w:rsidR="000C2D31" w:rsidRPr="00D047A2" w:rsidRDefault="000C2D31" w:rsidP="00810427">
            <w:pPr>
              <w:pStyle w:val="NoSpacing"/>
              <w:rPr>
                <w:rFonts w:eastAsiaTheme="majorEastAsia"/>
              </w:rPr>
            </w:pPr>
            <m:oMathPara>
              <m:oMath>
                <m:r>
                  <m:rPr>
                    <m:sty m:val="p"/>
                  </m:rPr>
                  <w:rPr>
                    <w:rFonts w:ascii="Cambria Math" w:eastAsiaTheme="majorEastAsia" w:hAnsi="Cambria Math"/>
                  </w:rPr>
                  <m:t>2</m:t>
                </m:r>
                <m:r>
                  <w:rPr>
                    <w:rFonts w:ascii="Cambria Math" w:eastAsiaTheme="majorEastAsia" w:hAnsi="Cambria Math"/>
                  </w:rPr>
                  <m:t>γ</m:t>
                </m:r>
                <m:r>
                  <m:rPr>
                    <m:sty m:val="p"/>
                  </m:rPr>
                  <w:rPr>
                    <w:rFonts w:ascii="Cambria Math" w:eastAsiaTheme="majorEastAsia" w:hAnsi="Cambria Math"/>
                  </w:rPr>
                  <m:t>,2</m:t>
                </m:r>
                <m:r>
                  <w:rPr>
                    <w:rFonts w:ascii="Cambria Math" w:eastAsiaTheme="majorEastAsia" w:hAnsi="Cambria Math"/>
                  </w:rPr>
                  <m:t>β</m:t>
                </m:r>
                <m:r>
                  <m:rPr>
                    <m:sty m:val="p"/>
                  </m:rPr>
                  <w:rPr>
                    <w:rFonts w:ascii="Cambria Math" w:eastAsiaTheme="majorEastAsia" w:hAnsi="Cambria Math"/>
                  </w:rPr>
                  <m:t>≪</m:t>
                </m:r>
                <m:r>
                  <w:rPr>
                    <w:rFonts w:ascii="Cambria Math" w:eastAsiaTheme="majorEastAsia" w:hAnsi="Cambria Math"/>
                  </w:rPr>
                  <m:t>K</m:t>
                </m:r>
                <m:r>
                  <m:rPr>
                    <m:sty m:val="p"/>
                  </m:rPr>
                  <w:rPr>
                    <w:rFonts w:ascii="Cambria Math" w:eastAsiaTheme="majorEastAsia" w:hAnsi="Cambria Math"/>
                  </w:rPr>
                  <m:t xml:space="preserve"> ,  </m:t>
                </m:r>
                <m:r>
                  <w:rPr>
                    <w:rFonts w:ascii="Cambria Math" w:eastAsiaTheme="majorEastAsia" w:hAnsi="Cambria Math"/>
                  </w:rPr>
                  <m:t>t</m:t>
                </m:r>
                <m:r>
                  <m:rPr>
                    <m:sty m:val="p"/>
                  </m:rPr>
                  <w:rPr>
                    <w:rFonts w:ascii="Cambria Math" w:eastAsiaTheme="majorEastAsia" w:hAnsi="Cambria Math"/>
                  </w:rPr>
                  <m:t>&lt;</m:t>
                </m:r>
                <m:f>
                  <m:fPr>
                    <m:ctrlPr>
                      <w:rPr>
                        <w:rFonts w:ascii="Cambria Math" w:eastAsiaTheme="majorEastAsia" w:hAnsi="Cambria Math"/>
                      </w:rPr>
                    </m:ctrlPr>
                  </m:fPr>
                  <m:num>
                    <m:r>
                      <m:rPr>
                        <m:sty m:val="p"/>
                      </m:rPr>
                      <w:rPr>
                        <w:rFonts w:ascii="Cambria Math" w:eastAsiaTheme="majorEastAsia" w:hAnsi="Cambria Math"/>
                      </w:rPr>
                      <m:t>0.7</m:t>
                    </m:r>
                  </m:num>
                  <m:den>
                    <m:r>
                      <w:rPr>
                        <w:rFonts w:ascii="Cambria Math" w:eastAsiaTheme="majorEastAsia" w:hAnsi="Cambria Math"/>
                      </w:rPr>
                      <m:t>K</m:t>
                    </m:r>
                  </m:den>
                </m:f>
              </m:oMath>
            </m:oMathPara>
          </w:p>
        </w:tc>
        <w:tc>
          <w:tcPr>
            <w:tcW w:w="976" w:type="dxa"/>
            <w:vAlign w:val="center"/>
          </w:tcPr>
          <w:p w14:paraId="3E034AF9" w14:textId="77777777" w:rsidR="000C2D31" w:rsidRPr="00D047A2" w:rsidRDefault="000C2D31" w:rsidP="00810427">
            <w:pPr>
              <w:pStyle w:val="NoSpacing"/>
              <w:rPr>
                <w:rFonts w:eastAsiaTheme="majorEastAsia"/>
              </w:rPr>
            </w:pPr>
            <w:r w:rsidRPr="00D047A2">
              <w:rPr>
                <w:rFonts w:eastAsiaTheme="majorEastAsia"/>
              </w:rPr>
              <w:t>(</w:t>
            </w:r>
            <w:r>
              <w:rPr>
                <w:rFonts w:eastAsiaTheme="majorEastAsia"/>
              </w:rPr>
              <w:t>12</w:t>
            </w:r>
            <w:r w:rsidRPr="00D047A2">
              <w:rPr>
                <w:rFonts w:eastAsiaTheme="majorEastAsia"/>
              </w:rPr>
              <w:t>)</w:t>
            </w:r>
          </w:p>
        </w:tc>
      </w:tr>
      <w:tr w:rsidR="000C2D31" w:rsidRPr="00D047A2" w14:paraId="6E494A77" w14:textId="77777777" w:rsidTr="00FF2519">
        <w:tc>
          <w:tcPr>
            <w:tcW w:w="4950" w:type="dxa"/>
            <w:vAlign w:val="center"/>
          </w:tcPr>
          <w:p w14:paraId="4385289E" w14:textId="669E907E" w:rsidR="000C2D31" w:rsidRPr="00D047A2" w:rsidRDefault="000C2D31" w:rsidP="0084615F">
            <w:pPr>
              <w:pStyle w:val="NoSpacing"/>
            </w:pPr>
            <m:oMathPara>
              <m:oMath>
                <m:r>
                  <w:rPr>
                    <w:rFonts w:ascii="Cambria Math" w:hAnsi="Cambria Math"/>
                  </w:rPr>
                  <m:t>M</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t>
                    </m:r>
                  </m:sub>
                </m:sSub>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f>
                          <m:fPr>
                            <m:ctrlPr>
                              <w:rPr>
                                <w:rFonts w:ascii="Cambria Math" w:hAnsi="Cambria Math"/>
                              </w:rPr>
                            </m:ctrlPr>
                          </m:fPr>
                          <m:num>
                            <m:r>
                              <w:rPr>
                                <w:rFonts w:ascii="Cambria Math" w:hAnsi="Cambria Math"/>
                              </w:rPr>
                              <m:t>γ</m:t>
                            </m:r>
                          </m:num>
                          <m:den>
                            <m:r>
                              <w:rPr>
                                <w:rFonts w:ascii="Cambria Math" w:hAnsi="Cambria Math"/>
                              </w:rPr>
                              <m:t>β</m:t>
                            </m:r>
                            <m:r>
                              <m:rPr>
                                <m:sty m:val="p"/>
                              </m:rPr>
                              <w:rPr>
                                <w:rFonts w:ascii="Cambria Math" w:hAnsi="Cambria Math"/>
                              </w:rPr>
                              <m:t>+</m:t>
                            </m:r>
                            <m:r>
                              <w:rPr>
                                <w:rFonts w:ascii="Cambria Math" w:hAnsi="Cambria Math"/>
                              </w:rPr>
                              <m:t>γ</m:t>
                            </m:r>
                          </m:den>
                        </m:f>
                      </m:e>
                    </m:d>
                    <m:r>
                      <m:rPr>
                        <m:sty m:val="p"/>
                      </m:rPr>
                      <w:rPr>
                        <w:rFonts w:ascii="Cambria Math" w:hAnsi="Cambria Math"/>
                      </w:rPr>
                      <m:t>exp⁡[-</m:t>
                    </m:r>
                    <m:r>
                      <w:rPr>
                        <w:rFonts w:ascii="Cambria Math" w:hAnsi="Cambria Math"/>
                      </w:rPr>
                      <m:t>βt</m:t>
                    </m:r>
                    <m:r>
                      <m:rPr>
                        <m:sty m:val="p"/>
                      </m:rPr>
                      <w:rPr>
                        <w:rFonts w:ascii="Cambria Math" w:hAnsi="Cambria Math"/>
                      </w:rPr>
                      <m:t>]</m:t>
                    </m:r>
                  </m:e>
                </m:d>
                <m:r>
                  <m:rPr>
                    <m:sty m:val="p"/>
                  </m:rPr>
                  <w:rPr>
                    <w:rFonts w:ascii="Cambria Math" w:hAnsi="Cambria Math"/>
                  </w:rPr>
                  <m:t xml:space="preserve"> ,</m:t>
                </m:r>
              </m:oMath>
            </m:oMathPara>
          </w:p>
        </w:tc>
        <w:tc>
          <w:tcPr>
            <w:tcW w:w="2714" w:type="dxa"/>
          </w:tcPr>
          <w:p w14:paraId="66740738" w14:textId="77777777" w:rsidR="000C2D31" w:rsidRPr="00D047A2" w:rsidRDefault="000C2D31" w:rsidP="00810427">
            <w:pPr>
              <w:pStyle w:val="NoSpacing"/>
              <w:rPr>
                <w:rFonts w:eastAsiaTheme="majorEastAsia"/>
              </w:rPr>
            </w:pPr>
            <m:oMathPara>
              <m:oMath>
                <m:r>
                  <m:rPr>
                    <m:sty m:val="p"/>
                  </m:rPr>
                  <w:rPr>
                    <w:rFonts w:ascii="Cambria Math" w:eastAsiaTheme="majorEastAsia" w:hAnsi="Cambria Math"/>
                  </w:rPr>
                  <m:t>2</m:t>
                </m:r>
                <m:r>
                  <w:rPr>
                    <w:rFonts w:ascii="Cambria Math" w:eastAsiaTheme="majorEastAsia" w:hAnsi="Cambria Math"/>
                  </w:rPr>
                  <m:t>γ</m:t>
                </m:r>
                <m:r>
                  <m:rPr>
                    <m:sty m:val="p"/>
                  </m:rPr>
                  <w:rPr>
                    <w:rFonts w:ascii="Cambria Math" w:eastAsiaTheme="majorEastAsia" w:hAnsi="Cambria Math"/>
                  </w:rPr>
                  <m:t>,2</m:t>
                </m:r>
                <m:r>
                  <w:rPr>
                    <w:rFonts w:ascii="Cambria Math" w:eastAsiaTheme="majorEastAsia" w:hAnsi="Cambria Math"/>
                  </w:rPr>
                  <m:t>β</m:t>
                </m:r>
                <m:r>
                  <m:rPr>
                    <m:sty m:val="p"/>
                  </m:rPr>
                  <w:rPr>
                    <w:rFonts w:ascii="Cambria Math" w:eastAsiaTheme="majorEastAsia" w:hAnsi="Cambria Math"/>
                  </w:rPr>
                  <m:t>≪</m:t>
                </m:r>
                <m:r>
                  <w:rPr>
                    <w:rFonts w:ascii="Cambria Math" w:eastAsiaTheme="majorEastAsia" w:hAnsi="Cambria Math"/>
                  </w:rPr>
                  <m:t>K</m:t>
                </m:r>
                <m:r>
                  <m:rPr>
                    <m:sty m:val="p"/>
                  </m:rPr>
                  <w:rPr>
                    <w:rFonts w:ascii="Cambria Math" w:eastAsiaTheme="majorEastAsia" w:hAnsi="Cambria Math"/>
                  </w:rPr>
                  <m:t xml:space="preserve"> ,  </m:t>
                </m:r>
                <m:r>
                  <w:rPr>
                    <w:rFonts w:ascii="Cambria Math" w:eastAsiaTheme="majorEastAsia" w:hAnsi="Cambria Math"/>
                  </w:rPr>
                  <m:t>t</m:t>
                </m:r>
                <m:r>
                  <m:rPr>
                    <m:sty m:val="p"/>
                  </m:rPr>
                  <w:rPr>
                    <w:rFonts w:ascii="Cambria Math" w:eastAsiaTheme="majorEastAsia" w:hAnsi="Cambria Math"/>
                  </w:rPr>
                  <m:t>≫</m:t>
                </m:r>
                <m:f>
                  <m:fPr>
                    <m:ctrlPr>
                      <w:rPr>
                        <w:rFonts w:ascii="Cambria Math" w:eastAsiaTheme="majorEastAsia" w:hAnsi="Cambria Math"/>
                      </w:rPr>
                    </m:ctrlPr>
                  </m:fPr>
                  <m:num>
                    <m:r>
                      <m:rPr>
                        <m:sty m:val="p"/>
                      </m:rPr>
                      <w:rPr>
                        <w:rFonts w:ascii="Cambria Math" w:eastAsiaTheme="majorEastAsia" w:hAnsi="Cambria Math"/>
                      </w:rPr>
                      <m:t>1</m:t>
                    </m:r>
                  </m:num>
                  <m:den>
                    <m:r>
                      <w:rPr>
                        <w:rFonts w:ascii="Cambria Math" w:eastAsiaTheme="majorEastAsia" w:hAnsi="Cambria Math"/>
                      </w:rPr>
                      <m:t>K</m:t>
                    </m:r>
                  </m:den>
                </m:f>
              </m:oMath>
            </m:oMathPara>
          </w:p>
        </w:tc>
        <w:tc>
          <w:tcPr>
            <w:tcW w:w="976" w:type="dxa"/>
            <w:vAlign w:val="center"/>
          </w:tcPr>
          <w:p w14:paraId="0C45D6AC" w14:textId="77777777" w:rsidR="000C2D31" w:rsidRPr="00D047A2" w:rsidRDefault="000C2D31" w:rsidP="00810427">
            <w:pPr>
              <w:pStyle w:val="NoSpacing"/>
              <w:rPr>
                <w:rFonts w:eastAsiaTheme="majorEastAsia"/>
              </w:rPr>
            </w:pPr>
            <w:r w:rsidRPr="00D047A2">
              <w:rPr>
                <w:rFonts w:eastAsiaTheme="majorEastAsia"/>
              </w:rPr>
              <w:t>(</w:t>
            </w:r>
            <w:r>
              <w:rPr>
                <w:rFonts w:eastAsiaTheme="majorEastAsia"/>
              </w:rPr>
              <w:t>13</w:t>
            </w:r>
            <w:r w:rsidRPr="00D047A2">
              <w:rPr>
                <w:rFonts w:eastAsiaTheme="majorEastAsia"/>
              </w:rPr>
              <w:t>)</w:t>
            </w:r>
          </w:p>
        </w:tc>
      </w:tr>
    </w:tbl>
    <w:p w14:paraId="7AA12E00" w14:textId="6424E1B0" w:rsidR="007D3A7E" w:rsidRDefault="000C2D31" w:rsidP="00BB2C1B">
      <w:pPr>
        <w:rPr>
          <w:rFonts w:cs="Times New Roman"/>
          <w:szCs w:val="24"/>
        </w:rPr>
      </w:pPr>
      <w:r w:rsidRPr="001E6BA7">
        <w:rPr>
          <w:rFonts w:cs="Times New Roman"/>
          <w:szCs w:val="24"/>
        </w:rPr>
        <w:lastRenderedPageBreak/>
        <w:t xml:space="preserve">When the </w:t>
      </w:r>
      <w:r>
        <w:rPr>
          <w:rFonts w:cs="Times New Roman"/>
          <w:szCs w:val="24"/>
        </w:rPr>
        <w:t xml:space="preserve">required </w:t>
      </w:r>
      <w:r w:rsidRPr="001E6BA7">
        <w:rPr>
          <w:rFonts w:cs="Times New Roman"/>
          <w:szCs w:val="24"/>
        </w:rPr>
        <w:t xml:space="preserve">conditions </w:t>
      </w:r>
      <w:r>
        <w:rPr>
          <w:rFonts w:cs="Times New Roman"/>
          <w:szCs w:val="24"/>
        </w:rPr>
        <w:t>for</w:t>
      </w:r>
      <w:r w:rsidRPr="001E6BA7">
        <w:rPr>
          <w:rFonts w:cs="Times New Roman"/>
          <w:szCs w:val="24"/>
        </w:rPr>
        <w:t xml:space="preserve"> Eq</w:t>
      </w:r>
      <w:r>
        <w:rPr>
          <w:rFonts w:cs="Times New Roman"/>
          <w:szCs w:val="24"/>
        </w:rPr>
        <w:t xml:space="preserve">s. </w:t>
      </w:r>
      <w:r w:rsidR="009B05F7">
        <w:rPr>
          <w:rFonts w:cs="Times New Roman"/>
          <w:szCs w:val="24"/>
        </w:rPr>
        <w:t>(</w:t>
      </w:r>
      <w:r>
        <w:rPr>
          <w:rFonts w:cs="Times New Roman"/>
          <w:szCs w:val="24"/>
        </w:rPr>
        <w:t>11-13</w:t>
      </w:r>
      <w:r w:rsidR="009B05F7">
        <w:rPr>
          <w:rFonts w:cs="Times New Roman"/>
          <w:szCs w:val="24"/>
        </w:rPr>
        <w:t>)</w:t>
      </w:r>
      <w:r w:rsidRPr="001E6BA7">
        <w:rPr>
          <w:rFonts w:cs="Times New Roman"/>
          <w:szCs w:val="24"/>
        </w:rPr>
        <w:t xml:space="preserve"> are satisfi</w:t>
      </w:r>
      <w:r>
        <w:rPr>
          <w:rFonts w:cs="Times New Roman"/>
          <w:szCs w:val="24"/>
        </w:rPr>
        <w:t>ed, these approximations can be</w:t>
      </w:r>
      <w:r w:rsidRPr="001E6BA7">
        <w:rPr>
          <w:rFonts w:cs="Times New Roman"/>
          <w:szCs w:val="24"/>
        </w:rPr>
        <w:t xml:space="preserve"> used to recover the </w:t>
      </w:r>
      <w:r>
        <w:rPr>
          <w:rFonts w:cs="Times New Roman"/>
          <w:szCs w:val="24"/>
        </w:rPr>
        <w:t xml:space="preserve">absorption parameters faster and without any iterative process. </w:t>
      </w:r>
      <w:r w:rsidRPr="001E6BA7">
        <w:rPr>
          <w:rFonts w:cs="Times New Roman"/>
          <w:szCs w:val="24"/>
        </w:rPr>
        <w:t xml:space="preserve">However, the accuracy of </w:t>
      </w:r>
      <w:r>
        <w:rPr>
          <w:rFonts w:cs="Times New Roman"/>
          <w:szCs w:val="24"/>
        </w:rPr>
        <w:t>parameters</w:t>
      </w:r>
      <w:r w:rsidRPr="001E6BA7">
        <w:rPr>
          <w:rFonts w:cs="Times New Roman"/>
          <w:szCs w:val="24"/>
        </w:rPr>
        <w:t xml:space="preserve"> </w:t>
      </w:r>
      <w:r>
        <w:rPr>
          <w:rFonts w:cs="Times New Roman"/>
          <w:szCs w:val="24"/>
        </w:rPr>
        <w:t>determined from</w:t>
      </w:r>
      <w:r w:rsidRPr="001E6BA7">
        <w:rPr>
          <w:rFonts w:cs="Times New Roman"/>
          <w:szCs w:val="24"/>
        </w:rPr>
        <w:t xml:space="preserve"> these approximations may change depending on the extent of experimental data available. </w:t>
      </w:r>
      <w:r>
        <w:rPr>
          <w:rFonts w:cs="Times New Roman"/>
          <w:szCs w:val="24"/>
        </w:rPr>
        <w:t>In addition, these approximations are</w:t>
      </w:r>
      <w:r w:rsidRPr="001B2FE6">
        <w:rPr>
          <w:rFonts w:cs="Times New Roman"/>
          <w:szCs w:val="24"/>
        </w:rPr>
        <w:t xml:space="preserve"> </w:t>
      </w:r>
      <w:r>
        <w:rPr>
          <w:rFonts w:cs="Times New Roman"/>
          <w:szCs w:val="24"/>
        </w:rPr>
        <w:t xml:space="preserve">only valid when </w:t>
      </w:r>
      <m:oMath>
        <m:r>
          <w:rPr>
            <w:rFonts w:ascii="Cambria Math" w:hAnsi="Cambria Math" w:cs="Times New Roman"/>
            <w:szCs w:val="24"/>
          </w:rPr>
          <m:t>2β</m:t>
        </m:r>
      </m:oMath>
      <w:r w:rsidRPr="001E6BA7">
        <w:rPr>
          <w:rFonts w:cs="Times New Roman"/>
          <w:szCs w:val="24"/>
        </w:rPr>
        <w:t xml:space="preserve"> and </w:t>
      </w:r>
      <m:oMath>
        <m:r>
          <w:rPr>
            <w:rFonts w:ascii="Cambria Math" w:hAnsi="Cambria Math" w:cs="Times New Roman"/>
            <w:szCs w:val="24"/>
          </w:rPr>
          <m:t>2γ</m:t>
        </m:r>
      </m:oMath>
      <w:r w:rsidRPr="001E6BA7">
        <w:rPr>
          <w:rFonts w:cs="Times New Roman"/>
          <w:szCs w:val="24"/>
        </w:rPr>
        <w:t xml:space="preserve"> are </w:t>
      </w:r>
      <w:r>
        <w:rPr>
          <w:rFonts w:cs="Times New Roman"/>
          <w:szCs w:val="24"/>
        </w:rPr>
        <w:t xml:space="preserve">much </w:t>
      </w:r>
      <w:r w:rsidRPr="001E6BA7">
        <w:rPr>
          <w:rFonts w:cs="Times New Roman"/>
          <w:szCs w:val="24"/>
        </w:rPr>
        <w:t>small</w:t>
      </w:r>
      <w:r>
        <w:rPr>
          <w:rFonts w:cs="Times New Roman"/>
          <w:szCs w:val="24"/>
        </w:rPr>
        <w:t>er</w:t>
      </w:r>
      <w:r w:rsidRPr="001E6BA7">
        <w:rPr>
          <w:rFonts w:cs="Times New Roman"/>
          <w:szCs w:val="24"/>
        </w:rPr>
        <w:t xml:space="preserve"> </w:t>
      </w:r>
      <w:r>
        <w:rPr>
          <w:rFonts w:cs="Times New Roman"/>
          <w:szCs w:val="24"/>
        </w:rPr>
        <w:t>than</w:t>
      </w:r>
      <m:oMath>
        <m:r>
          <w:rPr>
            <w:rFonts w:ascii="Cambria Math" w:hAnsi="Cambria Math" w:cs="Times New Roman"/>
            <w:szCs w:val="24"/>
          </w:rPr>
          <m:t xml:space="preserve"> K=(</m:t>
        </m:r>
        <m:sSup>
          <m:sSupPr>
            <m:ctrlPr>
              <w:rPr>
                <w:rFonts w:ascii="Cambria Math" w:hAnsi="Cambria Math" w:cs="Times New Roman"/>
                <w:i/>
                <w:szCs w:val="24"/>
              </w:rPr>
            </m:ctrlPr>
          </m:sSupPr>
          <m:e>
            <m:r>
              <w:rPr>
                <w:rFonts w:ascii="Cambria Math" w:hAnsi="Cambria Math" w:cs="Times New Roman"/>
                <w:szCs w:val="24"/>
              </w:rPr>
              <m:t>π</m:t>
            </m:r>
          </m:e>
          <m:sup>
            <m:r>
              <w:rPr>
                <w:rFonts w:ascii="Cambria Math" w:hAnsi="Cambria Math" w:cs="Times New Roman"/>
                <w:szCs w:val="24"/>
              </w:rPr>
              <m:t>2</m:t>
            </m:r>
          </m:sup>
        </m:sSup>
        <m:r>
          <w:rPr>
            <w:rFonts w:ascii="Cambria Math" w:hAnsi="Cambria Math" w:cs="Times New Roman"/>
            <w:szCs w:val="24"/>
          </w:rPr>
          <m:t xml:space="preserve"> D)/</m:t>
        </m:r>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2</m:t>
            </m:r>
          </m:sup>
        </m:sSup>
      </m:oMath>
      <w:r>
        <w:rPr>
          <w:rFonts w:cs="Times New Roman"/>
          <w:szCs w:val="24"/>
        </w:rPr>
        <w:t xml:space="preserve">. The validity of the assumptions for Eq. </w:t>
      </w:r>
      <w:r w:rsidR="009B05F7">
        <w:rPr>
          <w:rFonts w:cs="Times New Roman"/>
          <w:szCs w:val="24"/>
        </w:rPr>
        <w:t>(</w:t>
      </w:r>
      <w:r>
        <w:rPr>
          <w:rFonts w:cs="Times New Roman"/>
          <w:szCs w:val="24"/>
        </w:rPr>
        <w:t>12</w:t>
      </w:r>
      <w:r w:rsidR="009B05F7">
        <w:rPr>
          <w:rFonts w:cs="Times New Roman"/>
          <w:szCs w:val="24"/>
        </w:rPr>
        <w:t>)</w:t>
      </w:r>
      <w:r>
        <w:rPr>
          <w:rFonts w:cs="Times New Roman"/>
          <w:szCs w:val="24"/>
        </w:rPr>
        <w:t xml:space="preserve"> and Eq. </w:t>
      </w:r>
      <w:r w:rsidR="009B05F7">
        <w:rPr>
          <w:rFonts w:cs="Times New Roman"/>
          <w:szCs w:val="24"/>
        </w:rPr>
        <w:t>(</w:t>
      </w:r>
      <w:r>
        <w:rPr>
          <w:rFonts w:cs="Times New Roman"/>
          <w:szCs w:val="24"/>
        </w:rPr>
        <w:t>13</w:t>
      </w:r>
      <w:r w:rsidR="009B05F7">
        <w:rPr>
          <w:rFonts w:cs="Times New Roman"/>
          <w:szCs w:val="24"/>
        </w:rPr>
        <w:t>)</w:t>
      </w:r>
      <w:r>
        <w:rPr>
          <w:rFonts w:cs="Times New Roman"/>
          <w:szCs w:val="24"/>
        </w:rPr>
        <w:t xml:space="preserve"> is not known a priori, and thus, indiscriminate use of these approximations without any justification may lead to erroneous results. </w:t>
      </w:r>
      <w:r w:rsidRPr="001E6BA7">
        <w:rPr>
          <w:rFonts w:cs="Times New Roman"/>
          <w:szCs w:val="24"/>
        </w:rPr>
        <w:t xml:space="preserve">Therefore, using </w:t>
      </w:r>
      <w:r>
        <w:rPr>
          <w:rFonts w:cs="Times New Roman"/>
          <w:szCs w:val="24"/>
        </w:rPr>
        <w:t xml:space="preserve">the </w:t>
      </w:r>
      <w:r w:rsidRPr="001E6BA7">
        <w:rPr>
          <w:rFonts w:cs="Times New Roman"/>
          <w:szCs w:val="24"/>
        </w:rPr>
        <w:t xml:space="preserve">exact analytical solution </w:t>
      </w:r>
      <w:r>
        <w:rPr>
          <w:rFonts w:cs="Times New Roman"/>
          <w:szCs w:val="24"/>
        </w:rPr>
        <w:t xml:space="preserve">given in Eq. </w:t>
      </w:r>
      <w:r w:rsidR="009B05F7">
        <w:rPr>
          <w:rFonts w:cs="Times New Roman"/>
          <w:szCs w:val="24"/>
        </w:rPr>
        <w:t>(</w:t>
      </w:r>
      <w:r>
        <w:rPr>
          <w:rFonts w:cs="Times New Roman"/>
          <w:szCs w:val="24"/>
        </w:rPr>
        <w:t>10</w:t>
      </w:r>
      <w:r w:rsidR="009B05F7">
        <w:rPr>
          <w:rFonts w:cs="Times New Roman"/>
          <w:szCs w:val="24"/>
        </w:rPr>
        <w:t>)</w:t>
      </w:r>
      <w:r>
        <w:rPr>
          <w:rFonts w:cs="Times New Roman"/>
          <w:szCs w:val="24"/>
        </w:rPr>
        <w:t xml:space="preserve"> </w:t>
      </w:r>
      <w:r w:rsidRPr="001E6BA7">
        <w:rPr>
          <w:rFonts w:cs="Times New Roman"/>
          <w:szCs w:val="24"/>
        </w:rPr>
        <w:t>might be</w:t>
      </w:r>
      <w:r>
        <w:rPr>
          <w:rFonts w:cs="Times New Roman"/>
          <w:szCs w:val="24"/>
        </w:rPr>
        <w:t xml:space="preserve"> essential for the identification of absorption parameters as the accuracy of approxi</w:t>
      </w:r>
      <w:r w:rsidR="00BB2C1B">
        <w:rPr>
          <w:rFonts w:cs="Times New Roman"/>
          <w:szCs w:val="24"/>
        </w:rPr>
        <w:t>mate solutions are not known.</w:t>
      </w:r>
      <w:r w:rsidR="00BB2C1B">
        <w:rPr>
          <w:rFonts w:cs="Times New Roman"/>
          <w:szCs w:val="24"/>
        </w:rPr>
        <w:tab/>
      </w:r>
      <w:r w:rsidR="00BB2C1B">
        <w:rPr>
          <w:rFonts w:cs="Times New Roman"/>
          <w:szCs w:val="24"/>
        </w:rPr>
        <w:tab/>
      </w:r>
    </w:p>
    <w:p w14:paraId="07B9C55D" w14:textId="77777777" w:rsidR="000C2D31" w:rsidRDefault="000C2D31" w:rsidP="00B63058">
      <w:pPr>
        <w:pStyle w:val="Heading3"/>
      </w:pPr>
      <w:bookmarkStart w:id="52" w:name="_Ref520894008"/>
      <w:bookmarkStart w:id="53" w:name="_Toc531943742"/>
      <w:r>
        <w:t>Non-dimensional Langmuir-type Diffusion Model</w:t>
      </w:r>
      <w:bookmarkEnd w:id="52"/>
      <w:bookmarkEnd w:id="53"/>
    </w:p>
    <w:p w14:paraId="7CD52E90" w14:textId="77777777" w:rsidR="000C2D31" w:rsidRDefault="000C2D31" w:rsidP="000C2D31">
      <w:r>
        <w:t>A non-dimensional form of Langmuir-type diffusion model is derived for further use of the model. Non-dimensional form of the model for a fully immersed thin plate is:</w:t>
      </w:r>
    </w:p>
    <w:tbl>
      <w:tblPr>
        <w:tblW w:w="0" w:type="auto"/>
        <w:tblLook w:val="04A0" w:firstRow="1" w:lastRow="0" w:firstColumn="1" w:lastColumn="0" w:noHBand="0" w:noVBand="1"/>
      </w:tblPr>
      <w:tblGrid>
        <w:gridCol w:w="7825"/>
        <w:gridCol w:w="736"/>
      </w:tblGrid>
      <w:tr w:rsidR="000C2D31" w14:paraId="13C2893E" w14:textId="77777777" w:rsidTr="000C2D31">
        <w:tc>
          <w:tcPr>
            <w:tcW w:w="7825" w:type="dxa"/>
            <w:vAlign w:val="center"/>
          </w:tcPr>
          <w:p w14:paraId="196849D8" w14:textId="77777777" w:rsidR="000C2D31" w:rsidRPr="00496435" w:rsidRDefault="007B3686" w:rsidP="00810427">
            <w:pPr>
              <w:pStyle w:val="Equations"/>
            </w:pPr>
            <m:oMathPara>
              <m:oMath>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m:t>
                        </m:r>
                      </m:sup>
                    </m:sSup>
                  </m:num>
                  <m:den>
                    <m:r>
                      <w:rPr>
                        <w:rFonts w:ascii="Cambria Math" w:hAnsi="Cambria Math"/>
                      </w:rPr>
                      <m:t>∂</m:t>
                    </m:r>
                    <m:sSup>
                      <m:sSupPr>
                        <m:ctrlPr>
                          <w:rPr>
                            <w:rFonts w:ascii="Cambria Math" w:hAnsi="Cambria Math"/>
                          </w:rPr>
                        </m:ctrlPr>
                      </m:sSupPr>
                      <m:e>
                        <m:sSup>
                          <m:sSupPr>
                            <m:ctrlPr>
                              <w:rPr>
                                <w:rFonts w:ascii="Cambria Math" w:hAnsi="Cambria Math"/>
                                <w:i/>
                                <w:iCs/>
                              </w:rPr>
                            </m:ctrlPr>
                          </m:sSupPr>
                          <m:e>
                            <m:r>
                              <w:rPr>
                                <w:rFonts w:ascii="Cambria Math" w:hAnsi="Cambria Math"/>
                              </w:rPr>
                              <m:t>z</m:t>
                            </m:r>
                          </m:e>
                          <m:sup>
                            <m:r>
                              <w:rPr>
                                <w:rFonts w:ascii="Cambria Math" w:hAnsi="Cambria Math"/>
                              </w:rPr>
                              <m:t>*</m:t>
                            </m:r>
                          </m:sup>
                        </m:sSup>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m:t>
                    </m:r>
                    <m:sSup>
                      <m:sSupPr>
                        <m:ctrlPr>
                          <w:rPr>
                            <w:rFonts w:ascii="Cambria Math" w:hAnsi="Cambria Math"/>
                          </w:rPr>
                        </m:ctrlPr>
                      </m:sSupPr>
                      <m:e>
                        <m:r>
                          <w:rPr>
                            <w:rFonts w:ascii="Cambria Math" w:hAnsi="Cambria Math"/>
                          </w:rPr>
                          <m:t>n</m:t>
                        </m:r>
                      </m:e>
                      <m:sup>
                        <m:r>
                          <m:rPr>
                            <m:sty m:val="p"/>
                          </m:rPr>
                          <w:rPr>
                            <w:rFonts w:ascii="Cambria Math" w:hAnsi="Cambria Math"/>
                          </w:rPr>
                          <m:t>*</m:t>
                        </m:r>
                      </m:sup>
                    </m:sSup>
                  </m:num>
                  <m:den>
                    <m: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m:t>
                        </m:r>
                      </m:sup>
                    </m:sSup>
                  </m:den>
                </m:f>
                <m:r>
                  <m:rPr>
                    <m:sty m:val="p"/>
                  </m:rPr>
                  <w:rPr>
                    <w:rFonts w:ascii="Cambria Math" w:hAnsi="Cambria Math"/>
                  </w:rPr>
                  <m:t>+</m:t>
                </m:r>
                <m:sSup>
                  <m:sSupPr>
                    <m:ctrlPr>
                      <w:rPr>
                        <w:rFonts w:ascii="Cambria Math" w:hAnsi="Cambria Math"/>
                      </w:rPr>
                    </m:ctrlPr>
                  </m:sSupPr>
                  <m:e>
                    <m:r>
                      <m:rPr>
                        <m:sty m:val="p"/>
                      </m:rPr>
                      <w:rPr>
                        <w:rFonts w:ascii="Cambria Math" w:hAnsi="Cambria Math"/>
                      </w:rPr>
                      <m:t>µ</m:t>
                    </m:r>
                  </m:e>
                  <m:sup>
                    <m:r>
                      <m:rPr>
                        <m:sty m:val="p"/>
                      </m:rPr>
                      <w:rPr>
                        <w:rFonts w:ascii="Cambria Math" w:hAnsi="Cambria Math"/>
                      </w:rPr>
                      <m:t>*</m:t>
                    </m:r>
                  </m:sup>
                </m:sSup>
                <m:f>
                  <m:fPr>
                    <m:ctrlPr>
                      <w:rPr>
                        <w:rFonts w:ascii="Cambria Math" w:hAnsi="Cambria Math"/>
                      </w:rPr>
                    </m:ctrlPr>
                  </m:fPr>
                  <m:num>
                    <m:r>
                      <w:rPr>
                        <w:rFonts w:ascii="Cambria Math" w:hAnsi="Cambria Math"/>
                      </w:rPr>
                      <m:t>∂</m:t>
                    </m:r>
                    <m:sSup>
                      <m:sSupPr>
                        <m:ctrlPr>
                          <w:rPr>
                            <w:rFonts w:ascii="Cambria Math" w:hAnsi="Cambria Math"/>
                          </w:rPr>
                        </m:ctrlPr>
                      </m:sSupPr>
                      <m:e>
                        <m:r>
                          <w:rPr>
                            <w:rFonts w:ascii="Cambria Math" w:hAnsi="Cambria Math"/>
                          </w:rPr>
                          <m:t>N</m:t>
                        </m:r>
                      </m:e>
                      <m:sup>
                        <m:r>
                          <m:rPr>
                            <m:sty m:val="p"/>
                          </m:rPr>
                          <w:rPr>
                            <w:rFonts w:ascii="Cambria Math" w:hAnsi="Cambria Math"/>
                          </w:rPr>
                          <m:t>*</m:t>
                        </m:r>
                      </m:sup>
                    </m:sSup>
                  </m:num>
                  <m:den>
                    <m: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m:t>
                        </m:r>
                      </m:sup>
                    </m:sSup>
                  </m:den>
                </m:f>
              </m:oMath>
            </m:oMathPara>
          </w:p>
        </w:tc>
        <w:tc>
          <w:tcPr>
            <w:tcW w:w="661" w:type="dxa"/>
            <w:vAlign w:val="center"/>
          </w:tcPr>
          <w:p w14:paraId="50E59CF0" w14:textId="77777777" w:rsidR="000C2D31" w:rsidRDefault="000C2D31" w:rsidP="00810427">
            <w:pPr>
              <w:pStyle w:val="Equations"/>
            </w:pPr>
            <w:r>
              <w:t>(14a)</w:t>
            </w:r>
          </w:p>
        </w:tc>
      </w:tr>
      <w:tr w:rsidR="000C2D31" w14:paraId="250335CA" w14:textId="77777777" w:rsidTr="000C2D31">
        <w:tc>
          <w:tcPr>
            <w:tcW w:w="7825" w:type="dxa"/>
            <w:vAlign w:val="center"/>
          </w:tcPr>
          <w:p w14:paraId="2917D223" w14:textId="77777777" w:rsidR="000C2D31" w:rsidRPr="00496435" w:rsidRDefault="007B3686" w:rsidP="00810427">
            <w:pPr>
              <w:pStyle w:val="Equations"/>
            </w:pPr>
            <m:oMathPara>
              <m:oMath>
                <m:f>
                  <m:fPr>
                    <m:ctrlPr>
                      <w:rPr>
                        <w:rFonts w:ascii="Cambria Math" w:hAnsi="Cambria Math"/>
                      </w:rPr>
                    </m:ctrlPr>
                  </m:fPr>
                  <m:num>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m:t>
                        </m:r>
                      </m:sup>
                    </m:sSup>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m:t>
                        </m:r>
                      </m:sup>
                    </m:sSup>
                  </m:den>
                </m:f>
                <m:r>
                  <m:rPr>
                    <m:sty m:val="p"/>
                  </m:rP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m:t>
                    </m:r>
                  </m:sup>
                </m:sSup>
                <m:r>
                  <m:rPr>
                    <m:sty m:val="p"/>
                  </m:rP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m:t>
                </m:r>
              </m:oMath>
            </m:oMathPara>
          </w:p>
        </w:tc>
        <w:tc>
          <w:tcPr>
            <w:tcW w:w="661" w:type="dxa"/>
            <w:vAlign w:val="center"/>
          </w:tcPr>
          <w:p w14:paraId="11E54E8D" w14:textId="77777777" w:rsidR="000C2D31" w:rsidRDefault="000C2D31" w:rsidP="00810427">
            <w:pPr>
              <w:pStyle w:val="Equations"/>
            </w:pPr>
            <w:r>
              <w:t>(14b)</w:t>
            </w:r>
          </w:p>
        </w:tc>
      </w:tr>
    </w:tbl>
    <w:p w14:paraId="07335390" w14:textId="0BE9D390" w:rsidR="000C2D31" w:rsidRPr="008C4139" w:rsidRDefault="00B964E3" w:rsidP="00394D74">
      <w:pPr>
        <w:ind w:firstLine="0"/>
      </w:pPr>
      <w:proofErr w:type="gramStart"/>
      <w:r>
        <w:t>where</w:t>
      </w:r>
      <w:proofErr w:type="gramEnd"/>
    </w:p>
    <w:tbl>
      <w:tblPr>
        <w:tblW w:w="0" w:type="auto"/>
        <w:tblLook w:val="04A0" w:firstRow="1" w:lastRow="0" w:firstColumn="1" w:lastColumn="0" w:noHBand="0" w:noVBand="1"/>
      </w:tblPr>
      <w:tblGrid>
        <w:gridCol w:w="4249"/>
        <w:gridCol w:w="4247"/>
      </w:tblGrid>
      <w:tr w:rsidR="000C2D31" w14:paraId="6AF4B272" w14:textId="77777777" w:rsidTr="00394D74">
        <w:tc>
          <w:tcPr>
            <w:tcW w:w="4249" w:type="dxa"/>
          </w:tcPr>
          <w:p w14:paraId="5719723C" w14:textId="77777777" w:rsidR="000C2D31" w:rsidRPr="00DA50D2" w:rsidRDefault="007B3686" w:rsidP="00810427">
            <w:pPr>
              <w:pStyle w:val="Equations"/>
            </w:pPr>
            <m:oMathPara>
              <m:oMath>
                <m:sSup>
                  <m:sSupPr>
                    <m:ctrlPr>
                      <w:rPr>
                        <w:rFonts w:ascii="Cambria Math" w:hAnsi="Cambria Math"/>
                      </w:rPr>
                    </m:ctrlPr>
                  </m:sSupPr>
                  <m:e>
                    <m:r>
                      <w:rPr>
                        <w:rFonts w:ascii="Cambria Math" w:hAnsi="Cambria Math"/>
                      </w:rPr>
                      <m:t>z</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z</m:t>
                    </m:r>
                  </m:num>
                  <m:den>
                    <m:r>
                      <w:rPr>
                        <w:rFonts w:ascii="Cambria Math" w:hAnsi="Cambria Math"/>
                      </w:rPr>
                      <m:t>h</m:t>
                    </m:r>
                  </m:den>
                </m:f>
              </m:oMath>
            </m:oMathPara>
          </w:p>
        </w:tc>
        <w:tc>
          <w:tcPr>
            <w:tcW w:w="4247" w:type="dxa"/>
          </w:tcPr>
          <w:p w14:paraId="0640471C" w14:textId="77777777" w:rsidR="000C2D31" w:rsidRPr="00DA50D2" w:rsidRDefault="007B3686" w:rsidP="00810427">
            <w:pPr>
              <w:pStyle w:val="Equations"/>
            </w:pPr>
            <m:oMathPara>
              <m:oMath>
                <m:sSup>
                  <m:sSupPr>
                    <m:ctrlPr>
                      <w:rPr>
                        <w:rFonts w:ascii="Cambria Math" w:hAnsi="Cambria Math"/>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D</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r>
                  <w:rPr>
                    <w:rFonts w:ascii="Cambria Math" w:hAnsi="Cambria Math"/>
                  </w:rPr>
                  <m:t>t</m:t>
                </m:r>
              </m:oMath>
            </m:oMathPara>
          </w:p>
        </w:tc>
      </w:tr>
      <w:tr w:rsidR="000C2D31" w14:paraId="46F5A373" w14:textId="77777777" w:rsidTr="00394D74">
        <w:tc>
          <w:tcPr>
            <w:tcW w:w="4249" w:type="dxa"/>
          </w:tcPr>
          <w:p w14:paraId="486E9EDF" w14:textId="77777777" w:rsidR="000C2D31" w:rsidRPr="00DA50D2" w:rsidRDefault="007B3686" w:rsidP="00810427">
            <w:pPr>
              <w:pStyle w:val="Equations"/>
            </w:pPr>
            <m:oMathPara>
              <m:oMath>
                <m:sSup>
                  <m:sSupPr>
                    <m:ctrlPr>
                      <w:rPr>
                        <w:rFonts w:ascii="Cambria Math" w:hAnsi="Cambria Math"/>
                      </w:rPr>
                    </m:ctrlPr>
                  </m:sSupPr>
                  <m:e>
                    <m:r>
                      <w:rPr>
                        <w:rFonts w:ascii="Cambria Math" w:hAnsi="Cambria Math"/>
                      </w:rPr>
                      <m:t>β</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w:rPr>
                        <w:rFonts w:ascii="Cambria Math" w:hAnsi="Cambria Math"/>
                      </w:rPr>
                      <m:t>D</m:t>
                    </m:r>
                  </m:den>
                </m:f>
                <m:r>
                  <w:rPr>
                    <w:rFonts w:ascii="Cambria Math" w:hAnsi="Cambria Math"/>
                  </w:rPr>
                  <m:t>β</m:t>
                </m:r>
              </m:oMath>
            </m:oMathPara>
          </w:p>
        </w:tc>
        <w:tc>
          <w:tcPr>
            <w:tcW w:w="4247" w:type="dxa"/>
          </w:tcPr>
          <w:p w14:paraId="56D1BABC" w14:textId="77777777" w:rsidR="000C2D31" w:rsidRPr="00DA50D2" w:rsidRDefault="007B3686" w:rsidP="00810427">
            <w:pPr>
              <w:pStyle w:val="Equations"/>
            </w:pPr>
            <m:oMathPara>
              <m:oMath>
                <m:sSup>
                  <m:sSupPr>
                    <m:ctrlPr>
                      <w:rPr>
                        <w:rFonts w:ascii="Cambria Math" w:hAnsi="Cambria Math"/>
                      </w:rPr>
                    </m:ctrlPr>
                  </m:sSupPr>
                  <m:e>
                    <m:r>
                      <w:rPr>
                        <w:rFonts w:ascii="Cambria Math" w:hAnsi="Cambria Math"/>
                      </w:rPr>
                      <m:t>γ</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w:rPr>
                        <w:rFonts w:ascii="Cambria Math" w:hAnsi="Cambria Math"/>
                      </w:rPr>
                      <m:t>D</m:t>
                    </m:r>
                  </m:den>
                </m:f>
                <m:r>
                  <w:rPr>
                    <w:rFonts w:ascii="Cambria Math" w:hAnsi="Cambria Math"/>
                  </w:rPr>
                  <m:t>γ</m:t>
                </m:r>
              </m:oMath>
            </m:oMathPara>
          </w:p>
        </w:tc>
      </w:tr>
      <w:tr w:rsidR="000C2D31" w14:paraId="12B0DAE8" w14:textId="77777777" w:rsidTr="00394D74">
        <w:tc>
          <w:tcPr>
            <w:tcW w:w="4249" w:type="dxa"/>
          </w:tcPr>
          <w:p w14:paraId="588C54DB" w14:textId="77777777" w:rsidR="000C2D31" w:rsidRPr="00DA50D2" w:rsidRDefault="007B3686" w:rsidP="00810427">
            <w:pPr>
              <w:pStyle w:val="Equations"/>
            </w:pPr>
            <m:oMathPara>
              <m:oMath>
                <m:sSup>
                  <m:sSupPr>
                    <m:ctrlPr>
                      <w:rPr>
                        <w:rFonts w:ascii="Cambria Math" w:hAnsi="Cambria Math"/>
                      </w:rPr>
                    </m:ctrlPr>
                  </m:sSupPr>
                  <m:e>
                    <m:r>
                      <w:rPr>
                        <w:rFonts w:ascii="Cambria Math" w:hAnsi="Cambria Math"/>
                      </w:rPr>
                      <m:t>n</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n</m:t>
                    </m:r>
                  </m:num>
                  <m:den>
                    <m:sSub>
                      <m:sSubPr>
                        <m:ctrlPr>
                          <w:rPr>
                            <w:rFonts w:ascii="Cambria Math" w:hAnsi="Cambria Math"/>
                            <w:iCs/>
                            <w:color w:val="000000" w:themeColor="text1"/>
                            <w:kern w:val="24"/>
                          </w:rPr>
                        </m:ctrlPr>
                      </m:sSubPr>
                      <m:e>
                        <m:r>
                          <w:rPr>
                            <w:rFonts w:ascii="Cambria Math" w:hAnsi="Cambria Math"/>
                            <w:color w:val="000000" w:themeColor="text1"/>
                            <w:kern w:val="24"/>
                          </w:rPr>
                          <m:t>n</m:t>
                        </m:r>
                      </m:e>
                      <m:sub>
                        <m:r>
                          <m:rPr>
                            <m:sty m:val="p"/>
                          </m:rPr>
                          <w:rPr>
                            <w:rFonts w:ascii="Cambria Math" w:hAnsi="Cambria Math"/>
                            <w:color w:val="000000" w:themeColor="text1"/>
                            <w:kern w:val="24"/>
                          </w:rPr>
                          <m:t>∞</m:t>
                        </m:r>
                      </m:sub>
                    </m:sSub>
                  </m:den>
                </m:f>
              </m:oMath>
            </m:oMathPara>
          </w:p>
        </w:tc>
        <w:tc>
          <w:tcPr>
            <w:tcW w:w="4247" w:type="dxa"/>
          </w:tcPr>
          <w:p w14:paraId="1AA04CD9" w14:textId="77777777" w:rsidR="000C2D31" w:rsidRPr="00DA50D2" w:rsidRDefault="007B3686" w:rsidP="00810427">
            <w:pPr>
              <w:pStyle w:val="Equations"/>
            </w:pPr>
            <m:oMathPara>
              <m:oMath>
                <m:sSup>
                  <m:sSupPr>
                    <m:ctrlPr>
                      <w:rPr>
                        <w:rFonts w:ascii="Cambria Math" w:hAnsi="Cambria Math"/>
                      </w:rPr>
                    </m:ctrlPr>
                  </m:sSupPr>
                  <m:e>
                    <m:r>
                      <w:rPr>
                        <w:rFonts w:ascii="Cambria Math" w:hAnsi="Cambria Math"/>
                      </w:rPr>
                      <m:t>N</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N</m:t>
                    </m:r>
                  </m:num>
                  <m:den>
                    <m:sSub>
                      <m:sSubPr>
                        <m:ctrlPr>
                          <w:rPr>
                            <w:rFonts w:ascii="Cambria Math" w:hAnsi="Cambria Math"/>
                            <w:iCs/>
                            <w:color w:val="000000" w:themeColor="text1"/>
                            <w:kern w:val="24"/>
                          </w:rPr>
                        </m:ctrlPr>
                      </m:sSubPr>
                      <m:e>
                        <m:r>
                          <w:rPr>
                            <w:rFonts w:ascii="Cambria Math" w:hAnsi="Cambria Math"/>
                            <w:color w:val="000000" w:themeColor="text1"/>
                            <w:kern w:val="24"/>
                          </w:rPr>
                          <m:t>N</m:t>
                        </m:r>
                      </m:e>
                      <m:sub>
                        <m:r>
                          <m:rPr>
                            <m:sty m:val="p"/>
                          </m:rPr>
                          <w:rPr>
                            <w:rFonts w:ascii="Cambria Math" w:hAnsi="Cambria Math"/>
                            <w:color w:val="000000" w:themeColor="text1"/>
                            <w:kern w:val="24"/>
                          </w:rPr>
                          <m:t>∞</m:t>
                        </m:r>
                      </m:sub>
                    </m:sSub>
                  </m:den>
                </m:f>
              </m:oMath>
            </m:oMathPara>
          </w:p>
        </w:tc>
      </w:tr>
      <w:tr w:rsidR="000C2D31" w14:paraId="698EF847" w14:textId="77777777" w:rsidTr="00394D74">
        <w:tc>
          <w:tcPr>
            <w:tcW w:w="8496" w:type="dxa"/>
            <w:gridSpan w:val="2"/>
          </w:tcPr>
          <w:p w14:paraId="25CAA0FE" w14:textId="77777777" w:rsidR="000C2D31" w:rsidRPr="00DA50D2" w:rsidRDefault="007B3686" w:rsidP="00810427">
            <w:pPr>
              <w:pStyle w:val="Equations"/>
            </w:pPr>
            <m:oMathPara>
              <m:oMath>
                <m:sSup>
                  <m:sSupPr>
                    <m:ctrlPr>
                      <w:rPr>
                        <w:rFonts w:ascii="Cambria Math" w:hAnsi="Cambria Math"/>
                      </w:rPr>
                    </m:ctrlPr>
                  </m:sSupPr>
                  <m:e>
                    <m:r>
                      <m:rPr>
                        <m:sty m:val="p"/>
                      </m:rPr>
                      <w:rPr>
                        <w:rFonts w:ascii="Cambria Math" w:hAnsi="Cambria Math"/>
                      </w:rPr>
                      <m:t>µ</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γ</m:t>
                        </m:r>
                      </m:e>
                      <m:sup>
                        <m:r>
                          <m:rPr>
                            <m:sty m:val="p"/>
                          </m:rPr>
                          <w:rPr>
                            <w:rFonts w:ascii="Cambria Math" w:hAnsi="Cambria Math"/>
                          </w:rPr>
                          <m:t>*</m:t>
                        </m:r>
                      </m:sup>
                    </m:sSup>
                  </m:num>
                  <m:den>
                    <m:sSup>
                      <m:sSupPr>
                        <m:ctrlPr>
                          <w:rPr>
                            <w:rFonts w:ascii="Cambria Math" w:hAnsi="Cambria Math"/>
                          </w:rPr>
                        </m:ctrlPr>
                      </m:sSupPr>
                      <m:e>
                        <m:r>
                          <w:rPr>
                            <w:rFonts w:ascii="Cambria Math" w:hAnsi="Cambria Math"/>
                          </w:rPr>
                          <m:t>β</m:t>
                        </m:r>
                      </m:e>
                      <m:sup>
                        <m:r>
                          <m:rPr>
                            <m:sty m:val="p"/>
                          </m:rPr>
                          <w:rPr>
                            <w:rFonts w:ascii="Cambria Math" w:hAnsi="Cambria Math"/>
                          </w:rPr>
                          <m:t>*</m:t>
                        </m:r>
                      </m:sup>
                    </m:sSup>
                  </m:den>
                </m:f>
              </m:oMath>
            </m:oMathPara>
          </w:p>
        </w:tc>
      </w:tr>
    </w:tbl>
    <w:p w14:paraId="70FC5785" w14:textId="09EE488C" w:rsidR="006B19BD" w:rsidRDefault="00394D74" w:rsidP="00BB2C1B">
      <w:r>
        <w:lastRenderedPageBreak/>
        <w:t xml:space="preserve">The non-dimensional form of an equation can be particularly useful since it does not include any dimensional variable property and mostly useful to handle more complex systems governed by multiple dimensional variables. It can be utilized to uncover new physical phenomena that depends on the </w:t>
      </w:r>
      <w:proofErr w:type="spellStart"/>
      <w:r>
        <w:t>nondimensional</w:t>
      </w:r>
      <w:proofErr w:type="spellEnd"/>
      <w:r>
        <w:t xml:space="preserve"> properties or better describe the absorption behavior, revealing underlying principles. The non-dimensional form of Langmuir-type diffusion model, </w:t>
      </w:r>
      <w:r w:rsidR="000C2D31">
        <w:t xml:space="preserve">Eqs. </w:t>
      </w:r>
      <w:r w:rsidR="009B05F7">
        <w:t>(</w:t>
      </w:r>
      <w:r w:rsidR="000C2D31">
        <w:t>14</w:t>
      </w:r>
      <w:r w:rsidR="009B05F7">
        <w:t>)</w:t>
      </w:r>
      <w:r w:rsidR="000C2D31">
        <w:t>, will be adopted to derive a convenient approximate solution for three-dimens</w:t>
      </w:r>
      <w:r w:rsidR="00BB2C1B">
        <w:t>ional hindered diffusion model.</w:t>
      </w:r>
    </w:p>
    <w:p w14:paraId="68C774AA" w14:textId="40D0DB86" w:rsidR="000C2D31" w:rsidRDefault="006D2C83" w:rsidP="00BB2C1B">
      <w:pPr>
        <w:pStyle w:val="Heading2"/>
      </w:pPr>
      <w:bookmarkStart w:id="54" w:name="_Toc531943743"/>
      <w:r>
        <w:t>2.3.</w:t>
      </w:r>
      <w:r w:rsidR="007021F2">
        <w:t xml:space="preserve"> </w:t>
      </w:r>
      <w:r w:rsidR="000C2D31">
        <w:t>Fickian and Non-Fickian Absorption in Polymers</w:t>
      </w:r>
      <w:bookmarkEnd w:id="54"/>
    </w:p>
    <w:p w14:paraId="46D385E8" w14:textId="558174ED" w:rsidR="000C2D31" w:rsidRDefault="000C2D31" w:rsidP="000C2D31">
      <w:pPr>
        <w:rPr>
          <w:rFonts w:cs="Times New Roman"/>
          <w:szCs w:val="24"/>
        </w:rPr>
      </w:pPr>
      <w:r w:rsidRPr="00C679E0">
        <w:rPr>
          <w:rFonts w:cs="Times New Roman"/>
          <w:szCs w:val="24"/>
        </w:rPr>
        <w:t xml:space="preserve">The moisture absorption </w:t>
      </w:r>
      <w:r>
        <w:rPr>
          <w:rFonts w:cs="Times New Roman"/>
          <w:szCs w:val="24"/>
        </w:rPr>
        <w:t xml:space="preserve">in most polymers starts with fast unbound moisture uptake and continues until all vacant sites are filled with unbound moisture. For a Fickian diffusion that describes the whole absorption process which can be seen in </w:t>
      </w:r>
      <w:r w:rsidR="00E95B4D">
        <w:rPr>
          <w:rFonts w:cs="Times New Roman"/>
          <w:szCs w:val="24"/>
        </w:rPr>
        <w:fldChar w:fldCharType="begin"/>
      </w:r>
      <w:r w:rsidR="00E95B4D">
        <w:rPr>
          <w:rFonts w:cs="Times New Roman"/>
          <w:szCs w:val="24"/>
        </w:rPr>
        <w:instrText xml:space="preserve"> REF _Ref521415821 \h </w:instrText>
      </w:r>
      <w:r w:rsidR="00E95B4D">
        <w:rPr>
          <w:rFonts w:cs="Times New Roman"/>
          <w:szCs w:val="24"/>
        </w:rPr>
      </w:r>
      <w:r w:rsidR="00E95B4D">
        <w:rPr>
          <w:rFonts w:cs="Times New Roman"/>
          <w:szCs w:val="24"/>
        </w:rPr>
        <w:fldChar w:fldCharType="separate"/>
      </w:r>
      <w:r w:rsidR="006D52C2">
        <w:t xml:space="preserve">Figure </w:t>
      </w:r>
      <w:r w:rsidR="006D52C2">
        <w:rPr>
          <w:noProof/>
        </w:rPr>
        <w:t>1</w:t>
      </w:r>
      <w:r w:rsidR="00E95B4D">
        <w:rPr>
          <w:rFonts w:cs="Times New Roman"/>
          <w:szCs w:val="24"/>
        </w:rPr>
        <w:fldChar w:fldCharType="end"/>
      </w:r>
      <w:r>
        <w:rPr>
          <w:rFonts w:cs="Times New Roman"/>
          <w:szCs w:val="24"/>
        </w:rPr>
        <w:t>. However, in non-Fickian case, the moisture absorption does not stop here. As can be seen in</w:t>
      </w:r>
      <w:r w:rsidR="00E95B4D">
        <w:rPr>
          <w:rFonts w:cs="Times New Roman"/>
          <w:szCs w:val="24"/>
        </w:rPr>
        <w:t xml:space="preserve"> </w:t>
      </w:r>
      <w:r w:rsidR="00E95B4D">
        <w:rPr>
          <w:rFonts w:cs="Times New Roman"/>
          <w:szCs w:val="24"/>
        </w:rPr>
        <w:fldChar w:fldCharType="begin"/>
      </w:r>
      <w:r w:rsidR="00E95B4D">
        <w:rPr>
          <w:rFonts w:cs="Times New Roman"/>
          <w:szCs w:val="24"/>
        </w:rPr>
        <w:instrText xml:space="preserve"> REF _Ref521415851 \h </w:instrText>
      </w:r>
      <w:r w:rsidR="00E95B4D">
        <w:rPr>
          <w:rFonts w:cs="Times New Roman"/>
          <w:szCs w:val="24"/>
        </w:rPr>
      </w:r>
      <w:r w:rsidR="00E95B4D">
        <w:rPr>
          <w:rFonts w:cs="Times New Roman"/>
          <w:szCs w:val="24"/>
        </w:rPr>
        <w:fldChar w:fldCharType="separate"/>
      </w:r>
      <w:r w:rsidR="006D52C2">
        <w:t xml:space="preserve">Figure </w:t>
      </w:r>
      <w:r w:rsidR="006D52C2">
        <w:rPr>
          <w:noProof/>
        </w:rPr>
        <w:t>2</w:t>
      </w:r>
      <w:r w:rsidR="00E95B4D">
        <w:rPr>
          <w:rFonts w:cs="Times New Roman"/>
          <w:szCs w:val="24"/>
        </w:rPr>
        <w:fldChar w:fldCharType="end"/>
      </w:r>
      <w:r>
        <w:rPr>
          <w:rFonts w:cs="Times New Roman"/>
          <w:szCs w:val="24"/>
        </w:rPr>
        <w:t xml:space="preserve">, during the unbound moisture uptake that some unbound molecules interact with the polymer medium and slowly become bound. Even though all the vacant sites are filled with unbound moisture, the polymer will continue to absorb since conversion from unbound moisture to bound remains. </w:t>
      </w:r>
      <w:r w:rsidR="005C3096">
        <w:rPr>
          <w:rFonts w:cs="Times New Roman"/>
          <w:szCs w:val="24"/>
        </w:rPr>
        <w:t>M</w:t>
      </w:r>
      <w:r>
        <w:rPr>
          <w:rFonts w:cs="Times New Roman"/>
          <w:szCs w:val="24"/>
        </w:rPr>
        <w:t>oisture absorption reaches an equilibrium once the number of bound moisture does not change in time. In other words, the exchange rate between the bound and unbound moisture is equal. It should be noted here that bound moisture cannot diffuse into the polymer. Only the diffused unbound moisture can turn into bound moisture.</w:t>
      </w:r>
    </w:p>
    <w:p w14:paraId="36FB1943" w14:textId="626F8F6C" w:rsidR="0076629B" w:rsidRDefault="00E95B4D" w:rsidP="0076629B">
      <w:r>
        <w:rPr>
          <w:rFonts w:cs="Times New Roman"/>
          <w:szCs w:val="24"/>
        </w:rPr>
        <w:fldChar w:fldCharType="begin"/>
      </w:r>
      <w:r>
        <w:rPr>
          <w:rFonts w:cs="Times New Roman"/>
          <w:szCs w:val="24"/>
        </w:rPr>
        <w:instrText xml:space="preserve"> REF _Ref521416013 \h </w:instrText>
      </w:r>
      <w:r>
        <w:rPr>
          <w:rFonts w:cs="Times New Roman"/>
          <w:szCs w:val="24"/>
        </w:rPr>
      </w:r>
      <w:r>
        <w:rPr>
          <w:rFonts w:cs="Times New Roman"/>
          <w:szCs w:val="24"/>
        </w:rPr>
        <w:fldChar w:fldCharType="separate"/>
      </w:r>
      <w:r w:rsidR="006D52C2">
        <w:t xml:space="preserve">Figure </w:t>
      </w:r>
      <w:r w:rsidR="006D52C2">
        <w:rPr>
          <w:noProof/>
        </w:rPr>
        <w:t>8</w:t>
      </w:r>
      <w:r>
        <w:rPr>
          <w:rFonts w:cs="Times New Roman"/>
          <w:szCs w:val="24"/>
        </w:rPr>
        <w:fldChar w:fldCharType="end"/>
      </w:r>
      <w:r>
        <w:rPr>
          <w:rFonts w:cs="Times New Roman"/>
          <w:szCs w:val="24"/>
        </w:rPr>
        <w:t xml:space="preserve"> </w:t>
      </w:r>
      <w:r w:rsidR="000C2D31">
        <w:rPr>
          <w:rFonts w:cs="Times New Roman"/>
          <w:szCs w:val="24"/>
        </w:rPr>
        <w:t>illustrates</w:t>
      </w:r>
      <w:r w:rsidR="000C2D31" w:rsidRPr="00DA50D2">
        <w:rPr>
          <w:rFonts w:cs="Times New Roman"/>
          <w:szCs w:val="24"/>
        </w:rPr>
        <w:t xml:space="preserve"> </w:t>
      </w:r>
      <w:r w:rsidR="000C2D31">
        <w:rPr>
          <w:rFonts w:cs="Times New Roman"/>
          <w:szCs w:val="24"/>
        </w:rPr>
        <w:t>gravimetric moisture absorption data of quartz/epoxy composite laminate. The fabrication process of the laminate and procedure for moisture absorption test will be further discussed in</w:t>
      </w:r>
      <w:r w:rsidR="00822542">
        <w:rPr>
          <w:rFonts w:cs="Times New Roman"/>
          <w:szCs w:val="24"/>
        </w:rPr>
        <w:t xml:space="preserve"> </w:t>
      </w:r>
      <w:r w:rsidR="00822542">
        <w:rPr>
          <w:rFonts w:cs="Times New Roman"/>
          <w:szCs w:val="24"/>
        </w:rPr>
        <w:fldChar w:fldCharType="begin"/>
      </w:r>
      <w:r w:rsidR="00822542">
        <w:rPr>
          <w:rFonts w:cs="Times New Roman"/>
          <w:szCs w:val="24"/>
        </w:rPr>
        <w:instrText xml:space="preserve"> REF _Ref520893882 \r \h </w:instrText>
      </w:r>
      <w:r w:rsidR="00822542">
        <w:rPr>
          <w:rFonts w:cs="Times New Roman"/>
          <w:szCs w:val="24"/>
        </w:rPr>
      </w:r>
      <w:r w:rsidR="00822542">
        <w:rPr>
          <w:rFonts w:cs="Times New Roman"/>
          <w:szCs w:val="24"/>
        </w:rPr>
        <w:fldChar w:fldCharType="separate"/>
      </w:r>
      <w:r w:rsidR="006D52C2">
        <w:rPr>
          <w:rFonts w:cs="Times New Roman"/>
          <w:szCs w:val="24"/>
        </w:rPr>
        <w:t>Chapter 5</w:t>
      </w:r>
      <w:r w:rsidR="00822542">
        <w:rPr>
          <w:rFonts w:cs="Times New Roman"/>
          <w:szCs w:val="24"/>
        </w:rPr>
        <w:fldChar w:fldCharType="end"/>
      </w:r>
      <w:r w:rsidR="000C2D31">
        <w:rPr>
          <w:rFonts w:cs="Times New Roman"/>
          <w:szCs w:val="24"/>
        </w:rPr>
        <w:t xml:space="preserve">. </w:t>
      </w:r>
      <w:r>
        <w:rPr>
          <w:rFonts w:cs="Times New Roman"/>
          <w:szCs w:val="24"/>
        </w:rPr>
        <w:fldChar w:fldCharType="begin"/>
      </w:r>
      <w:r>
        <w:rPr>
          <w:rFonts w:cs="Times New Roman"/>
          <w:szCs w:val="24"/>
        </w:rPr>
        <w:instrText xml:space="preserve"> REF _Ref521416013 \h </w:instrText>
      </w:r>
      <w:r>
        <w:rPr>
          <w:rFonts w:cs="Times New Roman"/>
          <w:szCs w:val="24"/>
        </w:rPr>
      </w:r>
      <w:r>
        <w:rPr>
          <w:rFonts w:cs="Times New Roman"/>
          <w:szCs w:val="24"/>
        </w:rPr>
        <w:fldChar w:fldCharType="separate"/>
      </w:r>
      <w:r w:rsidR="006D52C2">
        <w:t xml:space="preserve">Figure </w:t>
      </w:r>
      <w:r w:rsidR="006D52C2">
        <w:rPr>
          <w:noProof/>
        </w:rPr>
        <w:t>8</w:t>
      </w:r>
      <w:r>
        <w:rPr>
          <w:rFonts w:cs="Times New Roman"/>
          <w:szCs w:val="24"/>
        </w:rPr>
        <w:fldChar w:fldCharType="end"/>
      </w:r>
      <w:r>
        <w:rPr>
          <w:rFonts w:cs="Times New Roman"/>
          <w:szCs w:val="24"/>
        </w:rPr>
        <w:t xml:space="preserve"> </w:t>
      </w:r>
      <w:r w:rsidR="000C2D31">
        <w:rPr>
          <w:rFonts w:cs="Times New Roman"/>
          <w:szCs w:val="24"/>
        </w:rPr>
        <w:t xml:space="preserve">also demonstrates the moisture absorption prediction of Fickian and hindered diffusion model. Both Fickian and hindered </w:t>
      </w:r>
      <w:r w:rsidR="000C2D31">
        <w:rPr>
          <w:rFonts w:cs="Times New Roman"/>
          <w:szCs w:val="24"/>
        </w:rPr>
        <w:lastRenderedPageBreak/>
        <w:t>diffusion model correlate well with the</w:t>
      </w:r>
      <w:r w:rsidR="00394D74">
        <w:rPr>
          <w:rFonts w:cs="Times New Roman"/>
          <w:szCs w:val="24"/>
        </w:rPr>
        <w:t xml:space="preserve"> initial</w:t>
      </w:r>
      <w:r w:rsidR="000C2D31">
        <w:rPr>
          <w:rFonts w:cs="Times New Roman"/>
          <w:szCs w:val="24"/>
        </w:rPr>
        <w:t xml:space="preserve"> thermo-gravimetric data. However, their future absorpt</w:t>
      </w:r>
      <w:r w:rsidR="0076629B">
        <w:rPr>
          <w:rFonts w:cs="Times New Roman"/>
          <w:szCs w:val="24"/>
        </w:rPr>
        <w:t>ion behavior predictions differ.</w:t>
      </w:r>
    </w:p>
    <w:p w14:paraId="0BE04300" w14:textId="3F6CCF96" w:rsidR="0076629B" w:rsidRDefault="0076629B" w:rsidP="00554848">
      <w:pPr>
        <w:pStyle w:val="NoSpacing"/>
      </w:pPr>
      <w:r>
        <w:rPr>
          <w:noProof/>
          <w:lang w:bidi="ar-SA"/>
        </w:rPr>
        <w:drawing>
          <wp:inline distT="0" distB="0" distL="0" distR="0" wp14:anchorId="7632A885" wp14:editId="78D7B284">
            <wp:extent cx="5028909" cy="3657600"/>
            <wp:effectExtent l="0" t="0" r="635" b="0"/>
            <wp:docPr id="4204" name="Picture 4204" descr="C:\Users\Administrator\Desktop\proje\PhD Dissertation\Chapter 2 fickvs non-fick\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C:\Users\Administrator\Desktop\proje\PhD Dissertation\Chapter 2 fickvs non-fick\Fig2.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8909" cy="3657600"/>
                    </a:xfrm>
                    <a:prstGeom prst="rect">
                      <a:avLst/>
                    </a:prstGeom>
                    <a:noFill/>
                    <a:ln>
                      <a:noFill/>
                    </a:ln>
                  </pic:spPr>
                </pic:pic>
              </a:graphicData>
            </a:graphic>
          </wp:inline>
        </w:drawing>
      </w:r>
    </w:p>
    <w:p w14:paraId="22C8F052" w14:textId="3A3E1EBE" w:rsidR="000C2D31" w:rsidRDefault="00A97BDC" w:rsidP="0069708C">
      <w:pPr>
        <w:pStyle w:val="Caption"/>
      </w:pPr>
      <w:bookmarkStart w:id="55" w:name="_Ref521416013"/>
      <w:bookmarkStart w:id="56" w:name="_Toc530997364"/>
      <w:r>
        <w:t xml:space="preserve">Figure </w:t>
      </w:r>
      <w:r w:rsidR="00B1171B">
        <w:rPr>
          <w:noProof/>
        </w:rPr>
        <w:fldChar w:fldCharType="begin"/>
      </w:r>
      <w:r w:rsidR="00B1171B">
        <w:rPr>
          <w:noProof/>
        </w:rPr>
        <w:instrText xml:space="preserve"> SEQ Figure \* ARABIC </w:instrText>
      </w:r>
      <w:r w:rsidR="00B1171B">
        <w:rPr>
          <w:noProof/>
        </w:rPr>
        <w:fldChar w:fldCharType="separate"/>
      </w:r>
      <w:r w:rsidR="006D52C2">
        <w:rPr>
          <w:noProof/>
        </w:rPr>
        <w:t>8</w:t>
      </w:r>
      <w:r w:rsidR="00B1171B">
        <w:rPr>
          <w:noProof/>
        </w:rPr>
        <w:fldChar w:fldCharType="end"/>
      </w:r>
      <w:bookmarkEnd w:id="55"/>
      <w:r>
        <w:t xml:space="preserve">. </w:t>
      </w:r>
      <w:r w:rsidR="000C2D31">
        <w:t>Experimental moisture absorption data of quartz/epoxy composite laminate of 6 months, Fickian and hindered diffusion model predictions</w:t>
      </w:r>
      <w:bookmarkEnd w:id="56"/>
    </w:p>
    <w:p w14:paraId="11B83117" w14:textId="77777777" w:rsidR="000C2D31" w:rsidRPr="00243B8D" w:rsidRDefault="000C2D31" w:rsidP="000C2D31"/>
    <w:p w14:paraId="623FF4C7" w14:textId="1DE236A2" w:rsidR="000C2D31" w:rsidRDefault="00E95B4D" w:rsidP="000C2D31">
      <w:pPr>
        <w:rPr>
          <w:rFonts w:cs="Times New Roman"/>
          <w:szCs w:val="24"/>
        </w:rPr>
      </w:pPr>
      <w:r>
        <w:rPr>
          <w:rFonts w:cs="Times New Roman"/>
          <w:szCs w:val="24"/>
        </w:rPr>
        <w:fldChar w:fldCharType="begin"/>
      </w:r>
      <w:r>
        <w:rPr>
          <w:rFonts w:cs="Times New Roman"/>
          <w:szCs w:val="24"/>
        </w:rPr>
        <w:instrText xml:space="preserve"> REF _Ref521416038 \h </w:instrText>
      </w:r>
      <w:r>
        <w:rPr>
          <w:rFonts w:cs="Times New Roman"/>
          <w:szCs w:val="24"/>
        </w:rPr>
      </w:r>
      <w:r>
        <w:rPr>
          <w:rFonts w:cs="Times New Roman"/>
          <w:szCs w:val="24"/>
        </w:rPr>
        <w:fldChar w:fldCharType="separate"/>
      </w:r>
      <w:r w:rsidR="006D52C2">
        <w:t xml:space="preserve">Figure </w:t>
      </w:r>
      <w:r w:rsidR="006D52C2">
        <w:rPr>
          <w:noProof/>
        </w:rPr>
        <w:t>9</w:t>
      </w:r>
      <w:r>
        <w:rPr>
          <w:rFonts w:cs="Times New Roman"/>
          <w:szCs w:val="24"/>
        </w:rPr>
        <w:fldChar w:fldCharType="end"/>
      </w:r>
      <w:r w:rsidR="000C2D31">
        <w:rPr>
          <w:rFonts w:cs="Times New Roman"/>
          <w:szCs w:val="24"/>
        </w:rPr>
        <w:t xml:space="preserve"> also shows the moisture absorption data of </w:t>
      </w:r>
      <w:r w:rsidR="005C3096">
        <w:rPr>
          <w:rFonts w:cs="Times New Roman"/>
          <w:szCs w:val="24"/>
        </w:rPr>
        <w:t xml:space="preserve">the </w:t>
      </w:r>
      <w:r w:rsidR="000C2D31">
        <w:rPr>
          <w:rFonts w:cs="Times New Roman"/>
          <w:szCs w:val="24"/>
        </w:rPr>
        <w:t xml:space="preserve">same samples; however, the data is gathered from three-year measurement. It also depicts the Fickian and hindered diffusion model predictions using three-year test data. Hindered diffusion model is in well agreement with the moisture absorption data. However, Fickian model could not </w:t>
      </w:r>
      <w:r w:rsidR="00394D74">
        <w:rPr>
          <w:rFonts w:cs="Times New Roman"/>
          <w:szCs w:val="24"/>
        </w:rPr>
        <w:t>recover</w:t>
      </w:r>
      <w:r w:rsidR="000C2D31">
        <w:rPr>
          <w:rFonts w:cs="Times New Roman"/>
          <w:szCs w:val="24"/>
        </w:rPr>
        <w:t xml:space="preserve"> the absorption behavior of the samples. Chemical interactions between the polar water molecules and polymer chains lead to slower secondary absorption. Fickian model assumes that after the initial uptake, the absorption slows down and immediately stops. Hindered diffusion model </w:t>
      </w:r>
      <w:r w:rsidR="00394D74">
        <w:rPr>
          <w:rFonts w:cs="Times New Roman"/>
          <w:szCs w:val="24"/>
        </w:rPr>
        <w:t>account</w:t>
      </w:r>
      <w:r w:rsidR="000C2D31">
        <w:rPr>
          <w:rFonts w:cs="Times New Roman"/>
          <w:szCs w:val="24"/>
        </w:rPr>
        <w:t>s</w:t>
      </w:r>
      <w:r w:rsidR="00394D74">
        <w:rPr>
          <w:rFonts w:cs="Times New Roman"/>
          <w:szCs w:val="24"/>
        </w:rPr>
        <w:t xml:space="preserve"> for</w:t>
      </w:r>
      <w:r w:rsidR="000C2D31">
        <w:rPr>
          <w:rFonts w:cs="Times New Roman"/>
          <w:szCs w:val="24"/>
        </w:rPr>
        <w:t xml:space="preserve"> those chemical interactions thus is able to capture the absorption behavior. </w:t>
      </w:r>
    </w:p>
    <w:p w14:paraId="0BBF3322" w14:textId="017FAC02" w:rsidR="006D2C83" w:rsidRDefault="00CB4257" w:rsidP="00554848">
      <w:pPr>
        <w:pStyle w:val="NoSpacing"/>
      </w:pPr>
      <w:r w:rsidRPr="00CB4257">
        <w:rPr>
          <w:noProof/>
          <w:lang w:bidi="ar-SA"/>
        </w:rPr>
        <w:lastRenderedPageBreak/>
        <w:drawing>
          <wp:inline distT="0" distB="0" distL="0" distR="0" wp14:anchorId="5B5AD3FD" wp14:editId="5B640F39">
            <wp:extent cx="5028088" cy="3657600"/>
            <wp:effectExtent l="0" t="0" r="1270" b="0"/>
            <wp:docPr id="29" name="Picture 29" descr="C:\Users\Administrator\Desktop\proje\PhD Dissertation\Chapter 2 fickvs non-fick\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Chapter 2 fickvs non-fick\Fig3.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p>
    <w:p w14:paraId="05FB24A1" w14:textId="002B07DF" w:rsidR="006D2C83" w:rsidRDefault="005B3DBB" w:rsidP="0069708C">
      <w:pPr>
        <w:pStyle w:val="Caption"/>
      </w:pPr>
      <w:bookmarkStart w:id="57" w:name="_Ref521416038"/>
      <w:bookmarkStart w:id="58" w:name="_Toc530997365"/>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9</w:t>
      </w:r>
      <w:r w:rsidR="0023508C">
        <w:rPr>
          <w:noProof/>
        </w:rPr>
        <w:fldChar w:fldCharType="end"/>
      </w:r>
      <w:bookmarkEnd w:id="57"/>
      <w:r w:rsidR="006D2C83">
        <w:t>.</w:t>
      </w:r>
      <w:r w:rsidR="006D2C83" w:rsidRPr="006D2C83">
        <w:t xml:space="preserve"> Experimental moisture absorption data of quartz/epoxy composite laminate of 3 years, Fickian and hindered diffusion model predictions</w:t>
      </w:r>
      <w:bookmarkEnd w:id="58"/>
    </w:p>
    <w:p w14:paraId="15B5CC0C" w14:textId="77777777" w:rsidR="006D2C83" w:rsidRPr="006D2C83" w:rsidRDefault="006D2C83" w:rsidP="006D2C83"/>
    <w:p w14:paraId="39633845" w14:textId="39BF41ED" w:rsidR="000C2D31" w:rsidRDefault="000C2D31" w:rsidP="000C2D31">
      <w:pPr>
        <w:rPr>
          <w:rFonts w:cs="Times New Roman"/>
          <w:szCs w:val="24"/>
        </w:rPr>
      </w:pPr>
      <w:r>
        <w:rPr>
          <w:rFonts w:cs="Times New Roman"/>
          <w:szCs w:val="24"/>
        </w:rPr>
        <w:t>The comparison of first and second predictions of the diffusion models and how well they correlate with the absorpti</w:t>
      </w:r>
      <w:r w:rsidR="002B557D">
        <w:rPr>
          <w:rFonts w:cs="Times New Roman"/>
          <w:szCs w:val="24"/>
        </w:rPr>
        <w:t>o</w:t>
      </w:r>
      <w:r w:rsidR="00E95B4D">
        <w:rPr>
          <w:rFonts w:cs="Times New Roman"/>
          <w:szCs w:val="24"/>
        </w:rPr>
        <w:t xml:space="preserve">n data is illustrated in </w:t>
      </w:r>
      <w:r w:rsidR="00E95B4D">
        <w:rPr>
          <w:rFonts w:cs="Times New Roman"/>
          <w:szCs w:val="24"/>
        </w:rPr>
        <w:fldChar w:fldCharType="begin"/>
      </w:r>
      <w:r w:rsidR="00E95B4D">
        <w:rPr>
          <w:rFonts w:cs="Times New Roman"/>
          <w:szCs w:val="24"/>
        </w:rPr>
        <w:instrText xml:space="preserve"> REF _Ref521416055 \h </w:instrText>
      </w:r>
      <w:r w:rsidR="00E95B4D">
        <w:rPr>
          <w:rFonts w:cs="Times New Roman"/>
          <w:szCs w:val="24"/>
        </w:rPr>
      </w:r>
      <w:r w:rsidR="00E95B4D">
        <w:rPr>
          <w:rFonts w:cs="Times New Roman"/>
          <w:szCs w:val="24"/>
        </w:rPr>
        <w:fldChar w:fldCharType="separate"/>
      </w:r>
      <w:r w:rsidR="006D52C2">
        <w:t xml:space="preserve">Figure </w:t>
      </w:r>
      <w:r w:rsidR="006D52C2">
        <w:rPr>
          <w:noProof/>
        </w:rPr>
        <w:t>10</w:t>
      </w:r>
      <w:r w:rsidR="00E95B4D">
        <w:rPr>
          <w:rFonts w:cs="Times New Roman"/>
          <w:szCs w:val="24"/>
        </w:rPr>
        <w:fldChar w:fldCharType="end"/>
      </w:r>
      <w:r>
        <w:rPr>
          <w:rFonts w:cs="Times New Roman"/>
          <w:szCs w:val="24"/>
        </w:rPr>
        <w:t>. Both the first and second predictions of Fickian absorption reflect the absorption behavior due to no chemical interaction assumption of the model. The second prediction of the hindered diffusion model fully represent</w:t>
      </w:r>
      <w:r w:rsidR="005C3096">
        <w:rPr>
          <w:rFonts w:cs="Times New Roman"/>
          <w:szCs w:val="24"/>
        </w:rPr>
        <w:t>s</w:t>
      </w:r>
      <w:r>
        <w:rPr>
          <w:rFonts w:cs="Times New Roman"/>
          <w:szCs w:val="24"/>
        </w:rPr>
        <w:t xml:space="preserve"> the absorption behavior of the samples. Moreover, the first prediction of the hindered diffusion model is only 21% off from the second prediction which shows the early predictive capability of hindered diffusion model.</w:t>
      </w:r>
    </w:p>
    <w:p w14:paraId="68993C07" w14:textId="4CB00A68" w:rsidR="005B3DBB" w:rsidRDefault="00CB4257" w:rsidP="00554848">
      <w:pPr>
        <w:pStyle w:val="NoSpacing"/>
      </w:pPr>
      <w:r w:rsidRPr="00554848">
        <w:rPr>
          <w:noProof/>
          <w:lang w:bidi="ar-SA"/>
        </w:rPr>
        <w:lastRenderedPageBreak/>
        <w:drawing>
          <wp:inline distT="0" distB="0" distL="0" distR="0" wp14:anchorId="58977BF4" wp14:editId="687CB11F">
            <wp:extent cx="5028088" cy="3657600"/>
            <wp:effectExtent l="0" t="0" r="1270" b="0"/>
            <wp:docPr id="34" name="Picture 34" descr="C:\Users\Administrator\Desktop\proje\PhD Dissertation\Chapter 2 fickvs non-fick\Fig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Chapter 2 fickvs non-fick\Fig4.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p>
    <w:p w14:paraId="7AB3212F" w14:textId="57E27192" w:rsidR="000C2D31" w:rsidRPr="005B3DBB" w:rsidRDefault="005B3DBB" w:rsidP="0069708C">
      <w:pPr>
        <w:pStyle w:val="Caption"/>
        <w:rPr>
          <w:rFonts w:cstheme="minorBidi"/>
          <w:szCs w:val="22"/>
        </w:rPr>
      </w:pPr>
      <w:bookmarkStart w:id="59" w:name="_Ref521416055"/>
      <w:bookmarkStart w:id="60" w:name="_Toc530997366"/>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10</w:t>
      </w:r>
      <w:r w:rsidR="0023508C">
        <w:rPr>
          <w:noProof/>
        </w:rPr>
        <w:fldChar w:fldCharType="end"/>
      </w:r>
      <w:bookmarkEnd w:id="59"/>
      <w:r w:rsidR="000C2D31" w:rsidRPr="00094945">
        <w:t>.</w:t>
      </w:r>
      <w:r w:rsidR="000C2D31">
        <w:t xml:space="preserve"> Comparison between the first and second predictions of Fickian and hindered diffusion model</w:t>
      </w:r>
      <w:bookmarkEnd w:id="60"/>
    </w:p>
    <w:p w14:paraId="146EB44B" w14:textId="7A94A28A" w:rsidR="007D3A7E" w:rsidRDefault="007D3A7E">
      <w:pPr>
        <w:spacing w:after="160" w:line="259" w:lineRule="auto"/>
        <w:ind w:firstLine="0"/>
        <w:jc w:val="left"/>
        <w:rPr>
          <w:rFonts w:cs="Times New Roman"/>
          <w:b/>
          <w:iCs/>
          <w:szCs w:val="24"/>
        </w:rPr>
      </w:pPr>
      <w:r>
        <w:rPr>
          <w:rFonts w:cs="Times New Roman"/>
          <w:b/>
          <w:iCs/>
          <w:szCs w:val="24"/>
        </w:rPr>
        <w:br w:type="page"/>
      </w:r>
    </w:p>
    <w:p w14:paraId="450CFBC3" w14:textId="27828B15" w:rsidR="000C2D31" w:rsidRDefault="006D2C83" w:rsidP="00BB2C1B">
      <w:pPr>
        <w:pStyle w:val="Heading2"/>
      </w:pPr>
      <w:bookmarkStart w:id="61" w:name="_Toc531943744"/>
      <w:r>
        <w:lastRenderedPageBreak/>
        <w:t>2.4.</w:t>
      </w:r>
      <w:r w:rsidR="007021F2">
        <w:t xml:space="preserve"> </w:t>
      </w:r>
      <w:r w:rsidR="000C2D31">
        <w:t>Anisotropic Diffusion Models</w:t>
      </w:r>
      <w:bookmarkEnd w:id="61"/>
    </w:p>
    <w:p w14:paraId="4C3663E1" w14:textId="7950F53D" w:rsidR="000C2D31" w:rsidRPr="00934E14" w:rsidRDefault="000C2D31" w:rsidP="00BB2C1B">
      <w:r>
        <w:t xml:space="preserve">One-dimensional diffusion models are widely used to study the absorption behavior of polymers and polymer composites. However, one-dimensional models may not fully capture the diffusion kinetics of an anisotropic slab. </w:t>
      </w:r>
      <w:proofErr w:type="spellStart"/>
      <w:r w:rsidRPr="00E335CE">
        <w:t>Aronhime</w:t>
      </w:r>
      <w:proofErr w:type="spellEnd"/>
      <w:r w:rsidRPr="00E335CE">
        <w:t xml:space="preserve"> et al. </w:t>
      </w:r>
      <w:r>
        <w:t>[17] reported that</w:t>
      </w:r>
      <w:r w:rsidRPr="00E335CE">
        <w:t xml:space="preserve"> diffusion along the fiber</w:t>
      </w:r>
      <w:r>
        <w:t xml:space="preserve"> in </w:t>
      </w:r>
      <w:r w:rsidRPr="00E335CE">
        <w:t xml:space="preserve">unidirectional Kevlar/epoxy </w:t>
      </w:r>
      <w:r>
        <w:t>is 3-100 times faster, depending on the fiber volume fraction, than</w:t>
      </w:r>
      <w:r w:rsidRPr="00E335CE">
        <w:t xml:space="preserve"> diffusion transverse to the fiber</w:t>
      </w:r>
      <w:r>
        <w:t>.</w:t>
      </w:r>
      <w:r w:rsidRPr="00E335CE">
        <w:t xml:space="preserve"> </w:t>
      </w:r>
      <w:r>
        <w:t xml:space="preserve">Likewise, </w:t>
      </w:r>
      <w:proofErr w:type="spellStart"/>
      <w:r w:rsidRPr="00E335CE">
        <w:t>Blikstad</w:t>
      </w:r>
      <w:proofErr w:type="spellEnd"/>
      <w:r w:rsidRPr="00E335CE">
        <w:t xml:space="preserve"> [16] </w:t>
      </w:r>
      <w:r>
        <w:t>stated</w:t>
      </w:r>
      <w:r w:rsidRPr="00E335CE">
        <w:t xml:space="preserve"> </w:t>
      </w:r>
      <w:r>
        <w:t xml:space="preserve">that </w:t>
      </w:r>
      <w:r w:rsidRPr="00E335CE">
        <w:t>the diffusivity in the fib</w:t>
      </w:r>
      <w:r>
        <w:t>er direction is</w:t>
      </w:r>
      <w:r w:rsidRPr="00E335CE">
        <w:t xml:space="preserve"> more than ten times larger than the through-thickness diffusivity </w:t>
      </w:r>
      <w:r>
        <w:t>for graphite/epoxy laminate. When material anisotropy exist</w:t>
      </w:r>
      <w:r w:rsidR="005C3096">
        <w:t>s</w:t>
      </w:r>
      <w:r>
        <w:t xml:space="preserve"> and/or planar sizes are comparable to the thickness, three dimensional effects must be taken into consideration for accurate characterization of moisture absorption behavior. </w:t>
      </w:r>
      <w:r w:rsidRPr="00B33358">
        <w:rPr>
          <w:rFonts w:cs="Times New Roman"/>
          <w:szCs w:val="24"/>
        </w:rPr>
        <w:t xml:space="preserve">The existence of anisotropic three-dimensional diffusion in fiber-reinforced composites is well-documented and has been studied thoroughly </w:t>
      </w:r>
      <w:r w:rsidRPr="00B33358">
        <w:rPr>
          <w:rFonts w:cs="Times New Roman"/>
          <w:szCs w:val="24"/>
        </w:rPr>
        <w:fldChar w:fldCharType="begin" w:fldLock="1"/>
      </w:r>
      <w:r w:rsidR="00B274D5">
        <w:rPr>
          <w:rFonts w:cs="Times New Roman"/>
          <w:szCs w:val="24"/>
        </w:rPr>
        <w:instrText>ADDIN CSL_CITATION {"citationItems":[{"id":"ITEM-1","itemData":{"author":[{"dropping-particle":"","family":"Blikstad","given":"Rten","non-dropping-particle":"","parse-names":false,"suffix":""}],"id":"ITEM-1","issue":"January","issued":{"date-parts":[["1986"]]},"page":"9-18","title":"Three-Dimensional Moisture Diffusion in Graphite / Epoxy Laminates Pthin","type":"article-journal","volume":"5"},"uris":["http://www.mendeley.com/documents/?uuid=00bb32f6-1a81-407d-90b5-5f3d950dd764"]},{"id":"ITEM-2","itemData":{"DOI":"10.1007/BF01082128","ISSN":"00222461","author":[{"dropping-particle":"","family":"Aronhime","given":"Marc T.","non-dropping-particle":"","parse-names":false,"suffix":""},{"dropping-particle":"","family":"Neumann","given":"Shoshana","non-dropping-particle":"","parse-names":false,"suffix":""},{"dropping-particle":"","family":"Marom","given":"Gad","non-dropping-particle":"","parse-names":false,"suffix":""}],"container-title":"Journal of Materials Science","id":"ITEM-2","issue":"7","issued":{"date-parts":[["1987"]]},"page":"2435-2446","title":"The anisotropic diffusion of water in Kevlar-epoxy composites","type":"article-journal","volume":"22"},"uris":["http://www.mendeley.com/documents/?uuid=c875670e-9569-4db2-9032-8c646a03234e"]},{"id":"ITEM-3","itemData":{"DOI":"10.1163/156855108X385276","ISSN":"0924-3046","author":[{"dropping-particle":"","family":"Arao","given":"Yoshihiko","non-dropping-particle":"","parse-names":false,"suffix":""},{"dropping-particle":"","family":"Koyanagi","given":"Jun","non-dropping-particle":"","parse-names":false,"suffix":""},{"dropping-particle":"","family":"Hatta","given":"Hiroshi","non-dropping-particle":"","parse-names":false,"suffix":""},{"dropping-particle":"","family":"Kawada","given":"Hiroyuki","non-dropping-particle":"","parse-names":false,"suffix":""}],"container-title":"Advanced Composite Materials","id":"ITEM-3","issue":"4","issued":{"date-parts":[["2008","1","1"]]},"note":"doi: 10.1163/156855108X385276","page":"359-372","publisher":"Taylor &amp; Francis","title":"Analysis of Time-Dependent Deformation of CFRP Considering the Anisotropy of Moisture Diffusion","type":"article-journal","volume":"17"},"uris":["http://www.mendeley.com/documents/?uuid=43c03a3b-bf57-4213-b191-d27b1515f76d"]},{"id":"ITEM-4","itemData":{"DOI":"10.1177/0021998302036019003","ISSN":"0021-9983","abstract":"This paper presents a novel method for the identification of the parameters governing Fickian moisture diffusion in composite materials. In the first part of the manuscript, the theoretical background is given and closed-form solutions are produced for 3D Fickian diffusion. Then, the different existing identification alternatives are reviewed and a novel procedure is proposed that takes advantage of all the gravimetric curve data points instead of just initial slope and saturation. The method relies on the solution of an optimization problem. In the second part of the paper, validation of this identification technique is performed from simulated gravimetric curves. The main advantage of the method when compared to previously published materials is that diffusion coefficients and saturation level can be identified from gravimetric curves obtained from unsaturated coupons. This is particularly useful when considering thick coupons that will take a long time to saturate or when non-Fickian diffusion mechanisms occur after some time. Finally, the method is applied to experimental results obtained from glass/epoxy composites. It is shown that although the diffusion of moisture in the composite is basically non-Fickian, it can be considered Fickian up to about 10 days and that these data are sufficient to retrieve the 3D diffusion coefficients as well as the Fickian saturation level.","author":[{"dropping-particle":"","family":"Pierron","given":"F","non-dropping-particle":"","parse-names":false,"suffix":""},{"dropping-particle":"","family":"Poirette","given":"Y","non-dropping-particle":"","parse-names":false,"suffix":""},{"dropping-particle":"","family":"Vautrin","given":"A","non-dropping-particle":"","parse-names":false,"suffix":""}],"container-title":"Journal of Composite Materials","id":"ITEM-4","issue":"19","issued":{"date-parts":[["2002","10","1"]]},"note":"doi: 10.1177/0021998302036019003","page":"2219-2243","publisher":"SAGE Publications Ltd STM","title":"A Novel Procedure for Identification of 3D Moisture Diffusion Parameters on Thick Composites: Theory, Validation and Experimental Results","type":"article-journal","volume":"36"},"uris":["http://www.mendeley.com/documents/?uuid=132e8815-bee5-4802-b8e3-038158c2fa03"]},{"id":"ITEM-5","itemData":{"DOI":"10.1115/1.1789959","ISSN":"00944289","abstract":"The common methods used to determine the diffusion coefficients of polymer composites are based on the solution of Fickian diffusion equation in one-dimensional {(1D)} rectangular domain. However, these diffusivities usually involve errors primarily due to finite sample dimensions and anisotropy introduced by fiber reinforcements. In this study, the solution of transient, three-dimensional {(3D)} anisotropic Fickian diffusion equation is nondimensionalized using six parameters. The solution is then used to analyze the combined contribution of finite sample dimensions and anisotropy to the errors involved in diffusion constants calculated by {1D} methods. The small time solution of the Fickian diffusion equation in {3D} domain is used to analyze the slope used in diffusivity calculations. It is shown that the diffusion coefficient calculated by the {1D} approach is exact only if the correct slope of percent mass gain versus root square time curve at t=0 is used. However, it has also been shown that depending on the part geometry and degree of anisotropy, there might be considerable differences between the measured slope from the experimental data and the actual slope at t=0. The mismatch between the slopes results in as much as 50% errors in estimates of diffusion coefficients. Using the {3D} solution in nondimensional form, the magnitudes of these errors are studied. A least-square curve-fit method, which yields accurate anisotropic diffusion coefficients, is proposed. The method is demonstrated on artificially generated experimental data for a polymer composite containing 50% unidirectional reinforcement. The anisotropic diffusion coefficients used to generate the data are recovered with less than 1% error.","author":[{"dropping-particle":"","family":"Aktas","given":"Levent","non-dropping-particle":"","parse-names":false,"suffix":""},{"dropping-particle":"","family":"Hamidi","given":"Youssef K.","non-dropping-particle":"","parse-names":false,"suffix":""},{"dropping-particle":"","family":"Altan","given":"M. Cengiz","non-dropping-particle":"","parse-names":false,"suffix":""}],"container-title":"Journal of Engineering Materials and Technology","id":"ITEM-5","issue":"4","issued":{"date-parts":[["2004"]]},"page":"427","title":"Combined Edge and Anisotropy Effects on Fickian Mass Diffusion in Polymer Composites","type":"article-journal","volume":"126"},"uris":["http://www.mendeley.com/documents/?uuid=cb72864e-064b-4f8c-bf07-ac4be74036d8"]}],"mendeley":{"formattedCitation":"[60,61,111–113]","plainTextFormattedCitation":"[60,61,111–113]","previouslyFormattedCitation":"[60,61,111–113]"},"properties":{"noteIndex":0},"schema":"https://github.com/citation-style-language/schema/raw/master/csl-citation.json"}</w:instrText>
      </w:r>
      <w:r w:rsidRPr="00B33358">
        <w:rPr>
          <w:rFonts w:cs="Times New Roman"/>
          <w:szCs w:val="24"/>
        </w:rPr>
        <w:fldChar w:fldCharType="separate"/>
      </w:r>
      <w:r w:rsidR="007021F2" w:rsidRPr="007021F2">
        <w:rPr>
          <w:rFonts w:cs="Times New Roman"/>
          <w:noProof/>
          <w:szCs w:val="24"/>
        </w:rPr>
        <w:t>[60,61,111–113]</w:t>
      </w:r>
      <w:r w:rsidRPr="00B33358">
        <w:rPr>
          <w:rFonts w:cs="Times New Roman"/>
          <w:szCs w:val="24"/>
        </w:rPr>
        <w:fldChar w:fldCharType="end"/>
      </w:r>
      <w:r w:rsidRPr="00B33358">
        <w:rPr>
          <w:rFonts w:cs="Times New Roman"/>
          <w:szCs w:val="24"/>
        </w:rPr>
        <w:t>.</w:t>
      </w:r>
    </w:p>
    <w:p w14:paraId="5DA28B20" w14:textId="77777777" w:rsidR="000C2D31" w:rsidRPr="00934E14" w:rsidRDefault="000C2D31" w:rsidP="00B63058">
      <w:pPr>
        <w:pStyle w:val="Heading3"/>
        <w:numPr>
          <w:ilvl w:val="0"/>
          <w:numId w:val="22"/>
        </w:numPr>
      </w:pPr>
      <w:bookmarkStart w:id="62" w:name="_Toc531943745"/>
      <w:r w:rsidRPr="005A3E52">
        <w:t>Three-Dimensional Anisotropic Fickian Diffusion Model</w:t>
      </w:r>
      <w:bookmarkEnd w:id="62"/>
    </w:p>
    <w:p w14:paraId="3FC0230A" w14:textId="31DD24B0" w:rsidR="000C2D31" w:rsidRPr="005A3E52" w:rsidRDefault="000C2D31" w:rsidP="000C2D31">
      <w:pPr>
        <w:rPr>
          <w:rFonts w:cs="Times New Roman"/>
          <w:szCs w:val="24"/>
        </w:rPr>
      </w:pPr>
      <w:r w:rsidRPr="005A3E52">
        <w:rPr>
          <w:rFonts w:cs="Times New Roman"/>
          <w:szCs w:val="24"/>
        </w:rPr>
        <w:t>The three-dime</w:t>
      </w:r>
      <w:r>
        <w:rPr>
          <w:rFonts w:cs="Times New Roman"/>
          <w:szCs w:val="24"/>
        </w:rPr>
        <w:t xml:space="preserve">nsional form of the </w:t>
      </w:r>
      <w:r w:rsidRPr="005A3E52">
        <w:rPr>
          <w:rFonts w:cs="Times New Roman"/>
          <w:szCs w:val="24"/>
        </w:rPr>
        <w:t>Fickian diffusion model</w:t>
      </w:r>
      <w:r>
        <w:rPr>
          <w:rFonts w:cs="Times New Roman"/>
          <w:szCs w:val="24"/>
        </w:rPr>
        <w:t xml:space="preserve"> is basically an expansion of classical Fickian model to account for anisotropic diffusion. The model considers three distinct flux of moisture in three principal direction</w:t>
      </w:r>
      <w:r w:rsidR="005C3096">
        <w:rPr>
          <w:rFonts w:cs="Times New Roman"/>
          <w:szCs w:val="24"/>
        </w:rPr>
        <w:t>s</w:t>
      </w:r>
      <w:r>
        <w:rPr>
          <w:rFonts w:cs="Times New Roman"/>
          <w:szCs w:val="24"/>
        </w:rPr>
        <w:t xml:space="preserve"> of a finite slab and</w:t>
      </w:r>
      <w:r w:rsidRPr="005A3E52">
        <w:rPr>
          <w:rFonts w:cs="Times New Roman"/>
          <w:szCs w:val="24"/>
        </w:rPr>
        <w:t xml:space="preserve"> is given by,</w:t>
      </w:r>
    </w:p>
    <w:tbl>
      <w:tblPr>
        <w:tblW w:w="0" w:type="auto"/>
        <w:tblLook w:val="04A0" w:firstRow="1" w:lastRow="0" w:firstColumn="1" w:lastColumn="0" w:noHBand="0" w:noVBand="1"/>
      </w:tblPr>
      <w:tblGrid>
        <w:gridCol w:w="7620"/>
        <w:gridCol w:w="976"/>
      </w:tblGrid>
      <w:tr w:rsidR="000C2D31" w:rsidRPr="005A3E52" w14:paraId="14D5F613" w14:textId="77777777" w:rsidTr="000C2D31">
        <w:trPr>
          <w:trHeight w:val="526"/>
        </w:trPr>
        <w:tc>
          <w:tcPr>
            <w:tcW w:w="7620" w:type="dxa"/>
            <w:vAlign w:val="center"/>
          </w:tcPr>
          <w:p w14:paraId="490D1D5C" w14:textId="77777777" w:rsidR="000C2D31" w:rsidRPr="005A3E52" w:rsidRDefault="007B3686" w:rsidP="000C2D31">
            <w:pPr>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C</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C</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y</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C</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z</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∂t</m:t>
                    </m:r>
                  </m:den>
                </m:f>
              </m:oMath>
            </m:oMathPara>
          </w:p>
        </w:tc>
        <w:tc>
          <w:tcPr>
            <w:tcW w:w="876" w:type="dxa"/>
            <w:vAlign w:val="center"/>
          </w:tcPr>
          <w:p w14:paraId="172C2D63" w14:textId="77777777" w:rsidR="000C2D31" w:rsidRPr="005A3E52" w:rsidRDefault="000C2D31" w:rsidP="000C2D31">
            <w:pPr>
              <w:jc w:val="right"/>
              <w:rPr>
                <w:rFonts w:cs="Times New Roman"/>
                <w:szCs w:val="24"/>
              </w:rPr>
            </w:pPr>
            <w:r w:rsidRPr="005A3E52">
              <w:rPr>
                <w:rFonts w:cs="Times New Roman"/>
                <w:szCs w:val="24"/>
              </w:rPr>
              <w:t>(</w:t>
            </w:r>
            <w:r>
              <w:rPr>
                <w:rFonts w:cs="Times New Roman"/>
                <w:szCs w:val="24"/>
              </w:rPr>
              <w:t>15</w:t>
            </w:r>
            <w:r w:rsidRPr="005A3E52">
              <w:rPr>
                <w:rFonts w:cs="Times New Roman"/>
                <w:szCs w:val="24"/>
              </w:rPr>
              <w:t>)</w:t>
            </w:r>
          </w:p>
        </w:tc>
      </w:tr>
    </w:tbl>
    <w:p w14:paraId="6F4DF8D6" w14:textId="1B57859A" w:rsidR="000C2D31" w:rsidRDefault="000C2D31" w:rsidP="000C2D31">
      <w:pPr>
        <w:ind w:firstLine="0"/>
        <w:rPr>
          <w:rFonts w:cs="Times New Roman"/>
          <w:szCs w:val="24"/>
        </w:rPr>
      </w:pPr>
      <w:proofErr w:type="gramStart"/>
      <w:r w:rsidRPr="00496435">
        <w:rPr>
          <w:rFonts w:cs="Times New Roman"/>
          <w:szCs w:val="24"/>
        </w:rPr>
        <w:t xml:space="preserve">where </w:t>
      </w:r>
      <w:proofErr w:type="gramEnd"/>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oMath>
      <w:r w:rsidRPr="00496435">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r>
          <w:rPr>
            <w:rFonts w:ascii="Cambria Math" w:hAnsi="Cambria Math" w:cs="Times New Roman"/>
            <w:szCs w:val="24"/>
          </w:rPr>
          <m:t>,</m:t>
        </m:r>
      </m:oMath>
      <w:r w:rsidRPr="00496435">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oMath>
      <w:r w:rsidRPr="00496435">
        <w:rPr>
          <w:rFonts w:cs="Times New Roman"/>
          <w:szCs w:val="24"/>
        </w:rPr>
        <w:t xml:space="preserve"> are diffusion coefficients in the direction of </w:t>
      </w:r>
      <m:oMath>
        <m:r>
          <w:rPr>
            <w:rFonts w:ascii="Cambria Math" w:hAnsi="Cambria Math" w:cs="Times New Roman"/>
            <w:szCs w:val="24"/>
          </w:rPr>
          <m:t>x</m:t>
        </m:r>
      </m:oMath>
      <w:r w:rsidRPr="00496435">
        <w:rPr>
          <w:rFonts w:cs="Times New Roman"/>
          <w:szCs w:val="24"/>
        </w:rPr>
        <w:t xml:space="preserve">, </w:t>
      </w:r>
      <m:oMath>
        <m:r>
          <w:rPr>
            <w:rFonts w:ascii="Cambria Math" w:hAnsi="Cambria Math" w:cs="Times New Roman"/>
            <w:szCs w:val="24"/>
          </w:rPr>
          <m:t>y,</m:t>
        </m:r>
      </m:oMath>
      <w:r w:rsidRPr="00496435">
        <w:rPr>
          <w:rFonts w:cs="Times New Roman"/>
          <w:szCs w:val="24"/>
        </w:rPr>
        <w:t xml:space="preserve"> and </w:t>
      </w:r>
      <m:oMath>
        <m:r>
          <w:rPr>
            <w:rFonts w:ascii="Cambria Math" w:hAnsi="Cambria Math" w:cs="Times New Roman"/>
            <w:szCs w:val="24"/>
          </w:rPr>
          <m:t>z</m:t>
        </m:r>
      </m:oMath>
      <w:r>
        <w:rPr>
          <w:rFonts w:cs="Times New Roman"/>
          <w:szCs w:val="24"/>
        </w:rPr>
        <w:t>,</w:t>
      </w:r>
      <w:r w:rsidRPr="00496435">
        <w:rPr>
          <w:rFonts w:cs="Times New Roman"/>
          <w:szCs w:val="24"/>
        </w:rPr>
        <w:t xml:space="preserve"> respectively.</w:t>
      </w:r>
    </w:p>
    <w:p w14:paraId="1D5023F4" w14:textId="2E088D90" w:rsidR="000C2D31" w:rsidRPr="001D78C6" w:rsidRDefault="000C2D31" w:rsidP="000C2D31">
      <w:pPr>
        <w:ind w:firstLine="0"/>
        <w:rPr>
          <w:rFonts w:cs="Times New Roman"/>
          <w:szCs w:val="24"/>
          <w:highlight w:val="yellow"/>
        </w:rPr>
      </w:pPr>
      <w:r>
        <w:rPr>
          <w:rFonts w:cs="Times New Roman"/>
          <w:szCs w:val="24"/>
        </w:rPr>
        <w:t>A fin</w:t>
      </w:r>
      <w:r w:rsidR="00E95B4D">
        <w:rPr>
          <w:rFonts w:cs="Times New Roman"/>
          <w:szCs w:val="24"/>
        </w:rPr>
        <w:t xml:space="preserve">ite slab, (e.g. </w:t>
      </w:r>
      <w:r w:rsidR="00E95B4D">
        <w:rPr>
          <w:rFonts w:cs="Times New Roman"/>
          <w:szCs w:val="24"/>
        </w:rPr>
        <w:fldChar w:fldCharType="begin"/>
      </w:r>
      <w:r w:rsidR="00E95B4D">
        <w:rPr>
          <w:rFonts w:cs="Times New Roman"/>
          <w:szCs w:val="24"/>
        </w:rPr>
        <w:instrText xml:space="preserve"> REF _Ref521416071 \h </w:instrText>
      </w:r>
      <w:r w:rsidR="00E95B4D">
        <w:rPr>
          <w:rFonts w:cs="Times New Roman"/>
          <w:szCs w:val="24"/>
        </w:rPr>
      </w:r>
      <w:r w:rsidR="00E95B4D">
        <w:rPr>
          <w:rFonts w:cs="Times New Roman"/>
          <w:szCs w:val="24"/>
        </w:rPr>
        <w:fldChar w:fldCharType="separate"/>
      </w:r>
      <w:r w:rsidR="006D52C2">
        <w:t xml:space="preserve">Figure </w:t>
      </w:r>
      <w:r w:rsidR="006D52C2">
        <w:rPr>
          <w:noProof/>
        </w:rPr>
        <w:t>11</w:t>
      </w:r>
      <w:r w:rsidR="00E95B4D">
        <w:rPr>
          <w:rFonts w:cs="Times New Roman"/>
          <w:szCs w:val="24"/>
        </w:rPr>
        <w:fldChar w:fldCharType="end"/>
      </w:r>
      <w:r>
        <w:rPr>
          <w:rFonts w:cs="Times New Roman"/>
          <w:szCs w:val="24"/>
        </w:rPr>
        <w:t xml:space="preserve">), will absorb moisture </w:t>
      </w:r>
      <w:r w:rsidR="002C020A">
        <w:rPr>
          <w:rFonts w:cs="Times New Roman"/>
          <w:szCs w:val="24"/>
        </w:rPr>
        <w:t>through all the surfaces which are</w:t>
      </w:r>
      <w:r>
        <w:rPr>
          <w:rFonts w:cs="Times New Roman"/>
          <w:szCs w:val="24"/>
        </w:rPr>
        <w:t xml:space="preserve"> in contact with the water. The flux of moisture basically depends on the area of contact. For a thin plate, the area of contact at the side surfaces is negligible compared to the top and bottom surface. However, for a thick slab, the flux through the side surfaces </w:t>
      </w:r>
      <w:r w:rsidR="00394D74">
        <w:rPr>
          <w:rFonts w:cs="Times New Roman"/>
          <w:szCs w:val="24"/>
        </w:rPr>
        <w:t>may significantly contribute</w:t>
      </w:r>
      <w:r>
        <w:rPr>
          <w:rFonts w:cs="Times New Roman"/>
          <w:szCs w:val="24"/>
        </w:rPr>
        <w:t xml:space="preserve"> to the absorption. Expansion of classical Fickian diffusion model </w:t>
      </w:r>
      <w:r>
        <w:rPr>
          <w:rFonts w:cs="Times New Roman"/>
          <w:szCs w:val="24"/>
        </w:rPr>
        <w:lastRenderedPageBreak/>
        <w:t>to three-dimension lead to grasp the moisture absorption through the edges. The model not only considers the change in absorption kinetics due to edge effects but also capture the material anisotropy using three diffusivities,</w:t>
      </w:r>
      <w:r w:rsidRPr="001760F0">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oMath>
      <w:r w:rsidRPr="001760F0">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oMath>
      <w:r w:rsidR="00394D74">
        <w:rPr>
          <w:rFonts w:cs="Times New Roman"/>
          <w:szCs w:val="24"/>
        </w:rPr>
        <w:t>,</w:t>
      </w:r>
      <w:r w:rsidRPr="001760F0">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oMath>
      <w:r w:rsidRPr="001760F0">
        <w:rPr>
          <w:rFonts w:cs="Times New Roman"/>
          <w:szCs w:val="24"/>
        </w:rPr>
        <w:t>.</w:t>
      </w:r>
    </w:p>
    <w:p w14:paraId="455240EE" w14:textId="77777777" w:rsidR="005B3DBB" w:rsidRDefault="000C2D31" w:rsidP="00554848">
      <w:pPr>
        <w:pStyle w:val="NoSpacing"/>
        <w:rPr>
          <w:noProof/>
        </w:rPr>
      </w:pPr>
      <w:r w:rsidRPr="001760F0">
        <w:rPr>
          <w:noProof/>
          <w:lang w:bidi="ar-SA"/>
        </w:rPr>
        <w:drawing>
          <wp:inline distT="0" distB="0" distL="0" distR="0" wp14:anchorId="0534C9EA" wp14:editId="5532D0AD">
            <wp:extent cx="3629025" cy="2386267"/>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22"/>
                    <a:srcRect/>
                    <a:stretch>
                      <a:fillRect/>
                    </a:stretch>
                  </pic:blipFill>
                  <pic:spPr bwMode="auto">
                    <a:xfrm>
                      <a:off x="0" y="0"/>
                      <a:ext cx="3633923" cy="2389488"/>
                    </a:xfrm>
                    <a:prstGeom prst="rect">
                      <a:avLst/>
                    </a:prstGeom>
                    <a:noFill/>
                    <a:ln w="9525">
                      <a:noFill/>
                      <a:miter lim="800000"/>
                      <a:headEnd/>
                      <a:tailEnd/>
                    </a:ln>
                  </pic:spPr>
                </pic:pic>
              </a:graphicData>
            </a:graphic>
          </wp:inline>
        </w:drawing>
      </w:r>
      <w:bookmarkStart w:id="63" w:name="_Toc405036764"/>
    </w:p>
    <w:p w14:paraId="184CEE81" w14:textId="3CA8957E" w:rsidR="000C2D31" w:rsidRPr="001760F0" w:rsidRDefault="005B3DBB" w:rsidP="0069708C">
      <w:pPr>
        <w:pStyle w:val="Caption"/>
      </w:pPr>
      <w:bookmarkStart w:id="64" w:name="_Ref521416071"/>
      <w:bookmarkStart w:id="65" w:name="_Toc530997367"/>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11</w:t>
      </w:r>
      <w:r w:rsidR="0023508C">
        <w:rPr>
          <w:noProof/>
        </w:rPr>
        <w:fldChar w:fldCharType="end"/>
      </w:r>
      <w:bookmarkEnd w:id="64"/>
      <w:r w:rsidR="000C2D31" w:rsidRPr="001760F0">
        <w:rPr>
          <w:noProof/>
        </w:rPr>
        <w:t>.</w:t>
      </w:r>
      <w:r w:rsidR="000C2D31">
        <w:t xml:space="preserve"> The representative figure for finite slab and </w:t>
      </w:r>
      <w:r w:rsidR="000C2D31" w:rsidRPr="001760F0">
        <w:t>the three-dimensional Fickian model geometry.</w:t>
      </w:r>
      <w:bookmarkEnd w:id="63"/>
      <w:bookmarkEnd w:id="65"/>
    </w:p>
    <w:p w14:paraId="5A6676FF" w14:textId="77777777" w:rsidR="000C2D31" w:rsidRPr="001D78C6" w:rsidRDefault="000C2D31" w:rsidP="000C2D31">
      <w:pPr>
        <w:ind w:firstLine="0"/>
        <w:rPr>
          <w:rFonts w:cs="Times New Roman"/>
          <w:szCs w:val="24"/>
          <w:highlight w:val="yellow"/>
        </w:rPr>
      </w:pPr>
    </w:p>
    <w:p w14:paraId="27EFEDF4" w14:textId="39999C74" w:rsidR="000C2D31" w:rsidRDefault="000C2D31" w:rsidP="000C2D31">
      <w:pPr>
        <w:ind w:firstLine="0"/>
        <w:rPr>
          <w:rFonts w:cs="Times New Roman"/>
          <w:szCs w:val="24"/>
        </w:rPr>
      </w:pPr>
      <w:r w:rsidRPr="001760F0">
        <w:rPr>
          <w:rFonts w:cs="Times New Roman"/>
          <w:szCs w:val="24"/>
        </w:rPr>
        <w:t xml:space="preserve">Assuming an initially dry slab of dimensions </w:t>
      </w:r>
      <w:r w:rsidRPr="001760F0">
        <w:rPr>
          <w:rFonts w:cs="Times New Roman"/>
          <w:i/>
          <w:szCs w:val="24"/>
        </w:rPr>
        <w:t>h</w:t>
      </w:r>
      <w:r w:rsidR="00072ACC">
        <w:rPr>
          <w:rFonts w:cs="Times New Roman"/>
          <w:szCs w:val="24"/>
        </w:rPr>
        <w:t xml:space="preserve"> × </w:t>
      </w:r>
      <w:r w:rsidRPr="001760F0">
        <w:rPr>
          <w:rFonts w:cs="Times New Roman"/>
          <w:i/>
          <w:szCs w:val="24"/>
        </w:rPr>
        <w:t>w</w:t>
      </w:r>
      <w:r w:rsidR="00072ACC">
        <w:rPr>
          <w:rFonts w:cs="Times New Roman"/>
          <w:szCs w:val="24"/>
        </w:rPr>
        <w:t xml:space="preserve"> × </w:t>
      </w:r>
      <w:r w:rsidRPr="001760F0">
        <w:rPr>
          <w:rFonts w:cs="Times New Roman"/>
          <w:i/>
          <w:szCs w:val="24"/>
        </w:rPr>
        <w:t>l</w:t>
      </w:r>
      <w:r w:rsidRPr="001760F0">
        <w:rPr>
          <w:rFonts w:cs="Times New Roman"/>
          <w:szCs w:val="24"/>
        </w:rPr>
        <w:t xml:space="preserve"> which is fully immersed in water, the analytical solution</w:t>
      </w:r>
      <w:r>
        <w:rPr>
          <w:rFonts w:cs="Times New Roman"/>
          <w:szCs w:val="24"/>
        </w:rPr>
        <w:t xml:space="preserve"> for concentration is given as:</w:t>
      </w:r>
    </w:p>
    <w:tbl>
      <w:tblPr>
        <w:tblW w:w="0" w:type="auto"/>
        <w:tblLook w:val="0600" w:firstRow="0" w:lastRow="0" w:firstColumn="0" w:lastColumn="0" w:noHBand="1" w:noVBand="1"/>
      </w:tblPr>
      <w:tblGrid>
        <w:gridCol w:w="7880"/>
        <w:gridCol w:w="616"/>
      </w:tblGrid>
      <w:tr w:rsidR="000C2D31" w:rsidRPr="001D78C6" w14:paraId="1FBD7F9B" w14:textId="77777777" w:rsidTr="000C2D31">
        <w:tc>
          <w:tcPr>
            <w:tcW w:w="7880" w:type="dxa"/>
          </w:tcPr>
          <w:p w14:paraId="3A8870E6" w14:textId="77777777" w:rsidR="000C2D31" w:rsidRPr="001760F0" w:rsidRDefault="000C2D31" w:rsidP="000C2D31">
            <w:pPr>
              <w:spacing w:line="240" w:lineRule="auto"/>
              <w:ind w:firstLine="0"/>
              <w:rPr>
                <w:rFonts w:cs="Times New Roman"/>
                <w:szCs w:val="24"/>
              </w:rPr>
            </w:pPr>
            <m:oMathPara>
              <m:oMath>
                <m:r>
                  <w:rPr>
                    <w:rFonts w:ascii="Cambria Math" w:hAnsi="Cambria Math" w:cs="Times New Roman"/>
                    <w:szCs w:val="24"/>
                  </w:rPr>
                  <m:t>C</m:t>
                </m:r>
                <m:r>
                  <m:rPr>
                    <m:sty m:val="p"/>
                  </m:rPr>
                  <w:rPr>
                    <w:rFonts w:ascii="Cambria Math" w:hAnsi="Cambria Math" w:cs="Times New Roman"/>
                    <w:szCs w:val="24"/>
                  </w:rPr>
                  <m:t>(x,y,z,</m:t>
                </m:r>
                <m:r>
                  <w:rPr>
                    <w:rFonts w:ascii="Cambria Math" w:hAnsi="Cambria Math" w:cs="Times New Roman"/>
                    <w:szCs w:val="24"/>
                  </w:rPr>
                  <m:t>t</m:t>
                </m:r>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C</m:t>
                    </m:r>
                  </m:e>
                  <m:sub>
                    <m:r>
                      <w:rPr>
                        <w:rFonts w:ascii="Cambria Math" w:hAnsi="Cambria Math" w:cs="Times New Roman"/>
                        <w:szCs w:val="24"/>
                      </w:rPr>
                      <m:t>∞</m:t>
                    </m:r>
                  </m:sub>
                </m:sSub>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64</m:t>
                    </m:r>
                    <m:sSub>
                      <m:sSubPr>
                        <m:ctrlPr>
                          <w:rPr>
                            <w:rFonts w:ascii="Cambria Math" w:hAnsi="Cambria Math" w:cs="Times New Roman"/>
                            <w:szCs w:val="24"/>
                          </w:rPr>
                        </m:ctrlPr>
                      </m:sSubPr>
                      <m:e>
                        <m:r>
                          <w:rPr>
                            <w:rFonts w:ascii="Cambria Math" w:hAnsi="Cambria Math" w:cs="Times New Roman"/>
                            <w:szCs w:val="24"/>
                          </w:rPr>
                          <m:t>C</m:t>
                        </m:r>
                      </m:e>
                      <m:sub>
                        <m:r>
                          <w:rPr>
                            <w:rFonts w:ascii="Cambria Math" w:hAnsi="Cambria Math" w:cs="Times New Roman"/>
                            <w:szCs w:val="24"/>
                          </w:rPr>
                          <m:t>∞</m:t>
                        </m:r>
                      </m:sub>
                    </m:sSub>
                  </m:num>
                  <m:den>
                    <m:sSup>
                      <m:sSupPr>
                        <m:ctrlPr>
                          <w:rPr>
                            <w:rFonts w:ascii="Cambria Math" w:hAnsi="Cambria Math" w:cs="Times New Roman"/>
                            <w:szCs w:val="24"/>
                          </w:rPr>
                        </m:ctrlPr>
                      </m:sSupPr>
                      <m:e>
                        <m:r>
                          <w:rPr>
                            <w:rFonts w:ascii="Cambria Math" w:hAnsi="Cambria Math" w:cs="Times New Roman"/>
                            <w:szCs w:val="24"/>
                          </w:rPr>
                          <m:t>π</m:t>
                        </m:r>
                      </m:e>
                      <m:sup>
                        <m:r>
                          <w:rPr>
                            <w:rFonts w:ascii="Cambria Math" w:hAnsi="Cambria Math" w:cs="Times New Roman"/>
                            <w:szCs w:val="24"/>
                          </w:rPr>
                          <m:t>3</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=0</m:t>
                    </m:r>
                  </m:sub>
                  <m:sup>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=0</m:t>
                        </m:r>
                      </m:sub>
                      <m:sup>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k</m:t>
                            </m:r>
                            <m:r>
                              <m:rPr>
                                <m:sty m:val="p"/>
                              </m:rPr>
                              <w:rPr>
                                <w:rFonts w:ascii="Cambria Math" w:hAnsi="Cambria Math" w:cs="Times New Roman"/>
                                <w:szCs w:val="24"/>
                              </w:rPr>
                              <m:t>=0</m:t>
                            </m:r>
                          </m:sub>
                          <m:sup>
                            <m:r>
                              <m:rPr>
                                <m:sty m:val="p"/>
                              </m:rPr>
                              <w:rPr>
                                <w:rFonts w:ascii="Cambria Math" w:hAnsi="Cambria Math" w:cs="Times New Roman"/>
                                <w:szCs w:val="24"/>
                              </w:rPr>
                              <m:t>∞</m:t>
                            </m:r>
                          </m:sup>
                          <m:e>
                            <m:f>
                              <m:fPr>
                                <m:ctrlPr>
                                  <w:rPr>
                                    <w:rFonts w:ascii="Cambria Math" w:hAnsi="Cambria Math" w:cs="Times New Roman"/>
                                    <w:szCs w:val="24"/>
                                  </w:rPr>
                                </m:ctrlPr>
                              </m:fPr>
                              <m:num>
                                <m:func>
                                  <m:funcPr>
                                    <m:ctrlPr>
                                      <w:rPr>
                                        <w:rFonts w:ascii="Cambria Math" w:hAnsi="Cambria Math" w:cs="Times New Roman"/>
                                        <w:i/>
                                      </w:rPr>
                                    </m:ctrlPr>
                                  </m:funcPr>
                                  <m:fName>
                                    <m:r>
                                      <w:rPr>
                                        <w:rFonts w:ascii="Cambria Math" w:hAnsi="Cambria Math" w:cs="Times New Roman"/>
                                      </w:rPr>
                                      <m:t>sin</m:t>
                                    </m:r>
                                  </m:fName>
                                  <m:e>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2i+1</m:t>
                                            </m:r>
                                          </m:e>
                                        </m:d>
                                        <m:r>
                                          <w:rPr>
                                            <w:rFonts w:ascii="Cambria Math" w:hAnsi="Cambria Math" w:cs="Times New Roman"/>
                                          </w:rPr>
                                          <m:t>πx</m:t>
                                        </m:r>
                                      </m:num>
                                      <m:den>
                                        <m:r>
                                          <w:rPr>
                                            <w:rFonts w:ascii="Cambria Math" w:hAnsi="Cambria Math" w:cs="Times New Roman"/>
                                          </w:rPr>
                                          <m:t>l</m:t>
                                        </m:r>
                                      </m:den>
                                    </m:f>
                                  </m:e>
                                </m:func>
                              </m:num>
                              <m:den>
                                <m:r>
                                  <m:rPr>
                                    <m:sty m:val="p"/>
                                  </m:rPr>
                                  <w:rPr>
                                    <w:rFonts w:ascii="Cambria Math" w:hAnsi="Cambria Math" w:cs="Times New Roman"/>
                                    <w:szCs w:val="24"/>
                                  </w:rPr>
                                  <m:t>(2i+1)</m:t>
                                </m:r>
                              </m:den>
                            </m:f>
                            <m:f>
                              <m:fPr>
                                <m:ctrlPr>
                                  <w:rPr>
                                    <w:rFonts w:ascii="Cambria Math" w:hAnsi="Cambria Math" w:cs="Times New Roman"/>
                                    <w:szCs w:val="24"/>
                                  </w:rPr>
                                </m:ctrlPr>
                              </m:fPr>
                              <m:num>
                                <m:func>
                                  <m:funcPr>
                                    <m:ctrlPr>
                                      <w:rPr>
                                        <w:rFonts w:ascii="Cambria Math" w:hAnsi="Cambria Math" w:cs="Times New Roman"/>
                                        <w:i/>
                                      </w:rPr>
                                    </m:ctrlPr>
                                  </m:funcPr>
                                  <m:fName>
                                    <m:r>
                                      <w:rPr>
                                        <w:rFonts w:ascii="Cambria Math" w:hAnsi="Cambria Math" w:cs="Times New Roman"/>
                                      </w:rPr>
                                      <m:t>sin</m:t>
                                    </m:r>
                                  </m:fName>
                                  <m:e>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2j+1</m:t>
                                            </m:r>
                                          </m:e>
                                        </m:d>
                                        <m:r>
                                          <w:rPr>
                                            <w:rFonts w:ascii="Cambria Math" w:hAnsi="Cambria Math" w:cs="Times New Roman"/>
                                          </w:rPr>
                                          <m:t>πy</m:t>
                                        </m:r>
                                      </m:num>
                                      <m:den>
                                        <m:r>
                                          <w:rPr>
                                            <w:rFonts w:ascii="Cambria Math" w:hAnsi="Cambria Math" w:cs="Times New Roman"/>
                                          </w:rPr>
                                          <m:t>w</m:t>
                                        </m:r>
                                      </m:den>
                                    </m:f>
                                  </m:e>
                                </m:func>
                              </m:num>
                              <m:den>
                                <m:r>
                                  <m:rPr>
                                    <m:sty m:val="p"/>
                                  </m:rPr>
                                  <w:rPr>
                                    <w:rFonts w:ascii="Cambria Math" w:hAnsi="Cambria Math" w:cs="Times New Roman"/>
                                    <w:szCs w:val="24"/>
                                  </w:rPr>
                                  <m:t>(2j+1)</m:t>
                                </m:r>
                              </m:den>
                            </m:f>
                            <m:f>
                              <m:fPr>
                                <m:ctrlPr>
                                  <w:rPr>
                                    <w:rFonts w:ascii="Cambria Math" w:hAnsi="Cambria Math" w:cs="Times New Roman"/>
                                    <w:szCs w:val="24"/>
                                  </w:rPr>
                                </m:ctrlPr>
                              </m:fPr>
                              <m:num>
                                <m:func>
                                  <m:funcPr>
                                    <m:ctrlPr>
                                      <w:rPr>
                                        <w:rFonts w:ascii="Cambria Math" w:hAnsi="Cambria Math" w:cs="Times New Roman"/>
                                        <w:i/>
                                      </w:rPr>
                                    </m:ctrlPr>
                                  </m:funcPr>
                                  <m:fName>
                                    <m:r>
                                      <w:rPr>
                                        <w:rFonts w:ascii="Cambria Math" w:hAnsi="Cambria Math" w:cs="Times New Roman"/>
                                      </w:rPr>
                                      <m:t>sin</m:t>
                                    </m:r>
                                  </m:fName>
                                  <m:e>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2k+1</m:t>
                                            </m:r>
                                          </m:e>
                                        </m:d>
                                        <m:r>
                                          <w:rPr>
                                            <w:rFonts w:ascii="Cambria Math" w:hAnsi="Cambria Math" w:cs="Times New Roman"/>
                                          </w:rPr>
                                          <m:t>πz</m:t>
                                        </m:r>
                                      </m:num>
                                      <m:den>
                                        <m:r>
                                          <w:rPr>
                                            <w:rFonts w:ascii="Cambria Math" w:hAnsi="Cambria Math" w:cs="Times New Roman"/>
                                          </w:rPr>
                                          <m:t>h</m:t>
                                        </m:r>
                                      </m:den>
                                    </m:f>
                                  </m:e>
                                </m:func>
                              </m:num>
                              <m:den>
                                <m:r>
                                  <m:rPr>
                                    <m:sty m:val="p"/>
                                  </m:rPr>
                                  <w:rPr>
                                    <w:rFonts w:ascii="Cambria Math" w:hAnsi="Cambria Math" w:cs="Times New Roman"/>
                                    <w:szCs w:val="24"/>
                                  </w:rPr>
                                  <m:t>(2k+1)</m:t>
                                </m:r>
                              </m:den>
                            </m:f>
                          </m:e>
                        </m:nary>
                      </m:e>
                    </m:nary>
                  </m:e>
                </m:nary>
              </m:oMath>
            </m:oMathPara>
          </w:p>
          <w:p w14:paraId="1F5FF76E" w14:textId="77777777" w:rsidR="000C2D31" w:rsidRPr="001760F0" w:rsidRDefault="000C2D31" w:rsidP="000C2D31">
            <w:pPr>
              <w:spacing w:line="240" w:lineRule="auto"/>
              <w:ind w:firstLine="0"/>
              <w:rPr>
                <w:rFonts w:cs="Times New Roman"/>
                <w:szCs w:val="24"/>
              </w:rPr>
            </w:pPr>
            <m:oMathPara>
              <m:oMath>
                <m:r>
                  <w:rPr>
                    <w:rFonts w:ascii="Cambria Math" w:hAnsi="Cambria Math" w:cs="Times New Roman"/>
                    <w:szCs w:val="24"/>
                  </w:rPr>
                  <m:t xml:space="preserve">exp </m:t>
                </m:r>
                <m:d>
                  <m:dPr>
                    <m:begChr m:val="["/>
                    <m:endChr m:val="]"/>
                    <m:ctrlPr>
                      <w:rPr>
                        <w:rFonts w:ascii="Cambria Math" w:hAnsi="Cambria Math" w:cs="Times New Roman"/>
                        <w:szCs w:val="24"/>
                      </w:rPr>
                    </m:ctrlPr>
                  </m:dPr>
                  <m:e>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+1</m:t>
                                </m:r>
                              </m:e>
                            </m:d>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2</m:t>
                                </m:r>
                                <m:r>
                                  <w:rPr>
                                    <w:rFonts w:ascii="Cambria Math" w:hAnsi="Cambria Math" w:cs="Times New Roman"/>
                                    <w:szCs w:val="24"/>
                                  </w:rPr>
                                  <m:t>j</m:t>
                                </m:r>
                                <m:r>
                                  <m:rPr>
                                    <m:sty m:val="p"/>
                                  </m:rPr>
                                  <w:rPr>
                                    <w:rFonts w:ascii="Cambria Math" w:hAnsi="Cambria Math" w:cs="Times New Roman"/>
                                    <w:szCs w:val="24"/>
                                  </w:rPr>
                                  <m:t>+1</m:t>
                                </m:r>
                              </m:e>
                            </m:d>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r>
                              <m:rPr>
                                <m:sty m:val="p"/>
                              </m:rPr>
                              <w:rPr>
                                <w:rFonts w:ascii="Cambria Math" w:hAnsi="Cambria Math" w:cs="Times New Roman"/>
                                <w:szCs w:val="24"/>
                              </w:rPr>
                              <m:t>(2</m:t>
                            </m:r>
                            <m:r>
                              <w:rPr>
                                <w:rFonts w:ascii="Cambria Math" w:hAnsi="Cambria Math" w:cs="Times New Roman"/>
                                <w:szCs w:val="24"/>
                              </w:rPr>
                              <m:t>k</m:t>
                            </m:r>
                            <m:r>
                              <m:rPr>
                                <m:sty m:val="p"/>
                              </m:rPr>
                              <w:rPr>
                                <w:rFonts w:ascii="Cambria Math" w:hAnsi="Cambria Math" w:cs="Times New Roman"/>
                                <w:szCs w:val="24"/>
                              </w:rPr>
                              <m:t>+1)</m:t>
                            </m:r>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r>
                      <w:rPr>
                        <w:rFonts w:ascii="Cambria Math" w:hAnsi="Cambria Math" w:cs="Times New Roman"/>
                        <w:szCs w:val="24"/>
                      </w:rPr>
                      <m:t>t</m:t>
                    </m:r>
                  </m:e>
                </m:d>
              </m:oMath>
            </m:oMathPara>
          </w:p>
          <w:p w14:paraId="3FA40290" w14:textId="77777777" w:rsidR="000C2D31" w:rsidRPr="001760F0" w:rsidRDefault="000C2D31" w:rsidP="000C2D31">
            <w:pPr>
              <w:spacing w:line="240" w:lineRule="auto"/>
              <w:ind w:firstLine="0"/>
              <w:rPr>
                <w:rFonts w:cs="Times New Roman"/>
                <w:szCs w:val="24"/>
              </w:rPr>
            </w:pPr>
          </w:p>
        </w:tc>
        <w:tc>
          <w:tcPr>
            <w:tcW w:w="616" w:type="dxa"/>
            <w:vAlign w:val="center"/>
          </w:tcPr>
          <w:p w14:paraId="120332B8" w14:textId="77777777" w:rsidR="000C2D31" w:rsidRPr="001760F0" w:rsidRDefault="000C2D31" w:rsidP="000C2D31">
            <w:pPr>
              <w:spacing w:line="240" w:lineRule="auto"/>
              <w:ind w:firstLine="0"/>
              <w:jc w:val="right"/>
              <w:rPr>
                <w:rFonts w:cs="Times New Roman"/>
                <w:szCs w:val="24"/>
              </w:rPr>
            </w:pPr>
            <w:r>
              <w:rPr>
                <w:rFonts w:cs="Times New Roman"/>
                <w:szCs w:val="24"/>
              </w:rPr>
              <w:t>(16</w:t>
            </w:r>
            <w:r w:rsidRPr="001760F0">
              <w:rPr>
                <w:rFonts w:cs="Times New Roman"/>
                <w:szCs w:val="24"/>
              </w:rPr>
              <w:t>)</w:t>
            </w:r>
          </w:p>
        </w:tc>
      </w:tr>
    </w:tbl>
    <w:p w14:paraId="43D53114" w14:textId="77777777" w:rsidR="000C2D31" w:rsidRPr="001760F0" w:rsidRDefault="000C2D31" w:rsidP="000C2D31">
      <w:pPr>
        <w:ind w:firstLine="0"/>
        <w:rPr>
          <w:rFonts w:cs="Times New Roman"/>
          <w:szCs w:val="24"/>
        </w:rPr>
      </w:pPr>
      <w:r w:rsidRPr="005A3E52">
        <w:rPr>
          <w:rFonts w:cs="Times New Roman"/>
          <w:szCs w:val="24"/>
        </w:rPr>
        <w:t>The total mass gain is d</w:t>
      </w:r>
      <w:r>
        <w:rPr>
          <w:rFonts w:cs="Times New Roman"/>
          <w:szCs w:val="24"/>
        </w:rPr>
        <w:t>etermined by integration of</w:t>
      </w:r>
      <w:r w:rsidRPr="005A3E52">
        <w:rPr>
          <w:rFonts w:cs="Times New Roman"/>
          <w:szCs w:val="24"/>
        </w:rPr>
        <w:t xml:space="preserve"> moisture concentration over t</w:t>
      </w:r>
      <w:r>
        <w:rPr>
          <w:rFonts w:cs="Times New Roman"/>
          <w:szCs w:val="24"/>
        </w:rPr>
        <w:t>he volume:</w:t>
      </w:r>
    </w:p>
    <w:tbl>
      <w:tblPr>
        <w:tblW w:w="0" w:type="auto"/>
        <w:tblLook w:val="0600" w:firstRow="0" w:lastRow="0" w:firstColumn="0" w:lastColumn="0" w:noHBand="1" w:noVBand="1"/>
      </w:tblPr>
      <w:tblGrid>
        <w:gridCol w:w="7990"/>
        <w:gridCol w:w="616"/>
      </w:tblGrid>
      <w:tr w:rsidR="000C2D31" w:rsidRPr="001D78C6" w14:paraId="77B8CB4C" w14:textId="77777777" w:rsidTr="000C2D31">
        <w:tc>
          <w:tcPr>
            <w:tcW w:w="7990" w:type="dxa"/>
          </w:tcPr>
          <w:p w14:paraId="64C8A8F3" w14:textId="77777777" w:rsidR="000C2D31" w:rsidRPr="001760F0" w:rsidRDefault="000C2D31" w:rsidP="000C2D31">
            <w:pPr>
              <w:spacing w:line="240" w:lineRule="auto"/>
              <w:ind w:firstLine="0"/>
              <w:rPr>
                <w:rFonts w:cs="Times New Roman"/>
                <w:szCs w:val="24"/>
              </w:rPr>
            </w:pPr>
            <m:oMathPara>
              <m:oMath>
                <m:r>
                  <w:rPr>
                    <w:rFonts w:ascii="Cambria Math" w:hAnsi="Cambria Math" w:cs="Times New Roman"/>
                    <w:szCs w:val="24"/>
                  </w:rPr>
                  <m:t>M</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512</m:t>
                    </m:r>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num>
                  <m:den>
                    <m:sSup>
                      <m:sSupPr>
                        <m:ctrlPr>
                          <w:rPr>
                            <w:rFonts w:ascii="Cambria Math" w:hAnsi="Cambria Math" w:cs="Times New Roman"/>
                            <w:szCs w:val="24"/>
                          </w:rPr>
                        </m:ctrlPr>
                      </m:sSupPr>
                      <m:e>
                        <m:r>
                          <w:rPr>
                            <w:rFonts w:ascii="Cambria Math" w:hAnsi="Cambria Math" w:cs="Times New Roman"/>
                            <w:szCs w:val="24"/>
                          </w:rPr>
                          <m:t>π</m:t>
                        </m:r>
                      </m:e>
                      <m:sup>
                        <m:r>
                          <w:rPr>
                            <w:rFonts w:ascii="Cambria Math" w:hAnsi="Cambria Math" w:cs="Times New Roman"/>
                            <w:szCs w:val="24"/>
                          </w:rPr>
                          <m:t>6</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=0</m:t>
                    </m:r>
                  </m:sub>
                  <m:sup>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=0</m:t>
                        </m:r>
                      </m:sub>
                      <m:sup>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k</m:t>
                            </m:r>
                            <m:r>
                              <m:rPr>
                                <m:sty m:val="p"/>
                              </m:rPr>
                              <w:rPr>
                                <w:rFonts w:ascii="Cambria Math" w:hAnsi="Cambria Math" w:cs="Times New Roman"/>
                                <w:szCs w:val="24"/>
                              </w:rPr>
                              <m:t>=0</m:t>
                            </m:r>
                          </m:sub>
                          <m:sup>
                            <m:r>
                              <m:rPr>
                                <m:sty m:val="p"/>
                              </m:rPr>
                              <w:rPr>
                                <w:rFonts w:ascii="Cambria Math" w:hAnsi="Cambria Math" w:cs="Times New Roman"/>
                                <w:szCs w:val="24"/>
                              </w:rPr>
                              <m:t>∞</m:t>
                            </m:r>
                          </m:sup>
                          <m:e>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+1)</m:t>
                                    </m:r>
                                  </m:e>
                                  <m:sup>
                                    <m:r>
                                      <m:rPr>
                                        <m:sty m:val="p"/>
                                      </m:rPr>
                                      <w:rPr>
                                        <w:rFonts w:ascii="Cambria Math" w:hAnsi="Cambria Math" w:cs="Times New Roman"/>
                                        <w:szCs w:val="24"/>
                                      </w:rPr>
                                      <m:t>2</m:t>
                                    </m:r>
                                  </m:sup>
                                </m:sSup>
                              </m:den>
                            </m:f>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2</m:t>
                                    </m:r>
                                    <m:r>
                                      <w:rPr>
                                        <w:rFonts w:ascii="Cambria Math" w:hAnsi="Cambria Math" w:cs="Times New Roman"/>
                                        <w:szCs w:val="24"/>
                                      </w:rPr>
                                      <m:t>j</m:t>
                                    </m:r>
                                    <m:r>
                                      <m:rPr>
                                        <m:sty m:val="p"/>
                                      </m:rPr>
                                      <w:rPr>
                                        <w:rFonts w:ascii="Cambria Math" w:hAnsi="Cambria Math" w:cs="Times New Roman"/>
                                        <w:szCs w:val="24"/>
                                      </w:rPr>
                                      <m:t>+1)</m:t>
                                    </m:r>
                                  </m:e>
                                  <m:sup>
                                    <m:r>
                                      <m:rPr>
                                        <m:sty m:val="p"/>
                                      </m:rPr>
                                      <w:rPr>
                                        <w:rFonts w:ascii="Cambria Math" w:hAnsi="Cambria Math" w:cs="Times New Roman"/>
                                        <w:szCs w:val="24"/>
                                      </w:rPr>
                                      <m:t>2</m:t>
                                    </m:r>
                                  </m:sup>
                                </m:sSup>
                              </m:den>
                            </m:f>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2k+1)</m:t>
                                    </m:r>
                                  </m:e>
                                  <m:sup>
                                    <m:r>
                                      <m:rPr>
                                        <m:sty m:val="p"/>
                                      </m:rPr>
                                      <w:rPr>
                                        <w:rFonts w:ascii="Cambria Math" w:hAnsi="Cambria Math" w:cs="Times New Roman"/>
                                        <w:szCs w:val="24"/>
                                      </w:rPr>
                                      <m:t>2</m:t>
                                    </m:r>
                                  </m:sup>
                                </m:sSup>
                              </m:den>
                            </m:f>
                          </m:e>
                        </m:nary>
                      </m:e>
                    </m:nary>
                  </m:e>
                </m:nary>
              </m:oMath>
            </m:oMathPara>
          </w:p>
          <w:p w14:paraId="01066692" w14:textId="77777777" w:rsidR="000C2D31" w:rsidRPr="001760F0" w:rsidRDefault="000C2D31" w:rsidP="000C2D31">
            <w:pPr>
              <w:spacing w:line="240" w:lineRule="auto"/>
              <w:ind w:firstLine="0"/>
              <w:rPr>
                <w:rFonts w:cs="Times New Roman"/>
                <w:szCs w:val="24"/>
              </w:rPr>
            </w:pPr>
            <m:oMathPara>
              <m:oMath>
                <m:r>
                  <w:rPr>
                    <w:rFonts w:ascii="Cambria Math" w:hAnsi="Cambria Math" w:cs="Times New Roman"/>
                    <w:szCs w:val="24"/>
                  </w:rPr>
                  <m:t xml:space="preserve">exp </m:t>
                </m:r>
                <m:d>
                  <m:dPr>
                    <m:begChr m:val="["/>
                    <m:endChr m:val="]"/>
                    <m:ctrlPr>
                      <w:rPr>
                        <w:rFonts w:ascii="Cambria Math" w:hAnsi="Cambria Math" w:cs="Times New Roman"/>
                        <w:szCs w:val="24"/>
                      </w:rPr>
                    </m:ctrlPr>
                  </m:dPr>
                  <m:e>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+1</m:t>
                                </m:r>
                              </m:e>
                            </m:d>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2</m:t>
                                </m:r>
                                <m:r>
                                  <w:rPr>
                                    <w:rFonts w:ascii="Cambria Math" w:hAnsi="Cambria Math" w:cs="Times New Roman"/>
                                    <w:szCs w:val="24"/>
                                  </w:rPr>
                                  <m:t>j</m:t>
                                </m:r>
                                <m:r>
                                  <m:rPr>
                                    <m:sty m:val="p"/>
                                  </m:rPr>
                                  <w:rPr>
                                    <w:rFonts w:ascii="Cambria Math" w:hAnsi="Cambria Math" w:cs="Times New Roman"/>
                                    <w:szCs w:val="24"/>
                                  </w:rPr>
                                  <m:t>+1</m:t>
                                </m:r>
                              </m:e>
                            </m:d>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r>
                              <m:rPr>
                                <m:sty m:val="p"/>
                              </m:rPr>
                              <w:rPr>
                                <w:rFonts w:ascii="Cambria Math" w:hAnsi="Cambria Math" w:cs="Times New Roman"/>
                                <w:szCs w:val="24"/>
                              </w:rPr>
                              <m:t>(2</m:t>
                            </m:r>
                            <m:r>
                              <w:rPr>
                                <w:rFonts w:ascii="Cambria Math" w:hAnsi="Cambria Math" w:cs="Times New Roman"/>
                                <w:szCs w:val="24"/>
                              </w:rPr>
                              <m:t>k</m:t>
                            </m:r>
                            <m:r>
                              <m:rPr>
                                <m:sty m:val="p"/>
                              </m:rPr>
                              <w:rPr>
                                <w:rFonts w:ascii="Cambria Math" w:hAnsi="Cambria Math" w:cs="Times New Roman"/>
                                <w:szCs w:val="24"/>
                              </w:rPr>
                              <m:t>+1)</m:t>
                            </m:r>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r>
                      <w:rPr>
                        <w:rFonts w:ascii="Cambria Math" w:hAnsi="Cambria Math" w:cs="Times New Roman"/>
                        <w:szCs w:val="24"/>
                      </w:rPr>
                      <m:t>t</m:t>
                    </m:r>
                  </m:e>
                </m:d>
              </m:oMath>
            </m:oMathPara>
          </w:p>
          <w:p w14:paraId="6D999EEA" w14:textId="77777777" w:rsidR="000C2D31" w:rsidRPr="001760F0" w:rsidRDefault="000C2D31" w:rsidP="000C2D31">
            <w:pPr>
              <w:spacing w:line="240" w:lineRule="auto"/>
              <w:ind w:firstLine="0"/>
              <w:rPr>
                <w:rFonts w:cs="Times New Roman"/>
                <w:szCs w:val="24"/>
              </w:rPr>
            </w:pPr>
          </w:p>
        </w:tc>
        <w:tc>
          <w:tcPr>
            <w:tcW w:w="496" w:type="dxa"/>
            <w:vAlign w:val="center"/>
          </w:tcPr>
          <w:p w14:paraId="397279D6" w14:textId="77777777" w:rsidR="000C2D31" w:rsidRPr="001760F0" w:rsidRDefault="000C2D31" w:rsidP="000C2D31">
            <w:pPr>
              <w:spacing w:line="240" w:lineRule="auto"/>
              <w:ind w:firstLine="0"/>
              <w:jc w:val="right"/>
              <w:rPr>
                <w:rFonts w:cs="Times New Roman"/>
                <w:szCs w:val="24"/>
              </w:rPr>
            </w:pPr>
            <w:r>
              <w:rPr>
                <w:rFonts w:cs="Times New Roman"/>
                <w:szCs w:val="24"/>
              </w:rPr>
              <w:t>(17</w:t>
            </w:r>
            <w:r w:rsidRPr="001760F0">
              <w:rPr>
                <w:rFonts w:cs="Times New Roman"/>
                <w:szCs w:val="24"/>
              </w:rPr>
              <w:t>)</w:t>
            </w:r>
          </w:p>
        </w:tc>
      </w:tr>
    </w:tbl>
    <w:p w14:paraId="075C2A88" w14:textId="77777777" w:rsidR="000C2D31" w:rsidRPr="001D78C6" w:rsidRDefault="000C2D31" w:rsidP="000C2D31">
      <w:pPr>
        <w:spacing w:line="240" w:lineRule="auto"/>
        <w:ind w:firstLine="0"/>
        <w:rPr>
          <w:rFonts w:cs="Times New Roman"/>
          <w:szCs w:val="24"/>
          <w:highlight w:val="yellow"/>
        </w:rPr>
      </w:pPr>
    </w:p>
    <w:p w14:paraId="51C89D7D" w14:textId="671D5F41" w:rsidR="00FF2519" w:rsidRDefault="000C2D31" w:rsidP="000C2D31">
      <w:pPr>
        <w:ind w:firstLine="0"/>
        <w:rPr>
          <w:rFonts w:cs="Times New Roman"/>
          <w:szCs w:val="24"/>
        </w:rPr>
      </w:pPr>
      <w:proofErr w:type="gramStart"/>
      <w:r w:rsidRPr="001760F0">
        <w:rPr>
          <w:rFonts w:cs="Times New Roman"/>
          <w:szCs w:val="24"/>
        </w:rPr>
        <w:lastRenderedPageBreak/>
        <w:t>where</w:t>
      </w:r>
      <w:proofErr w:type="gramEnd"/>
      <w:r w:rsidRPr="001760F0">
        <w:rPr>
          <w:rFonts w:cs="Times New Roman"/>
          <w:szCs w:val="24"/>
        </w:rPr>
        <w:t xml:space="preserve"> </w:t>
      </w:r>
      <m:oMath>
        <m:r>
          <w:rPr>
            <w:rFonts w:ascii="Cambria Math" w:hAnsi="Cambria Math" w:cs="Times New Roman"/>
            <w:szCs w:val="24"/>
          </w:rPr>
          <m:t>M</m:t>
        </m:r>
        <m:d>
          <m:dPr>
            <m:ctrlPr>
              <w:rPr>
                <w:rFonts w:ascii="Cambria Math" w:hAnsi="Cambria Math" w:cs="Times New Roman"/>
                <w:szCs w:val="24"/>
              </w:rPr>
            </m:ctrlPr>
          </m:dPr>
          <m:e>
            <m:r>
              <w:rPr>
                <w:rFonts w:ascii="Cambria Math" w:hAnsi="Cambria Math" w:cs="Times New Roman"/>
                <w:szCs w:val="24"/>
              </w:rPr>
              <m:t>t</m:t>
            </m:r>
          </m:e>
        </m:d>
        <m:r>
          <w:rPr>
            <w:rFonts w:ascii="Cambria Math" w:hAnsi="Cambria Math" w:cs="Times New Roman"/>
            <w:szCs w:val="24"/>
          </w:rPr>
          <m:t xml:space="preserve"> </m:t>
        </m:r>
      </m:oMath>
      <w:r w:rsidRPr="001760F0">
        <w:rPr>
          <w:rFonts w:cs="Times New Roman"/>
          <w:szCs w:val="24"/>
        </w:rPr>
        <w:t xml:space="preserve">is the moisture weight percent at time </w:t>
      </w:r>
      <m:oMath>
        <m:r>
          <w:rPr>
            <w:rFonts w:ascii="Cambria Math" w:hAnsi="Cambria Math" w:cs="Times New Roman"/>
            <w:szCs w:val="24"/>
          </w:rPr>
          <m:t>t</m:t>
        </m:r>
      </m:oMath>
      <w:r w:rsidRPr="001760F0">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oMath>
      <w:r w:rsidRPr="001760F0">
        <w:rPr>
          <w:rFonts w:cs="Times New Roman"/>
          <w:szCs w:val="24"/>
        </w:rPr>
        <w:t xml:space="preserve"> is the equilibrium moisture weight percent of a sample.</w:t>
      </w:r>
    </w:p>
    <w:p w14:paraId="0A69CCAB" w14:textId="29FC6E47" w:rsidR="000C2D31" w:rsidRDefault="000C2D31" w:rsidP="00B63058">
      <w:pPr>
        <w:pStyle w:val="Heading3"/>
      </w:pPr>
      <w:bookmarkStart w:id="66" w:name="_Toc403980422"/>
      <w:bookmarkStart w:id="67" w:name="_Toc531943746"/>
      <w:r w:rsidRPr="005A3E52">
        <w:t>Three-Dimensional Hindered Diffusion Model</w:t>
      </w:r>
      <w:bookmarkEnd w:id="66"/>
      <w:bookmarkEnd w:id="67"/>
    </w:p>
    <w:p w14:paraId="17DD827B" w14:textId="6C1A16B3" w:rsidR="000C2D31" w:rsidRDefault="000C2D31" w:rsidP="000C2D31">
      <w:pPr>
        <w:rPr>
          <w:rFonts w:cs="Times New Roman"/>
          <w:szCs w:val="24"/>
        </w:rPr>
      </w:pPr>
      <w:r>
        <w:rPr>
          <w:rFonts w:cs="Times New Roman"/>
          <w:szCs w:val="24"/>
        </w:rPr>
        <w:t xml:space="preserve">Although the 1D HDM helps depict the non-Fickian behavior of isotropic polymers, it fails to </w:t>
      </w:r>
      <w:r w:rsidRPr="00EE247A">
        <w:rPr>
          <w:rFonts w:cs="Times New Roman"/>
          <w:szCs w:val="24"/>
        </w:rPr>
        <w:t xml:space="preserve">account </w:t>
      </w:r>
      <w:r>
        <w:rPr>
          <w:rFonts w:cs="Times New Roman"/>
          <w:szCs w:val="24"/>
        </w:rPr>
        <w:t>for</w:t>
      </w:r>
      <w:r w:rsidRPr="00F43C7C">
        <w:rPr>
          <w:rFonts w:cs="Times New Roman"/>
          <w:szCs w:val="24"/>
        </w:rPr>
        <w:t xml:space="preserve"> the edge and anisotropy </w:t>
      </w:r>
      <w:r w:rsidRPr="00EE247A">
        <w:rPr>
          <w:rFonts w:cs="Times New Roman"/>
          <w:szCs w:val="24"/>
        </w:rPr>
        <w:t>effects commonly observed in composites</w:t>
      </w:r>
      <w:r>
        <w:rPr>
          <w:rFonts w:cs="Times New Roman"/>
          <w:szCs w:val="24"/>
        </w:rPr>
        <w:t xml:space="preserve">. Characterizing the absorption behavior of a geometrically complex, anisotropic composite part is compromised when a one-dimensional, isotropic model is used. The absorption parameters obtained would not be scalable to actual parts. Building on the Langmuir approach, </w:t>
      </w:r>
      <w:r w:rsidRPr="00EE247A">
        <w:rPr>
          <w:rFonts w:cs="Times New Roman"/>
          <w:szCs w:val="24"/>
        </w:rPr>
        <w:t xml:space="preserve">Grace and </w:t>
      </w:r>
      <w:proofErr w:type="spellStart"/>
      <w:r w:rsidRPr="00EE247A">
        <w:rPr>
          <w:rFonts w:cs="Times New Roman"/>
          <w:szCs w:val="24"/>
        </w:rPr>
        <w:t>Altan</w:t>
      </w:r>
      <w:proofErr w:type="spellEnd"/>
      <w:r w:rsidRPr="00EE247A">
        <w:rPr>
          <w:rFonts w:cs="Times New Roman"/>
          <w:szCs w:val="24"/>
        </w:rPr>
        <w:t xml:space="preserve"> </w:t>
      </w:r>
      <w:r w:rsidRPr="00FF0509">
        <w:rPr>
          <w:rFonts w:cs="Times New Roman"/>
          <w:szCs w:val="24"/>
        </w:rPr>
        <w:t>[</w:t>
      </w:r>
      <w:r>
        <w:rPr>
          <w:rFonts w:cs="Times New Roman"/>
          <w:szCs w:val="24"/>
        </w:rPr>
        <w:t>30] recently proposed a</w:t>
      </w:r>
      <w:r w:rsidRPr="00EE247A">
        <w:rPr>
          <w:rFonts w:cs="Times New Roman"/>
          <w:szCs w:val="24"/>
        </w:rPr>
        <w:t xml:space="preserve"> three-dimensional </w:t>
      </w:r>
      <w:r>
        <w:rPr>
          <w:rFonts w:cs="Times New Roman"/>
          <w:szCs w:val="24"/>
        </w:rPr>
        <w:t xml:space="preserve">hindered diffusion model (3D HDM). </w:t>
      </w:r>
      <w:r w:rsidRPr="00E669AF">
        <w:rPr>
          <w:rFonts w:cs="Times New Roman"/>
          <w:szCs w:val="24"/>
        </w:rPr>
        <w:t>This model has extended the Langmuir-type diffusion model by accounting for diffusion anisotropy and edge effects as well as the Fickian and anomalous moisture uptake behavior</w:t>
      </w:r>
      <w:r>
        <w:rPr>
          <w:rFonts w:cs="Times New Roman"/>
          <w:szCs w:val="24"/>
        </w:rPr>
        <w:t xml:space="preserve">. In comparison to 3D Fickian model, </w:t>
      </w:r>
      <w:r w:rsidR="00AD2E2C">
        <w:rPr>
          <w:rFonts w:cs="Times New Roman"/>
          <w:szCs w:val="24"/>
        </w:rPr>
        <w:t>3D HDM</w:t>
      </w:r>
      <w:r>
        <w:rPr>
          <w:rFonts w:cs="Times New Roman"/>
          <w:szCs w:val="24"/>
        </w:rPr>
        <w:t xml:space="preserve"> can capture the non-Fickian effects by considering chemical interactions between the penetrant and the medium. Following the </w:t>
      </w:r>
      <w:r w:rsidR="00AD2E2C">
        <w:rPr>
          <w:rFonts w:cs="Times New Roman"/>
          <w:szCs w:val="24"/>
        </w:rPr>
        <w:t>3D HDM</w:t>
      </w:r>
      <w:r>
        <w:rPr>
          <w:rFonts w:cs="Times New Roman"/>
          <w:szCs w:val="24"/>
        </w:rPr>
        <w:t xml:space="preserve"> model development, Grace and </w:t>
      </w:r>
      <w:proofErr w:type="spellStart"/>
      <w:r>
        <w:rPr>
          <w:rFonts w:cs="Times New Roman"/>
          <w:szCs w:val="24"/>
        </w:rPr>
        <w:t>Altan</w:t>
      </w:r>
      <w:proofErr w:type="spellEnd"/>
      <w:r>
        <w:rPr>
          <w:rFonts w:cs="Times New Roman"/>
          <w:szCs w:val="24"/>
        </w:rPr>
        <w:t xml:space="preserve"> </w:t>
      </w:r>
      <w:r>
        <w:rPr>
          <w:rFonts w:cs="Times New Roman"/>
          <w:szCs w:val="24"/>
        </w:rPr>
        <w:fldChar w:fldCharType="begin" w:fldLock="1"/>
      </w:r>
      <w:r w:rsidR="00430285">
        <w:rPr>
          <w:rFonts w:cs="Times New Roman"/>
          <w:szCs w:val="24"/>
        </w:rPr>
        <w:instrText>ADDIN CSL_CITATION {"citationItems":[{"id":"ITEM-1","itemData":{"DOI":"10.1002/pen.23549","ISSN":"0032-3888","abstract":"The three?dimensional anisotropic moisture absorption behavior of quartz?fiber?reinforced bismaleimide (BMI) laminates is investigated by collecting 21 months of experimental gravimetric data. Laminates of six, twelve, and forty plies and various planar aspect ratios are used to determine the three?dimensional anisotropic diffusion behavior when exposed to full immersion in distilled water at 25°C. The long?term moisture absorption behavior deviates from the widely used Fickian model, but can be accurately captured by the three?dimensional, anisotropic hindered diffusion model (3D HDM). Excellent agreement is achieved between experimental gravimetric data and the 3D HDM for all laminate thicknesses. Recovered model parameters are shown to slightly vary with laminate thickness due to the small changes in the cured?ply thickness. However, model parameters identified for a given laminate thickness are observed to accurately predict the absorption behavior of samples with different planar dimensions. Equilibrium moisture content of 1.72, 1.69, and 1.84% and corresponding diffusion hindrance coefficients of 0.807, 0.844, and 0.671 are recovered for six, twelve, and forty?ply laminates, respectively, thus confirming strong non?Fickian behavior. Moisture absorption parameters may be determined successfully at 16.5 months of immersion, before reaching approximately 85% of the equilibrium moisture content at 21 months. Subsequent gravimetric measurements up to 21 months are consistent with the predicted long?term behavior. POLYM. ENG. SCI., 54:137?146, 2014. ? 2013 Society of Plastics Engineers","author":[{"dropping-particle":"","family":"Grace","given":"L.R.","non-dropping-particle":"","parse-names":false,"suffix":""},{"dropping-particle":"","family":"Altan","given":"M.C.","non-dropping-particle":"","parse-names":false,"suffix":""}],"container-title":"Polymer Engineering &amp; Science","id":"ITEM-1","issue":"1","issued":{"date-parts":[["2013","3","26"]]},"note":"doi: 10.1002/pen.23549","page":"137-146","publisher":"Wiley-Blackwell","title":"Three</w:instrText>
      </w:r>
      <w:r w:rsidR="00430285">
        <w:rPr>
          <w:rFonts w:ascii="Cambria Math" w:hAnsi="Cambria Math" w:cs="Cambria Math"/>
          <w:szCs w:val="24"/>
        </w:rPr>
        <w:instrText>‐</w:instrText>
      </w:r>
      <w:r w:rsidR="00430285">
        <w:rPr>
          <w:rFonts w:cs="Times New Roman"/>
          <w:szCs w:val="24"/>
        </w:rPr>
        <w:instrText>dimensional anisotropic moisture absorption in quartz</w:instrText>
      </w:r>
      <w:r w:rsidR="00430285">
        <w:rPr>
          <w:rFonts w:ascii="Cambria Math" w:hAnsi="Cambria Math" w:cs="Cambria Math"/>
          <w:szCs w:val="24"/>
        </w:rPr>
        <w:instrText>‐</w:instrText>
      </w:r>
      <w:r w:rsidR="00430285">
        <w:rPr>
          <w:rFonts w:cs="Times New Roman"/>
          <w:szCs w:val="24"/>
        </w:rPr>
        <w:instrText>reinforced bismaleimide laminates","type":"article-journal","volume":"54"},"uris":["http://www.mendeley.com/documents/?uuid=cb201e30-d17d-44ba-a947-be255fc4b22f"]}],"mendeley":{"formattedCitation":"[65]","plainTextFormattedCitation":"[65]","previouslyFormattedCitation":"[64]"},"properties":{"noteIndex":0},"schema":"https://github.com/citation-style-language/schema/raw/master/csl-citation.json"}</w:instrText>
      </w:r>
      <w:r>
        <w:rPr>
          <w:rFonts w:cs="Times New Roman"/>
          <w:szCs w:val="24"/>
        </w:rPr>
        <w:fldChar w:fldCharType="separate"/>
      </w:r>
      <w:r w:rsidR="00430285" w:rsidRPr="00430285">
        <w:rPr>
          <w:rFonts w:cs="Times New Roman"/>
          <w:noProof/>
          <w:szCs w:val="24"/>
        </w:rPr>
        <w:t>[65]</w:t>
      </w:r>
      <w:r>
        <w:rPr>
          <w:rFonts w:cs="Times New Roman"/>
          <w:szCs w:val="24"/>
        </w:rPr>
        <w:fldChar w:fldCharType="end"/>
      </w:r>
      <w:r>
        <w:rPr>
          <w:rFonts w:cs="Times New Roman"/>
          <w:szCs w:val="24"/>
        </w:rPr>
        <w:t xml:space="preserve"> validated the predictive capabilities of their model using </w:t>
      </w:r>
      <w:r w:rsidRPr="00D2449D">
        <w:rPr>
          <w:rFonts w:cs="Times New Roman"/>
          <w:szCs w:val="24"/>
        </w:rPr>
        <w:t>moisture intake</w:t>
      </w:r>
      <w:r>
        <w:rPr>
          <w:rFonts w:cs="Times New Roman"/>
          <w:szCs w:val="24"/>
        </w:rPr>
        <w:t xml:space="preserve"> data of</w:t>
      </w:r>
      <w:r w:rsidRPr="00D2449D">
        <w:rPr>
          <w:rFonts w:cs="Times New Roman"/>
          <w:szCs w:val="24"/>
        </w:rPr>
        <w:t xml:space="preserve"> 6-, 12-</w:t>
      </w:r>
      <w:r w:rsidR="00980A92">
        <w:rPr>
          <w:rFonts w:cs="Times New Roman"/>
          <w:szCs w:val="24"/>
        </w:rPr>
        <w:t>,</w:t>
      </w:r>
      <w:r w:rsidRPr="00D2449D">
        <w:rPr>
          <w:rFonts w:cs="Times New Roman"/>
          <w:szCs w:val="24"/>
        </w:rPr>
        <w:t xml:space="preserve"> and 40-ply, quartz/BMI composite laminates</w:t>
      </w:r>
      <w:r>
        <w:rPr>
          <w:rFonts w:cs="Times New Roman"/>
          <w:szCs w:val="24"/>
        </w:rPr>
        <w:t xml:space="preserve">. </w:t>
      </w:r>
      <w:r w:rsidRPr="00D2449D">
        <w:rPr>
          <w:rFonts w:cs="Times New Roman"/>
          <w:szCs w:val="24"/>
        </w:rPr>
        <w:t>The modification of the one-dimensional</w:t>
      </w:r>
      <w:r w:rsidRPr="005A3E52">
        <w:rPr>
          <w:rFonts w:cs="Times New Roman"/>
          <w:szCs w:val="24"/>
        </w:rPr>
        <w:t xml:space="preserve"> model yields the following governing equations for hindered diffusion model: </w:t>
      </w:r>
    </w:p>
    <w:tbl>
      <w:tblPr>
        <w:tblW w:w="0" w:type="auto"/>
        <w:tblLook w:val="04A0" w:firstRow="1" w:lastRow="0" w:firstColumn="1" w:lastColumn="0" w:noHBand="0" w:noVBand="1"/>
      </w:tblPr>
      <w:tblGrid>
        <w:gridCol w:w="7400"/>
        <w:gridCol w:w="1096"/>
      </w:tblGrid>
      <w:tr w:rsidR="000C2D31" w:rsidRPr="005A3E52" w14:paraId="32E9E4B0" w14:textId="77777777" w:rsidTr="000C2D31">
        <w:trPr>
          <w:trHeight w:val="526"/>
        </w:trPr>
        <w:tc>
          <w:tcPr>
            <w:tcW w:w="7400" w:type="dxa"/>
            <w:vAlign w:val="center"/>
          </w:tcPr>
          <w:p w14:paraId="27E371AA" w14:textId="77777777" w:rsidR="000C2D31" w:rsidRPr="005A3E52" w:rsidRDefault="007B3686" w:rsidP="000C2D31">
            <w:pPr>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n</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n</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y</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n</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z</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m:t>
                    </m:r>
                  </m:num>
                  <m:den>
                    <m:r>
                      <w:rPr>
                        <w:rFonts w:ascii="Cambria Math" w:hAnsi="Cambria Math" w:cs="Times New Roman"/>
                        <w:szCs w:val="24"/>
                      </w:rPr>
                      <m:t>∂t</m:t>
                    </m:r>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m:t>
                    </m:r>
                  </m:num>
                  <m:den>
                    <m:r>
                      <w:rPr>
                        <w:rFonts w:ascii="Cambria Math" w:hAnsi="Cambria Math" w:cs="Times New Roman"/>
                        <w:szCs w:val="24"/>
                      </w:rPr>
                      <m:t>∂t</m:t>
                    </m:r>
                  </m:den>
                </m:f>
              </m:oMath>
            </m:oMathPara>
          </w:p>
        </w:tc>
        <w:tc>
          <w:tcPr>
            <w:tcW w:w="1096" w:type="dxa"/>
            <w:vAlign w:val="center"/>
          </w:tcPr>
          <w:p w14:paraId="5B8C5D73" w14:textId="77777777" w:rsidR="000C2D31" w:rsidRPr="005A3E52" w:rsidRDefault="000C2D31" w:rsidP="000C2D31">
            <w:pPr>
              <w:jc w:val="right"/>
              <w:rPr>
                <w:rFonts w:cs="Times New Roman"/>
                <w:szCs w:val="24"/>
              </w:rPr>
            </w:pPr>
            <w:r>
              <w:rPr>
                <w:rFonts w:cs="Times New Roman"/>
                <w:szCs w:val="24"/>
              </w:rPr>
              <w:t>(18</w:t>
            </w:r>
            <w:r w:rsidRPr="005A3E52">
              <w:rPr>
                <w:rFonts w:cs="Times New Roman"/>
                <w:szCs w:val="24"/>
              </w:rPr>
              <w:t>a)</w:t>
            </w:r>
          </w:p>
        </w:tc>
      </w:tr>
      <w:tr w:rsidR="000C2D31" w:rsidRPr="005A3E52" w14:paraId="7A09651B" w14:textId="77777777" w:rsidTr="000C2D31">
        <w:trPr>
          <w:trHeight w:val="643"/>
        </w:trPr>
        <w:tc>
          <w:tcPr>
            <w:tcW w:w="7400" w:type="dxa"/>
            <w:vAlign w:val="center"/>
          </w:tcPr>
          <w:p w14:paraId="51F6FA98" w14:textId="77777777" w:rsidR="000C2D31" w:rsidRPr="005A3E52" w:rsidRDefault="007B3686" w:rsidP="000C2D31">
            <w:pPr>
              <w:rPr>
                <w:rFonts w:cs="Times New Roman"/>
                <w:szCs w:val="24"/>
              </w:rPr>
            </w:pPr>
            <m:oMathPara>
              <m:oMath>
                <m:f>
                  <m:fPr>
                    <m:ctrlPr>
                      <w:rPr>
                        <w:rFonts w:ascii="Cambria Math" w:hAnsi="Cambria Math" w:cs="Times New Roman"/>
                        <w:szCs w:val="24"/>
                      </w:rPr>
                    </m:ctrlPr>
                  </m:fPr>
                  <m:num>
                    <m:r>
                      <w:rPr>
                        <w:rFonts w:ascii="Cambria Math" w:hAnsi="Cambria Math" w:cs="Times New Roman"/>
                        <w:szCs w:val="24"/>
                      </w:rPr>
                      <m:t>∂N</m:t>
                    </m:r>
                  </m:num>
                  <m:den>
                    <m:r>
                      <w:rPr>
                        <w:rFonts w:ascii="Cambria Math" w:hAnsi="Cambria Math" w:cs="Times New Roman"/>
                        <w:szCs w:val="24"/>
                      </w:rPr>
                      <m:t>∂t</m:t>
                    </m:r>
                  </m:den>
                </m:f>
                <m:r>
                  <m:rPr>
                    <m:sty m:val="p"/>
                  </m:rPr>
                  <w:rPr>
                    <w:rFonts w:ascii="Cambria Math" w:hAnsi="Cambria Math" w:cs="Times New Roman"/>
                    <w:szCs w:val="24"/>
                  </w:rPr>
                  <m:t>=</m:t>
                </m:r>
                <m:r>
                  <w:rPr>
                    <w:rFonts w:ascii="Cambria Math" w:hAnsi="Cambria Math" w:cs="Times New Roman"/>
                    <w:szCs w:val="24"/>
                  </w:rPr>
                  <m:t>γn</m:t>
                </m:r>
                <m:r>
                  <m:rPr>
                    <m:sty m:val="p"/>
                  </m:rPr>
                  <w:rPr>
                    <w:rFonts w:ascii="Cambria Math" w:hAnsi="Cambria Math" w:cs="Times New Roman"/>
                    <w:szCs w:val="24"/>
                  </w:rPr>
                  <m:t>-</m:t>
                </m:r>
                <m:r>
                  <w:rPr>
                    <w:rFonts w:ascii="Cambria Math" w:hAnsi="Cambria Math" w:cs="Times New Roman"/>
                    <w:szCs w:val="24"/>
                  </w:rPr>
                  <m:t>βN</m:t>
                </m:r>
              </m:oMath>
            </m:oMathPara>
          </w:p>
        </w:tc>
        <w:tc>
          <w:tcPr>
            <w:tcW w:w="1096" w:type="dxa"/>
            <w:vAlign w:val="center"/>
          </w:tcPr>
          <w:p w14:paraId="0AF87E13" w14:textId="77777777" w:rsidR="000C2D31" w:rsidRPr="005A3E52" w:rsidRDefault="000C2D31" w:rsidP="000C2D31">
            <w:pPr>
              <w:jc w:val="right"/>
              <w:rPr>
                <w:rFonts w:cs="Times New Roman"/>
                <w:szCs w:val="24"/>
              </w:rPr>
            </w:pPr>
            <w:r>
              <w:rPr>
                <w:rFonts w:cs="Times New Roman"/>
                <w:szCs w:val="24"/>
              </w:rPr>
              <w:t>(18</w:t>
            </w:r>
            <w:r w:rsidRPr="005A3E52">
              <w:rPr>
                <w:rFonts w:cs="Times New Roman"/>
                <w:szCs w:val="24"/>
              </w:rPr>
              <w:t>b)</w:t>
            </w:r>
          </w:p>
        </w:tc>
      </w:tr>
    </w:tbl>
    <w:p w14:paraId="5578C494" w14:textId="0D5F45EF" w:rsidR="000C2D31" w:rsidRDefault="000C2D31" w:rsidP="00394D74">
      <w:pPr>
        <w:ind w:firstLine="0"/>
        <w:rPr>
          <w:rFonts w:cs="Times New Roman"/>
          <w:szCs w:val="24"/>
        </w:rPr>
      </w:pPr>
      <w:proofErr w:type="gramStart"/>
      <w:r w:rsidRPr="00EE247A">
        <w:rPr>
          <w:rFonts w:cs="Times New Roman"/>
          <w:szCs w:val="24"/>
        </w:rPr>
        <w:t>where</w:t>
      </w:r>
      <w:proofErr w:type="gramEnd"/>
      <w:r w:rsidRPr="00EE247A">
        <w:rPr>
          <w:rFonts w:cs="Times New Roman"/>
          <w:szCs w:val="24"/>
        </w:rPr>
        <w:t xml:space="preserve"> </w:t>
      </w:r>
      <m:oMath>
        <m:r>
          <w:rPr>
            <w:rFonts w:ascii="Cambria Math" w:hAnsi="Cambria Math" w:cs="Times New Roman"/>
            <w:szCs w:val="24"/>
          </w:rPr>
          <m:t xml:space="preserve">n(x,y,z,t) </m:t>
        </m:r>
      </m:oMath>
      <w:r w:rsidRPr="00EE247A">
        <w:rPr>
          <w:rFonts w:cs="Times New Roman"/>
          <w:szCs w:val="24"/>
        </w:rPr>
        <w:t xml:space="preserve">represents the unbound molecules per unit volume, </w:t>
      </w:r>
      <m:oMath>
        <m:r>
          <w:rPr>
            <w:rFonts w:ascii="Cambria Math" w:hAnsi="Cambria Math" w:cs="Times New Roman"/>
            <w:szCs w:val="24"/>
          </w:rPr>
          <m:t>N(x,y,z,t)</m:t>
        </m:r>
      </m:oMath>
      <w:r w:rsidRPr="00EE247A">
        <w:rPr>
          <w:rFonts w:cs="Times New Roman"/>
          <w:szCs w:val="24"/>
        </w:rPr>
        <w:t xml:space="preserve"> represents the bound molecules</w:t>
      </w:r>
      <w:r>
        <w:rPr>
          <w:rFonts w:cs="Times New Roman"/>
          <w:szCs w:val="24"/>
        </w:rPr>
        <w:t xml:space="preserve"> per unit volume. Again, </w:t>
      </w:r>
      <m:oMath>
        <m:r>
          <w:rPr>
            <w:rFonts w:ascii="Cambria Math" w:hAnsi="Cambria Math" w:cs="Times New Roman"/>
            <w:szCs w:val="24"/>
          </w:rPr>
          <m:t>β</m:t>
        </m:r>
      </m:oMath>
      <w:r w:rsidRPr="00EE247A">
        <w:rPr>
          <w:rFonts w:cs="Times New Roman"/>
          <w:i/>
          <w:szCs w:val="24"/>
        </w:rPr>
        <w:t xml:space="preserve"> </w:t>
      </w:r>
      <w:r w:rsidRPr="00EE247A">
        <w:rPr>
          <w:rFonts w:cs="Times New Roman"/>
          <w:szCs w:val="24"/>
        </w:rPr>
        <w:t xml:space="preserve">is the rate of bound molecules </w:t>
      </w:r>
      <w:r w:rsidRPr="00EE247A">
        <w:rPr>
          <w:rFonts w:cs="Times New Roman"/>
          <w:szCs w:val="24"/>
        </w:rPr>
        <w:lastRenderedPageBreak/>
        <w:t xml:space="preserve">becoming mobile, and </w:t>
      </w:r>
      <m:oMath>
        <m:r>
          <w:rPr>
            <w:rFonts w:ascii="Cambria Math" w:hAnsi="Cambria Math" w:cs="Times New Roman"/>
            <w:szCs w:val="24"/>
          </w:rPr>
          <m:t>γ</m:t>
        </m:r>
      </m:oMath>
      <w:r w:rsidRPr="00EE247A">
        <w:rPr>
          <w:rFonts w:cs="Times New Roman"/>
          <w:szCs w:val="24"/>
        </w:rPr>
        <w:t xml:space="preserve"> </w:t>
      </w:r>
      <w:r>
        <w:rPr>
          <w:rFonts w:cs="Times New Roman"/>
          <w:szCs w:val="24"/>
        </w:rPr>
        <w:t xml:space="preserve">is </w:t>
      </w:r>
      <w:r w:rsidRPr="00EE247A">
        <w:rPr>
          <w:rFonts w:cs="Times New Roman"/>
          <w:szCs w:val="24"/>
        </w:rPr>
        <w:t>the rate of m</w:t>
      </w:r>
      <w:r>
        <w:rPr>
          <w:rFonts w:cs="Times New Roman"/>
          <w:szCs w:val="24"/>
        </w:rPr>
        <w:t>obile molecules becoming bound.</w:t>
      </w:r>
      <w:r w:rsidRPr="00EE247A">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oMath>
      <w:r w:rsidRPr="00EE247A">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r>
          <w:rPr>
            <w:rFonts w:ascii="Cambria Math" w:hAnsi="Cambria Math" w:cs="Times New Roman"/>
            <w:szCs w:val="24"/>
          </w:rPr>
          <m:t>,</m:t>
        </m:r>
      </m:oMath>
      <w:r w:rsidRPr="00EE247A">
        <w:rPr>
          <w:rFonts w:cs="Times New Roman"/>
          <w:szCs w:val="24"/>
        </w:rPr>
        <w:t xml:space="preserve"> and</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oMath>
      <w:r w:rsidRPr="00EE247A">
        <w:rPr>
          <w:rFonts w:cs="Times New Roman"/>
          <w:szCs w:val="24"/>
        </w:rPr>
        <w:t xml:space="preserve"> are </w:t>
      </w:r>
      <w:r>
        <w:rPr>
          <w:rFonts w:cs="Times New Roman"/>
          <w:szCs w:val="24"/>
        </w:rPr>
        <w:t xml:space="preserve">the </w:t>
      </w:r>
      <w:r w:rsidRPr="00EE247A">
        <w:rPr>
          <w:rFonts w:cs="Times New Roman"/>
          <w:szCs w:val="24"/>
        </w:rPr>
        <w:t>diffusion coefficient</w:t>
      </w:r>
      <w:r>
        <w:rPr>
          <w:rFonts w:cs="Times New Roman"/>
          <w:szCs w:val="24"/>
        </w:rPr>
        <w:t>s</w:t>
      </w:r>
      <w:r w:rsidRPr="00EE247A">
        <w:rPr>
          <w:rFonts w:cs="Times New Roman"/>
          <w:szCs w:val="24"/>
        </w:rPr>
        <w:t xml:space="preserve"> in </w:t>
      </w:r>
      <w:proofErr w:type="gramStart"/>
      <w:r>
        <w:rPr>
          <w:rFonts w:cs="Times New Roman"/>
          <w:szCs w:val="24"/>
        </w:rPr>
        <w:t xml:space="preserve">the </w:t>
      </w:r>
      <w:proofErr w:type="gramEnd"/>
      <m:oMath>
        <m:r>
          <w:rPr>
            <w:rFonts w:ascii="Cambria Math" w:hAnsi="Cambria Math" w:cs="Times New Roman"/>
            <w:szCs w:val="24"/>
          </w:rPr>
          <m:t>x</m:t>
        </m:r>
      </m:oMath>
      <w:r w:rsidRPr="00EE247A">
        <w:rPr>
          <w:rFonts w:cs="Times New Roman"/>
          <w:szCs w:val="24"/>
        </w:rPr>
        <w:t>,</w:t>
      </w:r>
      <m:oMath>
        <m:r>
          <w:rPr>
            <w:rFonts w:ascii="Cambria Math" w:hAnsi="Cambria Math" w:cs="Times New Roman"/>
            <w:szCs w:val="24"/>
          </w:rPr>
          <m:t xml:space="preserve"> y,</m:t>
        </m:r>
      </m:oMath>
      <w:r w:rsidRPr="00EE247A">
        <w:rPr>
          <w:rFonts w:cs="Times New Roman"/>
          <w:szCs w:val="24"/>
        </w:rPr>
        <w:t xml:space="preserve"> and </w:t>
      </w:r>
      <m:oMath>
        <m:r>
          <w:rPr>
            <w:rFonts w:ascii="Cambria Math" w:hAnsi="Cambria Math" w:cs="Times New Roman"/>
            <w:szCs w:val="24"/>
          </w:rPr>
          <m:t>z</m:t>
        </m:r>
      </m:oMath>
      <w:r w:rsidRPr="00EE247A">
        <w:rPr>
          <w:rFonts w:cs="Times New Roman"/>
          <w:szCs w:val="24"/>
        </w:rPr>
        <w:t xml:space="preserve"> </w:t>
      </w:r>
      <w:r>
        <w:rPr>
          <w:rFonts w:cs="Times New Roman"/>
          <w:szCs w:val="24"/>
        </w:rPr>
        <w:t xml:space="preserve">directions, </w:t>
      </w:r>
      <w:r w:rsidRPr="00EE247A">
        <w:rPr>
          <w:rFonts w:cs="Times New Roman"/>
          <w:szCs w:val="24"/>
        </w:rPr>
        <w:t>respectively.</w:t>
      </w:r>
    </w:p>
    <w:p w14:paraId="151A40B4" w14:textId="42A2B035" w:rsidR="000C2D31" w:rsidRDefault="000C2D31" w:rsidP="000C2D31">
      <w:pPr>
        <w:rPr>
          <w:rFonts w:cs="Times New Roman"/>
          <w:szCs w:val="24"/>
        </w:rPr>
      </w:pPr>
      <w:r>
        <w:rPr>
          <w:rFonts w:cs="Times New Roman"/>
          <w:szCs w:val="24"/>
        </w:rPr>
        <w:t xml:space="preserve">In addition, </w:t>
      </w:r>
      <w:r w:rsidRPr="00EE247A">
        <w:rPr>
          <w:rFonts w:cs="Times New Roman"/>
          <w:szCs w:val="24"/>
        </w:rPr>
        <w:t xml:space="preserve">Grace and </w:t>
      </w:r>
      <w:proofErr w:type="spellStart"/>
      <w:r w:rsidRPr="00EE247A">
        <w:rPr>
          <w:rFonts w:cs="Times New Roman"/>
          <w:szCs w:val="24"/>
        </w:rPr>
        <w:t>Altan</w:t>
      </w:r>
      <w:proofErr w:type="spellEnd"/>
      <w:r w:rsidRPr="00EE247A">
        <w:rPr>
          <w:rFonts w:cs="Times New Roman"/>
          <w:szCs w:val="24"/>
        </w:rPr>
        <w:t xml:space="preserve"> [</w:t>
      </w:r>
      <w:r>
        <w:rPr>
          <w:rFonts w:cs="Times New Roman"/>
          <w:szCs w:val="24"/>
        </w:rPr>
        <w:t>30</w:t>
      </w:r>
      <w:r w:rsidRPr="00EE247A">
        <w:rPr>
          <w:rFonts w:cs="Times New Roman"/>
          <w:szCs w:val="24"/>
        </w:rPr>
        <w:t xml:space="preserve">] </w:t>
      </w:r>
      <w:r>
        <w:rPr>
          <w:rFonts w:cs="Times New Roman"/>
          <w:szCs w:val="24"/>
        </w:rPr>
        <w:t xml:space="preserve">developed an approximate solution to the three-dimensional hindered diffusion model (3D HDM) that would simplify to Eq. </w:t>
      </w:r>
      <w:r w:rsidR="009B05F7">
        <w:rPr>
          <w:rFonts w:cs="Times New Roman"/>
          <w:szCs w:val="24"/>
        </w:rPr>
        <w:t>(</w:t>
      </w:r>
      <w:r>
        <w:rPr>
          <w:rFonts w:cs="Times New Roman"/>
          <w:szCs w:val="24"/>
        </w:rPr>
        <w:t>11</w:t>
      </w:r>
      <w:r w:rsidR="009B05F7">
        <w:rPr>
          <w:rFonts w:cs="Times New Roman"/>
          <w:szCs w:val="24"/>
        </w:rPr>
        <w:t>)</w:t>
      </w:r>
      <w:r>
        <w:rPr>
          <w:rFonts w:cs="Times New Roman"/>
          <w:szCs w:val="24"/>
        </w:rPr>
        <w:t xml:space="preserve"> for one-dimensional cases. The approximate solution was obtained by </w:t>
      </w:r>
      <w:r w:rsidRPr="00EE247A">
        <w:rPr>
          <w:rFonts w:cs="Times New Roman"/>
          <w:szCs w:val="24"/>
        </w:rPr>
        <w:t>solv</w:t>
      </w:r>
      <w:r>
        <w:rPr>
          <w:rFonts w:cs="Times New Roman"/>
          <w:szCs w:val="24"/>
        </w:rPr>
        <w:t>ing</w:t>
      </w:r>
      <w:r w:rsidRPr="00EE247A">
        <w:rPr>
          <w:rFonts w:cs="Times New Roman"/>
          <w:szCs w:val="24"/>
        </w:rPr>
        <w:t xml:space="preserve"> the set of coupled partial differential equation</w:t>
      </w:r>
      <w:r>
        <w:rPr>
          <w:rFonts w:cs="Times New Roman"/>
          <w:szCs w:val="24"/>
        </w:rPr>
        <w:t>s</w:t>
      </w:r>
      <w:r w:rsidRPr="00EE247A">
        <w:rPr>
          <w:rFonts w:cs="Times New Roman"/>
          <w:szCs w:val="24"/>
        </w:rPr>
        <w:t xml:space="preserve"> </w:t>
      </w:r>
      <w:r>
        <w:rPr>
          <w:rFonts w:cs="Times New Roman"/>
          <w:szCs w:val="24"/>
        </w:rPr>
        <w:t xml:space="preserve">given in Eqs. </w:t>
      </w:r>
      <w:r w:rsidR="009B05F7">
        <w:rPr>
          <w:rFonts w:cs="Times New Roman"/>
          <w:szCs w:val="24"/>
        </w:rPr>
        <w:t>(</w:t>
      </w:r>
      <w:r>
        <w:rPr>
          <w:rFonts w:cs="Times New Roman"/>
          <w:szCs w:val="24"/>
        </w:rPr>
        <w:t>18a-b</w:t>
      </w:r>
      <w:r w:rsidR="009B05F7">
        <w:rPr>
          <w:rFonts w:cs="Times New Roman"/>
          <w:szCs w:val="24"/>
        </w:rPr>
        <w:t>)</w:t>
      </w:r>
      <w:r w:rsidRPr="00EE247A">
        <w:rPr>
          <w:rFonts w:cs="Times New Roman"/>
          <w:szCs w:val="24"/>
        </w:rPr>
        <w:t xml:space="preserve"> </w:t>
      </w:r>
      <w:r>
        <w:rPr>
          <w:rFonts w:cs="Times New Roman"/>
          <w:szCs w:val="24"/>
        </w:rPr>
        <w:t>for the case where</w:t>
      </w:r>
      <m:oMath>
        <m:r>
          <w:rPr>
            <w:rFonts w:ascii="Cambria Math" w:hAnsi="Cambria Math" w:cs="Times New Roman"/>
            <w:szCs w:val="24"/>
          </w:rPr>
          <m:t xml:space="preserve"> </m:t>
        </m:r>
        <m:r>
          <w:rPr>
            <w:rFonts w:ascii="Cambria Math" w:eastAsiaTheme="majorEastAsia" w:hAnsi="Cambria Math" w:cs="Times New Roman"/>
            <w:szCs w:val="24"/>
          </w:rPr>
          <m:t>2γ,2β≪K</m:t>
        </m:r>
      </m:oMath>
      <w:r>
        <w:rPr>
          <w:rFonts w:cs="Times New Roman"/>
          <w:szCs w:val="24"/>
        </w:rPr>
        <w:t>:</w:t>
      </w:r>
    </w:p>
    <w:tbl>
      <w:tblPr>
        <w:tblW w:w="0" w:type="auto"/>
        <w:tblLook w:val="0600" w:firstRow="0" w:lastRow="0" w:firstColumn="0" w:lastColumn="0" w:noHBand="1" w:noVBand="1"/>
      </w:tblPr>
      <w:tblGrid>
        <w:gridCol w:w="7870"/>
        <w:gridCol w:w="616"/>
      </w:tblGrid>
      <w:tr w:rsidR="000C2D31" w:rsidRPr="001D78C6" w14:paraId="0347CB6B" w14:textId="77777777" w:rsidTr="000C2D31">
        <w:tc>
          <w:tcPr>
            <w:tcW w:w="7870" w:type="dxa"/>
          </w:tcPr>
          <w:p w14:paraId="2B30F230" w14:textId="77777777" w:rsidR="000C2D31" w:rsidRPr="007318F8" w:rsidRDefault="007B3686" w:rsidP="000C2D31">
            <w:pPr>
              <w:ind w:firstLine="0"/>
              <w:rPr>
                <w:rFonts w:cs="Times New Roman"/>
                <w:b/>
                <w:szCs w:val="24"/>
              </w:rPr>
            </w:pPr>
            <m:oMathPara>
              <m:oMath>
                <m:f>
                  <m:fPr>
                    <m:ctrlPr>
                      <w:rPr>
                        <w:rFonts w:ascii="Cambria Math" w:hAnsi="Cambria Math" w:cs="Times New Roman"/>
                        <w:i/>
                        <w:szCs w:val="24"/>
                      </w:rPr>
                    </m:ctrlPr>
                  </m:fPr>
                  <m:num>
                    <m:r>
                      <w:rPr>
                        <w:rFonts w:ascii="Cambria Math" w:hAnsi="Cambria Math" w:cs="Times New Roman"/>
                        <w:szCs w:val="24"/>
                      </w:rPr>
                      <m:t>M</m:t>
                    </m:r>
                    <m:d>
                      <m:dPr>
                        <m:ctrlPr>
                          <w:rPr>
                            <w:rFonts w:ascii="Cambria Math" w:hAnsi="Cambria Math" w:cs="Times New Roman"/>
                            <w:szCs w:val="24"/>
                          </w:rPr>
                        </m:ctrlPr>
                      </m:dPr>
                      <m:e>
                        <m:r>
                          <w:rPr>
                            <w:rFonts w:ascii="Cambria Math" w:hAnsi="Cambria Math" w:cs="Times New Roman"/>
                            <w:szCs w:val="24"/>
                          </w:rPr>
                          <m:t>t</m:t>
                        </m:r>
                      </m:e>
                    </m:d>
                  </m:num>
                  <m:den>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den>
                </m:f>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512Ξ</m:t>
                    </m:r>
                  </m:num>
                  <m:den>
                    <m:sSup>
                      <m:sSupPr>
                        <m:ctrlPr>
                          <w:rPr>
                            <w:rFonts w:ascii="Cambria Math" w:hAnsi="Cambria Math" w:cs="Times New Roman"/>
                            <w:szCs w:val="24"/>
                          </w:rPr>
                        </m:ctrlPr>
                      </m:sSupPr>
                      <m:e>
                        <m:r>
                          <w:rPr>
                            <w:rFonts w:ascii="Cambria Math" w:hAnsi="Cambria Math" w:cs="Times New Roman"/>
                            <w:szCs w:val="24"/>
                          </w:rPr>
                          <m:t>π</m:t>
                        </m:r>
                      </m:e>
                      <m:sup>
                        <m:r>
                          <w:rPr>
                            <w:rFonts w:ascii="Cambria Math" w:hAnsi="Cambria Math" w:cs="Times New Roman"/>
                            <w:szCs w:val="24"/>
                          </w:rPr>
                          <m:t>6</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=0</m:t>
                    </m:r>
                  </m:sub>
                  <m:sup>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=0</m:t>
                        </m:r>
                      </m:sub>
                      <m:sup>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k</m:t>
                            </m:r>
                            <m:r>
                              <m:rPr>
                                <m:sty m:val="p"/>
                              </m:rPr>
                              <w:rPr>
                                <w:rFonts w:ascii="Cambria Math" w:hAnsi="Cambria Math" w:cs="Times New Roman"/>
                                <w:szCs w:val="24"/>
                              </w:rPr>
                              <m:t>=0</m:t>
                            </m:r>
                          </m:sub>
                          <m:sup>
                            <m:r>
                              <m:rPr>
                                <m:sty m:val="p"/>
                              </m:rPr>
                              <w:rPr>
                                <w:rFonts w:ascii="Cambria Math" w:hAnsi="Cambria Math" w:cs="Times New Roman"/>
                                <w:szCs w:val="24"/>
                              </w:rPr>
                              <m:t>∞</m:t>
                            </m:r>
                          </m:sup>
                          <m:e>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+1)</m:t>
                                    </m:r>
                                  </m:e>
                                  <m:sup>
                                    <m:r>
                                      <m:rPr>
                                        <m:sty m:val="p"/>
                                      </m:rPr>
                                      <w:rPr>
                                        <w:rFonts w:ascii="Cambria Math" w:hAnsi="Cambria Math" w:cs="Times New Roman"/>
                                        <w:szCs w:val="24"/>
                                      </w:rPr>
                                      <m:t>2</m:t>
                                    </m:r>
                                  </m:sup>
                                </m:sSup>
                              </m:den>
                            </m:f>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2</m:t>
                                    </m:r>
                                    <m:r>
                                      <w:rPr>
                                        <w:rFonts w:ascii="Cambria Math" w:hAnsi="Cambria Math" w:cs="Times New Roman"/>
                                        <w:szCs w:val="24"/>
                                      </w:rPr>
                                      <m:t>j</m:t>
                                    </m:r>
                                    <m:r>
                                      <m:rPr>
                                        <m:sty m:val="p"/>
                                      </m:rPr>
                                      <w:rPr>
                                        <w:rFonts w:ascii="Cambria Math" w:hAnsi="Cambria Math" w:cs="Times New Roman"/>
                                        <w:szCs w:val="24"/>
                                      </w:rPr>
                                      <m:t>+1)</m:t>
                                    </m:r>
                                  </m:e>
                                  <m:sup>
                                    <m:r>
                                      <m:rPr>
                                        <m:sty m:val="p"/>
                                      </m:rPr>
                                      <w:rPr>
                                        <w:rFonts w:ascii="Cambria Math" w:hAnsi="Cambria Math" w:cs="Times New Roman"/>
                                        <w:szCs w:val="24"/>
                                      </w:rPr>
                                      <m:t>2</m:t>
                                    </m:r>
                                  </m:sup>
                                </m:sSup>
                              </m:den>
                            </m:f>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2k+1)</m:t>
                                    </m:r>
                                  </m:e>
                                  <m:sup>
                                    <m:r>
                                      <m:rPr>
                                        <m:sty m:val="p"/>
                                      </m:rPr>
                                      <w:rPr>
                                        <w:rFonts w:ascii="Cambria Math" w:hAnsi="Cambria Math" w:cs="Times New Roman"/>
                                        <w:szCs w:val="24"/>
                                      </w:rPr>
                                      <m:t>2</m:t>
                                    </m:r>
                                  </m:sup>
                                </m:sSup>
                              </m:den>
                            </m:f>
                          </m:e>
                        </m:nary>
                      </m:e>
                    </m:nary>
                  </m:e>
                </m:nary>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-αt</m:t>
                    </m:r>
                  </m:sup>
                </m:sSup>
                <m:r>
                  <m:rPr>
                    <m:sty m:val="p"/>
                  </m:rPr>
                  <w:rPr>
                    <w:rFonts w:ascii="Cambria Math" w:hAnsi="Cambria Math" w:cs="Times New Roman"/>
                    <w:szCs w:val="24"/>
                  </w:rPr>
                  <w:br/>
                </m:r>
              </m:oMath>
            </m:oMathPara>
            <w:r w:rsidR="000C2D31">
              <w:rPr>
                <w:rFonts w:cs="Times New Roman"/>
                <w:szCs w:val="24"/>
              </w:rPr>
              <w:t xml:space="preserve">                            </w:t>
            </w:r>
            <m:oMath>
              <m:r>
                <w:rPr>
                  <w:rFonts w:ascii="Cambria Math" w:hAnsi="Cambria Math" w:cs="Times New Roman"/>
                  <w:szCs w:val="24"/>
                </w:rPr>
                <m:t>-(1-</m:t>
              </m:r>
              <m:r>
                <m:rPr>
                  <m:sty m:val="p"/>
                </m:rPr>
                <w:rPr>
                  <w:rFonts w:ascii="Cambria Math" w:hAnsi="Cambria Math" w:cs="Times New Roman"/>
                  <w:szCs w:val="24"/>
                </w:rPr>
                <m:t>Ξ</m:t>
              </m:r>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-βt</m:t>
                  </m:r>
                </m:sup>
              </m:sSup>
            </m:oMath>
          </w:p>
        </w:tc>
        <w:tc>
          <w:tcPr>
            <w:tcW w:w="616" w:type="dxa"/>
            <w:vAlign w:val="center"/>
          </w:tcPr>
          <w:p w14:paraId="0FC7E924" w14:textId="77777777" w:rsidR="000C2D31" w:rsidRPr="001760F0" w:rsidRDefault="000C2D31" w:rsidP="000C2D31">
            <w:pPr>
              <w:spacing w:line="240" w:lineRule="auto"/>
              <w:ind w:firstLine="0"/>
              <w:jc w:val="right"/>
              <w:rPr>
                <w:rFonts w:cs="Times New Roman"/>
                <w:szCs w:val="24"/>
              </w:rPr>
            </w:pPr>
            <w:r>
              <w:rPr>
                <w:rFonts w:cs="Times New Roman"/>
                <w:szCs w:val="24"/>
              </w:rPr>
              <w:t>(19</w:t>
            </w:r>
            <w:r w:rsidRPr="001760F0">
              <w:rPr>
                <w:rFonts w:cs="Times New Roman"/>
                <w:szCs w:val="24"/>
              </w:rPr>
              <w:t>)</w:t>
            </w:r>
          </w:p>
        </w:tc>
      </w:tr>
    </w:tbl>
    <w:p w14:paraId="74538A54" w14:textId="72B5DC35" w:rsidR="000C2D31" w:rsidRDefault="000C2D31" w:rsidP="00394D74">
      <w:pPr>
        <w:ind w:firstLine="0"/>
        <w:rPr>
          <w:szCs w:val="24"/>
        </w:rPr>
      </w:pPr>
      <w:proofErr w:type="gramStart"/>
      <w:r>
        <w:rPr>
          <w:szCs w:val="24"/>
        </w:rPr>
        <w:t>where</w:t>
      </w:r>
      <w:proofErr w:type="gramEnd"/>
    </w:p>
    <w:p w14:paraId="43EEBD24" w14:textId="77777777" w:rsidR="000C2D31" w:rsidRPr="007318F8" w:rsidRDefault="000C2D31" w:rsidP="000C2D31">
      <w:pPr>
        <w:rPr>
          <w:rFonts w:cs="Times New Roman"/>
          <w:szCs w:val="24"/>
        </w:rPr>
      </w:pPr>
      <m:oMathPara>
        <m:oMath>
          <m:r>
            <m:rPr>
              <m:sty m:val="p"/>
            </m:rPr>
            <w:rPr>
              <w:rFonts w:ascii="Cambria Math" w:hAnsi="Cambria Math" w:cs="Times New Roman"/>
              <w:szCs w:val="24"/>
            </w:rPr>
            <m:t>α=</m:t>
          </m:r>
          <m:d>
            <m:dPr>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+1</m:t>
                          </m:r>
                        </m:e>
                      </m:d>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2</m:t>
                          </m:r>
                          <m:r>
                            <w:rPr>
                              <w:rFonts w:ascii="Cambria Math" w:hAnsi="Cambria Math" w:cs="Times New Roman"/>
                              <w:szCs w:val="24"/>
                            </w:rPr>
                            <m:t>j</m:t>
                          </m:r>
                          <m:r>
                            <m:rPr>
                              <m:sty m:val="p"/>
                            </m:rPr>
                            <w:rPr>
                              <w:rFonts w:ascii="Cambria Math" w:hAnsi="Cambria Math" w:cs="Times New Roman"/>
                              <w:szCs w:val="24"/>
                            </w:rPr>
                            <m:t>+1</m:t>
                          </m:r>
                        </m:e>
                      </m:d>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r>
                        <m:rPr>
                          <m:sty m:val="p"/>
                        </m:rPr>
                        <w:rPr>
                          <w:rFonts w:ascii="Cambria Math" w:hAnsi="Cambria Math" w:cs="Times New Roman"/>
                          <w:szCs w:val="24"/>
                        </w:rPr>
                        <m:t>(2</m:t>
                      </m:r>
                      <m:r>
                        <w:rPr>
                          <w:rFonts w:ascii="Cambria Math" w:hAnsi="Cambria Math" w:cs="Times New Roman"/>
                          <w:szCs w:val="24"/>
                        </w:rPr>
                        <m:t>k</m:t>
                      </m:r>
                      <m:r>
                        <m:rPr>
                          <m:sty m:val="p"/>
                        </m:rPr>
                        <w:rPr>
                          <w:rFonts w:ascii="Cambria Math" w:hAnsi="Cambria Math" w:cs="Times New Roman"/>
                          <w:szCs w:val="24"/>
                        </w:rPr>
                        <m:t>+1)</m:t>
                      </m:r>
                    </m:e>
                    <m:sup>
                      <m:r>
                        <m:rPr>
                          <m:sty m:val="p"/>
                        </m:rP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e>
          </m:d>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oMath>
      </m:oMathPara>
    </w:p>
    <w:p w14:paraId="38DAEBF7" w14:textId="77777777" w:rsidR="000C2D31" w:rsidRPr="007318F8" w:rsidRDefault="000C2D31" w:rsidP="000C2D31">
      <w:pPr>
        <w:rPr>
          <w:rFonts w:cs="Times New Roman"/>
          <w:szCs w:val="24"/>
        </w:rPr>
      </w:pPr>
      <m:oMathPara>
        <m:oMath>
          <m:r>
            <m:rPr>
              <m:sty m:val="p"/>
            </m:rPr>
            <w:rPr>
              <w:rFonts w:ascii="Cambria Math" w:hAnsi="Cambria Math" w:cs="Times New Roman"/>
              <w:szCs w:val="24"/>
            </w:rPr>
            <m:t>Ξ</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β</m:t>
              </m:r>
            </m:num>
            <m:den>
              <m:r>
                <w:rPr>
                  <w:rFonts w:ascii="Cambria Math" w:hAnsi="Cambria Math" w:cs="Times New Roman"/>
                  <w:szCs w:val="24"/>
                </w:rPr>
                <m:t>β+γ</m:t>
              </m:r>
            </m:den>
          </m:f>
        </m:oMath>
      </m:oMathPara>
    </w:p>
    <w:p w14:paraId="419B2D0F" w14:textId="77777777" w:rsidR="000C2D31" w:rsidRDefault="000C2D31" w:rsidP="000C2D31">
      <w:pPr>
        <w:rPr>
          <w:rFonts w:cs="Times New Roman"/>
          <w:szCs w:val="24"/>
        </w:rPr>
      </w:pPr>
      <w:r>
        <w:rPr>
          <w:rFonts w:cs="Times New Roman"/>
          <w:szCs w:val="24"/>
        </w:rPr>
        <w:t>However,</w:t>
      </w:r>
      <w:r w:rsidRPr="00EE247A">
        <w:rPr>
          <w:rFonts w:cs="Times New Roman"/>
          <w:szCs w:val="24"/>
        </w:rPr>
        <w:t xml:space="preserve"> th</w:t>
      </w:r>
      <w:r>
        <w:rPr>
          <w:rFonts w:cs="Times New Roman"/>
          <w:szCs w:val="24"/>
        </w:rPr>
        <w:t>is approximation</w:t>
      </w:r>
      <w:r w:rsidRPr="00EE247A">
        <w:rPr>
          <w:rFonts w:cs="Times New Roman"/>
          <w:szCs w:val="24"/>
        </w:rPr>
        <w:t xml:space="preserve"> </w:t>
      </w:r>
      <w:r>
        <w:rPr>
          <w:rFonts w:cs="Times New Roman"/>
          <w:szCs w:val="24"/>
        </w:rPr>
        <w:t>does</w:t>
      </w:r>
      <w:r w:rsidRPr="00EE247A">
        <w:rPr>
          <w:rFonts w:cs="Times New Roman"/>
          <w:szCs w:val="24"/>
        </w:rPr>
        <w:t xml:space="preserve"> not hold </w:t>
      </w:r>
      <w:r>
        <w:rPr>
          <w:rFonts w:cs="Times New Roman"/>
          <w:szCs w:val="24"/>
        </w:rPr>
        <w:t>for all</w:t>
      </w:r>
      <w:r w:rsidRPr="00EE247A">
        <w:rPr>
          <w:rFonts w:cs="Times New Roman"/>
          <w:szCs w:val="24"/>
        </w:rPr>
        <w:t xml:space="preserve"> </w:t>
      </w:r>
      <w:r>
        <w:rPr>
          <w:rFonts w:cs="Times New Roman"/>
          <w:szCs w:val="24"/>
        </w:rPr>
        <w:t>polymer</w:t>
      </w:r>
      <w:r w:rsidRPr="00EE247A">
        <w:rPr>
          <w:rFonts w:cs="Times New Roman"/>
          <w:szCs w:val="24"/>
        </w:rPr>
        <w:t xml:space="preserve"> composite systems.</w:t>
      </w:r>
      <w:r>
        <w:rPr>
          <w:rFonts w:cs="Times New Roman"/>
          <w:szCs w:val="24"/>
        </w:rPr>
        <w:t xml:space="preserve"> </w:t>
      </w:r>
      <w:r w:rsidRPr="00EE247A">
        <w:rPr>
          <w:rFonts w:cs="Times New Roman"/>
          <w:szCs w:val="24"/>
        </w:rPr>
        <w:t>Thus, there is a need for the exact analytical solution of the three-dimensional hindered diffusion model.</w:t>
      </w:r>
    </w:p>
    <w:p w14:paraId="791C797A" w14:textId="0BA82377" w:rsidR="000C2D31" w:rsidRDefault="002C020A" w:rsidP="000C2D31">
      <w:pPr>
        <w:rPr>
          <w:rFonts w:cs="Times New Roman"/>
          <w:szCs w:val="24"/>
        </w:rPr>
      </w:pPr>
      <w:r>
        <w:rPr>
          <w:rFonts w:cs="Times New Roman"/>
          <w:szCs w:val="24"/>
        </w:rPr>
        <w:t>To find an analytical solution of</w:t>
      </w:r>
      <w:r w:rsidR="000C2D31" w:rsidRPr="00C5108B">
        <w:rPr>
          <w:rFonts w:cs="Times New Roman"/>
          <w:szCs w:val="24"/>
        </w:rPr>
        <w:t xml:space="preserve"> the coupled differ</w:t>
      </w:r>
      <w:r w:rsidR="000C2D31">
        <w:rPr>
          <w:rFonts w:cs="Times New Roman"/>
          <w:szCs w:val="24"/>
        </w:rPr>
        <w:t xml:space="preserve">ential equations shown in Eqs. </w:t>
      </w:r>
      <w:r w:rsidR="009B05F7">
        <w:rPr>
          <w:rFonts w:cs="Times New Roman"/>
          <w:szCs w:val="24"/>
        </w:rPr>
        <w:t>(</w:t>
      </w:r>
      <w:r w:rsidR="000C2D31">
        <w:rPr>
          <w:rFonts w:cs="Times New Roman"/>
          <w:szCs w:val="24"/>
        </w:rPr>
        <w:t>18</w:t>
      </w:r>
      <w:r w:rsidR="000C2D31" w:rsidRPr="00C5108B">
        <w:rPr>
          <w:rFonts w:cs="Times New Roman"/>
          <w:szCs w:val="24"/>
        </w:rPr>
        <w:t>a-b</w:t>
      </w:r>
      <w:r w:rsidR="009B05F7">
        <w:rPr>
          <w:rFonts w:cs="Times New Roman"/>
          <w:szCs w:val="24"/>
        </w:rPr>
        <w:t>)</w:t>
      </w:r>
      <w:r w:rsidR="000C2D31" w:rsidRPr="00C5108B">
        <w:rPr>
          <w:rFonts w:cs="Times New Roman"/>
          <w:szCs w:val="24"/>
        </w:rPr>
        <w:t>,</w:t>
      </w:r>
      <w:r w:rsidR="000C2D31">
        <w:rPr>
          <w:rFonts w:cs="Times New Roman"/>
          <w:szCs w:val="24"/>
        </w:rPr>
        <w:t xml:space="preserve"> the following initial and boundary conditions are used:</w:t>
      </w:r>
    </w:p>
    <w:p w14:paraId="546D4623" w14:textId="77777777" w:rsidR="000C2D31" w:rsidRDefault="000C2D31" w:rsidP="000C2D31">
      <w:pPr>
        <w:pStyle w:val="ListParagraph"/>
        <w:numPr>
          <w:ilvl w:val="0"/>
          <w:numId w:val="19"/>
        </w:numPr>
        <w:spacing w:after="160" w:line="480" w:lineRule="auto"/>
        <w:rPr>
          <w:rFonts w:cs="Times New Roman"/>
          <w:szCs w:val="24"/>
        </w:rPr>
      </w:pPr>
      <w:r>
        <w:rPr>
          <w:rFonts w:cs="Times New Roman"/>
          <w:szCs w:val="24"/>
        </w:rPr>
        <w:t xml:space="preserve">Slab is fully immersed in water, </w:t>
      </w:r>
    </w:p>
    <w:p w14:paraId="7F28A0A0" w14:textId="4C6553B6" w:rsidR="000C2D31" w:rsidRDefault="000C2D31" w:rsidP="000C2D31">
      <w:pPr>
        <w:pStyle w:val="ListParagraph"/>
        <w:numPr>
          <w:ilvl w:val="0"/>
          <w:numId w:val="19"/>
        </w:numPr>
        <w:spacing w:after="160" w:line="480" w:lineRule="auto"/>
        <w:rPr>
          <w:rFonts w:cs="Times New Roman"/>
          <w:szCs w:val="24"/>
        </w:rPr>
      </w:pPr>
      <w:r>
        <w:rPr>
          <w:rFonts w:cs="Times New Roman"/>
          <w:szCs w:val="24"/>
        </w:rPr>
        <w:t>Initially no moisture present</w:t>
      </w:r>
      <w:r w:rsidR="002C020A">
        <w:rPr>
          <w:rFonts w:cs="Times New Roman"/>
          <w:szCs w:val="24"/>
        </w:rPr>
        <w:t>s</w:t>
      </w:r>
      <w:r>
        <w:rPr>
          <w:rFonts w:cs="Times New Roman"/>
          <w:szCs w:val="24"/>
        </w:rPr>
        <w:t xml:space="preserve"> in the slab.</w:t>
      </w:r>
    </w:p>
    <w:p w14:paraId="54A71A40" w14:textId="1B0AA08B" w:rsidR="000C2D31" w:rsidRPr="00E03D75" w:rsidRDefault="000C2D31" w:rsidP="000C2D31">
      <w:pPr>
        <w:rPr>
          <w:rFonts w:cs="Times New Roman"/>
          <w:szCs w:val="24"/>
        </w:rPr>
      </w:pPr>
      <w:r w:rsidRPr="00C5108B">
        <w:rPr>
          <w:rFonts w:cs="Times New Roman"/>
          <w:szCs w:val="24"/>
        </w:rPr>
        <w:t>To solve the coupled differ</w:t>
      </w:r>
      <w:r>
        <w:rPr>
          <w:rFonts w:cs="Times New Roman"/>
          <w:szCs w:val="24"/>
        </w:rPr>
        <w:t xml:space="preserve">ential equations shown in Eqs. </w:t>
      </w:r>
      <w:r w:rsidR="009B05F7">
        <w:rPr>
          <w:rFonts w:cs="Times New Roman"/>
          <w:szCs w:val="24"/>
        </w:rPr>
        <w:t>(</w:t>
      </w:r>
      <w:r>
        <w:rPr>
          <w:rFonts w:cs="Times New Roman"/>
          <w:szCs w:val="24"/>
        </w:rPr>
        <w:t>18</w:t>
      </w:r>
      <w:r w:rsidRPr="00C5108B">
        <w:rPr>
          <w:rFonts w:cs="Times New Roman"/>
          <w:szCs w:val="24"/>
        </w:rPr>
        <w:t>a-b</w:t>
      </w:r>
      <w:r w:rsidR="009B05F7">
        <w:rPr>
          <w:rFonts w:cs="Times New Roman"/>
          <w:szCs w:val="24"/>
        </w:rPr>
        <w:t>)</w:t>
      </w:r>
      <w:r w:rsidRPr="00C5108B">
        <w:rPr>
          <w:rFonts w:cs="Times New Roman"/>
          <w:szCs w:val="24"/>
        </w:rPr>
        <w:t>,</w:t>
      </w:r>
      <w:r>
        <w:rPr>
          <w:rFonts w:cs="Times New Roman"/>
          <w:szCs w:val="24"/>
        </w:rPr>
        <w:t xml:space="preserve"> </w:t>
      </w:r>
      <w:r w:rsidRPr="00E03D75">
        <w:rPr>
          <w:rFonts w:cs="Times New Roman"/>
          <w:szCs w:val="24"/>
        </w:rPr>
        <w:t xml:space="preserve">the separation of variables technique is applied. It is assumed that the variables </w:t>
      </w:r>
      <m:oMath>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 xml:space="preserve"> and </m:t>
        </m:r>
        <m:r>
          <w:rPr>
            <w:rFonts w:ascii="Cambria Math" w:hAnsi="Cambria Math" w:cs="Times New Roman"/>
            <w:szCs w:val="24"/>
          </w:rPr>
          <m:t>t</m:t>
        </m:r>
      </m:oMath>
      <w:r w:rsidRPr="00E03D75">
        <w:rPr>
          <w:rFonts w:cs="Times New Roman"/>
          <w:szCs w:val="24"/>
        </w:rPr>
        <w:t xml:space="preserve"> in </w:t>
      </w:r>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x,y,z,t</m:t>
            </m:r>
          </m:e>
        </m:d>
      </m:oMath>
      <w:r w:rsidRPr="00E03D75">
        <w:rPr>
          <w:rFonts w:cs="Times New Roman"/>
          <w:szCs w:val="24"/>
        </w:rPr>
        <w:t xml:space="preserve"> </w:t>
      </w:r>
      <w:r w:rsidRPr="00E03D75">
        <w:rPr>
          <w:rFonts w:cs="Times New Roman"/>
          <w:szCs w:val="24"/>
        </w:rPr>
        <w:lastRenderedPageBreak/>
        <w:t xml:space="preserve">and </w:t>
      </w:r>
      <w:r w:rsidRPr="00394D74">
        <w:rPr>
          <w:rFonts w:cs="Times New Roman"/>
          <w:i/>
          <w:szCs w:val="24"/>
        </w:rPr>
        <w:t>N</w:t>
      </w:r>
      <m:oMath>
        <m:r>
          <w:rPr>
            <w:rFonts w:ascii="Cambria Math" w:hAnsi="Cambria Math" w:cs="Times New Roman"/>
            <w:szCs w:val="24"/>
          </w:rPr>
          <m:t>(x,y,z,t)</m:t>
        </m:r>
      </m:oMath>
      <w:r w:rsidRPr="00E03D75">
        <w:rPr>
          <w:rFonts w:cs="Times New Roman"/>
          <w:szCs w:val="24"/>
        </w:rPr>
        <w:t xml:space="preserve"> are independent, and hence the solution for concentrations </w:t>
      </w:r>
      <m:oMath>
        <m:r>
          <w:rPr>
            <w:rFonts w:ascii="Cambria Math" w:hAnsi="Cambria Math" w:cs="Times New Roman"/>
            <w:szCs w:val="24"/>
          </w:rPr>
          <m:t>n</m:t>
        </m:r>
      </m:oMath>
      <w:r w:rsidRPr="00E03D75">
        <w:rPr>
          <w:rFonts w:cs="Times New Roman"/>
          <w:szCs w:val="24"/>
        </w:rPr>
        <w:t xml:space="preserve"> and </w:t>
      </w:r>
      <m:oMath>
        <m:r>
          <w:rPr>
            <w:rFonts w:ascii="Cambria Math" w:hAnsi="Cambria Math" w:cs="Times New Roman"/>
            <w:szCs w:val="24"/>
          </w:rPr>
          <m:t>N</m:t>
        </m:r>
      </m:oMath>
      <w:r w:rsidRPr="00E03D75">
        <w:rPr>
          <w:rFonts w:cs="Times New Roman"/>
          <w:szCs w:val="24"/>
        </w:rPr>
        <w:t xml:space="preserve"> can be expressed as:</w:t>
      </w:r>
    </w:p>
    <w:tbl>
      <w:tblPr>
        <w:tblW w:w="0" w:type="auto"/>
        <w:tblLook w:val="04A0" w:firstRow="1" w:lastRow="0" w:firstColumn="1" w:lastColumn="0" w:noHBand="0" w:noVBand="1"/>
      </w:tblPr>
      <w:tblGrid>
        <w:gridCol w:w="7139"/>
        <w:gridCol w:w="1501"/>
      </w:tblGrid>
      <w:tr w:rsidR="000C2D31" w:rsidRPr="00C5108B" w14:paraId="067EE2D3" w14:textId="77777777" w:rsidTr="00BE4897">
        <w:trPr>
          <w:trHeight w:val="441"/>
        </w:trPr>
        <w:tc>
          <w:tcPr>
            <w:tcW w:w="7139" w:type="dxa"/>
          </w:tcPr>
          <w:p w14:paraId="29A6FA78" w14:textId="15EBCFC7" w:rsidR="000C2D31" w:rsidRPr="00394D74" w:rsidRDefault="00394D74" w:rsidP="000C2D31">
            <w:pPr>
              <w:spacing w:after="200"/>
              <w:rPr>
                <w:rFonts w:cs="Times New Roman"/>
                <w:i/>
                <w:szCs w:val="24"/>
              </w:rPr>
            </w:pPr>
            <m:oMathPara>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x,y,z,t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sSub>
                  <m:sSubPr>
                    <m:ctrlPr>
                      <w:rPr>
                        <w:rFonts w:ascii="Cambria Math" w:hAnsi="Cambria Math" w:cs="Times New Roman"/>
                        <w:i/>
                        <w:szCs w:val="24"/>
                      </w:rPr>
                    </m:ctrlPr>
                  </m:sSubPr>
                  <m:e>
                    <m:r>
                      <w:rPr>
                        <w:rFonts w:ascii="Cambria Math" w:hAnsi="Cambria Math" w:cs="Times New Roman"/>
                        <w:szCs w:val="24"/>
                      </w:rPr>
                      <m:t xml:space="preserve"> 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r>
                  <w:rPr>
                    <w:rFonts w:ascii="Cambria Math" w:hAnsi="Cambria Math" w:cs="Times New Roman"/>
                    <w:szCs w:val="24"/>
                  </w:rPr>
                  <m:t xml:space="preserve"> τ</m:t>
                </m:r>
                <m:d>
                  <m:dPr>
                    <m:ctrlPr>
                      <w:rPr>
                        <w:rFonts w:ascii="Cambria Math" w:hAnsi="Cambria Math" w:cs="Times New Roman"/>
                        <w:i/>
                        <w:szCs w:val="24"/>
                      </w:rPr>
                    </m:ctrlPr>
                  </m:dPr>
                  <m:e>
                    <m:r>
                      <w:rPr>
                        <w:rFonts w:ascii="Cambria Math" w:hAnsi="Cambria Math" w:cs="Times New Roman"/>
                        <w:szCs w:val="24"/>
                      </w:rPr>
                      <m:t>t</m:t>
                    </m:r>
                  </m:e>
                </m:d>
              </m:oMath>
            </m:oMathPara>
          </w:p>
        </w:tc>
        <w:tc>
          <w:tcPr>
            <w:tcW w:w="1501" w:type="dxa"/>
            <w:vMerge w:val="restart"/>
            <w:vAlign w:val="center"/>
          </w:tcPr>
          <w:p w14:paraId="05E392AE" w14:textId="77777777" w:rsidR="000C2D31" w:rsidRPr="00C5108B" w:rsidRDefault="000C2D31" w:rsidP="000C2D31">
            <w:pPr>
              <w:spacing w:after="200"/>
              <w:ind w:firstLine="0"/>
              <w:jc w:val="right"/>
              <w:rPr>
                <w:rFonts w:cs="Times New Roman"/>
                <w:szCs w:val="24"/>
              </w:rPr>
            </w:pPr>
            <w:r w:rsidRPr="00C5108B">
              <w:rPr>
                <w:rFonts w:cs="Times New Roman"/>
                <w:szCs w:val="24"/>
              </w:rPr>
              <w:t>(</w:t>
            </w:r>
            <w:r>
              <w:rPr>
                <w:rFonts w:cs="Times New Roman"/>
                <w:szCs w:val="24"/>
              </w:rPr>
              <w:t>20</w:t>
            </w:r>
            <w:r w:rsidRPr="00C5108B">
              <w:rPr>
                <w:rFonts w:cs="Times New Roman"/>
                <w:szCs w:val="24"/>
              </w:rPr>
              <w:t>)</w:t>
            </w:r>
          </w:p>
        </w:tc>
      </w:tr>
      <w:tr w:rsidR="000C2D31" w:rsidRPr="00C5108B" w14:paraId="68E4A01B" w14:textId="77777777" w:rsidTr="00BE4897">
        <w:trPr>
          <w:trHeight w:val="540"/>
        </w:trPr>
        <w:tc>
          <w:tcPr>
            <w:tcW w:w="7139" w:type="dxa"/>
          </w:tcPr>
          <w:p w14:paraId="4CD06250" w14:textId="348ACEDE" w:rsidR="000C2D31" w:rsidRPr="00394D74" w:rsidRDefault="00394D74" w:rsidP="000C2D31">
            <w:pPr>
              <w:spacing w:after="200"/>
              <w:rPr>
                <w:rFonts w:cs="Times New Roman"/>
                <w:i/>
                <w:szCs w:val="24"/>
              </w:rPr>
            </w:pPr>
            <m:oMathPara>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x,y,z,t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r>
                  <w:rPr>
                    <w:rFonts w:ascii="Cambria Math" w:hAnsi="Cambria Math" w:cs="Times New Roman"/>
                    <w:szCs w:val="24"/>
                  </w:rPr>
                  <m:t xml:space="preserve"> ρ</m:t>
                </m:r>
                <m:d>
                  <m:dPr>
                    <m:ctrlPr>
                      <w:rPr>
                        <w:rFonts w:ascii="Cambria Math" w:hAnsi="Cambria Math" w:cs="Times New Roman"/>
                        <w:i/>
                        <w:szCs w:val="24"/>
                      </w:rPr>
                    </m:ctrlPr>
                  </m:dPr>
                  <m:e>
                    <m:r>
                      <w:rPr>
                        <w:rFonts w:ascii="Cambria Math" w:hAnsi="Cambria Math" w:cs="Times New Roman"/>
                        <w:szCs w:val="24"/>
                      </w:rPr>
                      <m:t>t</m:t>
                    </m:r>
                  </m:e>
                </m:d>
              </m:oMath>
            </m:oMathPara>
          </w:p>
        </w:tc>
        <w:tc>
          <w:tcPr>
            <w:tcW w:w="1501" w:type="dxa"/>
            <w:vMerge/>
          </w:tcPr>
          <w:p w14:paraId="71587099" w14:textId="77777777" w:rsidR="000C2D31" w:rsidRPr="00C5108B" w:rsidRDefault="000C2D31" w:rsidP="000C2D31">
            <w:pPr>
              <w:spacing w:after="200"/>
              <w:rPr>
                <w:rFonts w:cs="Times New Roman"/>
                <w:szCs w:val="24"/>
              </w:rPr>
            </w:pPr>
          </w:p>
        </w:tc>
      </w:tr>
    </w:tbl>
    <w:p w14:paraId="25DF15D6" w14:textId="3664C976" w:rsidR="000C2D31" w:rsidRPr="00C5108B" w:rsidRDefault="000C2D31" w:rsidP="000C2D31">
      <w:pPr>
        <w:rPr>
          <w:rFonts w:cs="Times New Roman"/>
          <w:szCs w:val="24"/>
        </w:rPr>
      </w:pPr>
      <w:r>
        <w:rPr>
          <w:rFonts w:cs="Times New Roman"/>
          <w:szCs w:val="24"/>
        </w:rPr>
        <w:t xml:space="preserve">Substituting Eq. </w:t>
      </w:r>
      <w:r w:rsidR="009B05F7">
        <w:rPr>
          <w:rFonts w:cs="Times New Roman"/>
          <w:szCs w:val="24"/>
        </w:rPr>
        <w:t>(</w:t>
      </w:r>
      <w:r>
        <w:rPr>
          <w:rFonts w:cs="Times New Roman"/>
          <w:szCs w:val="24"/>
        </w:rPr>
        <w:t>20</w:t>
      </w:r>
      <w:r w:rsidR="009B05F7">
        <w:rPr>
          <w:rFonts w:cs="Times New Roman"/>
          <w:szCs w:val="24"/>
        </w:rPr>
        <w:t>)</w:t>
      </w:r>
      <w:r w:rsidRPr="00C5108B">
        <w:rPr>
          <w:rFonts w:cs="Times New Roman"/>
          <w:szCs w:val="24"/>
        </w:rPr>
        <w:t xml:space="preserve"> </w:t>
      </w:r>
      <w:r>
        <w:rPr>
          <w:rFonts w:cs="Times New Roman"/>
          <w:szCs w:val="24"/>
        </w:rPr>
        <w:t>in</w:t>
      </w:r>
      <w:r w:rsidRPr="00C5108B">
        <w:rPr>
          <w:rFonts w:cs="Times New Roman"/>
          <w:szCs w:val="24"/>
        </w:rPr>
        <w:t xml:space="preserve"> Eq</w:t>
      </w:r>
      <w:r>
        <w:rPr>
          <w:rFonts w:cs="Times New Roman"/>
          <w:szCs w:val="24"/>
        </w:rPr>
        <w:t xml:space="preserve">s. </w:t>
      </w:r>
      <w:r w:rsidR="009B05F7">
        <w:rPr>
          <w:rFonts w:cs="Times New Roman"/>
          <w:szCs w:val="24"/>
        </w:rPr>
        <w:t>(</w:t>
      </w:r>
      <w:r>
        <w:rPr>
          <w:rFonts w:cs="Times New Roman"/>
          <w:szCs w:val="24"/>
        </w:rPr>
        <w:t>18</w:t>
      </w:r>
      <w:r w:rsidRPr="00C5108B">
        <w:rPr>
          <w:rFonts w:cs="Times New Roman"/>
          <w:szCs w:val="24"/>
        </w:rPr>
        <w:t>a</w:t>
      </w:r>
      <w:r>
        <w:rPr>
          <w:rFonts w:cs="Times New Roman"/>
          <w:szCs w:val="24"/>
        </w:rPr>
        <w:t>-b</w:t>
      </w:r>
      <w:r w:rsidR="009B05F7">
        <w:rPr>
          <w:rFonts w:cs="Times New Roman"/>
          <w:szCs w:val="24"/>
        </w:rPr>
        <w:t>)</w:t>
      </w:r>
      <w:r w:rsidRPr="00C5108B">
        <w:rPr>
          <w:rFonts w:cs="Times New Roman"/>
          <w:szCs w:val="24"/>
        </w:rPr>
        <w:t xml:space="preserve"> </w:t>
      </w:r>
      <w:r>
        <w:rPr>
          <w:rFonts w:cs="Times New Roman"/>
          <w:szCs w:val="24"/>
        </w:rPr>
        <w:t xml:space="preserve">and simplifying </w:t>
      </w:r>
      <w:r w:rsidRPr="00C5108B">
        <w:rPr>
          <w:rFonts w:cs="Times New Roman"/>
          <w:szCs w:val="24"/>
        </w:rPr>
        <w:t>result</w:t>
      </w:r>
      <w:r>
        <w:rPr>
          <w:rFonts w:cs="Times New Roman"/>
          <w:szCs w:val="24"/>
        </w:rPr>
        <w:t>s</w:t>
      </w:r>
      <w:r w:rsidRPr="00C5108B">
        <w:rPr>
          <w:rFonts w:cs="Times New Roman"/>
          <w:szCs w:val="24"/>
        </w:rPr>
        <w:t xml:space="preserve"> in</w:t>
      </w:r>
      <w:r>
        <w:rPr>
          <w:rFonts w:cs="Times New Roman"/>
          <w:szCs w:val="24"/>
        </w:rPr>
        <w:t>:</w:t>
      </w:r>
    </w:p>
    <w:p w14:paraId="7A55670A" w14:textId="77777777" w:rsidR="000C2D31" w:rsidRPr="00C5108B" w:rsidRDefault="000C2D31" w:rsidP="000C2D31">
      <w:pPr>
        <w:rPr>
          <w:rFonts w:cs="Times New Roman"/>
          <w:szCs w:val="24"/>
        </w:rPr>
      </w:pPr>
    </w:p>
    <w:tbl>
      <w:tblPr>
        <w:tblW w:w="0" w:type="auto"/>
        <w:tblLook w:val="04A0" w:firstRow="1" w:lastRow="0" w:firstColumn="1" w:lastColumn="0" w:noHBand="0" w:noVBand="1"/>
      </w:tblPr>
      <w:tblGrid>
        <w:gridCol w:w="7158"/>
        <w:gridCol w:w="1482"/>
      </w:tblGrid>
      <w:tr w:rsidR="000C2D31" w:rsidRPr="00C5108B" w14:paraId="76264CCB" w14:textId="77777777" w:rsidTr="000C2D31">
        <w:trPr>
          <w:trHeight w:val="1512"/>
        </w:trPr>
        <w:tc>
          <w:tcPr>
            <w:tcW w:w="7825" w:type="dxa"/>
          </w:tcPr>
          <w:p w14:paraId="395EE298" w14:textId="5C41A6F0" w:rsidR="000C2D31" w:rsidRPr="00394D74" w:rsidRDefault="007B3686" w:rsidP="00C66F96">
            <w:pPr>
              <w:pStyle w:val="Equations"/>
            </w:pPr>
            <m:oMathPara>
              <m:oMath>
                <m:sSub>
                  <m:sSubPr>
                    <m:ctrlPr>
                      <w:rPr>
                        <w:rFonts w:ascii="Cambria Math" w:hAnsi="Cambria Math"/>
                      </w:rPr>
                    </m:ctrlPr>
                  </m:sSubPr>
                  <m:e>
                    <m:r>
                      <w:rPr>
                        <w:rFonts w:ascii="Cambria Math" w:hAnsi="Cambria Math"/>
                      </w:rPr>
                      <m:t>D</m:t>
                    </m:r>
                  </m:e>
                  <m:sub>
                    <m:r>
                      <w:rPr>
                        <w:rFonts w:ascii="Cambria Math" w:hAnsi="Cambria Math"/>
                      </w:rPr>
                      <m:t>x</m:t>
                    </m:r>
                    <m:r>
                      <m:rPr>
                        <m:sty m:val="p"/>
                      </m:rPr>
                      <w:rPr>
                        <w:rFonts w:ascii="Cambria Math" w:hAnsi="Cambria Math"/>
                      </w:rPr>
                      <m:t>,</m:t>
                    </m:r>
                    <m:r>
                      <w:rPr>
                        <w:rFonts w:ascii="Cambria Math" w:hAnsi="Cambria Math"/>
                      </w:rPr>
                      <m:t>i</m:t>
                    </m:r>
                  </m:sub>
                </m:sSub>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σ</m:t>
                        </m:r>
                      </m:e>
                      <m:sub>
                        <m:r>
                          <w:rPr>
                            <w:rFonts w:ascii="Cambria Math" w:hAnsi="Cambria Math"/>
                          </w:rPr>
                          <m:t>i</m:t>
                        </m:r>
                      </m:sub>
                    </m:sSub>
                    <m:d>
                      <m:dPr>
                        <m:ctrlPr>
                          <w:rPr>
                            <w:rFonts w:ascii="Cambria Math" w:hAnsi="Cambria Math"/>
                          </w:rPr>
                        </m:ctrlPr>
                      </m:dPr>
                      <m:e>
                        <m:r>
                          <w:rPr>
                            <w:rFonts w:ascii="Cambria Math" w:hAnsi="Cambria Math"/>
                          </w:rPr>
                          <m:t>x</m:t>
                        </m:r>
                      </m:e>
                    </m:d>
                  </m:den>
                </m:f>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σ</m:t>
                        </m:r>
                      </m:e>
                      <m:sub>
                        <m:r>
                          <w:rPr>
                            <w:rFonts w:ascii="Cambria Math" w:hAnsi="Cambria Math"/>
                          </w:rPr>
                          <m:t>i</m:t>
                        </m:r>
                      </m:sub>
                    </m:sSub>
                    <m:d>
                      <m:dPr>
                        <m:ctrlPr>
                          <w:rPr>
                            <w:rFonts w:ascii="Cambria Math" w:hAnsi="Cambria Math"/>
                          </w:rPr>
                        </m:ctrlPr>
                      </m:dPr>
                      <m:e>
                        <m:r>
                          <w:rPr>
                            <w:rFonts w:ascii="Cambria Math" w:hAnsi="Cambria Math"/>
                          </w:rPr>
                          <m:t>x</m:t>
                        </m:r>
                      </m:e>
                    </m:d>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y</m:t>
                    </m:r>
                    <m:r>
                      <m:rPr>
                        <m:sty m:val="p"/>
                      </m:rPr>
                      <w:rPr>
                        <w:rFonts w:ascii="Cambria Math" w:hAnsi="Cambria Math"/>
                      </w:rPr>
                      <m:t>,</m:t>
                    </m:r>
                    <m:r>
                      <w:rPr>
                        <w:rFonts w:ascii="Cambria Math" w:hAnsi="Cambria Math"/>
                      </w:rPr>
                      <m:t>i</m:t>
                    </m:r>
                  </m:sub>
                </m:sSub>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ε</m:t>
                        </m:r>
                      </m:e>
                      <m:sub>
                        <m:r>
                          <w:rPr>
                            <w:rFonts w:ascii="Cambria Math" w:hAnsi="Cambria Math"/>
                          </w:rPr>
                          <m:t>i</m:t>
                        </m:r>
                      </m:sub>
                    </m:sSub>
                    <m:d>
                      <m:dPr>
                        <m:ctrlPr>
                          <w:rPr>
                            <w:rFonts w:ascii="Cambria Math" w:hAnsi="Cambria Math"/>
                          </w:rPr>
                        </m:ctrlPr>
                      </m:dPr>
                      <m:e>
                        <m:r>
                          <w:rPr>
                            <w:rFonts w:ascii="Cambria Math" w:hAnsi="Cambria Math"/>
                          </w:rPr>
                          <m:t>y</m:t>
                        </m:r>
                      </m:e>
                    </m:d>
                  </m:den>
                </m:f>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ε</m:t>
                        </m:r>
                      </m:e>
                      <m:sub>
                        <m:r>
                          <w:rPr>
                            <w:rFonts w:ascii="Cambria Math" w:hAnsi="Cambria Math"/>
                          </w:rPr>
                          <m:t>i</m:t>
                        </m:r>
                      </m:sub>
                    </m:sSub>
                    <m:d>
                      <m:dPr>
                        <m:ctrlPr>
                          <w:rPr>
                            <w:rFonts w:ascii="Cambria Math" w:hAnsi="Cambria Math"/>
                          </w:rPr>
                        </m:ctrlPr>
                      </m:dPr>
                      <m:e>
                        <m:r>
                          <w:rPr>
                            <w:rFonts w:ascii="Cambria Math" w:hAnsi="Cambria Math"/>
                          </w:rPr>
                          <m:t>y</m:t>
                        </m:r>
                      </m:e>
                    </m:d>
                  </m:num>
                  <m:den>
                    <m: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z</m:t>
                    </m:r>
                    <m:r>
                      <m:rPr>
                        <m:sty m:val="p"/>
                      </m:rPr>
                      <w:rPr>
                        <w:rFonts w:ascii="Cambria Math" w:hAnsi="Cambria Math"/>
                      </w:rPr>
                      <m:t>,</m:t>
                    </m:r>
                    <m:r>
                      <w:rPr>
                        <w:rFonts w:ascii="Cambria Math" w:hAnsi="Cambria Math"/>
                      </w:rPr>
                      <m:t>i</m:t>
                    </m:r>
                  </m:sub>
                </m:sSub>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φ</m:t>
                        </m:r>
                      </m:e>
                      <m:sub>
                        <m:r>
                          <w:rPr>
                            <w:rFonts w:ascii="Cambria Math" w:hAnsi="Cambria Math"/>
                          </w:rPr>
                          <m:t>i</m:t>
                        </m:r>
                      </m:sub>
                    </m:sSub>
                    <m:d>
                      <m:dPr>
                        <m:ctrlPr>
                          <w:rPr>
                            <w:rFonts w:ascii="Cambria Math" w:hAnsi="Cambria Math"/>
                          </w:rPr>
                        </m:ctrlPr>
                      </m:dPr>
                      <m:e>
                        <m:r>
                          <w:rPr>
                            <w:rFonts w:ascii="Cambria Math" w:hAnsi="Cambria Math"/>
                          </w:rPr>
                          <m:t>z</m:t>
                        </m:r>
                      </m:e>
                    </m:d>
                  </m:den>
                </m:f>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φ</m:t>
                        </m:r>
                      </m:e>
                      <m:sub>
                        <m:r>
                          <w:rPr>
                            <w:rFonts w:ascii="Cambria Math" w:hAnsi="Cambria Math"/>
                          </w:rPr>
                          <m:t>i</m:t>
                        </m:r>
                      </m:sub>
                    </m:sSub>
                    <m:d>
                      <m:dPr>
                        <m:ctrlPr>
                          <w:rPr>
                            <w:rFonts w:ascii="Cambria Math" w:hAnsi="Cambria Math"/>
                          </w:rPr>
                        </m:ctrlPr>
                      </m:dPr>
                      <m:e>
                        <m:r>
                          <w:rPr>
                            <w:rFonts w:ascii="Cambria Math" w:hAnsi="Cambria Math"/>
                          </w:rPr>
                          <m:t>z</m:t>
                        </m:r>
                      </m:e>
                    </m:d>
                  </m:num>
                  <m:den>
                    <m: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τ</m:t>
                    </m:r>
                    <m:d>
                      <m:dPr>
                        <m:ctrlPr>
                          <w:rPr>
                            <w:rFonts w:ascii="Cambria Math" w:hAnsi="Cambria Math"/>
                          </w:rPr>
                        </m:ctrlPr>
                      </m:dPr>
                      <m:e>
                        <m:r>
                          <w:rPr>
                            <w:rFonts w:ascii="Cambria Math" w:hAnsi="Cambria Math"/>
                          </w:rPr>
                          <m:t>t</m:t>
                        </m:r>
                      </m:e>
                    </m:d>
                  </m:den>
                </m:f>
                <m:f>
                  <m:fPr>
                    <m:ctrlPr>
                      <w:rPr>
                        <w:rFonts w:ascii="Cambria Math" w:hAnsi="Cambria Math"/>
                      </w:rPr>
                    </m:ctrlPr>
                  </m:fPr>
                  <m:num>
                    <m:r>
                      <w:rPr>
                        <w:rFonts w:ascii="Cambria Math" w:hAnsi="Cambria Math"/>
                      </w:rPr>
                      <m:t>∂τ</m:t>
                    </m:r>
                    <m:d>
                      <m:dPr>
                        <m:ctrlPr>
                          <w:rPr>
                            <w:rFonts w:ascii="Cambria Math" w:hAnsi="Cambria Math"/>
                          </w:rPr>
                        </m:ctrlPr>
                      </m:dPr>
                      <m:e>
                        <m:r>
                          <w:rPr>
                            <w:rFonts w:ascii="Cambria Math" w:hAnsi="Cambria Math"/>
                          </w:rPr>
                          <m:t>t</m:t>
                        </m:r>
                      </m:e>
                    </m:d>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τ</m:t>
                    </m:r>
                    <m:d>
                      <m:dPr>
                        <m:ctrlPr>
                          <w:rPr>
                            <w:rFonts w:ascii="Cambria Math" w:hAnsi="Cambria Math"/>
                          </w:rPr>
                        </m:ctrlPr>
                      </m:dPr>
                      <m:e>
                        <m:r>
                          <w:rPr>
                            <w:rFonts w:ascii="Cambria Math" w:hAnsi="Cambria Math"/>
                          </w:rPr>
                          <m:t>t</m:t>
                        </m:r>
                      </m:e>
                    </m:d>
                  </m:den>
                </m:f>
                <m:f>
                  <m:fPr>
                    <m:ctrlPr>
                      <w:rPr>
                        <w:rFonts w:ascii="Cambria Math" w:hAnsi="Cambria Math"/>
                      </w:rPr>
                    </m:ctrlPr>
                  </m:fPr>
                  <m:num>
                    <m:r>
                      <w:rPr>
                        <w:rFonts w:ascii="Cambria Math" w:hAnsi="Cambria Math"/>
                      </w:rPr>
                      <m:t>∂ρ</m:t>
                    </m:r>
                    <m:d>
                      <m:dPr>
                        <m:ctrlPr>
                          <w:rPr>
                            <w:rFonts w:ascii="Cambria Math" w:hAnsi="Cambria Math"/>
                          </w:rPr>
                        </m:ctrlPr>
                      </m:dPr>
                      <m:e>
                        <m:r>
                          <w:rPr>
                            <w:rFonts w:ascii="Cambria Math" w:hAnsi="Cambria Math"/>
                          </w:rPr>
                          <m:t>t</m:t>
                        </m:r>
                      </m:e>
                    </m:d>
                  </m:num>
                  <m:den>
                    <m:r>
                      <w:rPr>
                        <w:rFonts w:ascii="Cambria Math" w:hAnsi="Cambria Math"/>
                      </w:rPr>
                      <m:t>∂t</m:t>
                    </m:r>
                  </m:den>
                </m:f>
                <m:r>
                  <m:rPr>
                    <m:sty m:val="p"/>
                  </m:rPr>
                  <w:rPr>
                    <w:rFonts w:ascii="Cambria Math" w:hAnsi="Cambria Math"/>
                  </w:rPr>
                  <m:t>=-</m:t>
                </m:r>
                <m:sSup>
                  <m:sSupPr>
                    <m:ctrlPr>
                      <w:rPr>
                        <w:rFonts w:ascii="Cambria Math" w:hAnsi="Cambria Math"/>
                      </w:rPr>
                    </m:ctrlPr>
                  </m:sSupPr>
                  <m:e>
                    <m:r>
                      <w:rPr>
                        <w:rFonts w:ascii="Cambria Math" w:hAnsi="Cambria Math"/>
                      </w:rPr>
                      <m:t>δ</m:t>
                    </m:r>
                  </m:e>
                  <m:sup>
                    <m:r>
                      <m:rPr>
                        <m:sty m:val="p"/>
                      </m:rPr>
                      <w:rPr>
                        <w:rFonts w:ascii="Cambria Math" w:hAnsi="Cambria Math"/>
                      </w:rPr>
                      <m:t>2</m:t>
                    </m:r>
                  </m:sup>
                </m:sSup>
              </m:oMath>
            </m:oMathPara>
          </w:p>
        </w:tc>
        <w:tc>
          <w:tcPr>
            <w:tcW w:w="1535" w:type="dxa"/>
            <w:vAlign w:val="center"/>
          </w:tcPr>
          <w:p w14:paraId="0827B3B8" w14:textId="77777777" w:rsidR="000C2D31" w:rsidRPr="00C5108B" w:rsidRDefault="000C2D31" w:rsidP="000C2D31">
            <w:pPr>
              <w:spacing w:after="200"/>
              <w:jc w:val="right"/>
              <w:rPr>
                <w:rFonts w:cs="Times New Roman"/>
                <w:szCs w:val="24"/>
              </w:rPr>
            </w:pPr>
            <w:r>
              <w:rPr>
                <w:rFonts w:cs="Times New Roman"/>
                <w:szCs w:val="24"/>
              </w:rPr>
              <w:t>(21</w:t>
            </w:r>
            <w:r w:rsidRPr="00C5108B">
              <w:rPr>
                <w:rFonts w:cs="Times New Roman"/>
                <w:szCs w:val="24"/>
              </w:rPr>
              <w:t>a)</w:t>
            </w:r>
          </w:p>
        </w:tc>
      </w:tr>
      <w:tr w:rsidR="000C2D31" w:rsidRPr="00C5108B" w14:paraId="0CD77CA8" w14:textId="77777777" w:rsidTr="000C2D31">
        <w:tc>
          <w:tcPr>
            <w:tcW w:w="7825" w:type="dxa"/>
          </w:tcPr>
          <w:p w14:paraId="365CF55E" w14:textId="77777777" w:rsidR="000C2D31" w:rsidRPr="00C5108B" w:rsidRDefault="007B3686" w:rsidP="00C66F96">
            <w:pPr>
              <w:pStyle w:val="Equations"/>
            </w:pPr>
            <m:oMathPara>
              <m:oMath>
                <m:f>
                  <m:fPr>
                    <m:ctrlPr>
                      <w:rPr>
                        <w:rFonts w:ascii="Cambria Math" w:hAnsi="Cambria Math"/>
                      </w:rPr>
                    </m:ctrlPr>
                  </m:fPr>
                  <m:num>
                    <m:r>
                      <w:rPr>
                        <w:rFonts w:ascii="Cambria Math" w:hAnsi="Cambria Math"/>
                      </w:rPr>
                      <m:t>∂ρ</m:t>
                    </m:r>
                    <m:d>
                      <m:dPr>
                        <m:ctrlPr>
                          <w:rPr>
                            <w:rFonts w:ascii="Cambria Math" w:hAnsi="Cambria Math"/>
                          </w:rPr>
                        </m:ctrlPr>
                      </m:dPr>
                      <m:e>
                        <m:r>
                          <w:rPr>
                            <w:rFonts w:ascii="Cambria Math" w:hAnsi="Cambria Math"/>
                          </w:rPr>
                          <m:t>t</m:t>
                        </m:r>
                      </m:e>
                    </m:d>
                  </m:num>
                  <m:den>
                    <m:r>
                      <w:rPr>
                        <w:rFonts w:ascii="Cambria Math" w:hAnsi="Cambria Math"/>
                      </w:rPr>
                      <m:t>∂t</m:t>
                    </m:r>
                  </m:den>
                </m:f>
                <m:r>
                  <m:rPr>
                    <m:sty m:val="p"/>
                  </m:rPr>
                  <w:rPr>
                    <w:rFonts w:ascii="Cambria Math" w:hAnsi="Cambria Math"/>
                  </w:rPr>
                  <m:t>=</m:t>
                </m:r>
                <m:r>
                  <w:rPr>
                    <w:rFonts w:ascii="Cambria Math" w:hAnsi="Cambria Math"/>
                  </w:rPr>
                  <m:t>γτ</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βρ</m:t>
                </m:r>
                <m:d>
                  <m:dPr>
                    <m:ctrlPr>
                      <w:rPr>
                        <w:rFonts w:ascii="Cambria Math" w:hAnsi="Cambria Math"/>
                      </w:rPr>
                    </m:ctrlPr>
                  </m:dPr>
                  <m:e>
                    <m:r>
                      <w:rPr>
                        <w:rFonts w:ascii="Cambria Math" w:hAnsi="Cambria Math"/>
                      </w:rPr>
                      <m:t>t</m:t>
                    </m:r>
                  </m:e>
                </m:d>
              </m:oMath>
            </m:oMathPara>
          </w:p>
        </w:tc>
        <w:tc>
          <w:tcPr>
            <w:tcW w:w="1535" w:type="dxa"/>
            <w:vAlign w:val="center"/>
          </w:tcPr>
          <w:p w14:paraId="273DE719" w14:textId="77777777" w:rsidR="000C2D31" w:rsidRPr="00C5108B" w:rsidRDefault="000C2D31" w:rsidP="000C2D31">
            <w:pPr>
              <w:spacing w:after="200"/>
              <w:jc w:val="right"/>
              <w:rPr>
                <w:rFonts w:cs="Times New Roman"/>
                <w:szCs w:val="24"/>
              </w:rPr>
            </w:pPr>
            <w:r>
              <w:rPr>
                <w:rFonts w:cs="Times New Roman"/>
                <w:szCs w:val="24"/>
              </w:rPr>
              <w:t>(21</w:t>
            </w:r>
            <w:r w:rsidRPr="00C5108B">
              <w:rPr>
                <w:rFonts w:cs="Times New Roman"/>
                <w:szCs w:val="24"/>
              </w:rPr>
              <w:t>b)</w:t>
            </w:r>
          </w:p>
        </w:tc>
      </w:tr>
    </w:tbl>
    <w:p w14:paraId="41D5F2F3" w14:textId="0F050C50" w:rsidR="000C2D31" w:rsidRPr="00C5108B" w:rsidRDefault="000C2D31" w:rsidP="000C2D31">
      <w:pPr>
        <w:rPr>
          <w:rFonts w:cs="Times New Roman"/>
          <w:szCs w:val="24"/>
        </w:rPr>
      </w:pPr>
      <w:r>
        <w:rPr>
          <w:rFonts w:cs="Times New Roman"/>
          <w:szCs w:val="24"/>
        </w:rPr>
        <w:t xml:space="preserve">Separating independent functions and simplifying Eq. </w:t>
      </w:r>
      <w:r w:rsidR="009B05F7">
        <w:rPr>
          <w:rFonts w:cs="Times New Roman"/>
          <w:szCs w:val="24"/>
        </w:rPr>
        <w:t>(</w:t>
      </w:r>
      <w:r>
        <w:rPr>
          <w:rFonts w:cs="Times New Roman"/>
          <w:szCs w:val="24"/>
        </w:rPr>
        <w:t>21a</w:t>
      </w:r>
      <w:r w:rsidR="009B05F7">
        <w:rPr>
          <w:rFonts w:cs="Times New Roman"/>
          <w:szCs w:val="24"/>
        </w:rPr>
        <w:t>)</w:t>
      </w:r>
      <w:r>
        <w:rPr>
          <w:rFonts w:cs="Times New Roman"/>
          <w:szCs w:val="24"/>
        </w:rPr>
        <w:t xml:space="preserve"> further leads to:</w:t>
      </w:r>
    </w:p>
    <w:tbl>
      <w:tblPr>
        <w:tblW w:w="8640" w:type="dxa"/>
        <w:tblLook w:val="04A0" w:firstRow="1" w:lastRow="0" w:firstColumn="1" w:lastColumn="0" w:noHBand="0" w:noVBand="1"/>
      </w:tblPr>
      <w:tblGrid>
        <w:gridCol w:w="7735"/>
        <w:gridCol w:w="905"/>
      </w:tblGrid>
      <w:tr w:rsidR="000C2D31" w:rsidRPr="00C5108B" w14:paraId="62E95B93" w14:textId="77777777" w:rsidTr="00BE4897">
        <w:tc>
          <w:tcPr>
            <w:tcW w:w="7735" w:type="dxa"/>
          </w:tcPr>
          <w:p w14:paraId="47D63DC7" w14:textId="77777777" w:rsidR="000C2D31" w:rsidRPr="00C5108B" w:rsidRDefault="007B3686" w:rsidP="00C66F96">
            <w:pPr>
              <w:pStyle w:val="Equations"/>
            </w:pPr>
            <m:oMathPara>
              <m:oMath>
                <m:sSub>
                  <m:sSubPr>
                    <m:ctrlPr>
                      <w:rPr>
                        <w:rFonts w:ascii="Cambria Math" w:hAnsi="Cambria Math"/>
                      </w:rPr>
                    </m:ctrlPr>
                  </m:sSubPr>
                  <m:e>
                    <m:r>
                      <w:rPr>
                        <w:rFonts w:ascii="Cambria Math" w:hAnsi="Cambria Math"/>
                      </w:rPr>
                      <m:t>D</m:t>
                    </m:r>
                  </m:e>
                  <m:sub>
                    <m:r>
                      <w:rPr>
                        <w:rFonts w:ascii="Cambria Math" w:hAnsi="Cambria Math"/>
                      </w:rPr>
                      <m:t>x</m:t>
                    </m:r>
                    <m:r>
                      <m:rPr>
                        <m:sty m:val="p"/>
                      </m:rPr>
                      <w:rPr>
                        <w:rFonts w:ascii="Cambria Math" w:hAnsi="Cambria Math"/>
                      </w:rPr>
                      <m:t>,</m:t>
                    </m:r>
                    <m:r>
                      <w:rPr>
                        <w:rFonts w:ascii="Cambria Math" w:hAnsi="Cambria Math"/>
                      </w:rPr>
                      <m:t>i</m:t>
                    </m:r>
                  </m:sub>
                </m:sSub>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σ</m:t>
                        </m:r>
                      </m:e>
                      <m:sub>
                        <m:r>
                          <w:rPr>
                            <w:rFonts w:ascii="Cambria Math" w:hAnsi="Cambria Math"/>
                          </w:rPr>
                          <m:t>i</m:t>
                        </m:r>
                      </m:sub>
                    </m:sSub>
                    <m:d>
                      <m:dPr>
                        <m:ctrlPr>
                          <w:rPr>
                            <w:rFonts w:ascii="Cambria Math" w:hAnsi="Cambria Math"/>
                          </w:rPr>
                        </m:ctrlPr>
                      </m:dPr>
                      <m:e>
                        <m:r>
                          <w:rPr>
                            <w:rFonts w:ascii="Cambria Math" w:hAnsi="Cambria Math"/>
                          </w:rPr>
                          <m:t>x</m:t>
                        </m:r>
                      </m:e>
                    </m:d>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sSub>
                  <m:sSubPr>
                    <m:ctrlPr>
                      <w:rPr>
                        <w:rFonts w:ascii="Cambria Math" w:hAnsi="Cambria Math"/>
                      </w:rPr>
                    </m:ctrlPr>
                  </m:sSubPr>
                  <m:e>
                    <m:r>
                      <w:rPr>
                        <w:rFonts w:ascii="Cambria Math" w:hAnsi="Cambria Math"/>
                      </w:rPr>
                      <m:t>σ</m:t>
                    </m:r>
                  </m:e>
                  <m:sub>
                    <m:r>
                      <w:rPr>
                        <w:rFonts w:ascii="Cambria Math" w:hAnsi="Cambria Math"/>
                      </w:rPr>
                      <m:t>i</m:t>
                    </m:r>
                  </m:sub>
                </m:sSub>
                <m:d>
                  <m:dPr>
                    <m:ctrlPr>
                      <w:rPr>
                        <w:rFonts w:ascii="Cambria Math" w:hAnsi="Cambria Math"/>
                      </w:rPr>
                    </m:ctrlPr>
                  </m:dPr>
                  <m:e>
                    <m:r>
                      <w:rPr>
                        <w:rFonts w:ascii="Cambria Math" w:hAnsi="Cambria Math"/>
                      </w:rPr>
                      <m:t>x</m:t>
                    </m:r>
                  </m:e>
                </m:d>
              </m:oMath>
            </m:oMathPara>
          </w:p>
        </w:tc>
        <w:tc>
          <w:tcPr>
            <w:tcW w:w="905" w:type="dxa"/>
            <w:vAlign w:val="center"/>
          </w:tcPr>
          <w:p w14:paraId="010CCB8C" w14:textId="77777777" w:rsidR="000C2D31" w:rsidRPr="00C5108B" w:rsidRDefault="000C2D31" w:rsidP="000C2D31">
            <w:pPr>
              <w:spacing w:after="200"/>
              <w:ind w:firstLine="0"/>
              <w:jc w:val="right"/>
              <w:rPr>
                <w:rFonts w:cs="Times New Roman"/>
                <w:szCs w:val="24"/>
              </w:rPr>
            </w:pPr>
            <w:r>
              <w:rPr>
                <w:rFonts w:cs="Times New Roman"/>
                <w:szCs w:val="24"/>
              </w:rPr>
              <w:t>(22</w:t>
            </w:r>
            <w:r w:rsidRPr="00C5108B">
              <w:rPr>
                <w:rFonts w:cs="Times New Roman"/>
                <w:szCs w:val="24"/>
              </w:rPr>
              <w:t>a)</w:t>
            </w:r>
          </w:p>
        </w:tc>
      </w:tr>
      <w:tr w:rsidR="000C2D31" w:rsidRPr="00C5108B" w14:paraId="3C1B1A70" w14:textId="77777777" w:rsidTr="00BE4897">
        <w:tc>
          <w:tcPr>
            <w:tcW w:w="7735" w:type="dxa"/>
          </w:tcPr>
          <w:p w14:paraId="2D6B0C91" w14:textId="77777777" w:rsidR="000C2D31" w:rsidRPr="00C5108B" w:rsidRDefault="007B3686" w:rsidP="00C66F96">
            <w:pPr>
              <w:pStyle w:val="Equations"/>
            </w:pPr>
            <m:oMathPara>
              <m:oMath>
                <m:sSub>
                  <m:sSubPr>
                    <m:ctrlPr>
                      <w:rPr>
                        <w:rFonts w:ascii="Cambria Math" w:hAnsi="Cambria Math"/>
                      </w:rPr>
                    </m:ctrlPr>
                  </m:sSubPr>
                  <m:e>
                    <m:r>
                      <w:rPr>
                        <w:rFonts w:ascii="Cambria Math" w:hAnsi="Cambria Math"/>
                      </w:rPr>
                      <m:t>D</m:t>
                    </m:r>
                  </m:e>
                  <m:sub>
                    <m:r>
                      <w:rPr>
                        <w:rFonts w:ascii="Cambria Math" w:hAnsi="Cambria Math"/>
                      </w:rPr>
                      <m:t>y</m:t>
                    </m:r>
                    <m:r>
                      <m:rPr>
                        <m:sty m:val="p"/>
                      </m:rPr>
                      <w:rPr>
                        <w:rFonts w:ascii="Cambria Math" w:hAnsi="Cambria Math"/>
                      </w:rPr>
                      <m:t>,</m:t>
                    </m:r>
                    <m:r>
                      <w:rPr>
                        <w:rFonts w:ascii="Cambria Math" w:hAnsi="Cambria Math"/>
                      </w:rPr>
                      <m:t>i</m:t>
                    </m:r>
                  </m:sub>
                </m:sSub>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ε</m:t>
                        </m:r>
                      </m:e>
                      <m:sub>
                        <m:r>
                          <w:rPr>
                            <w:rFonts w:ascii="Cambria Math" w:hAnsi="Cambria Math"/>
                          </w:rPr>
                          <m:t>i</m:t>
                        </m:r>
                      </m:sub>
                    </m:sSub>
                    <m:d>
                      <m:dPr>
                        <m:ctrlPr>
                          <w:rPr>
                            <w:rFonts w:ascii="Cambria Math" w:hAnsi="Cambria Math"/>
                          </w:rPr>
                        </m:ctrlPr>
                      </m:dPr>
                      <m:e>
                        <m:r>
                          <w:rPr>
                            <w:rFonts w:ascii="Cambria Math" w:hAnsi="Cambria Math"/>
                          </w:rPr>
                          <m:t>y</m:t>
                        </m:r>
                      </m:e>
                    </m:d>
                  </m:num>
                  <m:den>
                    <m: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Y</m:t>
                            </m:r>
                          </m:e>
                        </m:acc>
                      </m:e>
                      <m:sup>
                        <m:r>
                          <m:rPr>
                            <m:sty m:val="p"/>
                          </m:rPr>
                          <w:rPr>
                            <w:rFonts w:ascii="Cambria Math" w:hAnsi="Cambria Math"/>
                          </w:rPr>
                          <m:t>2</m:t>
                        </m:r>
                      </m:sup>
                    </m:sSup>
                    <m:r>
                      <w:rPr>
                        <w:rFonts w:ascii="Cambria Math" w:hAnsi="Cambria Math"/>
                      </w:rPr>
                      <m:t>ε</m:t>
                    </m:r>
                  </m:e>
                  <m:sub>
                    <m:r>
                      <w:rPr>
                        <w:rFonts w:ascii="Cambria Math" w:hAnsi="Cambria Math"/>
                      </w:rPr>
                      <m:t>i</m:t>
                    </m:r>
                  </m:sub>
                </m:sSub>
                <m:d>
                  <m:dPr>
                    <m:ctrlPr>
                      <w:rPr>
                        <w:rFonts w:ascii="Cambria Math" w:hAnsi="Cambria Math"/>
                      </w:rPr>
                    </m:ctrlPr>
                  </m:dPr>
                  <m:e>
                    <m:r>
                      <w:rPr>
                        <w:rFonts w:ascii="Cambria Math" w:hAnsi="Cambria Math"/>
                      </w:rPr>
                      <m:t>y</m:t>
                    </m:r>
                  </m:e>
                </m:d>
              </m:oMath>
            </m:oMathPara>
          </w:p>
        </w:tc>
        <w:tc>
          <w:tcPr>
            <w:tcW w:w="905" w:type="dxa"/>
            <w:vAlign w:val="center"/>
          </w:tcPr>
          <w:p w14:paraId="7ECDE6C5" w14:textId="77777777" w:rsidR="000C2D31" w:rsidRPr="00C5108B" w:rsidRDefault="000C2D31" w:rsidP="000C2D31">
            <w:pPr>
              <w:spacing w:after="200"/>
              <w:ind w:firstLine="0"/>
              <w:jc w:val="right"/>
              <w:rPr>
                <w:rFonts w:cs="Times New Roman"/>
                <w:szCs w:val="24"/>
              </w:rPr>
            </w:pPr>
            <w:r>
              <w:rPr>
                <w:rFonts w:cs="Times New Roman"/>
                <w:szCs w:val="24"/>
              </w:rPr>
              <w:t>(22</w:t>
            </w:r>
            <w:r w:rsidRPr="00C5108B">
              <w:rPr>
                <w:rFonts w:cs="Times New Roman"/>
                <w:szCs w:val="24"/>
              </w:rPr>
              <w:t>b)</w:t>
            </w:r>
          </w:p>
        </w:tc>
      </w:tr>
      <w:tr w:rsidR="000C2D31" w:rsidRPr="00C5108B" w14:paraId="570D68A5" w14:textId="77777777" w:rsidTr="00BE4897">
        <w:tc>
          <w:tcPr>
            <w:tcW w:w="7735" w:type="dxa"/>
          </w:tcPr>
          <w:p w14:paraId="76D212BA" w14:textId="77777777" w:rsidR="000C2D31" w:rsidRPr="00C5108B" w:rsidRDefault="007B3686" w:rsidP="00C66F96">
            <w:pPr>
              <w:pStyle w:val="Equations"/>
            </w:pPr>
            <m:oMathPara>
              <m:oMath>
                <m:sSub>
                  <m:sSubPr>
                    <m:ctrlPr>
                      <w:rPr>
                        <w:rFonts w:ascii="Cambria Math" w:hAnsi="Cambria Math"/>
                      </w:rPr>
                    </m:ctrlPr>
                  </m:sSubPr>
                  <m:e>
                    <m:r>
                      <w:rPr>
                        <w:rFonts w:ascii="Cambria Math" w:hAnsi="Cambria Math"/>
                      </w:rPr>
                      <m:t>D</m:t>
                    </m:r>
                  </m:e>
                  <m:sub>
                    <m:r>
                      <w:rPr>
                        <w:rFonts w:ascii="Cambria Math" w:hAnsi="Cambria Math"/>
                      </w:rPr>
                      <m:t>z</m:t>
                    </m:r>
                    <m:r>
                      <m:rPr>
                        <m:sty m:val="p"/>
                      </m:rPr>
                      <w:rPr>
                        <w:rFonts w:ascii="Cambria Math" w:hAnsi="Cambria Math"/>
                      </w:rPr>
                      <m:t>,</m:t>
                    </m:r>
                    <m:r>
                      <w:rPr>
                        <w:rFonts w:ascii="Cambria Math" w:hAnsi="Cambria Math"/>
                      </w:rPr>
                      <m:t>i</m:t>
                    </m:r>
                  </m:sub>
                </m:sSub>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φ</m:t>
                        </m:r>
                      </m:e>
                      <m:sub>
                        <m:r>
                          <w:rPr>
                            <w:rFonts w:ascii="Cambria Math" w:hAnsi="Cambria Math"/>
                          </w:rPr>
                          <m:t>i</m:t>
                        </m:r>
                      </m:sub>
                    </m:sSub>
                    <m:d>
                      <m:dPr>
                        <m:ctrlPr>
                          <w:rPr>
                            <w:rFonts w:ascii="Cambria Math" w:hAnsi="Cambria Math"/>
                          </w:rPr>
                        </m:ctrlPr>
                      </m:dPr>
                      <m:e>
                        <m:r>
                          <w:rPr>
                            <w:rFonts w:ascii="Cambria Math" w:hAnsi="Cambria Math"/>
                          </w:rPr>
                          <m:t>z</m:t>
                        </m:r>
                      </m:e>
                    </m:d>
                  </m:num>
                  <m:den>
                    <m: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m:rPr>
                            <m:sty m:val="p"/>
                          </m:rPr>
                          <w:rPr>
                            <w:rFonts w:ascii="Cambria Math" w:hAnsi="Cambria Math"/>
                          </w:rPr>
                          <m:t>2</m:t>
                        </m:r>
                      </m:sup>
                    </m:sSup>
                    <m:r>
                      <w:rPr>
                        <w:rFonts w:ascii="Cambria Math" w:hAnsi="Cambria Math"/>
                      </w:rPr>
                      <m:t>φ</m:t>
                    </m:r>
                  </m:e>
                  <m:sub>
                    <m:r>
                      <w:rPr>
                        <w:rFonts w:ascii="Cambria Math" w:hAnsi="Cambria Math"/>
                      </w:rPr>
                      <m:t>i</m:t>
                    </m:r>
                  </m:sub>
                </m:sSub>
                <m:d>
                  <m:dPr>
                    <m:ctrlPr>
                      <w:rPr>
                        <w:rFonts w:ascii="Cambria Math" w:hAnsi="Cambria Math"/>
                      </w:rPr>
                    </m:ctrlPr>
                  </m:dPr>
                  <m:e>
                    <m:r>
                      <w:rPr>
                        <w:rFonts w:ascii="Cambria Math" w:hAnsi="Cambria Math"/>
                      </w:rPr>
                      <m:t>z</m:t>
                    </m:r>
                  </m:e>
                </m:d>
              </m:oMath>
            </m:oMathPara>
          </w:p>
        </w:tc>
        <w:tc>
          <w:tcPr>
            <w:tcW w:w="905" w:type="dxa"/>
            <w:vAlign w:val="center"/>
          </w:tcPr>
          <w:p w14:paraId="742553D1" w14:textId="77777777" w:rsidR="000C2D31" w:rsidRPr="00C5108B" w:rsidRDefault="000C2D31" w:rsidP="000C2D31">
            <w:pPr>
              <w:spacing w:after="200"/>
              <w:ind w:firstLine="0"/>
              <w:jc w:val="right"/>
              <w:rPr>
                <w:rFonts w:cs="Times New Roman"/>
                <w:szCs w:val="24"/>
              </w:rPr>
            </w:pPr>
            <w:r>
              <w:rPr>
                <w:rFonts w:cs="Times New Roman"/>
                <w:szCs w:val="24"/>
              </w:rPr>
              <w:t>(22</w:t>
            </w:r>
            <w:r w:rsidRPr="00C5108B">
              <w:rPr>
                <w:rFonts w:cs="Times New Roman"/>
                <w:szCs w:val="24"/>
              </w:rPr>
              <w:t>c)</w:t>
            </w:r>
          </w:p>
        </w:tc>
      </w:tr>
      <w:tr w:rsidR="000C2D31" w:rsidRPr="00C5108B" w14:paraId="0AF6DE88" w14:textId="77777777" w:rsidTr="00BE4897">
        <w:tc>
          <w:tcPr>
            <w:tcW w:w="7735" w:type="dxa"/>
          </w:tcPr>
          <w:p w14:paraId="38745530" w14:textId="77777777" w:rsidR="000C2D31" w:rsidRPr="00C5108B" w:rsidRDefault="007B3686" w:rsidP="00C66F96">
            <w:pPr>
              <w:pStyle w:val="Equations"/>
            </w:pPr>
            <m:oMathPara>
              <m:oMath>
                <m:f>
                  <m:fPr>
                    <m:ctrlPr>
                      <w:rPr>
                        <w:rFonts w:ascii="Cambria Math" w:hAnsi="Cambria Math"/>
                      </w:rPr>
                    </m:ctrlPr>
                  </m:fPr>
                  <m:num>
                    <m:r>
                      <w:rPr>
                        <w:rFonts w:ascii="Cambria Math" w:hAnsi="Cambria Math"/>
                      </w:rPr>
                      <m:t>∂τ</m:t>
                    </m:r>
                    <m:d>
                      <m:dPr>
                        <m:ctrlPr>
                          <w:rPr>
                            <w:rFonts w:ascii="Cambria Math" w:hAnsi="Cambria Math"/>
                          </w:rPr>
                        </m:ctrlPr>
                      </m:dPr>
                      <m:e>
                        <m:r>
                          <w:rPr>
                            <w:rFonts w:ascii="Cambria Math" w:hAnsi="Cambria Math"/>
                          </w:rPr>
                          <m:t>t</m:t>
                        </m:r>
                      </m:e>
                    </m:d>
                  </m:num>
                  <m:den>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∂ρ</m:t>
                    </m:r>
                    <m:d>
                      <m:dPr>
                        <m:ctrlPr>
                          <w:rPr>
                            <w:rFonts w:ascii="Cambria Math" w:hAnsi="Cambria Math"/>
                          </w:rPr>
                        </m:ctrlPr>
                      </m:dPr>
                      <m:e>
                        <m:r>
                          <w:rPr>
                            <w:rFonts w:ascii="Cambria Math" w:hAnsi="Cambria Math"/>
                          </w:rPr>
                          <m:t>t</m:t>
                        </m:r>
                      </m:e>
                    </m:d>
                  </m:num>
                  <m:den>
                    <m:r>
                      <w:rPr>
                        <w:rFonts w:ascii="Cambria Math" w:hAnsi="Cambria Math"/>
                      </w:rPr>
                      <m:t>∂t</m:t>
                    </m:r>
                  </m:den>
                </m:f>
                <m:r>
                  <m:rPr>
                    <m:sty m:val="p"/>
                  </m:rPr>
                  <w:rPr>
                    <w:rFonts w:ascii="Cambria Math" w:hAnsi="Cambria Math"/>
                  </w:rPr>
                  <m:t>=-</m:t>
                </m:r>
                <m:sSup>
                  <m:sSupPr>
                    <m:ctrlPr>
                      <w:rPr>
                        <w:rFonts w:ascii="Cambria Math" w:hAnsi="Cambria Math"/>
                      </w:rPr>
                    </m:ctrlPr>
                  </m:sSupPr>
                  <m:e>
                    <m:r>
                      <w:rPr>
                        <w:rFonts w:ascii="Cambria Math" w:hAnsi="Cambria Math"/>
                      </w:rPr>
                      <m:t>δ</m:t>
                    </m:r>
                  </m:e>
                  <m:sup>
                    <m:r>
                      <m:rPr>
                        <m:sty m:val="p"/>
                      </m:rPr>
                      <w:rPr>
                        <w:rFonts w:ascii="Cambria Math" w:hAnsi="Cambria Math"/>
                      </w:rPr>
                      <m:t>2</m:t>
                    </m:r>
                  </m:sup>
                </m:sSup>
                <m:r>
                  <w:rPr>
                    <w:rFonts w:ascii="Cambria Math" w:hAnsi="Cambria Math"/>
                  </w:rPr>
                  <m:t>τ</m:t>
                </m:r>
                <m:d>
                  <m:dPr>
                    <m:ctrlPr>
                      <w:rPr>
                        <w:rFonts w:ascii="Cambria Math" w:hAnsi="Cambria Math"/>
                      </w:rPr>
                    </m:ctrlPr>
                  </m:dPr>
                  <m:e>
                    <m:r>
                      <w:rPr>
                        <w:rFonts w:ascii="Cambria Math" w:hAnsi="Cambria Math"/>
                      </w:rPr>
                      <m:t>t</m:t>
                    </m:r>
                  </m:e>
                </m:d>
              </m:oMath>
            </m:oMathPara>
          </w:p>
        </w:tc>
        <w:tc>
          <w:tcPr>
            <w:tcW w:w="905" w:type="dxa"/>
            <w:vAlign w:val="center"/>
          </w:tcPr>
          <w:p w14:paraId="61F4E4B5" w14:textId="77777777" w:rsidR="000C2D31" w:rsidRPr="00C5108B" w:rsidRDefault="000C2D31" w:rsidP="000C2D31">
            <w:pPr>
              <w:spacing w:after="200"/>
              <w:ind w:firstLine="0"/>
              <w:jc w:val="right"/>
              <w:rPr>
                <w:rFonts w:cs="Times New Roman"/>
                <w:szCs w:val="24"/>
              </w:rPr>
            </w:pPr>
            <w:r>
              <w:rPr>
                <w:rFonts w:cs="Times New Roman"/>
                <w:szCs w:val="24"/>
              </w:rPr>
              <w:t>(22</w:t>
            </w:r>
            <w:r w:rsidRPr="00C5108B">
              <w:rPr>
                <w:rFonts w:cs="Times New Roman"/>
                <w:szCs w:val="24"/>
              </w:rPr>
              <w:t>d)</w:t>
            </w:r>
          </w:p>
        </w:tc>
      </w:tr>
    </w:tbl>
    <w:p w14:paraId="3BC3B4AA" w14:textId="208D1296" w:rsidR="000C2D31" w:rsidRPr="00C5108B" w:rsidRDefault="000C2D31" w:rsidP="00394D74">
      <w:pPr>
        <w:ind w:firstLine="0"/>
        <w:rPr>
          <w:rFonts w:cs="Times New Roman"/>
          <w:szCs w:val="24"/>
        </w:rPr>
      </w:pPr>
      <w:proofErr w:type="gramStart"/>
      <w:r>
        <w:rPr>
          <w:rFonts w:cs="Times New Roman"/>
          <w:szCs w:val="24"/>
        </w:rPr>
        <w:t>w</w:t>
      </w:r>
      <w:r w:rsidRPr="00C5108B">
        <w:rPr>
          <w:rFonts w:cs="Times New Roman"/>
          <w:szCs w:val="24"/>
        </w:rPr>
        <w:t>here</w:t>
      </w:r>
      <w:proofErr w:type="gramEnd"/>
      <w:r>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X</m:t>
            </m:r>
          </m:e>
        </m:acc>
        <m:r>
          <w:rPr>
            <w:rFonts w:ascii="Cambria Math" w:hAnsi="Cambria Math" w:cs="Times New Roman"/>
            <w:szCs w:val="24"/>
          </w:rPr>
          <m:t xml:space="preserve">,  </m:t>
        </m:r>
        <m:acc>
          <m:accPr>
            <m:chr m:val="̅"/>
            <m:ctrlPr>
              <w:rPr>
                <w:rFonts w:ascii="Cambria Math" w:hAnsi="Cambria Math" w:cs="Times New Roman"/>
                <w:szCs w:val="24"/>
              </w:rPr>
            </m:ctrlPr>
          </m:accPr>
          <m:e>
            <m:r>
              <w:rPr>
                <w:rFonts w:ascii="Cambria Math" w:hAnsi="Cambria Math" w:cs="Times New Roman"/>
                <w:szCs w:val="24"/>
              </w:rPr>
              <m:t>Y</m:t>
            </m:r>
          </m:e>
        </m:acc>
        <m:r>
          <w:rPr>
            <w:rFonts w:ascii="Cambria Math" w:hAnsi="Cambria Math" w:cs="Times New Roman"/>
            <w:szCs w:val="24"/>
          </w:rPr>
          <m:t xml:space="preserve">, </m:t>
        </m:r>
        <m:acc>
          <m:accPr>
            <m:chr m:val="̅"/>
            <m:ctrlPr>
              <w:rPr>
                <w:rFonts w:ascii="Cambria Math" w:hAnsi="Cambria Math" w:cs="Times New Roman"/>
                <w:szCs w:val="24"/>
              </w:rPr>
            </m:ctrlPr>
          </m:accPr>
          <m:e>
            <m:r>
              <w:rPr>
                <w:rFonts w:ascii="Cambria Math" w:hAnsi="Cambria Math" w:cs="Times New Roman"/>
                <w:szCs w:val="24"/>
              </w:rPr>
              <m:t>Z</m:t>
            </m:r>
          </m:e>
        </m:acc>
      </m:oMath>
      <w:r>
        <w:rPr>
          <w:rFonts w:cs="Times New Roman"/>
          <w:szCs w:val="24"/>
        </w:rPr>
        <w:t xml:space="preserve"> and </w:t>
      </w:r>
      <m:oMath>
        <m:r>
          <w:rPr>
            <w:rFonts w:ascii="Cambria Math" w:hAnsi="Cambria Math" w:cs="Times New Roman"/>
            <w:szCs w:val="24"/>
          </w:rPr>
          <m:t>δ</m:t>
        </m:r>
      </m:oMath>
      <w:r>
        <w:rPr>
          <w:rFonts w:cs="Times New Roman"/>
          <w:szCs w:val="24"/>
        </w:rPr>
        <w:t xml:space="preserve"> are constants that verify:</w:t>
      </w:r>
    </w:p>
    <w:tbl>
      <w:tblPr>
        <w:tblW w:w="0" w:type="auto"/>
        <w:tblLook w:val="04A0" w:firstRow="1" w:lastRow="0" w:firstColumn="1" w:lastColumn="0" w:noHBand="0" w:noVBand="1"/>
      </w:tblPr>
      <w:tblGrid>
        <w:gridCol w:w="7239"/>
        <w:gridCol w:w="1401"/>
      </w:tblGrid>
      <w:tr w:rsidR="000C2D31" w:rsidRPr="00C5108B" w14:paraId="7988712E" w14:textId="77777777" w:rsidTr="000C2D31">
        <w:tc>
          <w:tcPr>
            <w:tcW w:w="7915" w:type="dxa"/>
            <w:vAlign w:val="center"/>
          </w:tcPr>
          <w:p w14:paraId="5DF6AC82" w14:textId="77777777" w:rsidR="000C2D31" w:rsidRPr="00C5108B" w:rsidRDefault="007B3686" w:rsidP="00C66F96">
            <w:pPr>
              <w:pStyle w:val="Equations"/>
            </w:pPr>
            <m:oMathPara>
              <m:oMath>
                <m:sSup>
                  <m:sSupPr>
                    <m:ctrlPr>
                      <w:rPr>
                        <w:rFonts w:ascii="Cambria Math" w:hAnsi="Cambria Math"/>
                      </w:rPr>
                    </m:ctrlPr>
                  </m:sSupPr>
                  <m:e>
                    <m:r>
                      <w:rPr>
                        <w:rFonts w:ascii="Cambria Math" w:hAnsi="Cambria Math"/>
                      </w:rPr>
                      <m:t>δ</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Y</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m:rPr>
                        <m:sty m:val="p"/>
                      </m:rPr>
                      <w:rPr>
                        <w:rFonts w:ascii="Cambria Math" w:hAnsi="Cambria Math"/>
                      </w:rPr>
                      <m:t>2</m:t>
                    </m:r>
                  </m:sup>
                </m:sSup>
              </m:oMath>
            </m:oMathPara>
          </w:p>
        </w:tc>
        <w:tc>
          <w:tcPr>
            <w:tcW w:w="1445" w:type="dxa"/>
            <w:vAlign w:val="center"/>
          </w:tcPr>
          <w:p w14:paraId="5B44CD65" w14:textId="77777777" w:rsidR="000C2D31" w:rsidRPr="00C5108B" w:rsidRDefault="000C2D31" w:rsidP="000C2D31">
            <w:pPr>
              <w:spacing w:after="200"/>
              <w:jc w:val="right"/>
              <w:rPr>
                <w:rFonts w:cs="Times New Roman"/>
                <w:szCs w:val="24"/>
              </w:rPr>
            </w:pPr>
            <w:r>
              <w:rPr>
                <w:rFonts w:cs="Times New Roman"/>
                <w:szCs w:val="24"/>
              </w:rPr>
              <w:t>(23</w:t>
            </w:r>
            <w:r w:rsidRPr="00C5108B">
              <w:rPr>
                <w:rFonts w:cs="Times New Roman"/>
                <w:szCs w:val="24"/>
              </w:rPr>
              <w:t>)</w:t>
            </w:r>
          </w:p>
        </w:tc>
      </w:tr>
    </w:tbl>
    <w:p w14:paraId="026AFB95" w14:textId="16CF5303" w:rsidR="000C2D31" w:rsidRPr="00C5108B" w:rsidRDefault="000C2D31" w:rsidP="000C2D31">
      <w:pPr>
        <w:rPr>
          <w:rFonts w:cs="Times New Roman"/>
          <w:szCs w:val="24"/>
        </w:rPr>
      </w:pPr>
      <w:r>
        <w:rPr>
          <w:rFonts w:cs="Times New Roman"/>
          <w:szCs w:val="24"/>
        </w:rPr>
        <w:t xml:space="preserve">Laplace transformation of Eq. </w:t>
      </w:r>
      <w:r w:rsidR="009B05F7">
        <w:rPr>
          <w:rFonts w:cs="Times New Roman"/>
          <w:szCs w:val="24"/>
        </w:rPr>
        <w:t>(</w:t>
      </w:r>
      <w:r>
        <w:rPr>
          <w:rFonts w:cs="Times New Roman"/>
          <w:szCs w:val="24"/>
        </w:rPr>
        <w:t>21b</w:t>
      </w:r>
      <w:r w:rsidR="009B05F7">
        <w:rPr>
          <w:rFonts w:cs="Times New Roman"/>
          <w:szCs w:val="24"/>
        </w:rPr>
        <w:t>)</w:t>
      </w:r>
      <w:r w:rsidRPr="00C5108B">
        <w:rPr>
          <w:rFonts w:cs="Times New Roman"/>
          <w:szCs w:val="24"/>
        </w:rPr>
        <w:t xml:space="preserve"> </w:t>
      </w:r>
      <w:r>
        <w:rPr>
          <w:rFonts w:cs="Times New Roman"/>
          <w:szCs w:val="24"/>
        </w:rPr>
        <w:t>yields:</w:t>
      </w:r>
    </w:p>
    <w:tbl>
      <w:tblPr>
        <w:tblW w:w="0" w:type="auto"/>
        <w:tblLook w:val="04A0" w:firstRow="1" w:lastRow="0" w:firstColumn="1" w:lastColumn="0" w:noHBand="0" w:noVBand="1"/>
      </w:tblPr>
      <w:tblGrid>
        <w:gridCol w:w="6950"/>
        <w:gridCol w:w="1690"/>
      </w:tblGrid>
      <w:tr w:rsidR="000C2D31" w:rsidRPr="00C5108B" w14:paraId="74954654" w14:textId="77777777" w:rsidTr="00BE4897">
        <w:tc>
          <w:tcPr>
            <w:tcW w:w="6950" w:type="dxa"/>
          </w:tcPr>
          <w:p w14:paraId="5D423EFF" w14:textId="77777777" w:rsidR="000C2D31" w:rsidRPr="00C5108B" w:rsidRDefault="000C2D31" w:rsidP="00C66F96">
            <w:pPr>
              <w:pStyle w:val="Equations"/>
            </w:pPr>
            <m:oMathPara>
              <m:oMath>
                <m:r>
                  <w:rPr>
                    <w:rFonts w:ascii="Cambria Math" w:hAnsi="Cambria Math"/>
                    <w:vertAlign w:val="subscript"/>
                  </w:rPr>
                  <w:lastRenderedPageBreak/>
                  <m:t>s</m:t>
                </m:r>
                <m:acc>
                  <m:accPr>
                    <m:chr m:val="̅"/>
                    <m:ctrlPr>
                      <w:rPr>
                        <w:rFonts w:ascii="Cambria Math" w:hAnsi="Cambria Math"/>
                      </w:rPr>
                    </m:ctrlPr>
                  </m:accPr>
                  <m:e>
                    <m:r>
                      <w:rPr>
                        <w:rFonts w:ascii="Cambria Math" w:hAnsi="Cambria Math"/>
                      </w:rPr>
                      <m:t>τ</m:t>
                    </m:r>
                  </m:e>
                </m:acc>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τ</m:t>
                </m:r>
                <m:d>
                  <m:dPr>
                    <m:ctrlPr>
                      <w:rPr>
                        <w:rFonts w:ascii="Cambria Math" w:hAnsi="Cambria Math"/>
                      </w:rPr>
                    </m:ctrlPr>
                  </m:dPr>
                  <m:e>
                    <m:r>
                      <m:rPr>
                        <m:sty m:val="p"/>
                      </m:rPr>
                      <w:rPr>
                        <w:rFonts w:ascii="Cambria Math" w:hAnsi="Cambria Math"/>
                      </w:rPr>
                      <m:t>0</m:t>
                    </m:r>
                  </m:e>
                </m:d>
                <m:r>
                  <m:rPr>
                    <m:sty m:val="p"/>
                  </m:rPr>
                  <w:rPr>
                    <w:rFonts w:ascii="Cambria Math" w:hAnsi="Cambria Math"/>
                  </w:rPr>
                  <m:t>+</m:t>
                </m:r>
                <m:r>
                  <w:rPr>
                    <w:rFonts w:ascii="Cambria Math" w:hAnsi="Cambria Math"/>
                    <w:vertAlign w:val="subscript"/>
                  </w:rPr>
                  <m:t>s</m:t>
                </m:r>
                <m:acc>
                  <m:accPr>
                    <m:chr m:val="̅"/>
                    <m:ctrlPr>
                      <w:rPr>
                        <w:rFonts w:ascii="Cambria Math" w:hAnsi="Cambria Math"/>
                      </w:rPr>
                    </m:ctrlPr>
                  </m:accPr>
                  <m:e>
                    <m:r>
                      <w:rPr>
                        <w:rFonts w:ascii="Cambria Math" w:hAnsi="Cambria Math"/>
                      </w:rPr>
                      <m:t>ρ</m:t>
                    </m:r>
                  </m:e>
                </m:acc>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ρ</m:t>
                </m:r>
                <m:d>
                  <m:dPr>
                    <m:ctrlPr>
                      <w:rPr>
                        <w:rFonts w:ascii="Cambria Math" w:hAnsi="Cambria Math"/>
                      </w:rPr>
                    </m:ctrlPr>
                  </m:dPr>
                  <m:e>
                    <m:r>
                      <m:rPr>
                        <m:sty m:val="p"/>
                      </m:rPr>
                      <w:rPr>
                        <w:rFonts w:ascii="Cambria Math" w:hAnsi="Cambria Math"/>
                      </w:rPr>
                      <m:t>0</m:t>
                    </m:r>
                  </m:e>
                </m:d>
                <m:r>
                  <m:rPr>
                    <m:sty m:val="p"/>
                  </m:rPr>
                  <w:rPr>
                    <w:rFonts w:ascii="Cambria Math" w:hAnsi="Cambria Math"/>
                  </w:rPr>
                  <m:t>=-</m:t>
                </m:r>
                <m:sSup>
                  <m:sSupPr>
                    <m:ctrlPr>
                      <w:rPr>
                        <w:rFonts w:ascii="Cambria Math" w:hAnsi="Cambria Math"/>
                      </w:rPr>
                    </m:ctrlPr>
                  </m:sSupPr>
                  <m:e>
                    <m:r>
                      <w:rPr>
                        <w:rFonts w:ascii="Cambria Math" w:hAnsi="Cambria Math"/>
                      </w:rPr>
                      <m:t>δ</m:t>
                    </m:r>
                  </m:e>
                  <m:sup>
                    <m:r>
                      <m:rPr>
                        <m:sty m:val="p"/>
                      </m:rPr>
                      <w:rPr>
                        <w:rFonts w:ascii="Cambria Math" w:hAnsi="Cambria Math"/>
                      </w:rPr>
                      <m:t>2</m:t>
                    </m:r>
                  </m:sup>
                </m:sSup>
                <m:acc>
                  <m:accPr>
                    <m:chr m:val="̅"/>
                    <m:ctrlPr>
                      <w:rPr>
                        <w:rFonts w:ascii="Cambria Math" w:hAnsi="Cambria Math"/>
                      </w:rPr>
                    </m:ctrlPr>
                  </m:accPr>
                  <m:e>
                    <m:r>
                      <w:rPr>
                        <w:rFonts w:ascii="Cambria Math" w:hAnsi="Cambria Math"/>
                      </w:rPr>
                      <m:t>τ</m:t>
                    </m:r>
                  </m:e>
                </m:acc>
                <m:d>
                  <m:dPr>
                    <m:ctrlPr>
                      <w:rPr>
                        <w:rFonts w:ascii="Cambria Math" w:hAnsi="Cambria Math"/>
                      </w:rPr>
                    </m:ctrlPr>
                  </m:dPr>
                  <m:e>
                    <m:r>
                      <w:rPr>
                        <w:rFonts w:ascii="Cambria Math" w:hAnsi="Cambria Math"/>
                      </w:rPr>
                      <m:t>s</m:t>
                    </m:r>
                  </m:e>
                </m:d>
              </m:oMath>
            </m:oMathPara>
          </w:p>
        </w:tc>
        <w:tc>
          <w:tcPr>
            <w:tcW w:w="1690" w:type="dxa"/>
            <w:vAlign w:val="center"/>
          </w:tcPr>
          <w:p w14:paraId="51779B7F" w14:textId="77777777" w:rsidR="000C2D31" w:rsidRPr="00C5108B" w:rsidRDefault="000C2D31" w:rsidP="000C2D31">
            <w:pPr>
              <w:spacing w:after="200"/>
              <w:jc w:val="right"/>
              <w:rPr>
                <w:rFonts w:cs="Times New Roman"/>
                <w:szCs w:val="24"/>
              </w:rPr>
            </w:pPr>
            <w:r>
              <w:rPr>
                <w:rFonts w:cs="Times New Roman"/>
                <w:szCs w:val="24"/>
              </w:rPr>
              <w:t>(24</w:t>
            </w:r>
            <w:r w:rsidRPr="00C5108B">
              <w:rPr>
                <w:rFonts w:cs="Times New Roman"/>
                <w:szCs w:val="24"/>
              </w:rPr>
              <w:t>)</w:t>
            </w:r>
          </w:p>
        </w:tc>
      </w:tr>
    </w:tbl>
    <w:p w14:paraId="1DB7F3A3" w14:textId="4C8A9815" w:rsidR="000C2D31" w:rsidRPr="00C5108B" w:rsidRDefault="000C2D31" w:rsidP="000C2D31">
      <w:pPr>
        <w:rPr>
          <w:rFonts w:cs="Times New Roman"/>
          <w:szCs w:val="24"/>
        </w:rPr>
      </w:pPr>
      <w:r>
        <w:rPr>
          <w:rFonts w:cs="Times New Roman"/>
          <w:szCs w:val="24"/>
        </w:rPr>
        <w:t xml:space="preserve">A </w:t>
      </w:r>
      <w:r w:rsidRPr="00C5108B">
        <w:rPr>
          <w:rFonts w:cs="Times New Roman"/>
          <w:szCs w:val="24"/>
        </w:rPr>
        <w:t xml:space="preserve">correlation between </w:t>
      </w:r>
      <m:oMath>
        <m:r>
          <w:rPr>
            <w:rFonts w:ascii="Cambria Math" w:hAnsi="Cambria Math" w:cs="Times New Roman"/>
            <w:szCs w:val="24"/>
          </w:rPr>
          <m:t>τ</m:t>
        </m:r>
        <m:d>
          <m:dPr>
            <m:ctrlPr>
              <w:rPr>
                <w:rFonts w:ascii="Cambria Math" w:hAnsi="Cambria Math" w:cs="Times New Roman"/>
                <w:szCs w:val="24"/>
              </w:rPr>
            </m:ctrlPr>
          </m:dPr>
          <m:e>
            <m:r>
              <w:rPr>
                <w:rFonts w:ascii="Cambria Math" w:hAnsi="Cambria Math" w:cs="Times New Roman"/>
                <w:szCs w:val="24"/>
              </w:rPr>
              <m:t>t</m:t>
            </m:r>
          </m:e>
        </m:d>
      </m:oMath>
      <w:r w:rsidRPr="00C5108B">
        <w:rPr>
          <w:rFonts w:cs="Times New Roman"/>
          <w:szCs w:val="24"/>
        </w:rPr>
        <w:t xml:space="preserve"> and</w:t>
      </w:r>
      <m:oMath>
        <m:r>
          <m:rPr>
            <m:sty m:val="p"/>
          </m:rPr>
          <w:rPr>
            <w:rFonts w:ascii="Cambria Math" w:hAnsi="Cambria Math" w:cs="Times New Roman"/>
            <w:szCs w:val="24"/>
          </w:rPr>
          <m:t xml:space="preserve"> </m:t>
        </m:r>
        <m:r>
          <w:rPr>
            <w:rFonts w:ascii="Cambria Math" w:hAnsi="Cambria Math" w:cs="Times New Roman"/>
            <w:szCs w:val="24"/>
          </w:rPr>
          <m:t>ρ</m:t>
        </m:r>
        <m:d>
          <m:dPr>
            <m:ctrlPr>
              <w:rPr>
                <w:rFonts w:ascii="Cambria Math" w:hAnsi="Cambria Math" w:cs="Times New Roman"/>
                <w:szCs w:val="24"/>
              </w:rPr>
            </m:ctrlPr>
          </m:dPr>
          <m:e>
            <m:r>
              <w:rPr>
                <w:rFonts w:ascii="Cambria Math" w:hAnsi="Cambria Math" w:cs="Times New Roman"/>
                <w:szCs w:val="24"/>
              </w:rPr>
              <m:t>t</m:t>
            </m:r>
          </m:e>
        </m:d>
      </m:oMath>
      <w:r w:rsidRPr="00C5108B">
        <w:rPr>
          <w:rFonts w:cs="Times New Roman"/>
          <w:szCs w:val="24"/>
        </w:rPr>
        <w:t xml:space="preserve"> i</w:t>
      </w:r>
      <w:r>
        <w:rPr>
          <w:rFonts w:cs="Times New Roman"/>
          <w:szCs w:val="24"/>
        </w:rPr>
        <w:t>s needed i</w:t>
      </w:r>
      <w:r w:rsidRPr="00C5108B">
        <w:rPr>
          <w:rFonts w:cs="Times New Roman"/>
          <w:szCs w:val="24"/>
        </w:rPr>
        <w:t>n order to solve th</w:t>
      </w:r>
      <w:r>
        <w:rPr>
          <w:rFonts w:cs="Times New Roman"/>
          <w:szCs w:val="24"/>
        </w:rPr>
        <w:t>is</w:t>
      </w:r>
      <w:r w:rsidRPr="00C5108B">
        <w:rPr>
          <w:rFonts w:cs="Times New Roman"/>
          <w:szCs w:val="24"/>
        </w:rPr>
        <w:t xml:space="preserve"> system of equations. The correlation can </w:t>
      </w:r>
      <w:r>
        <w:rPr>
          <w:rFonts w:cs="Times New Roman"/>
          <w:szCs w:val="24"/>
        </w:rPr>
        <w:t>is developed using</w:t>
      </w:r>
      <w:r w:rsidRPr="00C5108B">
        <w:rPr>
          <w:rFonts w:cs="Times New Roman"/>
          <w:szCs w:val="24"/>
        </w:rPr>
        <w:t xml:space="preserve"> </w:t>
      </w:r>
      <w:r>
        <w:rPr>
          <w:rFonts w:cs="Times New Roman"/>
          <w:szCs w:val="24"/>
        </w:rPr>
        <w:t xml:space="preserve">Laplace transformation of Eq. </w:t>
      </w:r>
      <w:r w:rsidR="009B05F7">
        <w:rPr>
          <w:rFonts w:cs="Times New Roman"/>
          <w:szCs w:val="24"/>
        </w:rPr>
        <w:t>(</w:t>
      </w:r>
      <w:r>
        <w:rPr>
          <w:rFonts w:cs="Times New Roman"/>
          <w:szCs w:val="24"/>
        </w:rPr>
        <w:t>21b</w:t>
      </w:r>
      <w:r w:rsidR="009B05F7">
        <w:rPr>
          <w:rFonts w:cs="Times New Roman"/>
          <w:szCs w:val="24"/>
        </w:rPr>
        <w:t>)</w:t>
      </w:r>
      <w:r>
        <w:rPr>
          <w:rFonts w:cs="Times New Roman"/>
          <w:szCs w:val="24"/>
        </w:rPr>
        <w:t>:</w:t>
      </w:r>
      <w:r w:rsidRPr="00C5108B">
        <w:rPr>
          <w:rFonts w:cs="Times New Roman"/>
          <w:szCs w:val="24"/>
        </w:rPr>
        <w:t xml:space="preserve"> </w:t>
      </w:r>
    </w:p>
    <w:tbl>
      <w:tblPr>
        <w:tblW w:w="8640" w:type="dxa"/>
        <w:tblLook w:val="04A0" w:firstRow="1" w:lastRow="0" w:firstColumn="1" w:lastColumn="0" w:noHBand="0" w:noVBand="1"/>
      </w:tblPr>
      <w:tblGrid>
        <w:gridCol w:w="7825"/>
        <w:gridCol w:w="815"/>
      </w:tblGrid>
      <w:tr w:rsidR="000C2D31" w:rsidRPr="00C5108B" w14:paraId="306C0EDB" w14:textId="77777777" w:rsidTr="00BE4897">
        <w:tc>
          <w:tcPr>
            <w:tcW w:w="7825" w:type="dxa"/>
          </w:tcPr>
          <w:p w14:paraId="350A7614" w14:textId="77777777" w:rsidR="000C2D31" w:rsidRPr="00C5108B" w:rsidRDefault="000C2D31" w:rsidP="00C66F96">
            <w:pPr>
              <w:pStyle w:val="Equations"/>
            </w:pPr>
            <m:oMathPara>
              <m:oMath>
                <m:r>
                  <m:rPr>
                    <m:scr m:val="script"/>
                    <m:sty m:val="p"/>
                  </m:rPr>
                  <w:rPr>
                    <w:rFonts w:ascii="Cambria Math" w:hAnsi="Cambria Math"/>
                  </w:rPr>
                  <m:t>L</m:t>
                </m:r>
                <m:d>
                  <m:dPr>
                    <m:begChr m:val="{"/>
                    <m:endChr m:val="}"/>
                    <m:ctrlPr>
                      <w:rPr>
                        <w:rFonts w:ascii="Cambria Math" w:hAnsi="Cambria Math"/>
                      </w:rPr>
                    </m:ctrlPr>
                  </m:dPr>
                  <m:e>
                    <m:f>
                      <m:fPr>
                        <m:ctrlPr>
                          <w:rPr>
                            <w:rFonts w:ascii="Cambria Math" w:hAnsi="Cambria Math"/>
                          </w:rPr>
                        </m:ctrlPr>
                      </m:fPr>
                      <m:num>
                        <m:r>
                          <w:rPr>
                            <w:rFonts w:ascii="Cambria Math" w:hAnsi="Cambria Math"/>
                          </w:rPr>
                          <m:t>∂ρ</m:t>
                        </m:r>
                        <m:d>
                          <m:dPr>
                            <m:ctrlPr>
                              <w:rPr>
                                <w:rFonts w:ascii="Cambria Math" w:hAnsi="Cambria Math"/>
                              </w:rPr>
                            </m:ctrlPr>
                          </m:dPr>
                          <m:e>
                            <m:r>
                              <w:rPr>
                                <w:rFonts w:ascii="Cambria Math" w:hAnsi="Cambria Math"/>
                              </w:rPr>
                              <m:t>t</m:t>
                            </m:r>
                          </m:e>
                        </m:d>
                      </m:num>
                      <m:den>
                        <m:r>
                          <w:rPr>
                            <w:rFonts w:ascii="Cambria Math" w:hAnsi="Cambria Math"/>
                          </w:rPr>
                          <m:t>∂t</m:t>
                        </m:r>
                      </m:den>
                    </m:f>
                  </m:e>
                </m:d>
                <m:r>
                  <m:rPr>
                    <m:scr m:val="script"/>
                    <m:sty m:val="p"/>
                  </m:rPr>
                  <w:rPr>
                    <w:rFonts w:ascii="Cambria Math" w:hAnsi="Cambria Math"/>
                  </w:rPr>
                  <m:t>=L</m:t>
                </m:r>
                <m:d>
                  <m:dPr>
                    <m:begChr m:val="{"/>
                    <m:endChr m:val="}"/>
                    <m:ctrlPr>
                      <w:rPr>
                        <w:rFonts w:ascii="Cambria Math" w:hAnsi="Cambria Math"/>
                      </w:rPr>
                    </m:ctrlPr>
                  </m:dPr>
                  <m:e>
                    <m:r>
                      <w:rPr>
                        <w:rFonts w:ascii="Cambria Math" w:hAnsi="Cambria Math"/>
                      </w:rPr>
                      <m:t>γτ</m:t>
                    </m:r>
                    <m:d>
                      <m:dPr>
                        <m:ctrlPr>
                          <w:rPr>
                            <w:rFonts w:ascii="Cambria Math" w:hAnsi="Cambria Math"/>
                          </w:rPr>
                        </m:ctrlPr>
                      </m:dPr>
                      <m:e>
                        <m:r>
                          <w:rPr>
                            <w:rFonts w:ascii="Cambria Math" w:hAnsi="Cambria Math"/>
                          </w:rPr>
                          <m:t>t</m:t>
                        </m:r>
                      </m:e>
                    </m:d>
                  </m:e>
                </m:d>
                <m:r>
                  <m:rPr>
                    <m:scr m:val="script"/>
                    <m:sty m:val="p"/>
                  </m:rPr>
                  <w:rPr>
                    <w:rFonts w:ascii="Cambria Math" w:hAnsi="Cambria Math"/>
                  </w:rPr>
                  <m:t>-L</m:t>
                </m:r>
                <m:d>
                  <m:dPr>
                    <m:begChr m:val="{"/>
                    <m:endChr m:val="}"/>
                    <m:ctrlPr>
                      <w:rPr>
                        <w:rFonts w:ascii="Cambria Math" w:hAnsi="Cambria Math"/>
                      </w:rPr>
                    </m:ctrlPr>
                  </m:dPr>
                  <m:e>
                    <m:r>
                      <w:rPr>
                        <w:rFonts w:ascii="Cambria Math" w:hAnsi="Cambria Math"/>
                      </w:rPr>
                      <m:t>βρ</m:t>
                    </m:r>
                    <m:d>
                      <m:dPr>
                        <m:ctrlPr>
                          <w:rPr>
                            <w:rFonts w:ascii="Cambria Math" w:hAnsi="Cambria Math"/>
                          </w:rPr>
                        </m:ctrlPr>
                      </m:dPr>
                      <m:e>
                        <m:r>
                          <w:rPr>
                            <w:rFonts w:ascii="Cambria Math" w:hAnsi="Cambria Math"/>
                          </w:rPr>
                          <m:t>t</m:t>
                        </m:r>
                      </m:e>
                    </m:d>
                  </m:e>
                </m:d>
              </m:oMath>
            </m:oMathPara>
          </w:p>
        </w:tc>
        <w:tc>
          <w:tcPr>
            <w:tcW w:w="815" w:type="dxa"/>
            <w:vAlign w:val="center"/>
          </w:tcPr>
          <w:p w14:paraId="6D60AA24" w14:textId="77777777" w:rsidR="000C2D31" w:rsidRPr="00C5108B" w:rsidRDefault="000C2D31" w:rsidP="000C2D31">
            <w:pPr>
              <w:spacing w:after="200"/>
              <w:ind w:firstLine="0"/>
              <w:jc w:val="right"/>
              <w:rPr>
                <w:rFonts w:cs="Times New Roman"/>
                <w:szCs w:val="24"/>
              </w:rPr>
            </w:pPr>
            <w:r>
              <w:rPr>
                <w:rFonts w:cs="Times New Roman"/>
                <w:szCs w:val="24"/>
              </w:rPr>
              <w:t>(25</w:t>
            </w:r>
            <w:r w:rsidRPr="00C5108B">
              <w:rPr>
                <w:rFonts w:cs="Times New Roman"/>
                <w:szCs w:val="24"/>
              </w:rPr>
              <w:t>)</w:t>
            </w:r>
          </w:p>
        </w:tc>
      </w:tr>
    </w:tbl>
    <w:p w14:paraId="3C82B110" w14:textId="2510AE67" w:rsidR="000C2D31" w:rsidRPr="00C5108B" w:rsidRDefault="000C2D31" w:rsidP="000C2D31">
      <w:pPr>
        <w:rPr>
          <w:rFonts w:cs="Times New Roman"/>
          <w:szCs w:val="24"/>
        </w:rPr>
      </w:pPr>
      <w:r>
        <w:rPr>
          <w:rFonts w:cs="Times New Roman"/>
          <w:szCs w:val="24"/>
        </w:rPr>
        <w:t xml:space="preserve">Eq. </w:t>
      </w:r>
      <w:r w:rsidR="009B05F7">
        <w:rPr>
          <w:rFonts w:cs="Times New Roman"/>
          <w:szCs w:val="24"/>
        </w:rPr>
        <w:t>(</w:t>
      </w:r>
      <w:r>
        <w:rPr>
          <w:rFonts w:cs="Times New Roman"/>
          <w:szCs w:val="24"/>
        </w:rPr>
        <w:t>25</w:t>
      </w:r>
      <w:r w:rsidR="009B05F7">
        <w:rPr>
          <w:rFonts w:cs="Times New Roman"/>
          <w:szCs w:val="24"/>
        </w:rPr>
        <w:t>)</w:t>
      </w:r>
      <w:r>
        <w:rPr>
          <w:rFonts w:cs="Times New Roman"/>
          <w:szCs w:val="24"/>
        </w:rPr>
        <w:t xml:space="preserve"> can be written as:</w:t>
      </w:r>
    </w:p>
    <w:tbl>
      <w:tblPr>
        <w:tblW w:w="8640" w:type="dxa"/>
        <w:tblLayout w:type="fixed"/>
        <w:tblLook w:val="04A0" w:firstRow="1" w:lastRow="0" w:firstColumn="1" w:lastColumn="0" w:noHBand="0" w:noVBand="1"/>
      </w:tblPr>
      <w:tblGrid>
        <w:gridCol w:w="7650"/>
        <w:gridCol w:w="990"/>
      </w:tblGrid>
      <w:tr w:rsidR="000C2D31" w:rsidRPr="00C5108B" w14:paraId="0BE86678" w14:textId="77777777" w:rsidTr="00BE4897">
        <w:tc>
          <w:tcPr>
            <w:tcW w:w="7650" w:type="dxa"/>
          </w:tcPr>
          <w:p w14:paraId="7CCF93EB" w14:textId="77777777" w:rsidR="000C2D31" w:rsidRPr="00C5108B" w:rsidRDefault="000C2D31" w:rsidP="00C66F96">
            <w:pPr>
              <w:pStyle w:val="Equations"/>
            </w:pPr>
            <m:oMathPara>
              <m:oMath>
                <m:r>
                  <m:rPr>
                    <m:sty m:val="p"/>
                  </m:rPr>
                  <w:rPr>
                    <w:rFonts w:ascii="Cambria Math" w:hAnsi="Cambria Math"/>
                  </w:rPr>
                  <m:t>-</m:t>
                </m:r>
                <m:r>
                  <w:rPr>
                    <w:rFonts w:ascii="Cambria Math" w:hAnsi="Cambria Math"/>
                  </w:rPr>
                  <m:t>s</m:t>
                </m:r>
                <m:r>
                  <m:rPr>
                    <m:sty m:val="p"/>
                  </m:rPr>
                  <w:rPr>
                    <w:rFonts w:ascii="Cambria Math" w:hAnsi="Cambria Math"/>
                  </w:rPr>
                  <m:t xml:space="preserve"> </m:t>
                </m:r>
                <m:acc>
                  <m:accPr>
                    <m:chr m:val="̅"/>
                    <m:ctrlPr>
                      <w:rPr>
                        <w:rFonts w:ascii="Cambria Math" w:hAnsi="Cambria Math"/>
                      </w:rPr>
                    </m:ctrlPr>
                  </m:accPr>
                  <m:e>
                    <m:r>
                      <w:rPr>
                        <w:rFonts w:ascii="Cambria Math" w:hAnsi="Cambria Math"/>
                      </w:rPr>
                      <m:t>ρ</m:t>
                    </m:r>
                  </m:e>
                </m:acc>
                <m:d>
                  <m:dPr>
                    <m:ctrlPr>
                      <w:rPr>
                        <w:rFonts w:ascii="Cambria Math" w:hAnsi="Cambria Math"/>
                      </w:rPr>
                    </m:ctrlPr>
                  </m:dPr>
                  <m:e>
                    <m:r>
                      <w:rPr>
                        <w:rFonts w:ascii="Cambria Math" w:hAnsi="Cambria Math"/>
                      </w:rPr>
                      <m:t>s</m:t>
                    </m:r>
                  </m:e>
                </m:d>
                <m:r>
                  <m:rPr>
                    <m:sty m:val="p"/>
                  </m:rPr>
                  <w:rPr>
                    <w:rFonts w:ascii="Cambria Math" w:hAnsi="Cambria Math"/>
                  </w:rPr>
                  <m:t xml:space="preserve">= </m:t>
                </m:r>
                <m:r>
                  <w:rPr>
                    <w:rFonts w:ascii="Cambria Math" w:hAnsi="Cambria Math"/>
                  </w:rPr>
                  <m:t>γ</m:t>
                </m:r>
                <m:acc>
                  <m:accPr>
                    <m:chr m:val="̅"/>
                    <m:ctrlPr>
                      <w:rPr>
                        <w:rFonts w:ascii="Cambria Math" w:hAnsi="Cambria Math"/>
                      </w:rPr>
                    </m:ctrlPr>
                  </m:accPr>
                  <m:e>
                    <m:r>
                      <w:rPr>
                        <w:rFonts w:ascii="Cambria Math" w:hAnsi="Cambria Math"/>
                      </w:rPr>
                      <m:t>τ</m:t>
                    </m:r>
                  </m:e>
                </m:acc>
                <m:d>
                  <m:dPr>
                    <m:ctrlPr>
                      <w:rPr>
                        <w:rFonts w:ascii="Cambria Math" w:hAnsi="Cambria Math"/>
                      </w:rPr>
                    </m:ctrlPr>
                  </m:dPr>
                  <m:e>
                    <m:r>
                      <w:rPr>
                        <w:rFonts w:ascii="Cambria Math" w:hAnsi="Cambria Math"/>
                      </w:rPr>
                      <m:t>s</m:t>
                    </m:r>
                  </m:e>
                </m:d>
                <m:r>
                  <m:rPr>
                    <m:sty m:val="p"/>
                  </m:rPr>
                  <w:rPr>
                    <w:rFonts w:ascii="Cambria Math" w:hAnsi="Cambria Math"/>
                  </w:rPr>
                  <m:t xml:space="preserve">- </m:t>
                </m:r>
                <m:r>
                  <w:rPr>
                    <w:rFonts w:ascii="Cambria Math" w:hAnsi="Cambria Math"/>
                  </w:rPr>
                  <m:t>β</m:t>
                </m:r>
                <m:acc>
                  <m:accPr>
                    <m:chr m:val="̅"/>
                    <m:ctrlPr>
                      <w:rPr>
                        <w:rFonts w:ascii="Cambria Math" w:hAnsi="Cambria Math"/>
                      </w:rPr>
                    </m:ctrlPr>
                  </m:accPr>
                  <m:e>
                    <m:r>
                      <w:rPr>
                        <w:rFonts w:ascii="Cambria Math" w:hAnsi="Cambria Math"/>
                      </w:rPr>
                      <m:t>ρ</m:t>
                    </m:r>
                  </m:e>
                </m:acc>
                <m:d>
                  <m:dPr>
                    <m:ctrlPr>
                      <w:rPr>
                        <w:rFonts w:ascii="Cambria Math" w:hAnsi="Cambria Math"/>
                      </w:rPr>
                    </m:ctrlPr>
                  </m:dPr>
                  <m:e>
                    <m:r>
                      <w:rPr>
                        <w:rFonts w:ascii="Cambria Math" w:hAnsi="Cambria Math"/>
                      </w:rPr>
                      <m:t>s</m:t>
                    </m:r>
                  </m:e>
                </m:d>
              </m:oMath>
            </m:oMathPara>
          </w:p>
        </w:tc>
        <w:tc>
          <w:tcPr>
            <w:tcW w:w="990" w:type="dxa"/>
            <w:vAlign w:val="center"/>
          </w:tcPr>
          <w:p w14:paraId="426A87CC" w14:textId="77777777" w:rsidR="000C2D31" w:rsidRPr="00C5108B" w:rsidRDefault="000C2D31" w:rsidP="000C2D31">
            <w:pPr>
              <w:spacing w:after="200"/>
              <w:ind w:firstLine="0"/>
              <w:jc w:val="right"/>
              <w:rPr>
                <w:rFonts w:cs="Times New Roman"/>
                <w:szCs w:val="24"/>
              </w:rPr>
            </w:pPr>
            <w:r>
              <w:rPr>
                <w:rFonts w:cs="Times New Roman"/>
                <w:szCs w:val="24"/>
              </w:rPr>
              <w:t>(26</w:t>
            </w:r>
            <w:r w:rsidRPr="00C5108B">
              <w:rPr>
                <w:rFonts w:cs="Times New Roman"/>
                <w:szCs w:val="24"/>
              </w:rPr>
              <w:t>a)</w:t>
            </w:r>
          </w:p>
        </w:tc>
      </w:tr>
    </w:tbl>
    <w:p w14:paraId="6DAFB666" w14:textId="60ED793D" w:rsidR="000C2D31" w:rsidRPr="00C5108B" w:rsidRDefault="000C2D31" w:rsidP="000C2D31">
      <w:pPr>
        <w:rPr>
          <w:rFonts w:cs="Times New Roman"/>
          <w:szCs w:val="24"/>
        </w:rPr>
      </w:pPr>
      <w:r w:rsidRPr="00C5108B">
        <w:rPr>
          <w:rFonts w:cs="Times New Roman"/>
          <w:szCs w:val="24"/>
        </w:rPr>
        <w:t>Reorganizing</w:t>
      </w:r>
      <w:r>
        <w:rPr>
          <w:rFonts w:cs="Times New Roman"/>
          <w:szCs w:val="24"/>
        </w:rPr>
        <w:t xml:space="preserve"> Eq. </w:t>
      </w:r>
      <w:r w:rsidR="009B05F7">
        <w:rPr>
          <w:rFonts w:cs="Times New Roman"/>
          <w:szCs w:val="24"/>
        </w:rPr>
        <w:t>(</w:t>
      </w:r>
      <w:r>
        <w:rPr>
          <w:rFonts w:cs="Times New Roman"/>
          <w:szCs w:val="24"/>
        </w:rPr>
        <w:t>26a</w:t>
      </w:r>
      <w:r w:rsidR="009B05F7">
        <w:rPr>
          <w:rFonts w:cs="Times New Roman"/>
          <w:szCs w:val="24"/>
        </w:rPr>
        <w:t>)</w:t>
      </w:r>
      <w:r w:rsidRPr="00C5108B">
        <w:rPr>
          <w:rFonts w:cs="Times New Roman"/>
          <w:szCs w:val="24"/>
        </w:rPr>
        <w:t xml:space="preserve"> </w:t>
      </w:r>
      <w:r>
        <w:rPr>
          <w:rFonts w:cs="Times New Roman"/>
          <w:szCs w:val="24"/>
        </w:rPr>
        <w:t>gives:</w:t>
      </w:r>
    </w:p>
    <w:tbl>
      <w:tblPr>
        <w:tblW w:w="0" w:type="auto"/>
        <w:tblLook w:val="04A0" w:firstRow="1" w:lastRow="0" w:firstColumn="1" w:lastColumn="0" w:noHBand="0" w:noVBand="1"/>
      </w:tblPr>
      <w:tblGrid>
        <w:gridCol w:w="7052"/>
        <w:gridCol w:w="1588"/>
      </w:tblGrid>
      <w:tr w:rsidR="000C2D31" w:rsidRPr="00C5108B" w14:paraId="4EA2FAC7" w14:textId="77777777" w:rsidTr="00BE4897">
        <w:tc>
          <w:tcPr>
            <w:tcW w:w="7052" w:type="dxa"/>
          </w:tcPr>
          <w:p w14:paraId="08F558B9" w14:textId="2F76A504" w:rsidR="000C2D31" w:rsidRPr="00C5108B" w:rsidRDefault="007B3686" w:rsidP="00C66F96">
            <w:pPr>
              <w:pStyle w:val="Equations"/>
            </w:pPr>
            <m:oMathPara>
              <m:oMath>
                <m:acc>
                  <m:accPr>
                    <m:chr m:val="̅"/>
                    <m:ctrlPr>
                      <w:rPr>
                        <w:rFonts w:ascii="Cambria Math" w:hAnsi="Cambria Math"/>
                      </w:rPr>
                    </m:ctrlPr>
                  </m:accPr>
                  <m:e>
                    <m:r>
                      <w:rPr>
                        <w:rFonts w:ascii="Cambria Math" w:hAnsi="Cambria Math"/>
                      </w:rPr>
                      <m:t>ρ</m:t>
                    </m:r>
                  </m:e>
                </m:acc>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r>
                      <w:rPr>
                        <w:rFonts w:ascii="Cambria Math" w:hAnsi="Cambria Math"/>
                      </w:rPr>
                      <m:t>γ</m:t>
                    </m:r>
                    <m:acc>
                      <m:accPr>
                        <m:chr m:val="̅"/>
                        <m:ctrlPr>
                          <w:rPr>
                            <w:rFonts w:ascii="Cambria Math" w:hAnsi="Cambria Math"/>
                          </w:rPr>
                        </m:ctrlPr>
                      </m:accPr>
                      <m:e>
                        <m:r>
                          <w:rPr>
                            <w:rFonts w:ascii="Cambria Math" w:hAnsi="Cambria Math"/>
                          </w:rPr>
                          <m:t>τ</m:t>
                        </m:r>
                      </m:e>
                    </m:acc>
                    <m:d>
                      <m:dPr>
                        <m:ctrlPr>
                          <w:rPr>
                            <w:rFonts w:ascii="Cambria Math" w:hAnsi="Cambria Math"/>
                          </w:rPr>
                        </m:ctrlPr>
                      </m:dPr>
                      <m:e>
                        <m:r>
                          <w:rPr>
                            <w:rFonts w:ascii="Cambria Math" w:hAnsi="Cambria Math"/>
                          </w:rPr>
                          <m:t>s</m:t>
                        </m:r>
                      </m:e>
                    </m:d>
                  </m:num>
                  <m:den>
                    <m:r>
                      <w:rPr>
                        <w:rFonts w:ascii="Cambria Math" w:hAnsi="Cambria Math"/>
                      </w:rPr>
                      <m:t>β</m:t>
                    </m:r>
                    <m:r>
                      <m:rPr>
                        <m:sty m:val="p"/>
                      </m:rPr>
                      <w:rPr>
                        <w:rFonts w:ascii="Cambria Math" w:hAnsi="Cambria Math"/>
                      </w:rPr>
                      <m:t>+</m:t>
                    </m:r>
                    <m:r>
                      <w:rPr>
                        <w:rFonts w:ascii="Cambria Math" w:hAnsi="Cambria Math"/>
                      </w:rPr>
                      <m:t>s</m:t>
                    </m:r>
                  </m:den>
                </m:f>
              </m:oMath>
            </m:oMathPara>
          </w:p>
        </w:tc>
        <w:tc>
          <w:tcPr>
            <w:tcW w:w="1588" w:type="dxa"/>
            <w:vAlign w:val="center"/>
          </w:tcPr>
          <w:p w14:paraId="475979D0" w14:textId="77777777" w:rsidR="000C2D31" w:rsidRPr="00C5108B" w:rsidRDefault="000C2D31" w:rsidP="000C2D31">
            <w:pPr>
              <w:spacing w:after="200"/>
              <w:ind w:firstLine="0"/>
              <w:jc w:val="right"/>
              <w:rPr>
                <w:rFonts w:cs="Times New Roman"/>
                <w:szCs w:val="24"/>
              </w:rPr>
            </w:pPr>
            <w:r>
              <w:rPr>
                <w:rFonts w:cs="Times New Roman"/>
                <w:szCs w:val="24"/>
              </w:rPr>
              <w:t>(26</w:t>
            </w:r>
            <w:r w:rsidRPr="00C5108B">
              <w:rPr>
                <w:rFonts w:cs="Times New Roman"/>
                <w:szCs w:val="24"/>
              </w:rPr>
              <w:t>b)</w:t>
            </w:r>
          </w:p>
        </w:tc>
      </w:tr>
    </w:tbl>
    <w:p w14:paraId="5D7B7271" w14:textId="168B60B0" w:rsidR="000C2D31" w:rsidRPr="00C5108B" w:rsidRDefault="000C2D31" w:rsidP="000C2D31">
      <w:pPr>
        <w:rPr>
          <w:rFonts w:cs="Times New Roman"/>
          <w:szCs w:val="24"/>
        </w:rPr>
      </w:pPr>
      <w:r>
        <w:rPr>
          <w:rFonts w:cs="Times New Roman"/>
          <w:szCs w:val="24"/>
        </w:rPr>
        <w:t xml:space="preserve">Inserting Eq. </w:t>
      </w:r>
      <w:r w:rsidR="009B05F7">
        <w:rPr>
          <w:rFonts w:cs="Times New Roman"/>
          <w:szCs w:val="24"/>
        </w:rPr>
        <w:t>(</w:t>
      </w:r>
      <w:r>
        <w:rPr>
          <w:rFonts w:cs="Times New Roman"/>
          <w:szCs w:val="24"/>
        </w:rPr>
        <w:t>26b</w:t>
      </w:r>
      <w:r w:rsidR="009B05F7">
        <w:rPr>
          <w:rFonts w:cs="Times New Roman"/>
          <w:szCs w:val="24"/>
        </w:rPr>
        <w:t>)</w:t>
      </w:r>
      <w:r>
        <w:rPr>
          <w:rFonts w:cs="Times New Roman"/>
          <w:szCs w:val="24"/>
        </w:rPr>
        <w:t xml:space="preserve"> into Eq. </w:t>
      </w:r>
      <w:r w:rsidR="009B05F7">
        <w:rPr>
          <w:rFonts w:cs="Times New Roman"/>
          <w:szCs w:val="24"/>
        </w:rPr>
        <w:t>(</w:t>
      </w:r>
      <w:r>
        <w:rPr>
          <w:rFonts w:cs="Times New Roman"/>
          <w:szCs w:val="24"/>
        </w:rPr>
        <w:t>24</w:t>
      </w:r>
      <w:r w:rsidR="009B05F7">
        <w:rPr>
          <w:rFonts w:cs="Times New Roman"/>
          <w:szCs w:val="24"/>
        </w:rPr>
        <w:t>)</w:t>
      </w:r>
      <w:r>
        <w:rPr>
          <w:rFonts w:cs="Times New Roman"/>
          <w:szCs w:val="24"/>
        </w:rPr>
        <w:t xml:space="preserve"> yields:</w:t>
      </w:r>
    </w:p>
    <w:tbl>
      <w:tblPr>
        <w:tblW w:w="8640" w:type="dxa"/>
        <w:tblLook w:val="04A0" w:firstRow="1" w:lastRow="0" w:firstColumn="1" w:lastColumn="0" w:noHBand="0" w:noVBand="1"/>
      </w:tblPr>
      <w:tblGrid>
        <w:gridCol w:w="7870"/>
        <w:gridCol w:w="770"/>
      </w:tblGrid>
      <w:tr w:rsidR="000C2D31" w:rsidRPr="00C5108B" w14:paraId="2FA662A2" w14:textId="77777777" w:rsidTr="00BE4897">
        <w:tc>
          <w:tcPr>
            <w:tcW w:w="7870" w:type="dxa"/>
            <w:vAlign w:val="center"/>
          </w:tcPr>
          <w:p w14:paraId="63E24432" w14:textId="258073E1" w:rsidR="000C2D31" w:rsidRPr="00F346A3" w:rsidRDefault="000C2D31" w:rsidP="00C66F96">
            <w:pPr>
              <w:jc w:val="center"/>
              <w:rPr>
                <w:rFonts w:cs="Times New Roman"/>
                <w:szCs w:val="24"/>
                <w:vertAlign w:val="subscript"/>
              </w:rPr>
            </w:pPr>
            <m:oMathPara>
              <m:oMath>
                <m:r>
                  <w:rPr>
                    <w:rFonts w:ascii="Cambria Math" w:hAnsi="Cambria Math" w:cs="Times New Roman"/>
                    <w:szCs w:val="24"/>
                    <w:vertAlign w:val="subscript"/>
                  </w:rPr>
                  <m:t>s</m:t>
                </m:r>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szCs w:val="24"/>
                      </w:rPr>
                    </m:ctrlPr>
                  </m:dPr>
                  <m:e>
                    <m:r>
                      <w:rPr>
                        <w:rFonts w:ascii="Cambria Math" w:hAnsi="Cambria Math" w:cs="Times New Roman"/>
                        <w:szCs w:val="24"/>
                      </w:rPr>
                      <m:t>s</m:t>
                    </m:r>
                  </m:e>
                </m:d>
                <m:r>
                  <m:rPr>
                    <m:sty m:val="p"/>
                  </m:rPr>
                  <w:rPr>
                    <w:rFonts w:ascii="Cambria Math" w:hAnsi="Cambria Math" w:cs="Times New Roman"/>
                    <w:szCs w:val="24"/>
                  </w:rPr>
                  <m:t>-</m:t>
                </m:r>
                <m:r>
                  <w:rPr>
                    <w:rFonts w:ascii="Cambria Math" w:hAnsi="Cambria Math" w:cs="Times New Roman"/>
                    <w:szCs w:val="24"/>
                  </w:rPr>
                  <m:t>τ</m:t>
                </m:r>
                <m:d>
                  <m:dPr>
                    <m:ctrlPr>
                      <w:rPr>
                        <w:rFonts w:ascii="Cambria Math" w:hAnsi="Cambria Math" w:cs="Times New Roman"/>
                        <w:szCs w:val="24"/>
                      </w:rPr>
                    </m:ctrlPr>
                  </m:dPr>
                  <m:e>
                    <m:r>
                      <w:rPr>
                        <w:rFonts w:ascii="Cambria Math" w:hAnsi="Cambria Math" w:cs="Times New Roman"/>
                        <w:szCs w:val="24"/>
                      </w:rPr>
                      <m:t>0</m:t>
                    </m:r>
                  </m:e>
                </m:d>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γ</m:t>
                    </m:r>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szCs w:val="24"/>
                          </w:rPr>
                        </m:ctrlPr>
                      </m:dPr>
                      <m:e>
                        <m:r>
                          <w:rPr>
                            <w:rFonts w:ascii="Cambria Math" w:hAnsi="Cambria Math" w:cs="Times New Roman"/>
                            <w:szCs w:val="24"/>
                          </w:rPr>
                          <m:t>s</m:t>
                        </m:r>
                      </m:e>
                    </m:d>
                    <m:r>
                      <w:rPr>
                        <w:rFonts w:ascii="Cambria Math" w:hAnsi="Cambria Math" w:cs="Times New Roman"/>
                        <w:szCs w:val="24"/>
                      </w:rPr>
                      <m:t>s</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s</m:t>
                    </m:r>
                  </m:den>
                </m:f>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δ</m:t>
                    </m:r>
                  </m:e>
                  <m:sup>
                    <m:r>
                      <m:rPr>
                        <m:sty m:val="p"/>
                      </m:rPr>
                      <w:rPr>
                        <w:rFonts w:ascii="Cambria Math" w:hAnsi="Cambria Math" w:cs="Times New Roman"/>
                        <w:szCs w:val="24"/>
                      </w:rPr>
                      <m:t>2</m:t>
                    </m:r>
                  </m:sup>
                </m:sSup>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szCs w:val="24"/>
                      </w:rPr>
                    </m:ctrlPr>
                  </m:dPr>
                  <m:e>
                    <m:r>
                      <w:rPr>
                        <w:rFonts w:ascii="Cambria Math" w:hAnsi="Cambria Math" w:cs="Times New Roman"/>
                        <w:szCs w:val="24"/>
                      </w:rPr>
                      <m:t>s</m:t>
                    </m:r>
                  </m:e>
                </m:d>
              </m:oMath>
            </m:oMathPara>
          </w:p>
        </w:tc>
        <w:tc>
          <w:tcPr>
            <w:tcW w:w="770" w:type="dxa"/>
            <w:vAlign w:val="center"/>
          </w:tcPr>
          <w:p w14:paraId="7A5F289F" w14:textId="77777777" w:rsidR="000C2D31" w:rsidRPr="00C5108B" w:rsidRDefault="000C2D31" w:rsidP="000C2D31">
            <w:pPr>
              <w:spacing w:after="200"/>
              <w:ind w:firstLine="0"/>
              <w:jc w:val="right"/>
              <w:rPr>
                <w:rFonts w:cs="Times New Roman"/>
                <w:szCs w:val="24"/>
              </w:rPr>
            </w:pPr>
            <w:r w:rsidRPr="00C5108B">
              <w:rPr>
                <w:rFonts w:cs="Times New Roman"/>
                <w:szCs w:val="24"/>
              </w:rPr>
              <w:t>(</w:t>
            </w:r>
            <w:r>
              <w:rPr>
                <w:rFonts w:cs="Times New Roman"/>
                <w:szCs w:val="24"/>
              </w:rPr>
              <w:t>27</w:t>
            </w:r>
            <w:r w:rsidRPr="00C5108B">
              <w:rPr>
                <w:rFonts w:cs="Times New Roman"/>
                <w:szCs w:val="24"/>
              </w:rPr>
              <w:t>)</w:t>
            </w:r>
          </w:p>
        </w:tc>
      </w:tr>
    </w:tbl>
    <w:p w14:paraId="1D22B8E5" w14:textId="6E7FC3FD" w:rsidR="000C2D31" w:rsidRDefault="000C2D31" w:rsidP="000C2D31">
      <w:pPr>
        <w:rPr>
          <w:rFonts w:cs="Times New Roman"/>
          <w:szCs w:val="24"/>
        </w:rPr>
      </w:pPr>
      <w:r>
        <w:rPr>
          <w:rFonts w:cs="Times New Roman"/>
          <w:szCs w:val="24"/>
        </w:rPr>
        <w:t xml:space="preserve">The only variable in Eq. </w:t>
      </w:r>
      <w:r w:rsidR="009B05F7">
        <w:rPr>
          <w:rFonts w:cs="Times New Roman"/>
          <w:szCs w:val="24"/>
        </w:rPr>
        <w:t>(</w:t>
      </w:r>
      <w:r>
        <w:rPr>
          <w:rFonts w:cs="Times New Roman"/>
          <w:szCs w:val="24"/>
        </w:rPr>
        <w:t>27</w:t>
      </w:r>
      <w:r w:rsidR="009B05F7">
        <w:rPr>
          <w:rFonts w:cs="Times New Roman"/>
          <w:szCs w:val="24"/>
        </w:rPr>
        <w:t>)</w:t>
      </w:r>
      <w:r>
        <w:rPr>
          <w:rFonts w:cs="Times New Roman"/>
          <w:szCs w:val="24"/>
        </w:rPr>
        <w:t xml:space="preserve"> is </w:t>
      </w:r>
      <m:oMath>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szCs w:val="24"/>
              </w:rPr>
            </m:ctrlPr>
          </m:dPr>
          <m:e>
            <m:r>
              <w:rPr>
                <w:rFonts w:ascii="Cambria Math" w:hAnsi="Cambria Math" w:cs="Times New Roman"/>
                <w:szCs w:val="24"/>
              </w:rPr>
              <m:t>s</m:t>
            </m:r>
          </m:e>
        </m:d>
        <m:r>
          <w:rPr>
            <w:rFonts w:ascii="Cambria Math" w:hAnsi="Cambria Math" w:cs="Times New Roman"/>
            <w:szCs w:val="24"/>
          </w:rPr>
          <m:t>,</m:t>
        </m:r>
      </m:oMath>
      <w:r>
        <w:rPr>
          <w:rFonts w:cs="Times New Roman"/>
          <w:szCs w:val="24"/>
        </w:rPr>
        <w:t xml:space="preserve"> thus can easily be solved using the initial conditions. For a non-trivial solution, eigenvalues of Eq. </w:t>
      </w:r>
      <w:r w:rsidR="009B05F7">
        <w:rPr>
          <w:rFonts w:cs="Times New Roman"/>
          <w:szCs w:val="24"/>
        </w:rPr>
        <w:t>(</w:t>
      </w:r>
      <w:r>
        <w:rPr>
          <w:rFonts w:cs="Times New Roman"/>
          <w:szCs w:val="24"/>
        </w:rPr>
        <w:t>27</w:t>
      </w:r>
      <w:r w:rsidR="009B05F7">
        <w:rPr>
          <w:rFonts w:cs="Times New Roman"/>
          <w:szCs w:val="24"/>
        </w:rPr>
        <w:t>)</w:t>
      </w:r>
      <w:r w:rsidRPr="00C5108B">
        <w:rPr>
          <w:rFonts w:cs="Times New Roman"/>
          <w:szCs w:val="24"/>
        </w:rPr>
        <w:t xml:space="preserve"> </w:t>
      </w:r>
      <w:r>
        <w:rPr>
          <w:rFonts w:cs="Times New Roman"/>
          <w:szCs w:val="24"/>
        </w:rPr>
        <w:t>can be found by using</w:t>
      </w:r>
      <w:r w:rsidR="002C020A">
        <w:rPr>
          <w:rFonts w:cs="Times New Roman"/>
          <w:szCs w:val="24"/>
        </w:rPr>
        <w:t xml:space="preserve"> the</w:t>
      </w:r>
      <w:r>
        <w:rPr>
          <w:rFonts w:cs="Times New Roman"/>
          <w:szCs w:val="24"/>
        </w:rPr>
        <w:t xml:space="preserve"> residue theorem. The eigenvalues for a non-trivial solution are given in Eq. </w:t>
      </w:r>
      <w:r w:rsidR="009B05F7">
        <w:rPr>
          <w:rFonts w:cs="Times New Roman"/>
          <w:szCs w:val="24"/>
        </w:rPr>
        <w:t>(</w:t>
      </w:r>
      <w:r>
        <w:rPr>
          <w:rFonts w:cs="Times New Roman"/>
          <w:szCs w:val="24"/>
        </w:rPr>
        <w:t>29</w:t>
      </w:r>
      <w:r w:rsidR="009B05F7">
        <w:rPr>
          <w:rFonts w:cs="Times New Roman"/>
          <w:szCs w:val="24"/>
        </w:rPr>
        <w:t>)</w:t>
      </w:r>
      <w:r>
        <w:rPr>
          <w:rFonts w:cs="Times New Roman"/>
          <w:szCs w:val="24"/>
        </w:rPr>
        <w:t>.</w:t>
      </w:r>
      <w:r w:rsidRPr="00C5108B">
        <w:rPr>
          <w:rFonts w:cs="Times New Roman"/>
          <w:szCs w:val="24"/>
        </w:rPr>
        <w:t xml:space="preserve"> </w:t>
      </w:r>
      <w:r>
        <w:rPr>
          <w:rFonts w:cs="Times New Roman"/>
          <w:szCs w:val="24"/>
        </w:rPr>
        <w:t xml:space="preserve">Furthermore, Eqs. </w:t>
      </w:r>
      <w:r w:rsidR="009B05F7">
        <w:rPr>
          <w:rFonts w:cs="Times New Roman"/>
          <w:szCs w:val="24"/>
        </w:rPr>
        <w:t>(</w:t>
      </w:r>
      <w:r>
        <w:rPr>
          <w:rFonts w:cs="Times New Roman"/>
          <w:szCs w:val="24"/>
        </w:rPr>
        <w:t>22a-c</w:t>
      </w:r>
      <w:r w:rsidR="009B05F7">
        <w:rPr>
          <w:rFonts w:cs="Times New Roman"/>
          <w:szCs w:val="24"/>
        </w:rPr>
        <w:t>)</w:t>
      </w:r>
      <w:r w:rsidRPr="00C5108B">
        <w:rPr>
          <w:rFonts w:cs="Times New Roman"/>
          <w:szCs w:val="24"/>
        </w:rPr>
        <w:t xml:space="preserve"> are second order ordinary differential equations </w:t>
      </w:r>
      <w:r w:rsidR="002C020A">
        <w:rPr>
          <w:rFonts w:cs="Times New Roman"/>
          <w:szCs w:val="24"/>
        </w:rPr>
        <w:t>which have</w:t>
      </w:r>
      <w:r>
        <w:rPr>
          <w:rFonts w:cs="Times New Roman"/>
          <w:szCs w:val="24"/>
        </w:rPr>
        <w:t xml:space="preserve"> a general solutions: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1</m:t>
            </m:r>
          </m:sub>
        </m:sSub>
        <m:func>
          <m:funcPr>
            <m:ctrlPr>
              <w:rPr>
                <w:rFonts w:ascii="Cambria Math" w:hAnsi="Cambria Math" w:cs="Times New Roman"/>
                <w:i/>
                <w:szCs w:val="24"/>
              </w:rPr>
            </m:ctrlPr>
          </m:funcPr>
          <m:fName>
            <m:r>
              <m:rPr>
                <m:sty m:val="p"/>
              </m:rPr>
              <w:rPr>
                <w:rFonts w:ascii="Cambria Math" w:hAnsi="Cambria Math" w:cs="Times New Roman"/>
                <w:szCs w:val="24"/>
              </w:rPr>
              <m:t>sin</m:t>
            </m:r>
          </m:fName>
          <m:e>
            <m:r>
              <w:rPr>
                <w:rFonts w:ascii="Cambria Math" w:hAnsi="Cambria Math" w:cs="Times New Roman"/>
                <w:szCs w:val="24"/>
              </w:rPr>
              <m:t>K</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func>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2</m:t>
            </m:r>
          </m:sub>
        </m:sSub>
        <m:func>
          <m:funcPr>
            <m:ctrlPr>
              <w:rPr>
                <w:rFonts w:ascii="Cambria Math" w:hAnsi="Cambria Math" w:cs="Times New Roman"/>
                <w:i/>
                <w:szCs w:val="24"/>
              </w:rPr>
            </m:ctrlPr>
          </m:funcPr>
          <m:fName>
            <m:r>
              <m:rPr>
                <m:sty m:val="p"/>
              </m:rPr>
              <w:rPr>
                <w:rFonts w:ascii="Cambria Math" w:hAnsi="Cambria Math" w:cs="Times New Roman"/>
                <w:szCs w:val="24"/>
              </w:rPr>
              <m:t>cos</m:t>
            </m:r>
          </m:fName>
          <m:e>
            <m:r>
              <w:rPr>
                <w:rFonts w:ascii="Cambria Math" w:hAnsi="Cambria Math" w:cs="Times New Roman"/>
                <w:szCs w:val="24"/>
              </w:rPr>
              <m:t>K</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func>
      </m:oMath>
      <w:r>
        <w:rPr>
          <w:rFonts w:cs="Times New Roman"/>
          <w:szCs w:val="24"/>
        </w:rPr>
        <w:t xml:space="preserve"> which can be solved using</w:t>
      </w:r>
      <w:r w:rsidR="002C020A">
        <w:rPr>
          <w:rFonts w:cs="Times New Roman"/>
          <w:szCs w:val="24"/>
        </w:rPr>
        <w:t xml:space="preserve"> the</w:t>
      </w:r>
      <w:r>
        <w:rPr>
          <w:rFonts w:cs="Times New Roman"/>
          <w:szCs w:val="24"/>
        </w:rPr>
        <w:t xml:space="preserve"> boundary conditions</w:t>
      </w:r>
      <w:r w:rsidRPr="00C5108B">
        <w:rPr>
          <w:rFonts w:cs="Times New Roman"/>
          <w:szCs w:val="24"/>
        </w:rPr>
        <w:t>.</w:t>
      </w:r>
      <w:r>
        <w:rPr>
          <w:rFonts w:cs="Times New Roman"/>
          <w:szCs w:val="24"/>
        </w:rPr>
        <w:t xml:space="preserve"> Hence, the set of coupled differential equations of the 3D HDM are solved analytically for the both bound and unbound moisture concentrations </w:t>
      </w:r>
      <m:oMath>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x,y,z,t</m:t>
            </m:r>
          </m:e>
        </m:d>
      </m:oMath>
      <w:r w:rsidRPr="00C5108B">
        <w:rPr>
          <w:rFonts w:cs="Times New Roman"/>
          <w:szCs w:val="24"/>
        </w:rPr>
        <w:t xml:space="preserve"> and </w:t>
      </w:r>
      <w:r w:rsidRPr="00394D74">
        <w:rPr>
          <w:rFonts w:cs="Times New Roman"/>
          <w:i/>
          <w:szCs w:val="24"/>
        </w:rPr>
        <w:t>N</w:t>
      </w:r>
      <m:oMath>
        <m:r>
          <w:rPr>
            <w:rFonts w:ascii="Cambria Math" w:hAnsi="Cambria Math" w:cs="Times New Roman"/>
            <w:szCs w:val="24"/>
          </w:rPr>
          <m:t>(x,y,z,t)</m:t>
        </m:r>
      </m:oMath>
      <w:r>
        <w:rPr>
          <w:rFonts w:cs="Times New Roman"/>
          <w:szCs w:val="24"/>
        </w:rPr>
        <w:t xml:space="preserve"> of a fully immersed slab.</w:t>
      </w:r>
    </w:p>
    <w:p w14:paraId="4262E179" w14:textId="656B5A4A" w:rsidR="00BE4897" w:rsidRDefault="000C2D31" w:rsidP="00C66F96">
      <w:pPr>
        <w:rPr>
          <w:rFonts w:cs="Times New Roman"/>
          <w:szCs w:val="24"/>
        </w:rPr>
      </w:pPr>
      <w:r w:rsidRPr="00C5108B">
        <w:rPr>
          <w:rFonts w:cs="Times New Roman"/>
          <w:szCs w:val="24"/>
        </w:rPr>
        <w:t xml:space="preserve">The </w:t>
      </w:r>
      <w:r>
        <w:rPr>
          <w:rFonts w:cs="Times New Roman"/>
          <w:szCs w:val="24"/>
        </w:rPr>
        <w:t xml:space="preserve">developed </w:t>
      </w:r>
      <w:r w:rsidRPr="00C5108B">
        <w:rPr>
          <w:rFonts w:cs="Times New Roman"/>
          <w:szCs w:val="24"/>
        </w:rPr>
        <w:t>analytical solution</w:t>
      </w:r>
      <w:r>
        <w:rPr>
          <w:rFonts w:cs="Times New Roman"/>
          <w:szCs w:val="24"/>
        </w:rPr>
        <w:t>,</w:t>
      </w:r>
      <w:r w:rsidRPr="00C5108B">
        <w:rPr>
          <w:rFonts w:cs="Times New Roman"/>
          <w:szCs w:val="24"/>
        </w:rPr>
        <w:t xml:space="preserve"> </w:t>
      </w:r>
      <w:r>
        <w:rPr>
          <w:rFonts w:cs="Times New Roman"/>
          <w:szCs w:val="24"/>
        </w:rPr>
        <w:t xml:space="preserve">given in Eqs. </w:t>
      </w:r>
      <w:r w:rsidR="009B05F7">
        <w:rPr>
          <w:rFonts w:cs="Times New Roman"/>
          <w:szCs w:val="24"/>
        </w:rPr>
        <w:t>(</w:t>
      </w:r>
      <w:r>
        <w:rPr>
          <w:rFonts w:cs="Times New Roman"/>
          <w:szCs w:val="24"/>
        </w:rPr>
        <w:t>18</w:t>
      </w:r>
      <w:r w:rsidRPr="00C5108B">
        <w:rPr>
          <w:rFonts w:cs="Times New Roman"/>
          <w:szCs w:val="24"/>
        </w:rPr>
        <w:t>a-b</w:t>
      </w:r>
      <w:r w:rsidR="009B05F7">
        <w:rPr>
          <w:rFonts w:cs="Times New Roman"/>
          <w:szCs w:val="24"/>
        </w:rPr>
        <w:t>)</w:t>
      </w:r>
      <w:r>
        <w:rPr>
          <w:rFonts w:cs="Times New Roman"/>
          <w:szCs w:val="24"/>
        </w:rPr>
        <w:t>, describes</w:t>
      </w:r>
      <w:r w:rsidRPr="00C5108B">
        <w:rPr>
          <w:rFonts w:cs="Times New Roman"/>
          <w:szCs w:val="24"/>
        </w:rPr>
        <w:t xml:space="preserve"> the concentration of the bound</w:t>
      </w:r>
      <w:proofErr w:type="gramStart"/>
      <w:r w:rsidRPr="00C5108B">
        <w:rPr>
          <w:rFonts w:cs="Times New Roman"/>
          <w:szCs w:val="24"/>
        </w:rPr>
        <w:t xml:space="preserve">, </w:t>
      </w:r>
      <w:proofErr w:type="gramEnd"/>
      <m:oMath>
        <m:r>
          <w:rPr>
            <w:rFonts w:ascii="Cambria Math" w:hAnsi="Cambria Math" w:cs="Times New Roman"/>
            <w:szCs w:val="24"/>
          </w:rPr>
          <m:t>N(x,y,z,t)</m:t>
        </m:r>
      </m:oMath>
      <w:r w:rsidRPr="00C5108B">
        <w:rPr>
          <w:rFonts w:cs="Times New Roman"/>
          <w:szCs w:val="24"/>
        </w:rPr>
        <w:t xml:space="preserve">, and unbound, </w:t>
      </w:r>
      <m:oMath>
        <m:r>
          <w:rPr>
            <w:rFonts w:ascii="Cambria Math" w:hAnsi="Cambria Math" w:cs="Times New Roman"/>
            <w:szCs w:val="24"/>
          </w:rPr>
          <m:t>n(x,y,z,t)</m:t>
        </m:r>
      </m:oMath>
      <w:r w:rsidRPr="00C5108B">
        <w:rPr>
          <w:rFonts w:cs="Times New Roman"/>
          <w:szCs w:val="24"/>
        </w:rPr>
        <w:t>, moist</w:t>
      </w:r>
      <w:proofErr w:type="spellStart"/>
      <w:r w:rsidRPr="00C5108B">
        <w:rPr>
          <w:rFonts w:cs="Times New Roman"/>
          <w:szCs w:val="24"/>
        </w:rPr>
        <w:t>ure</w:t>
      </w:r>
      <w:proofErr w:type="spellEnd"/>
      <w:r w:rsidRPr="00C5108B">
        <w:rPr>
          <w:rFonts w:cs="Times New Roman"/>
          <w:szCs w:val="24"/>
        </w:rPr>
        <w:t xml:space="preserve"> concentration</w:t>
      </w:r>
      <w:r>
        <w:rPr>
          <w:rFonts w:cs="Times New Roman"/>
          <w:szCs w:val="24"/>
        </w:rPr>
        <w:t>s</w:t>
      </w:r>
      <w:r w:rsidRPr="00C5108B">
        <w:rPr>
          <w:rFonts w:cs="Times New Roman"/>
          <w:szCs w:val="24"/>
        </w:rPr>
        <w:t xml:space="preserve"> a</w:t>
      </w:r>
      <w:r w:rsidR="00C66F96">
        <w:rPr>
          <w:rFonts w:cs="Times New Roman"/>
          <w:szCs w:val="24"/>
        </w:rPr>
        <w:t>s a function of time and space.</w:t>
      </w:r>
    </w:p>
    <w:p w14:paraId="068A8706" w14:textId="77777777" w:rsidR="000C2D31" w:rsidRDefault="000C2D31" w:rsidP="000C2D31">
      <w:pPr>
        <w:rPr>
          <w:rFonts w:cs="Times New Roman"/>
          <w:szCs w:val="24"/>
        </w:rPr>
        <w:sectPr w:rsidR="000C2D31" w:rsidSect="00C730E9">
          <w:pgSz w:w="12240" w:h="15840"/>
          <w:pgMar w:top="1440" w:right="1440" w:bottom="1440" w:left="2160" w:header="720" w:footer="720" w:gutter="0"/>
          <w:pgNumType w:start="1"/>
          <w:cols w:space="720"/>
          <w:docGrid w:linePitch="360"/>
        </w:sectPr>
      </w:pPr>
    </w:p>
    <w:p w14:paraId="4901B877" w14:textId="77777777" w:rsidR="00BE4897" w:rsidRPr="004F599C" w:rsidRDefault="00BE4897" w:rsidP="00BE4897">
      <w:pPr>
        <w:rPr>
          <w:rFonts w:asciiTheme="minorHAnsi" w:hAnsiTheme="minorHAnsi"/>
          <w:szCs w:val="24"/>
        </w:rPr>
      </w:pPr>
      <m:oMathPara>
        <m:oMathParaPr>
          <m:jc m:val="left"/>
        </m:oMathParaPr>
        <m:oMath>
          <m:r>
            <w:rPr>
              <w:rFonts w:ascii="Cambria Math" w:hAnsi="Cambria Math" w:cs="Times New Roman"/>
              <w:szCs w:val="24"/>
            </w:rPr>
            <w:lastRenderedPageBreak/>
            <m:t>N</m:t>
          </m:r>
          <m:d>
            <m:dPr>
              <m:ctrlPr>
                <w:rPr>
                  <w:rFonts w:ascii="Cambria Math" w:hAnsi="Cambria Math" w:cs="Times New Roman"/>
                  <w:szCs w:val="24"/>
                </w:rPr>
              </m:ctrlPr>
            </m:dPr>
            <m:e>
              <m:r>
                <w:rPr>
                  <w:rFonts w:ascii="Cambria Math" w:hAnsi="Cambria Math" w:cs="Times New Roman"/>
                  <w:szCs w:val="24"/>
                </w:rPr>
                <m:t>x,y,z,t</m:t>
              </m:r>
            </m:e>
          </m:d>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γ</m:t>
              </m:r>
            </m:num>
            <m:den>
              <m:r>
                <w:rPr>
                  <w:rFonts w:ascii="Cambria Math" w:hAnsi="Cambria Math" w:cs="Times New Roman"/>
                  <w:szCs w:val="24"/>
                </w:rPr>
                <m:t>β</m:t>
              </m:r>
            </m:den>
          </m:f>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m:t>
              </m:r>
            </m:sub>
          </m:sSub>
        </m:oMath>
      </m:oMathPara>
    </w:p>
    <w:p w14:paraId="620E9142" w14:textId="77777777" w:rsidR="00BE4897" w:rsidRPr="002814EF" w:rsidRDefault="007B3686" w:rsidP="00BE4897">
      <w:pPr>
        <w:rPr>
          <w:rFonts w:cs="Times New Roman"/>
          <w:szCs w:val="24"/>
        </w:rPr>
      </w:pPr>
      <m:oMathPara>
        <m:oMath>
          <m:d>
            <m:dPr>
              <m:begChr m:val="{"/>
              <m:endChr m:val="}"/>
              <m:ctrlPr>
                <w:rPr>
                  <w:rFonts w:ascii="Cambria Math" w:hAnsi="Cambria Math" w:cs="Times New Roman"/>
                  <w:szCs w:val="24"/>
                </w:rPr>
              </m:ctrlPr>
            </m:dP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64</m:t>
                  </m:r>
                </m:num>
                <m:den>
                  <m:sSup>
                    <m:sSupPr>
                      <m:ctrlPr>
                        <w:rPr>
                          <w:rFonts w:ascii="Cambria Math" w:hAnsi="Cambria Math" w:cs="Times New Roman"/>
                          <w:i/>
                          <w:szCs w:val="24"/>
                        </w:rPr>
                      </m:ctrlPr>
                    </m:sSupPr>
                    <m:e>
                      <m:r>
                        <m:rPr>
                          <m:sty m:val="p"/>
                        </m:rPr>
                        <w:rPr>
                          <w:rFonts w:ascii="Cambria Math" w:hAnsi="Cambria Math" w:cs="Times New Roman"/>
                          <w:szCs w:val="24"/>
                        </w:rPr>
                        <m:t>π</m:t>
                      </m:r>
                    </m:e>
                    <m:sup>
                      <m:r>
                        <w:rPr>
                          <w:rFonts w:ascii="Cambria Math" w:hAnsi="Cambria Math" w:cs="Times New Roman"/>
                          <w:szCs w:val="24"/>
                        </w:rPr>
                        <m:t>3</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i/>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sup>
                    <m:e>
                      <m:nary>
                        <m:naryPr>
                          <m:chr m:val="∑"/>
                          <m:limLoc m:val="undOvr"/>
                          <m:ctrlPr>
                            <w:rPr>
                              <w:rFonts w:ascii="Cambria Math" w:hAnsi="Cambria Math" w:cs="Times New Roman"/>
                              <w:i/>
                              <w:szCs w:val="24"/>
                            </w:rPr>
                          </m:ctrlPr>
                        </m:naryPr>
                        <m:sub>
                          <m:r>
                            <w:rPr>
                              <w:rFonts w:ascii="Cambria Math" w:hAnsi="Cambria Math" w:cs="Times New Roman"/>
                              <w:szCs w:val="24"/>
                            </w:rPr>
                            <m:t>m=1</m:t>
                          </m:r>
                        </m:sub>
                        <m:sup>
                          <m:r>
                            <m:rPr>
                              <m:sty m:val="p"/>
                            </m:rPr>
                            <w:rPr>
                              <w:rFonts w:ascii="Cambria Math" w:hAnsi="Cambria Math" w:cs="Times New Roman"/>
                              <w:szCs w:val="24"/>
                            </w:rPr>
                            <m:t>∞(</m:t>
                          </m:r>
                          <m:r>
                            <w:rPr>
                              <w:rFonts w:ascii="Cambria Math" w:hAnsi="Cambria Math" w:cs="Times New Roman"/>
                              <w:szCs w:val="24"/>
                            </w:rPr>
                            <m:t>odd)</m:t>
                          </m:r>
                        </m:sup>
                        <m:e>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i-1</m:t>
                                  </m:r>
                                </m:num>
                                <m:den>
                                  <m:r>
                                    <w:rPr>
                                      <w:rFonts w:ascii="Cambria Math" w:hAnsi="Cambria Math" w:cs="Times New Roman"/>
                                      <w:szCs w:val="24"/>
                                    </w:rPr>
                                    <m:t>2</m:t>
                                  </m:r>
                                </m:den>
                              </m:f>
                            </m:sup>
                          </m:sSup>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j-1</m:t>
                                  </m:r>
                                </m:num>
                                <m:den>
                                  <m:r>
                                    <w:rPr>
                                      <w:rFonts w:ascii="Cambria Math" w:hAnsi="Cambria Math" w:cs="Times New Roman"/>
                                      <w:szCs w:val="24"/>
                                    </w:rPr>
                                    <m:t>2</m:t>
                                  </m:r>
                                </m:den>
                              </m:f>
                            </m:sup>
                          </m:sSup>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m-1</m:t>
                                  </m:r>
                                </m:num>
                                <m:den>
                                  <m:r>
                                    <w:rPr>
                                      <w:rFonts w:ascii="Cambria Math" w:hAnsi="Cambria Math" w:cs="Times New Roman"/>
                                      <w:szCs w:val="24"/>
                                    </w:rPr>
                                    <m:t>2</m:t>
                                  </m:r>
                                </m:den>
                              </m:f>
                            </m:sup>
                          </m:sSup>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m:rPr>
                                      <m:sty m:val="p"/>
                                    </m:rPr>
                                    <w:rPr>
                                      <w:rFonts w:ascii="Cambria Math" w:hAnsi="Cambria Math" w:cs="Times New Roman"/>
                                      <w:szCs w:val="24"/>
                                    </w:rPr>
                                    <m:t>exp</m:t>
                                  </m:r>
                                </m:fName>
                                <m:e>
                                  <m:d>
                                    <m:dPr>
                                      <m:ctrlPr>
                                        <w:rPr>
                                          <w:rFonts w:ascii="Cambria Math" w:hAnsi="Cambria Math" w:cs="Times New Roman"/>
                                          <w:szCs w:val="24"/>
                                        </w:rPr>
                                      </m:ctrlPr>
                                    </m:dPr>
                                    <m:e>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w:rPr>
                                          <w:rFonts w:ascii="Cambria Math" w:hAnsi="Cambria Math" w:cs="Times New Roman"/>
                                          <w:szCs w:val="24"/>
                                        </w:rPr>
                                        <m:t>t</m:t>
                                      </m:r>
                                    </m:e>
                                  </m:d>
                                </m:e>
                              </m:func>
                            </m:num>
                            <m:den>
                              <m:r>
                                <m:rPr>
                                  <m:sty m:val="p"/>
                                </m:rPr>
                                <w:rPr>
                                  <w:rFonts w:ascii="Cambria Math" w:hAnsi="Cambria Math" w:cs="Times New Roman"/>
                                  <w:szCs w:val="24"/>
                                </w:rPr>
                                <m:t>ijm</m:t>
                              </m:r>
                              <m:d>
                                <m:dPr>
                                  <m:ctrlPr>
                                    <w:rPr>
                                      <w:rFonts w:ascii="Cambria Math" w:hAnsi="Cambria Math" w:cs="Times New Roman"/>
                                      <w:szCs w:val="24"/>
                                    </w:rPr>
                                  </m:ctrlPr>
                                </m:dPr>
                                <m:e>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e>
                              </m:d>
                            </m:den>
                          </m:f>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πix</m:t>
                              </m:r>
                            </m:num>
                            <m:den>
                              <m:r>
                                <w:rPr>
                                  <w:rFonts w:ascii="Cambria Math" w:hAnsi="Cambria Math" w:cs="Times New Roman"/>
                                  <w:szCs w:val="24"/>
                                </w:rPr>
                                <m:t>L</m:t>
                              </m:r>
                            </m:den>
                          </m:f>
                          <m:r>
                            <w:rPr>
                              <w:rFonts w:ascii="Cambria Math" w:hAnsi="Cambria Math" w:cs="Times New Roman"/>
                              <w:szCs w:val="24"/>
                            </w:rPr>
                            <m:t>)</m:t>
                          </m:r>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πjy</m:t>
                              </m:r>
                            </m:num>
                            <m:den>
                              <m:r>
                                <w:rPr>
                                  <w:rFonts w:ascii="Cambria Math" w:hAnsi="Cambria Math" w:cs="Times New Roman"/>
                                  <w:szCs w:val="24"/>
                                </w:rPr>
                                <m:t>W</m:t>
                              </m:r>
                            </m:den>
                          </m:f>
                          <m:r>
                            <w:rPr>
                              <w:rFonts w:ascii="Cambria Math" w:hAnsi="Cambria Math" w:cs="Times New Roman"/>
                              <w:szCs w:val="24"/>
                            </w:rPr>
                            <m:t>)</m:t>
                          </m:r>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πmz</m:t>
                              </m:r>
                            </m:num>
                            <m:den>
                              <m:r>
                                <w:rPr>
                                  <w:rFonts w:ascii="Cambria Math" w:hAnsi="Cambria Math" w:cs="Times New Roman"/>
                                  <w:szCs w:val="24"/>
                                </w:rPr>
                                <m:t>H</m:t>
                              </m:r>
                            </m:den>
                          </m:f>
                          <m:r>
                            <w:rPr>
                              <w:rFonts w:ascii="Cambria Math" w:hAnsi="Cambria Math" w:cs="Times New Roman"/>
                              <w:szCs w:val="24"/>
                            </w:rPr>
                            <m:t>)</m:t>
                          </m:r>
                        </m:e>
                      </m:nary>
                    </m:e>
                  </m:nary>
                </m:e>
              </m:nary>
            </m:e>
          </m:d>
        </m:oMath>
      </m:oMathPara>
    </w:p>
    <w:p w14:paraId="63E77D9F" w14:textId="77777777" w:rsidR="00BE4897" w:rsidRDefault="00BE4897" w:rsidP="00BE4897">
      <w:pPr>
        <w:jc w:val="center"/>
        <w:rPr>
          <w:rFonts w:cs="Times New Roman"/>
          <w:szCs w:val="24"/>
        </w:rPr>
      </w:pPr>
      <w:r>
        <w:rPr>
          <w:rFonts w:cs="Times New Roman"/>
          <w:szCs w:val="24"/>
        </w:rPr>
        <w:t>(28a)</w:t>
      </w:r>
    </w:p>
    <w:p w14:paraId="42CB2523" w14:textId="77777777" w:rsidR="00BE4897" w:rsidRDefault="00BE4897" w:rsidP="00BE4897">
      <w:pPr>
        <w:rPr>
          <w:rFonts w:cs="Times New Roman"/>
          <w:szCs w:val="24"/>
        </w:rPr>
      </w:pPr>
      <m:oMathPara>
        <m:oMath>
          <m:r>
            <w:rPr>
              <w:rFonts w:ascii="Cambria Math" w:hAnsi="Cambria Math" w:cs="Times New Roman"/>
              <w:szCs w:val="24"/>
            </w:rPr>
            <m:t>n</m:t>
          </m:r>
          <m:d>
            <m:dPr>
              <m:ctrlPr>
                <w:rPr>
                  <w:rFonts w:ascii="Cambria Math" w:hAnsi="Cambria Math" w:cs="Times New Roman"/>
                  <w:szCs w:val="24"/>
                </w:rPr>
              </m:ctrlPr>
            </m:dPr>
            <m:e>
              <m:r>
                <w:rPr>
                  <w:rFonts w:ascii="Cambria Math" w:hAnsi="Cambria Math" w:cs="Times New Roman"/>
                  <w:szCs w:val="24"/>
                </w:rPr>
                <m:t>x,y,z,t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m:t>
              </m:r>
            </m:sub>
          </m:sSub>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64</m:t>
                        </m:r>
                      </m:num>
                      <m:den>
                        <m:sSup>
                          <m:sSupPr>
                            <m:ctrlPr>
                              <w:rPr>
                                <w:rFonts w:ascii="Cambria Math" w:hAnsi="Cambria Math" w:cs="Times New Roman"/>
                                <w:i/>
                                <w:szCs w:val="24"/>
                              </w:rPr>
                            </m:ctrlPr>
                          </m:sSupPr>
                          <m:e>
                            <m:r>
                              <m:rPr>
                                <m:sty m:val="p"/>
                              </m:rPr>
                              <w:rPr>
                                <w:rFonts w:ascii="Cambria Math" w:hAnsi="Cambria Math" w:cs="Times New Roman"/>
                                <w:szCs w:val="24"/>
                              </w:rPr>
                              <m:t>π</m:t>
                            </m:r>
                          </m:e>
                          <m:sup>
                            <m:r>
                              <w:rPr>
                                <w:rFonts w:ascii="Cambria Math" w:hAnsi="Cambria Math" w:cs="Times New Roman"/>
                                <w:szCs w:val="24"/>
                              </w:rPr>
                              <m:t>3</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i/>
                                <w:szCs w:val="24"/>
                              </w:rPr>
                            </m:ctrlPr>
                          </m:naryPr>
                          <m:sub>
                            <m:r>
                              <w:rPr>
                                <w:rFonts w:ascii="Cambria Math" w:hAnsi="Cambria Math" w:cs="Times New Roman"/>
                                <w:szCs w:val="24"/>
                              </w:rPr>
                              <m:t>j=1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i/>
                                    <w:szCs w:val="24"/>
                                  </w:rPr>
                                </m:ctrlPr>
                              </m:naryPr>
                              <m:sub>
                                <m:r>
                                  <w:rPr>
                                    <w:rFonts w:ascii="Cambria Math" w:hAnsi="Cambria Math" w:cs="Times New Roman"/>
                                    <w:szCs w:val="24"/>
                                  </w:rPr>
                                  <m:t>m=1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eqArr>
                                  <m:eqArrPr>
                                    <m:ctrlPr>
                                      <w:rPr>
                                        <w:rFonts w:ascii="Cambria Math" w:hAnsi="Cambria Math" w:cs="Times New Roman"/>
                                        <w:i/>
                                        <w:szCs w:val="24"/>
                                      </w:rPr>
                                    </m:ctrlPr>
                                  </m:eqArrPr>
                                  <m:e>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i-1</m:t>
                                            </m:r>
                                          </m:num>
                                          <m:den>
                                            <m:r>
                                              <w:rPr>
                                                <w:rFonts w:ascii="Cambria Math" w:hAnsi="Cambria Math" w:cs="Times New Roman"/>
                                                <w:szCs w:val="24"/>
                                              </w:rPr>
                                              <m:t>2</m:t>
                                            </m:r>
                                          </m:den>
                                        </m:f>
                                      </m:sup>
                                    </m:sSup>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j-1</m:t>
                                            </m:r>
                                          </m:num>
                                          <m:den>
                                            <m:r>
                                              <w:rPr>
                                                <w:rFonts w:ascii="Cambria Math" w:hAnsi="Cambria Math" w:cs="Times New Roman"/>
                                                <w:szCs w:val="24"/>
                                              </w:rPr>
                                              <m:t>2</m:t>
                                            </m:r>
                                          </m:den>
                                        </m:f>
                                      </m:sup>
                                    </m:sSup>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m-1</m:t>
                                            </m:r>
                                          </m:num>
                                          <m:den>
                                            <m:r>
                                              <w:rPr>
                                                <w:rFonts w:ascii="Cambria Math" w:hAnsi="Cambria Math" w:cs="Times New Roman"/>
                                                <w:szCs w:val="24"/>
                                              </w:rPr>
                                              <m:t>2</m:t>
                                            </m:r>
                                          </m:den>
                                        </m:f>
                                      </m:sup>
                                    </m:sSup>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m:rPr>
                                                <m:sty m:val="p"/>
                                              </m:rPr>
                                              <w:rPr>
                                                <w:rFonts w:ascii="Cambria Math" w:hAnsi="Cambria Math" w:cs="Times New Roman"/>
                                                <w:szCs w:val="24"/>
                                              </w:rPr>
                                              <m:t>exp</m:t>
                                            </m:r>
                                          </m:fName>
                                          <m:e>
                                            <m:d>
                                              <m:dPr>
                                                <m:ctrlPr>
                                                  <w:rPr>
                                                    <w:rFonts w:ascii="Cambria Math" w:hAnsi="Cambria Math" w:cs="Times New Roman"/>
                                                    <w:szCs w:val="24"/>
                                                  </w:rPr>
                                                </m:ctrlPr>
                                              </m:dPr>
                                              <m:e>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w:rPr>
                                                    <w:rFonts w:ascii="Cambria Math" w:hAnsi="Cambria Math" w:cs="Times New Roman"/>
                                                    <w:szCs w:val="24"/>
                                                  </w:rPr>
                                                  <m:t>t</m:t>
                                                </m:r>
                                              </m:e>
                                            </m:d>
                                          </m:e>
                                        </m:func>
                                      </m:num>
                                      <m:den>
                                        <m:r>
                                          <m:rPr>
                                            <m:sty m:val="p"/>
                                          </m:rPr>
                                          <w:rPr>
                                            <w:rFonts w:ascii="Cambria Math" w:hAnsi="Cambria Math" w:cs="Times New Roman"/>
                                            <w:szCs w:val="24"/>
                                          </w:rPr>
                                          <m:t>ijm</m:t>
                                        </m:r>
                                        <m:d>
                                          <m:dPr>
                                            <m:ctrlPr>
                                              <w:rPr>
                                                <w:rFonts w:ascii="Cambria Math" w:hAnsi="Cambria Math" w:cs="Times New Roman"/>
                                                <w:szCs w:val="24"/>
                                              </w:rPr>
                                            </m:ctrlPr>
                                          </m:dPr>
                                          <m:e>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e>
                                        </m:d>
                                      </m:den>
                                    </m:f>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πix</m:t>
                                        </m:r>
                                      </m:num>
                                      <m:den>
                                        <m:r>
                                          <w:rPr>
                                            <w:rFonts w:ascii="Cambria Math" w:hAnsi="Cambria Math" w:cs="Times New Roman"/>
                                            <w:szCs w:val="24"/>
                                          </w:rPr>
                                          <m:t>L</m:t>
                                        </m:r>
                                      </m:den>
                                    </m:f>
                                    <m:r>
                                      <w:rPr>
                                        <w:rFonts w:ascii="Cambria Math" w:hAnsi="Cambria Math" w:cs="Times New Roman"/>
                                        <w:szCs w:val="24"/>
                                      </w:rPr>
                                      <m:t>)</m:t>
                                    </m:r>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πjy</m:t>
                                        </m:r>
                                      </m:num>
                                      <m:den>
                                        <m:r>
                                          <w:rPr>
                                            <w:rFonts w:ascii="Cambria Math" w:hAnsi="Cambria Math" w:cs="Times New Roman"/>
                                            <w:szCs w:val="24"/>
                                          </w:rPr>
                                          <m:t>W</m:t>
                                        </m:r>
                                      </m:den>
                                    </m:f>
                                    <m:r>
                                      <w:rPr>
                                        <w:rFonts w:ascii="Cambria Math" w:hAnsi="Cambria Math" w:cs="Times New Roman"/>
                                        <w:szCs w:val="24"/>
                                      </w:rPr>
                                      <m:t>)</m:t>
                                    </m:r>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πmz</m:t>
                                        </m:r>
                                      </m:num>
                                      <m:den>
                                        <m:r>
                                          <w:rPr>
                                            <w:rFonts w:ascii="Cambria Math" w:hAnsi="Cambria Math" w:cs="Times New Roman"/>
                                            <w:szCs w:val="24"/>
                                          </w:rPr>
                                          <m:t>H</m:t>
                                        </m:r>
                                      </m:den>
                                    </m:f>
                                    <m:r>
                                      <w:rPr>
                                        <w:rFonts w:ascii="Cambria Math" w:hAnsi="Cambria Math" w:cs="Times New Roman"/>
                                        <w:szCs w:val="24"/>
                                      </w:rPr>
                                      <m:t>)</m:t>
                                    </m:r>
                                    <m:ctrlPr>
                                      <w:rPr>
                                        <w:rFonts w:ascii="Cambria Math" w:hAnsi="Cambria Math" w:cs="Times New Roman"/>
                                        <w:szCs w:val="24"/>
                                      </w:rPr>
                                    </m:ctrlPr>
                                  </m:e>
                                  <m:e>
                                    <m:r>
                                      <w:rPr>
                                        <w:rFonts w:ascii="Cambria Math" w:hAnsi="Cambria Math" w:cs="Times New Roman"/>
                                        <w:szCs w:val="24"/>
                                      </w:rPr>
                                      <m:t>+</m:t>
                                    </m:r>
                                  </m:e>
                                </m:eqArr>
                              </m:e>
                            </m:nary>
                          </m:e>
                        </m:nary>
                      </m:e>
                    </m:nary>
                  </m:e>
                </m:mr>
                <m:mr>
                  <m:e>
                    <m:f>
                      <m:fPr>
                        <m:ctrlPr>
                          <w:rPr>
                            <w:rFonts w:ascii="Cambria Math" w:hAnsi="Cambria Math" w:cs="Times New Roman"/>
                            <w:szCs w:val="24"/>
                          </w:rPr>
                        </m:ctrlPr>
                      </m:fPr>
                      <m:num>
                        <m:r>
                          <m:rPr>
                            <m:sty m:val="p"/>
                          </m:rPr>
                          <w:rPr>
                            <w:rFonts w:ascii="Cambria Math" w:hAnsi="Cambria Math" w:cs="Times New Roman"/>
                            <w:szCs w:val="24"/>
                          </w:rPr>
                          <m:t>64</m:t>
                        </m:r>
                      </m:num>
                      <m:den>
                        <m:sSup>
                          <m:sSupPr>
                            <m:ctrlPr>
                              <w:rPr>
                                <w:rFonts w:ascii="Cambria Math" w:hAnsi="Cambria Math" w:cs="Times New Roman"/>
                                <w:i/>
                                <w:szCs w:val="24"/>
                              </w:rPr>
                            </m:ctrlPr>
                          </m:sSupPr>
                          <m:e>
                            <m:r>
                              <m:rPr>
                                <m:sty m:val="p"/>
                              </m:rPr>
                              <w:rPr>
                                <w:rFonts w:ascii="Cambria Math" w:hAnsi="Cambria Math" w:cs="Times New Roman"/>
                                <w:szCs w:val="24"/>
                              </w:rPr>
                              <m:t>π</m:t>
                            </m:r>
                          </m:e>
                          <m:sup>
                            <m:r>
                              <w:rPr>
                                <w:rFonts w:ascii="Cambria Math" w:hAnsi="Cambria Math" w:cs="Times New Roman"/>
                                <w:szCs w:val="24"/>
                              </w:rPr>
                              <m:t>3</m:t>
                            </m:r>
                          </m:sup>
                        </m:sSup>
                        <m:r>
                          <w:rPr>
                            <w:rFonts w:ascii="Cambria Math" w:hAnsi="Cambria Math" w:cs="Times New Roman"/>
                            <w:szCs w:val="24"/>
                          </w:rPr>
                          <m:t>β</m:t>
                        </m:r>
                      </m:den>
                    </m:f>
                    <m:nary>
                      <m:naryPr>
                        <m:chr m:val="∑"/>
                        <m:limLoc m:val="undOvr"/>
                        <m:ctrlPr>
                          <w:rPr>
                            <w:rFonts w:ascii="Cambria Math" w:hAnsi="Cambria Math" w:cs="Times New Roman"/>
                            <w:szCs w:val="24"/>
                          </w:rPr>
                        </m:ctrlPr>
                      </m:naryPr>
                      <m:sub>
                        <m:r>
                          <w:rPr>
                            <w:rFonts w:ascii="Cambria Math" w:hAnsi="Cambria Math" w:cs="Times New Roman"/>
                            <w:szCs w:val="24"/>
                          </w:rPr>
                          <m:t>i=1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i/>
                                <w:szCs w:val="24"/>
                              </w:rPr>
                            </m:ctrlPr>
                          </m:naryPr>
                          <m:sub>
                            <m:r>
                              <w:rPr>
                                <w:rFonts w:ascii="Cambria Math" w:hAnsi="Cambria Math" w:cs="Times New Roman"/>
                                <w:szCs w:val="24"/>
                              </w:rPr>
                              <m:t>j=1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m:rPr>
                                    <m:sty m:val="p"/>
                                  </m:rPr>
                                  <w:rPr>
                                    <w:rFonts w:ascii="Cambria Math" w:hAnsi="Cambria Math" w:cs="Times New Roman"/>
                                    <w:szCs w:val="24"/>
                                  </w:rPr>
                                  <m:t>m=1</m:t>
                                </m:r>
                              </m:sub>
                              <m:sup>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odd</m:t>
                                    </m:r>
                                  </m:e>
                                </m:d>
                              </m:sup>
                              <m:e>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i-1</m:t>
                                        </m:r>
                                      </m:num>
                                      <m:den>
                                        <m:r>
                                          <w:rPr>
                                            <w:rFonts w:ascii="Cambria Math" w:hAnsi="Cambria Math" w:cs="Times New Roman"/>
                                            <w:szCs w:val="24"/>
                                          </w:rPr>
                                          <m:t>2</m:t>
                                        </m:r>
                                      </m:den>
                                    </m:f>
                                  </m:sup>
                                </m:sSup>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j-1</m:t>
                                        </m:r>
                                      </m:num>
                                      <m:den>
                                        <m:r>
                                          <w:rPr>
                                            <w:rFonts w:ascii="Cambria Math" w:hAnsi="Cambria Math" w:cs="Times New Roman"/>
                                            <w:szCs w:val="24"/>
                                          </w:rPr>
                                          <m:t>2</m:t>
                                        </m:r>
                                      </m:den>
                                    </m:f>
                                  </m:sup>
                                </m:sSup>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m:t>
                                        </m:r>
                                      </m:e>
                                    </m:d>
                                  </m:e>
                                  <m:sup>
                                    <m:f>
                                      <m:fPr>
                                        <m:ctrlPr>
                                          <w:rPr>
                                            <w:rFonts w:ascii="Cambria Math" w:hAnsi="Cambria Math" w:cs="Times New Roman"/>
                                            <w:i/>
                                            <w:szCs w:val="24"/>
                                          </w:rPr>
                                        </m:ctrlPr>
                                      </m:fPr>
                                      <m:num>
                                        <m:r>
                                          <w:rPr>
                                            <w:rFonts w:ascii="Cambria Math" w:hAnsi="Cambria Math" w:cs="Times New Roman"/>
                                            <w:szCs w:val="24"/>
                                          </w:rPr>
                                          <m:t>m-1</m:t>
                                        </m:r>
                                      </m:num>
                                      <m:den>
                                        <m:r>
                                          <w:rPr>
                                            <w:rFonts w:ascii="Cambria Math" w:hAnsi="Cambria Math" w:cs="Times New Roman"/>
                                            <w:szCs w:val="24"/>
                                          </w:rPr>
                                          <m:t>2</m:t>
                                        </m:r>
                                      </m:den>
                                    </m:f>
                                  </m:sup>
                                </m:sSup>
                                <m:d>
                                  <m:dPr>
                                    <m:ctrlPr>
                                      <w:rPr>
                                        <w:rFonts w:ascii="Cambria Math" w:hAnsi="Cambria Math" w:cs="Times New Roman"/>
                                        <w:i/>
                                        <w:szCs w:val="24"/>
                                      </w:rPr>
                                    </m:ctrlPr>
                                  </m:dPr>
                                  <m:e>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e>
                                </m:d>
                                <m:f>
                                  <m:fPr>
                                    <m:ctrlPr>
                                      <w:rPr>
                                        <w:rFonts w:ascii="Cambria Math" w:hAnsi="Cambria Math" w:cs="Times New Roman"/>
                                        <w:szCs w:val="24"/>
                                      </w:rPr>
                                    </m:ctrlPr>
                                  </m:fPr>
                                  <m:num>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func>
                                      <m:funcPr>
                                        <m:ctrlPr>
                                          <w:rPr>
                                            <w:rFonts w:ascii="Cambria Math" w:hAnsi="Cambria Math" w:cs="Times New Roman"/>
                                            <w:szCs w:val="24"/>
                                          </w:rPr>
                                        </m:ctrlPr>
                                      </m:funcPr>
                                      <m:fName>
                                        <m:r>
                                          <m:rPr>
                                            <m:sty m:val="p"/>
                                          </m:rPr>
                                          <w:rPr>
                                            <w:rFonts w:ascii="Cambria Math" w:hAnsi="Cambria Math" w:cs="Times New Roman"/>
                                            <w:szCs w:val="24"/>
                                          </w:rPr>
                                          <m:t>exp</m:t>
                                        </m:r>
                                      </m:fName>
                                      <m:e>
                                        <m:d>
                                          <m:dPr>
                                            <m:ctrlPr>
                                              <w:rPr>
                                                <w:rFonts w:ascii="Cambria Math" w:hAnsi="Cambria Math" w:cs="Times New Roman"/>
                                                <w:szCs w:val="24"/>
                                              </w:rPr>
                                            </m:ctrlPr>
                                          </m:dPr>
                                          <m:e>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w:rPr>
                                                <w:rFonts w:ascii="Cambria Math" w:hAnsi="Cambria Math" w:cs="Times New Roman"/>
                                                <w:szCs w:val="24"/>
                                              </w:rPr>
                                              <m:t>t</m:t>
                                            </m:r>
                                          </m:e>
                                        </m:d>
                                      </m:e>
                                    </m:func>
                                  </m:num>
                                  <m:den>
                                    <m:r>
                                      <m:rPr>
                                        <m:sty m:val="p"/>
                                      </m:rPr>
                                      <w:rPr>
                                        <w:rFonts w:ascii="Cambria Math" w:hAnsi="Cambria Math" w:cs="Times New Roman"/>
                                        <w:szCs w:val="24"/>
                                      </w:rPr>
                                      <m:t>ijm</m:t>
                                    </m:r>
                                    <m:d>
                                      <m:dPr>
                                        <m:ctrlPr>
                                          <w:rPr>
                                            <w:rFonts w:ascii="Cambria Math" w:hAnsi="Cambria Math" w:cs="Times New Roman"/>
                                            <w:szCs w:val="24"/>
                                          </w:rPr>
                                        </m:ctrlPr>
                                      </m:dPr>
                                      <m:e>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i,j,m</m:t>
                                            </m:r>
                                          </m:sub>
                                          <m:sup>
                                            <m:r>
                                              <m:rPr>
                                                <m:sty m:val="p"/>
                                              </m:rPr>
                                              <w:rPr>
                                                <w:rFonts w:ascii="Cambria Math" w:hAnsi="Cambria Math" w:cs="Times New Roman"/>
                                                <w:szCs w:val="24"/>
                                              </w:rPr>
                                              <m:t>-</m:t>
                                            </m:r>
                                          </m:sup>
                                        </m:sSubSup>
                                      </m:e>
                                    </m:d>
                                  </m:den>
                                </m:f>
                              </m:e>
                            </m:nary>
                          </m:e>
                        </m:nary>
                      </m:e>
                    </m:nary>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πix</m:t>
                        </m:r>
                      </m:num>
                      <m:den>
                        <m:r>
                          <w:rPr>
                            <w:rFonts w:ascii="Cambria Math" w:hAnsi="Cambria Math" w:cs="Times New Roman"/>
                            <w:szCs w:val="24"/>
                          </w:rPr>
                          <m:t>L</m:t>
                        </m:r>
                      </m:den>
                    </m:f>
                    <m:r>
                      <w:rPr>
                        <w:rFonts w:ascii="Cambria Math" w:hAnsi="Cambria Math" w:cs="Times New Roman"/>
                        <w:szCs w:val="24"/>
                      </w:rPr>
                      <m:t>)</m:t>
                    </m:r>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πjy</m:t>
                        </m:r>
                      </m:num>
                      <m:den>
                        <m:r>
                          <w:rPr>
                            <w:rFonts w:ascii="Cambria Math" w:hAnsi="Cambria Math" w:cs="Times New Roman"/>
                            <w:szCs w:val="24"/>
                          </w:rPr>
                          <m:t>W</m:t>
                        </m:r>
                      </m:den>
                    </m:f>
                    <m:r>
                      <w:rPr>
                        <w:rFonts w:ascii="Cambria Math" w:hAnsi="Cambria Math" w:cs="Times New Roman"/>
                        <w:szCs w:val="24"/>
                      </w:rPr>
                      <m:t>)</m:t>
                    </m:r>
                    <m:r>
                      <m:rPr>
                        <m:sty m:val="p"/>
                      </m:rPr>
                      <w:rPr>
                        <w:rFonts w:ascii="Cambria Math" w:hAnsi="Cambria Math" w:cs="Times New Roman"/>
                        <w:szCs w:val="24"/>
                      </w:rPr>
                      <m:t>cos⁡</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πmz</m:t>
                        </m:r>
                      </m:num>
                      <m:den>
                        <m:r>
                          <w:rPr>
                            <w:rFonts w:ascii="Cambria Math" w:hAnsi="Cambria Math" w:cs="Times New Roman"/>
                            <w:szCs w:val="24"/>
                          </w:rPr>
                          <m:t>H</m:t>
                        </m:r>
                      </m:den>
                    </m:f>
                    <m:r>
                      <w:rPr>
                        <w:rFonts w:ascii="Cambria Math" w:hAnsi="Cambria Math" w:cs="Times New Roman"/>
                        <w:szCs w:val="24"/>
                      </w:rPr>
                      <m:t>)</m:t>
                    </m:r>
                  </m:e>
                </m:mr>
              </m:m>
            </m:e>
          </m:d>
        </m:oMath>
      </m:oMathPara>
    </w:p>
    <w:p w14:paraId="065C8A88" w14:textId="77777777" w:rsidR="00BE4897" w:rsidRDefault="00BE4897" w:rsidP="00BE4897">
      <w:pPr>
        <w:jc w:val="center"/>
      </w:pPr>
      <w:r>
        <w:t>(28b)</w:t>
      </w:r>
    </w:p>
    <w:p w14:paraId="6670A430" w14:textId="77777777" w:rsidR="000C2D31" w:rsidRDefault="000C2D31" w:rsidP="000C2D31">
      <w:pPr>
        <w:rPr>
          <w:rFonts w:cs="Times New Roman"/>
          <w:szCs w:val="24"/>
        </w:rPr>
      </w:pPr>
    </w:p>
    <w:p w14:paraId="0A57BF59" w14:textId="6E22D2E6" w:rsidR="000C2D31" w:rsidRDefault="000C2D31" w:rsidP="000C2D31">
      <w:pPr>
        <w:rPr>
          <w:rFonts w:cs="Times New Roman"/>
          <w:szCs w:val="24"/>
        </w:rPr>
      </w:pPr>
    </w:p>
    <w:p w14:paraId="6354811D" w14:textId="5DA31C71" w:rsidR="000C2D31" w:rsidRDefault="000C2D31" w:rsidP="000C2D31">
      <w:pPr>
        <w:rPr>
          <w:rFonts w:cs="Times New Roman"/>
          <w:szCs w:val="24"/>
        </w:rPr>
      </w:pPr>
    </w:p>
    <w:p w14:paraId="7EAB8F52" w14:textId="77777777" w:rsidR="000C2D31" w:rsidRDefault="000C2D31" w:rsidP="00BE4897">
      <w:pPr>
        <w:ind w:firstLine="0"/>
        <w:rPr>
          <w:rFonts w:cs="Times New Roman"/>
          <w:szCs w:val="24"/>
        </w:rPr>
      </w:pPr>
    </w:p>
    <w:p w14:paraId="6426FC49" w14:textId="5C6837CC" w:rsidR="000C2D31" w:rsidRDefault="00BE4897" w:rsidP="00BE4897">
      <w:pPr>
        <w:rPr>
          <w:rFonts w:cs="Times New Roman"/>
          <w:szCs w:val="24"/>
        </w:rPr>
      </w:pPr>
      <w:r>
        <w:rPr>
          <w:rFonts w:cs="Times New Roman"/>
          <w:szCs w:val="24"/>
        </w:rPr>
        <w:br w:type="page"/>
      </w:r>
    </w:p>
    <w:p w14:paraId="162C7540" w14:textId="77777777" w:rsidR="00BE4897" w:rsidRDefault="00BE4897" w:rsidP="000C2D31">
      <w:pPr>
        <w:ind w:firstLine="0"/>
        <w:rPr>
          <w:rFonts w:cs="Times New Roman"/>
          <w:szCs w:val="24"/>
        </w:rPr>
        <w:sectPr w:rsidR="00BE4897" w:rsidSect="00BE4897">
          <w:pgSz w:w="15840" w:h="12240" w:orient="landscape"/>
          <w:pgMar w:top="2160" w:right="1440" w:bottom="1440" w:left="1440" w:header="720" w:footer="720" w:gutter="0"/>
          <w:cols w:space="720"/>
          <w:docGrid w:linePitch="360"/>
        </w:sectPr>
      </w:pPr>
    </w:p>
    <w:p w14:paraId="017BF9AA" w14:textId="69D47229" w:rsidR="000C2D31" w:rsidRDefault="000C2D31" w:rsidP="000C2D31">
      <w:pPr>
        <w:ind w:firstLine="0"/>
        <w:rPr>
          <w:rFonts w:cs="Times New Roman"/>
          <w:szCs w:val="24"/>
        </w:rPr>
      </w:pPr>
      <w:proofErr w:type="gramStart"/>
      <w:r>
        <w:rPr>
          <w:rFonts w:cs="Times New Roman"/>
          <w:szCs w:val="24"/>
        </w:rPr>
        <w:lastRenderedPageBreak/>
        <w:t>where</w:t>
      </w:r>
      <w:proofErr w:type="gramEnd"/>
      <w:r w:rsidRPr="005A3E52">
        <w:rPr>
          <w:rFonts w:cs="Times New Roman"/>
          <w:szCs w:val="24"/>
        </w:rPr>
        <w:t xml:space="preserve"> </w:t>
      </w:r>
    </w:p>
    <w:tbl>
      <w:tblPr>
        <w:tblW w:w="8640" w:type="dxa"/>
        <w:tblLayout w:type="fixed"/>
        <w:tblLook w:val="04A0" w:firstRow="1" w:lastRow="0" w:firstColumn="1" w:lastColumn="0" w:noHBand="0" w:noVBand="1"/>
      </w:tblPr>
      <w:tblGrid>
        <w:gridCol w:w="7915"/>
        <w:gridCol w:w="725"/>
      </w:tblGrid>
      <w:tr w:rsidR="000C2D31" w:rsidRPr="005A3E52" w14:paraId="1E16F090" w14:textId="77777777" w:rsidTr="007D7AB8">
        <w:trPr>
          <w:trHeight w:val="606"/>
        </w:trPr>
        <w:tc>
          <w:tcPr>
            <w:tcW w:w="7915" w:type="dxa"/>
            <w:vAlign w:val="center"/>
          </w:tcPr>
          <w:p w14:paraId="0C259C05" w14:textId="77777777" w:rsidR="000C2D31" w:rsidRPr="005A3E52" w:rsidRDefault="007B3686" w:rsidP="000C2D31">
            <w:pPr>
              <w:ind w:firstLine="0"/>
              <w:rPr>
                <w:rFonts w:cs="Times New Roman"/>
                <w:szCs w:val="24"/>
              </w:rPr>
            </w:pPr>
            <m:oMathPara>
              <m:oMath>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2</m:t>
                    </m:r>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e>
                      <m:sup>
                        <m:r>
                          <m:rPr>
                            <m:sty m:val="p"/>
                          </m:rPr>
                          <w:rPr>
                            <w:rFonts w:ascii="Cambria Math" w:hAnsi="Cambria Math" w:cs="Times New Roman"/>
                            <w:szCs w:val="24"/>
                          </w:rPr>
                          <m:t>2</m:t>
                        </m:r>
                      </m:sup>
                    </m:sSup>
                    <m:r>
                      <m:rPr>
                        <m:sty m:val="p"/>
                      </m:rPr>
                      <w:rPr>
                        <w:rFonts w:ascii="Cambria Math" w:hAnsi="Cambria Math" w:cs="Times New Roman"/>
                        <w:szCs w:val="24"/>
                      </w:rPr>
                      <m:t>-4</m:t>
                    </m:r>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w:rPr>
                        <w:rFonts w:ascii="Cambria Math" w:hAnsi="Cambria Math" w:cs="Times New Roman"/>
                        <w:szCs w:val="24"/>
                      </w:rPr>
                      <m:t>β</m:t>
                    </m:r>
                  </m:e>
                </m:rad>
                <m:r>
                  <m:rPr>
                    <m:sty m:val="p"/>
                  </m:rPr>
                  <w:rPr>
                    <w:rFonts w:ascii="Cambria Math" w:hAnsi="Cambria Math" w:cs="Times New Roman"/>
                    <w:szCs w:val="24"/>
                  </w:rPr>
                  <m:t>]</m:t>
                </m:r>
              </m:oMath>
            </m:oMathPara>
          </w:p>
        </w:tc>
        <w:tc>
          <w:tcPr>
            <w:tcW w:w="725" w:type="dxa"/>
            <w:vMerge w:val="restart"/>
            <w:vAlign w:val="center"/>
          </w:tcPr>
          <w:p w14:paraId="19DF1435" w14:textId="77777777" w:rsidR="000C2D31" w:rsidRPr="005A3E52" w:rsidRDefault="000C2D31" w:rsidP="000C2D31">
            <w:pPr>
              <w:ind w:firstLine="0"/>
              <w:jc w:val="right"/>
              <w:rPr>
                <w:rFonts w:cs="Times New Roman"/>
                <w:szCs w:val="24"/>
              </w:rPr>
            </w:pPr>
            <w:r w:rsidRPr="005A3E52">
              <w:rPr>
                <w:rFonts w:cs="Times New Roman"/>
                <w:szCs w:val="24"/>
              </w:rPr>
              <w:t>(</w:t>
            </w:r>
            <w:r>
              <w:rPr>
                <w:rFonts w:cs="Times New Roman"/>
                <w:szCs w:val="24"/>
              </w:rPr>
              <w:t>29</w:t>
            </w:r>
            <w:r w:rsidRPr="005A3E52">
              <w:rPr>
                <w:rFonts w:cs="Times New Roman"/>
                <w:szCs w:val="24"/>
              </w:rPr>
              <w:t xml:space="preserve">) </w:t>
            </w:r>
          </w:p>
        </w:tc>
      </w:tr>
      <w:tr w:rsidR="000C2D31" w:rsidRPr="005A3E52" w14:paraId="01399C7C" w14:textId="77777777" w:rsidTr="007D7AB8">
        <w:trPr>
          <w:trHeight w:val="606"/>
        </w:trPr>
        <w:tc>
          <w:tcPr>
            <w:tcW w:w="7915" w:type="dxa"/>
            <w:vAlign w:val="center"/>
          </w:tcPr>
          <w:p w14:paraId="71178217" w14:textId="77777777" w:rsidR="000C2D31" w:rsidRDefault="007B3686" w:rsidP="000C2D31">
            <w:pPr>
              <w:ind w:firstLine="0"/>
              <w:rPr>
                <w:rFonts w:eastAsia="Times New Roman"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oMath>
            </m:oMathPara>
          </w:p>
        </w:tc>
        <w:tc>
          <w:tcPr>
            <w:tcW w:w="725" w:type="dxa"/>
            <w:vMerge/>
            <w:vAlign w:val="center"/>
          </w:tcPr>
          <w:p w14:paraId="2DE69046" w14:textId="77777777" w:rsidR="000C2D31" w:rsidRPr="005A3E52" w:rsidRDefault="000C2D31" w:rsidP="000C2D31">
            <w:pPr>
              <w:ind w:firstLine="0"/>
              <w:rPr>
                <w:rFonts w:cs="Times New Roman"/>
                <w:szCs w:val="24"/>
              </w:rPr>
            </w:pPr>
          </w:p>
        </w:tc>
      </w:tr>
    </w:tbl>
    <w:p w14:paraId="7A7642CB" w14:textId="57C24D0F" w:rsidR="000C2D31" w:rsidRPr="005A3E52" w:rsidRDefault="000C2D31" w:rsidP="000C2D31">
      <w:pPr>
        <w:rPr>
          <w:rFonts w:cs="Times New Roman"/>
          <w:szCs w:val="24"/>
        </w:rPr>
      </w:pPr>
      <w:r w:rsidRPr="005A3E52">
        <w:rPr>
          <w:rFonts w:cs="Times New Roman"/>
          <w:szCs w:val="24"/>
        </w:rPr>
        <w:t>The total mass gain is determined by integration of the sum of bound and unbound moisture concentration over t</w:t>
      </w:r>
      <w:r>
        <w:rPr>
          <w:rFonts w:cs="Times New Roman"/>
          <w:szCs w:val="24"/>
        </w:rPr>
        <w:t xml:space="preserve">he volume and is given in Eq. </w:t>
      </w:r>
      <w:r w:rsidR="009B05F7">
        <w:rPr>
          <w:rFonts w:cs="Times New Roman"/>
          <w:szCs w:val="24"/>
        </w:rPr>
        <w:t>(</w:t>
      </w:r>
      <w:r>
        <w:rPr>
          <w:rFonts w:cs="Times New Roman"/>
          <w:szCs w:val="24"/>
        </w:rPr>
        <w:t>30</w:t>
      </w:r>
      <w:r w:rsidR="009B05F7">
        <w:rPr>
          <w:rFonts w:cs="Times New Roman"/>
          <w:szCs w:val="24"/>
        </w:rPr>
        <w:t>)</w:t>
      </w:r>
      <w:r w:rsidRPr="005A3E52">
        <w:rPr>
          <w:rFonts w:cs="Times New Roman"/>
          <w:szCs w:val="24"/>
        </w:rPr>
        <w:t>.</w:t>
      </w:r>
    </w:p>
    <w:tbl>
      <w:tblPr>
        <w:tblW w:w="8635" w:type="dxa"/>
        <w:tblLayout w:type="fixed"/>
        <w:tblLook w:val="04A0" w:firstRow="1" w:lastRow="0" w:firstColumn="1" w:lastColumn="0" w:noHBand="0" w:noVBand="1"/>
      </w:tblPr>
      <w:tblGrid>
        <w:gridCol w:w="7825"/>
        <w:gridCol w:w="810"/>
      </w:tblGrid>
      <w:tr w:rsidR="000C2D31" w:rsidRPr="005A3E52" w14:paraId="3AEEA3D0" w14:textId="77777777" w:rsidTr="007D7AB8">
        <w:trPr>
          <w:trHeight w:val="332"/>
        </w:trPr>
        <w:tc>
          <w:tcPr>
            <w:tcW w:w="7825" w:type="dxa"/>
            <w:vAlign w:val="center"/>
          </w:tcPr>
          <w:p w14:paraId="25ED5641" w14:textId="77777777" w:rsidR="000C2D31" w:rsidRPr="00083ABA" w:rsidRDefault="000C2D31" w:rsidP="000C2D31">
            <w:pPr>
              <w:spacing w:line="240" w:lineRule="auto"/>
              <w:ind w:firstLine="0"/>
              <w:rPr>
                <w:rFonts w:cs="Times New Roman"/>
                <w:szCs w:val="24"/>
              </w:rPr>
            </w:pPr>
            <m:oMathPara>
              <m:oMath>
                <m:r>
                  <w:rPr>
                    <w:rFonts w:ascii="Cambria Math" w:hAnsi="Cambria Math" w:cs="Times New Roman"/>
                    <w:szCs w:val="24"/>
                  </w:rPr>
                  <m:t>M</m:t>
                </m:r>
                <m:d>
                  <m:dPr>
                    <m:ctrlPr>
                      <w:rPr>
                        <w:rFonts w:ascii="Cambria Math" w:hAnsi="Cambria Math" w:cs="Times New Roman"/>
                        <w:szCs w:val="24"/>
                      </w:rPr>
                    </m:ctrlPr>
                  </m:dPr>
                  <m:e>
                    <m:r>
                      <w:rPr>
                        <w:rFonts w:ascii="Cambria Math" w:hAnsi="Cambria Math" w:cs="Times New Roman"/>
                        <w:szCs w:val="24"/>
                      </w:rPr>
                      <m:t>t</m:t>
                    </m:r>
                  </m:e>
                </m:d>
                <m:r>
                  <m:rPr>
                    <m:sty m:val="p"/>
                  </m:rPr>
                  <w:rPr>
                    <w:rFonts w:ascii="Cambria Math" w:hAnsi="Cambria Math" w:cs="Times New Roman"/>
                    <w:szCs w:val="24"/>
                  </w:rPr>
                  <m:t>=</m:t>
                </m:r>
              </m:oMath>
            </m:oMathPara>
          </w:p>
          <w:p w14:paraId="1D12B815" w14:textId="77777777" w:rsidR="000C2D31" w:rsidRPr="005A3E52" w:rsidRDefault="000C2D31" w:rsidP="000C2D31">
            <w:pPr>
              <w:spacing w:line="240" w:lineRule="auto"/>
              <w:ind w:firstLine="0"/>
              <w:rPr>
                <w:rFonts w:cs="Times New Roman"/>
                <w:szCs w:val="24"/>
              </w:rPr>
            </w:pPr>
          </w:p>
        </w:tc>
        <w:tc>
          <w:tcPr>
            <w:tcW w:w="810" w:type="dxa"/>
            <w:vMerge w:val="restart"/>
            <w:vAlign w:val="center"/>
          </w:tcPr>
          <w:p w14:paraId="722CC781" w14:textId="77777777" w:rsidR="000C2D31" w:rsidRPr="005A3E52" w:rsidRDefault="000C2D31" w:rsidP="007D7AB8">
            <w:pPr>
              <w:ind w:firstLine="0"/>
              <w:jc w:val="right"/>
              <w:rPr>
                <w:rFonts w:cs="Times New Roman"/>
                <w:szCs w:val="24"/>
              </w:rPr>
            </w:pPr>
            <w:r>
              <w:rPr>
                <w:rFonts w:cs="Times New Roman"/>
                <w:szCs w:val="24"/>
              </w:rPr>
              <w:t>(30</w:t>
            </w:r>
            <w:r w:rsidRPr="005A3E52">
              <w:rPr>
                <w:rFonts w:cs="Times New Roman"/>
                <w:szCs w:val="24"/>
              </w:rPr>
              <w:t>)</w:t>
            </w:r>
          </w:p>
        </w:tc>
      </w:tr>
      <w:tr w:rsidR="000C2D31" w:rsidRPr="005A3E52" w14:paraId="3714B7F6" w14:textId="77777777" w:rsidTr="007D7AB8">
        <w:tc>
          <w:tcPr>
            <w:tcW w:w="7825" w:type="dxa"/>
            <w:vAlign w:val="center"/>
          </w:tcPr>
          <w:p w14:paraId="700F3774" w14:textId="77777777" w:rsidR="000C2D31" w:rsidRDefault="007B3686" w:rsidP="000C2D31">
            <w:pPr>
              <w:ind w:firstLine="0"/>
              <w:rPr>
                <w:rFonts w:eastAsia="Times New Roman"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m:t>
                    </m:r>
                  </m:sub>
                </m:sSub>
                <m:r>
                  <w:rPr>
                    <w:rFonts w:ascii="Cambria Math" w:hAnsi="Cambria Math" w:cs="Times New Roman"/>
                    <w:szCs w:val="24"/>
                  </w:rPr>
                  <m:t xml:space="preserve"> </m:t>
                </m:r>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512</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6</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m</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den>
                                      </m:f>
                                    </m:e>
                                  </m:nary>
                                </m:e>
                              </m:nary>
                            </m:e>
                          </m:nary>
                        </m:e>
                      </m:mr>
                      <m:mr>
                        <m:e>
                          <m: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512µ</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6</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m</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sSub>
                                        <m:sSubPr>
                                          <m:ctrlPr>
                                            <w:rPr>
                                              <w:rFonts w:ascii="Cambria Math" w:hAnsi="Cambria Math" w:cs="Times New Roman"/>
                                              <w:szCs w:val="24"/>
                                            </w:rPr>
                                          </m:ctrlPr>
                                        </m:sSubPr>
                                        <m:e>
                                          <m:r>
                                            <w:rPr>
                                              <w:rFonts w:ascii="Cambria Math" w:hAnsi="Cambria Math" w:cs="Times New Roman"/>
                                              <w:szCs w:val="24"/>
                                            </w:rPr>
                                            <m:t>K</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f>
                                        <m:fPr>
                                          <m:ctrlPr>
                                            <w:rPr>
                                              <w:rFonts w:ascii="Cambria Math" w:hAnsi="Cambria Math" w:cs="Times New Roman"/>
                                              <w:szCs w:val="24"/>
                                            </w:rPr>
                                          </m:ctrlPr>
                                        </m:fPr>
                                        <m:num>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i,j,m</m:t>
                                              </m:r>
                                            </m:sub>
                                            <m:sup>
                                              <m:r>
                                                <m:rPr>
                                                  <m:sty m:val="p"/>
                                                </m:rPr>
                                                <w:rPr>
                                                  <w:rFonts w:ascii="Cambria Math" w:hAnsi="Cambria Math" w:cs="Times New Roman"/>
                                                  <w:szCs w:val="24"/>
                                                </w:rPr>
                                                <m:t>-</m:t>
                                              </m:r>
                                            </m:sup>
                                          </m:sSubSup>
                                          <m:r>
                                            <m:rPr>
                                              <m:sty m:val="p"/>
                                            </m:rPr>
                                            <w:rPr>
                                              <w:rFonts w:ascii="Cambria Math" w:hAnsi="Cambria Math" w:cs="Times New Roman"/>
                                              <w:szCs w:val="24"/>
                                            </w:rPr>
                                            <m:t>)</m:t>
                                          </m:r>
                                        </m:den>
                                      </m:f>
                                    </m:e>
                                  </m:nary>
                                </m:e>
                              </m:nary>
                            </m:e>
                          </m:nary>
                        </m:e>
                      </m:mr>
                    </m:m>
                  </m:e>
                </m:d>
              </m:oMath>
            </m:oMathPara>
          </w:p>
        </w:tc>
        <w:tc>
          <w:tcPr>
            <w:tcW w:w="810" w:type="dxa"/>
            <w:vMerge/>
            <w:vAlign w:val="center"/>
          </w:tcPr>
          <w:p w14:paraId="12CF55A1" w14:textId="77777777" w:rsidR="000C2D31" w:rsidRDefault="000C2D31" w:rsidP="000C2D31">
            <w:pPr>
              <w:ind w:firstLine="0"/>
              <w:jc w:val="right"/>
              <w:rPr>
                <w:rFonts w:cs="Times New Roman"/>
                <w:szCs w:val="24"/>
              </w:rPr>
            </w:pPr>
          </w:p>
        </w:tc>
      </w:tr>
    </w:tbl>
    <w:p w14:paraId="30E2343B" w14:textId="0EB60735" w:rsidR="000C2D31" w:rsidRDefault="000C2D31" w:rsidP="000C2D31">
      <w:pPr>
        <w:rPr>
          <w:rFonts w:eastAsia="Times New Roman" w:cs="Times New Roman"/>
          <w:szCs w:val="24"/>
        </w:rPr>
      </w:pPr>
      <w:r>
        <w:rPr>
          <w:rFonts w:eastAsia="Times New Roman" w:cs="Times New Roman"/>
          <w:szCs w:val="24"/>
        </w:rPr>
        <w:t xml:space="preserve">It is worth noting that the analytical solution of the 3D HDM given in Eq. </w:t>
      </w:r>
      <w:r w:rsidR="009B05F7">
        <w:rPr>
          <w:rFonts w:eastAsia="Times New Roman" w:cs="Times New Roman"/>
          <w:szCs w:val="24"/>
        </w:rPr>
        <w:t>(</w:t>
      </w:r>
      <w:r>
        <w:rPr>
          <w:rFonts w:eastAsia="Times New Roman" w:cs="Times New Roman"/>
          <w:szCs w:val="24"/>
        </w:rPr>
        <w:t>30</w:t>
      </w:r>
      <w:r w:rsidR="009B05F7">
        <w:rPr>
          <w:rFonts w:eastAsia="Times New Roman" w:cs="Times New Roman"/>
          <w:szCs w:val="24"/>
        </w:rPr>
        <w:t>)</w:t>
      </w:r>
      <w:r>
        <w:rPr>
          <w:rFonts w:eastAsia="Times New Roman" w:cs="Times New Roman"/>
          <w:szCs w:val="24"/>
        </w:rPr>
        <w:t xml:space="preserve"> simplifies to Eq. </w:t>
      </w:r>
      <w:r w:rsidR="009B05F7">
        <w:rPr>
          <w:rFonts w:eastAsia="Times New Roman" w:cs="Times New Roman"/>
          <w:szCs w:val="24"/>
        </w:rPr>
        <w:t>(</w:t>
      </w:r>
      <w:r>
        <w:rPr>
          <w:rFonts w:eastAsia="Times New Roman" w:cs="Times New Roman"/>
          <w:szCs w:val="24"/>
        </w:rPr>
        <w:t>10</w:t>
      </w:r>
      <w:r w:rsidR="009B05F7">
        <w:rPr>
          <w:rFonts w:eastAsia="Times New Roman" w:cs="Times New Roman"/>
          <w:szCs w:val="24"/>
        </w:rPr>
        <w:t>)</w:t>
      </w:r>
      <w:r>
        <w:rPr>
          <w:rFonts w:eastAsia="Times New Roman" w:cs="Times New Roman"/>
          <w:szCs w:val="24"/>
        </w:rPr>
        <w:t xml:space="preserve"> for the one-dimensional case. In addition, both the expressions of bound and unbound moisture concentrations given in Eqs. </w:t>
      </w:r>
      <w:r w:rsidR="009B05F7">
        <w:rPr>
          <w:rFonts w:eastAsia="Times New Roman" w:cs="Times New Roman"/>
          <w:szCs w:val="24"/>
        </w:rPr>
        <w:t>(</w:t>
      </w:r>
      <w:r>
        <w:rPr>
          <w:rFonts w:eastAsia="Times New Roman" w:cs="Times New Roman"/>
          <w:szCs w:val="24"/>
        </w:rPr>
        <w:t>28a-b</w:t>
      </w:r>
      <w:r w:rsidR="009B05F7">
        <w:rPr>
          <w:rFonts w:eastAsia="Times New Roman" w:cs="Times New Roman"/>
          <w:szCs w:val="24"/>
        </w:rPr>
        <w:t>)</w:t>
      </w:r>
      <w:r>
        <w:rPr>
          <w:rFonts w:eastAsia="Times New Roman" w:cs="Times New Roman"/>
          <w:szCs w:val="24"/>
        </w:rPr>
        <w:t xml:space="preserve"> simplify to the corresponding equations developed by Carter and Kibler </w:t>
      </w:r>
      <w:r>
        <w:rPr>
          <w:rFonts w:cs="Times New Roman"/>
          <w:szCs w:val="24"/>
        </w:rPr>
        <w:fldChar w:fldCharType="begin" w:fldLock="1"/>
      </w:r>
      <w:r w:rsidR="00B274D5">
        <w:rPr>
          <w:rFonts w:cs="Times New Roman"/>
          <w:szCs w:val="24"/>
        </w:rPr>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[54]</w:t>
      </w:r>
      <w:r>
        <w:rPr>
          <w:rFonts w:cs="Times New Roman"/>
          <w:szCs w:val="24"/>
        </w:rPr>
        <w:fldChar w:fldCharType="end"/>
      </w:r>
      <w:r>
        <w:rPr>
          <w:rFonts w:eastAsia="Times New Roman" w:cs="Times New Roman"/>
          <w:szCs w:val="24"/>
        </w:rPr>
        <w:t xml:space="preserve"> for the one-dimensional case.</w:t>
      </w:r>
    </w:p>
    <w:p w14:paraId="69D51BF6" w14:textId="3D4E180B" w:rsidR="006E3913" w:rsidRDefault="00674650" w:rsidP="000C2D31">
      <w:pPr>
        <w:rPr>
          <w:rFonts w:eastAsia="Times New Roman" w:cs="Times New Roman"/>
          <w:szCs w:val="24"/>
        </w:rPr>
      </w:pPr>
      <w:r>
        <w:rPr>
          <w:rFonts w:eastAsia="Times New Roman" w:cs="Times New Roman"/>
          <w:szCs w:val="24"/>
        </w:rPr>
        <w:t>Analytical solution of the hindered diffusion model</w:t>
      </w:r>
      <w:r w:rsidR="00AC6003">
        <w:rPr>
          <w:rFonts w:eastAsia="Times New Roman" w:cs="Times New Roman"/>
          <w:szCs w:val="24"/>
        </w:rPr>
        <w:t xml:space="preserve"> in Eqs. </w:t>
      </w:r>
      <w:r w:rsidR="009B05F7">
        <w:rPr>
          <w:rFonts w:eastAsia="Times New Roman" w:cs="Times New Roman"/>
          <w:szCs w:val="24"/>
        </w:rPr>
        <w:t>(</w:t>
      </w:r>
      <w:r w:rsidR="00AC6003">
        <w:rPr>
          <w:rFonts w:eastAsia="Times New Roman" w:cs="Times New Roman"/>
          <w:szCs w:val="24"/>
        </w:rPr>
        <w:t>28</w:t>
      </w:r>
      <w:r w:rsidR="009B05F7">
        <w:rPr>
          <w:rFonts w:eastAsia="Times New Roman" w:cs="Times New Roman"/>
          <w:szCs w:val="24"/>
        </w:rPr>
        <w:t>)</w:t>
      </w:r>
      <w:r>
        <w:rPr>
          <w:rFonts w:eastAsia="Times New Roman" w:cs="Times New Roman"/>
          <w:szCs w:val="24"/>
        </w:rPr>
        <w:t xml:space="preserve"> </w:t>
      </w:r>
      <w:proofErr w:type="gramStart"/>
      <w:r>
        <w:rPr>
          <w:rFonts w:eastAsia="Times New Roman" w:cs="Times New Roman"/>
          <w:szCs w:val="24"/>
        </w:rPr>
        <w:t>allow</w:t>
      </w:r>
      <w:r w:rsidR="00394D74">
        <w:rPr>
          <w:rFonts w:eastAsia="Times New Roman" w:cs="Times New Roman"/>
          <w:szCs w:val="24"/>
        </w:rPr>
        <w:t>s</w:t>
      </w:r>
      <w:proofErr w:type="gramEnd"/>
      <w:r>
        <w:rPr>
          <w:rFonts w:eastAsia="Times New Roman" w:cs="Times New Roman"/>
          <w:szCs w:val="24"/>
        </w:rPr>
        <w:t xml:space="preserve"> to illustrate the edge effects and anisotropy in moisture absorption. Absorption parameters of quartz/BMI samples</w:t>
      </w:r>
      <w:r w:rsidR="00AC6003">
        <w:rPr>
          <w:rFonts w:eastAsia="Times New Roman" w:cs="Times New Roman"/>
          <w:szCs w:val="24"/>
        </w:rPr>
        <w:t xml:space="preserve"> </w:t>
      </w:r>
      <w:r>
        <w:rPr>
          <w:rFonts w:eastAsia="Times New Roman" w:cs="Times New Roman"/>
          <w:szCs w:val="24"/>
        </w:rPr>
        <w:fldChar w:fldCharType="begin" w:fldLock="1"/>
      </w:r>
      <w:r w:rsidR="00B274D5">
        <w:rPr>
          <w:rFonts w:eastAsia="Times New Roman" w:cs="Times New Roman"/>
          <w:szCs w:val="24"/>
        </w:rPr>
        <w:instrText>ADDIN CSL_CITATION {"citationItems":[{"id":"ITEM-1","itemData":{"DOI":"10.1007/s10853-015-9407-0","ISSN":"15734803","abstract":"The slow approach to equilibrium concentration indicative of non-Fickian diffusion in polymer composites necessitates experimental time frames which are often of limited feasibility. As a result, experimental studies are terminated prematurely due to time constraints or incorrect identification of equilibrium. Here, the three-dimensional anisotropic diffusion behaviors of six-, twelve-, and forty-ply quartz-reinforced bismaleimide laminates are quantified through a 5-year, full-immersion gravimetric absorption study. The applicability of the three-dimensional hindered diffusion model is investigated, while projections of future absorption behavior made at 21~ months are revisited in light of 3~ years of additional data. The mathematical equivalency of the hindered diffusion model and a diffusion relaxation model under certain conditions is discussed. Moisture content rises continuously throughout the 5-year experiment for all samples. In the six-ply case, the standard termination criterion for the equilibrium condition is met before 6~months and 1.38~% moisture content by weight. Actual moisture content reaches 1.56~% after 5~years. The hindered diffusion model and associated forward projections of moisture content are found to conform well to experimental results.","author":[{"dropping-particle":"","family":"Grace","given":"Landon R.","non-dropping-particle":"","parse-names":false,"suffix":""}],"container-title":"Journal of Materials Science","id":"ITEM-1","issue":"2","issued":{"date-parts":[["2016"]]},"page":"845-853","publisher":"Springer US","title":"Projecting long-term non-Fickian diffusion behavior in polymeric composites based on short-term data: a 5-year validation study","type":"article-journal","volume":"51"},"uris":["http://www.mendeley.com/documents/?uuid=eeefc967-315c-41fa-9185-750d30e176bf"]}],"mendeley":{"formattedCitation":"[19]","plainTextFormattedCitation":"[19]","previouslyFormattedCitation":"[19]"},"properties":{"noteIndex":0},"schema":"https://github.com/citation-style-language/schema/raw/master/csl-citation.json"}</w:instrText>
      </w:r>
      <w:r>
        <w:rPr>
          <w:rFonts w:eastAsia="Times New Roman" w:cs="Times New Roman"/>
          <w:szCs w:val="24"/>
        </w:rPr>
        <w:fldChar w:fldCharType="separate"/>
      </w:r>
      <w:r w:rsidRPr="00674650">
        <w:rPr>
          <w:rFonts w:eastAsia="Times New Roman" w:cs="Times New Roman"/>
          <w:noProof/>
          <w:szCs w:val="24"/>
        </w:rPr>
        <w:t>[19]</w:t>
      </w:r>
      <w:r>
        <w:rPr>
          <w:rFonts w:eastAsia="Times New Roman" w:cs="Times New Roman"/>
          <w:szCs w:val="24"/>
        </w:rPr>
        <w:fldChar w:fldCharType="end"/>
      </w:r>
      <w:r>
        <w:rPr>
          <w:rFonts w:eastAsia="Times New Roman" w:cs="Times New Roman"/>
          <w:szCs w:val="24"/>
        </w:rPr>
        <w:t xml:space="preserve"> are used to construct moisture concentration profiles</w:t>
      </w:r>
      <w:r w:rsidR="00465495">
        <w:rPr>
          <w:rFonts w:eastAsia="Times New Roman" w:cs="Times New Roman"/>
          <w:szCs w:val="24"/>
        </w:rPr>
        <w:t xml:space="preserve"> (</w:t>
      </w:r>
      <w:r w:rsidR="00465495" w:rsidRPr="0072504B">
        <w:rPr>
          <w:rFonts w:eastAsia="Times New Roman" w:cs="Times New Roman"/>
          <w:i/>
          <w:szCs w:val="24"/>
        </w:rPr>
        <w:t xml:space="preserve">Case </w:t>
      </w:r>
      <w:proofErr w:type="spellStart"/>
      <w:r w:rsidR="00465495" w:rsidRPr="0072504B">
        <w:rPr>
          <w:rFonts w:eastAsia="Times New Roman" w:cs="Times New Roman"/>
          <w:i/>
          <w:szCs w:val="24"/>
        </w:rPr>
        <w:t>i</w:t>
      </w:r>
      <w:proofErr w:type="spellEnd"/>
      <w:r w:rsidR="00465495">
        <w:rPr>
          <w:rFonts w:eastAsia="Times New Roman" w:cs="Times New Roman"/>
          <w:szCs w:val="24"/>
        </w:rPr>
        <w:t>)</w:t>
      </w:r>
      <w:r>
        <w:rPr>
          <w:rFonts w:eastAsia="Times New Roman" w:cs="Times New Roman"/>
          <w:szCs w:val="24"/>
        </w:rPr>
        <w:t xml:space="preserve">. </w:t>
      </w:r>
      <w:r w:rsidR="006E3913">
        <w:rPr>
          <w:rFonts w:eastAsia="Times New Roman" w:cs="Times New Roman"/>
          <w:szCs w:val="24"/>
        </w:rPr>
        <w:t xml:space="preserve">To </w:t>
      </w:r>
      <w:r w:rsidR="00EC6E5C">
        <w:rPr>
          <w:rFonts w:eastAsia="Times New Roman" w:cs="Times New Roman"/>
          <w:szCs w:val="24"/>
        </w:rPr>
        <w:t>compare anisotropic and isotropic absorption</w:t>
      </w:r>
      <w:r w:rsidR="006E3913">
        <w:rPr>
          <w:rFonts w:eastAsia="Times New Roman" w:cs="Times New Roman"/>
          <w:szCs w:val="24"/>
        </w:rPr>
        <w:t>, the</w:t>
      </w:r>
      <w:r w:rsidR="00465495" w:rsidRPr="00465495">
        <w:rPr>
          <w:rFonts w:eastAsia="Times New Roman" w:cs="Times New Roman"/>
          <w:szCs w:val="24"/>
        </w:rPr>
        <w:t xml:space="preserve"> </w:t>
      </w:r>
      <w:r w:rsidR="00465495">
        <w:rPr>
          <w:rFonts w:eastAsia="Times New Roman" w:cs="Times New Roman"/>
          <w:szCs w:val="24"/>
        </w:rPr>
        <w:t>planar</w:t>
      </w:r>
      <w:r w:rsidR="006E3913">
        <w:rPr>
          <w:rFonts w:eastAsia="Times New Roman" w:cs="Times New Roman"/>
          <w:szCs w:val="24"/>
        </w:rPr>
        <w:t xml:space="preserve"> diffusion coefficient</w:t>
      </w:r>
      <w:r w:rsidR="00465495">
        <w:rPr>
          <w:rFonts w:eastAsia="Times New Roman" w:cs="Times New Roman"/>
          <w:szCs w:val="24"/>
        </w:rPr>
        <w:t xml:space="preserve"> is </w:t>
      </w:r>
      <w:r w:rsidR="006E3913">
        <w:rPr>
          <w:rFonts w:eastAsia="Times New Roman" w:cs="Times New Roman"/>
          <w:szCs w:val="24"/>
        </w:rPr>
        <w:t>set to the through-the-thickness diffusion coefficient</w:t>
      </w:r>
      <w:r w:rsidR="00465495">
        <w:rPr>
          <w:rFonts w:eastAsia="Times New Roman" w:cs="Times New Roman"/>
          <w:szCs w:val="24"/>
        </w:rPr>
        <w:t xml:space="preserve"> (</w:t>
      </w:r>
      <w:r w:rsidR="00465495" w:rsidRPr="0072504B">
        <w:rPr>
          <w:rFonts w:eastAsia="Times New Roman" w:cs="Times New Roman"/>
          <w:i/>
          <w:szCs w:val="24"/>
        </w:rPr>
        <w:t>Case ii</w:t>
      </w:r>
      <w:r w:rsidR="00465495">
        <w:rPr>
          <w:rFonts w:eastAsia="Times New Roman" w:cs="Times New Roman"/>
          <w:szCs w:val="24"/>
        </w:rPr>
        <w:t>)</w:t>
      </w:r>
      <w:r w:rsidR="006E3913">
        <w:rPr>
          <w:rFonts w:eastAsia="Times New Roman" w:cs="Times New Roman"/>
          <w:szCs w:val="24"/>
        </w:rPr>
        <w:t xml:space="preserve">. Moreover, effect of </w:t>
      </w:r>
      <w:r w:rsidR="00EC6E5C">
        <w:rPr>
          <w:rFonts w:eastAsia="Times New Roman" w:cs="Times New Roman"/>
          <w:szCs w:val="24"/>
        </w:rPr>
        <w:t>finite material dimension</w:t>
      </w:r>
      <w:r w:rsidR="006E3913">
        <w:rPr>
          <w:rFonts w:eastAsia="Times New Roman" w:cs="Times New Roman"/>
          <w:szCs w:val="24"/>
        </w:rPr>
        <w:t xml:space="preserve"> on moisture absorption exemplified by setting the planar diffusion coefficient to zero</w:t>
      </w:r>
      <w:r w:rsidR="00465495">
        <w:rPr>
          <w:rFonts w:eastAsia="Times New Roman" w:cs="Times New Roman"/>
          <w:szCs w:val="24"/>
        </w:rPr>
        <w:t xml:space="preserve"> (</w:t>
      </w:r>
      <w:r w:rsidR="00465495" w:rsidRPr="0072504B">
        <w:rPr>
          <w:rFonts w:eastAsia="Times New Roman" w:cs="Times New Roman"/>
          <w:i/>
          <w:szCs w:val="24"/>
        </w:rPr>
        <w:t>Case iii</w:t>
      </w:r>
      <w:r w:rsidR="00465495">
        <w:rPr>
          <w:rFonts w:eastAsia="Times New Roman" w:cs="Times New Roman"/>
          <w:szCs w:val="24"/>
        </w:rPr>
        <w:t>)</w:t>
      </w:r>
      <w:r w:rsidR="006E3913">
        <w:rPr>
          <w:rFonts w:eastAsia="Times New Roman" w:cs="Times New Roman"/>
          <w:szCs w:val="24"/>
        </w:rPr>
        <w:t xml:space="preserve">. </w:t>
      </w:r>
      <w:r w:rsidR="008E1336">
        <w:rPr>
          <w:rFonts w:eastAsia="Times New Roman" w:cs="Times New Roman"/>
          <w:szCs w:val="24"/>
        </w:rPr>
        <w:fldChar w:fldCharType="begin"/>
      </w:r>
      <w:r w:rsidR="008E1336">
        <w:rPr>
          <w:rFonts w:eastAsia="Times New Roman" w:cs="Times New Roman"/>
          <w:szCs w:val="24"/>
        </w:rPr>
        <w:instrText xml:space="preserve"> REF _Ref521416111 \h </w:instrText>
      </w:r>
      <w:r w:rsidR="008E1336">
        <w:rPr>
          <w:rFonts w:eastAsia="Times New Roman" w:cs="Times New Roman"/>
          <w:szCs w:val="24"/>
        </w:rPr>
      </w:r>
      <w:r w:rsidR="008E1336">
        <w:rPr>
          <w:rFonts w:eastAsia="Times New Roman" w:cs="Times New Roman"/>
          <w:szCs w:val="24"/>
        </w:rPr>
        <w:fldChar w:fldCharType="separate"/>
      </w:r>
      <w:r w:rsidR="006D52C2">
        <w:t xml:space="preserve">Table </w:t>
      </w:r>
      <w:r w:rsidR="006D52C2">
        <w:rPr>
          <w:noProof/>
        </w:rPr>
        <w:t>1</w:t>
      </w:r>
      <w:r w:rsidR="008E1336">
        <w:rPr>
          <w:rFonts w:eastAsia="Times New Roman" w:cs="Times New Roman"/>
          <w:szCs w:val="24"/>
        </w:rPr>
        <w:fldChar w:fldCharType="end"/>
      </w:r>
      <w:r w:rsidR="008E1336">
        <w:rPr>
          <w:rFonts w:eastAsia="Times New Roman" w:cs="Times New Roman"/>
          <w:szCs w:val="24"/>
        </w:rPr>
        <w:t xml:space="preserve"> </w:t>
      </w:r>
      <w:r w:rsidR="006E3913">
        <w:rPr>
          <w:rFonts w:eastAsia="Times New Roman" w:cs="Times New Roman"/>
          <w:szCs w:val="24"/>
        </w:rPr>
        <w:t>shows the absorption parameters used to create the concentration profiles</w:t>
      </w:r>
      <w:r w:rsidR="00394D74">
        <w:rPr>
          <w:rFonts w:eastAsia="Times New Roman" w:cs="Times New Roman"/>
          <w:szCs w:val="24"/>
        </w:rPr>
        <w:t xml:space="preserve"> for a 30 </w:t>
      </w:r>
      <w:r w:rsidR="00394D74" w:rsidRPr="00EC6E5C">
        <w:rPr>
          <w:rFonts w:eastAsia="Times New Roman" w:cs="Times New Roman"/>
          <w:szCs w:val="24"/>
        </w:rPr>
        <w:t>×</w:t>
      </w:r>
      <w:r w:rsidR="00394D74">
        <w:rPr>
          <w:rFonts w:eastAsia="Times New Roman" w:cs="Times New Roman"/>
          <w:szCs w:val="24"/>
        </w:rPr>
        <w:t xml:space="preserve"> 30 </w:t>
      </w:r>
      <w:r w:rsidR="00394D74" w:rsidRPr="00EC6E5C">
        <w:rPr>
          <w:rFonts w:eastAsia="Times New Roman" w:cs="Times New Roman"/>
          <w:szCs w:val="24"/>
        </w:rPr>
        <w:t>×</w:t>
      </w:r>
      <w:r w:rsidR="00394D74">
        <w:rPr>
          <w:rFonts w:eastAsia="Times New Roman" w:cs="Times New Roman"/>
          <w:szCs w:val="24"/>
        </w:rPr>
        <w:t xml:space="preserve"> 10.55 mm sample</w:t>
      </w:r>
      <w:r w:rsidR="006E3913">
        <w:rPr>
          <w:rFonts w:eastAsia="Times New Roman" w:cs="Times New Roman"/>
          <w:szCs w:val="24"/>
        </w:rPr>
        <w:t>.</w:t>
      </w:r>
    </w:p>
    <w:p w14:paraId="7F964B41" w14:textId="559A85A1" w:rsidR="00976B81" w:rsidRDefault="005B3DBB" w:rsidP="0069708C">
      <w:pPr>
        <w:pStyle w:val="Caption"/>
        <w:rPr>
          <w:rFonts w:eastAsia="Times New Roman"/>
        </w:rPr>
      </w:pPr>
      <w:bookmarkStart w:id="68" w:name="_Ref521416111"/>
      <w:bookmarkStart w:id="69" w:name="_Toc530997316"/>
      <w:r>
        <w:lastRenderedPageBreak/>
        <w:t xml:space="preserve">Table </w:t>
      </w:r>
      <w:r w:rsidR="0023508C">
        <w:rPr>
          <w:noProof/>
        </w:rPr>
        <w:fldChar w:fldCharType="begin"/>
      </w:r>
      <w:r w:rsidR="0023508C">
        <w:rPr>
          <w:noProof/>
        </w:rPr>
        <w:instrText xml:space="preserve"> SEQ Table \* ARABIC </w:instrText>
      </w:r>
      <w:r w:rsidR="0023508C">
        <w:rPr>
          <w:noProof/>
        </w:rPr>
        <w:fldChar w:fldCharType="separate"/>
      </w:r>
      <w:r w:rsidR="006D52C2">
        <w:rPr>
          <w:noProof/>
        </w:rPr>
        <w:t>1</w:t>
      </w:r>
      <w:r w:rsidR="0023508C">
        <w:rPr>
          <w:noProof/>
        </w:rPr>
        <w:fldChar w:fldCharType="end"/>
      </w:r>
      <w:bookmarkEnd w:id="68"/>
      <w:r w:rsidR="00976B81">
        <w:rPr>
          <w:rFonts w:eastAsia="Times New Roman"/>
        </w:rPr>
        <w:t>. Absorption parameters of the c</w:t>
      </w:r>
      <w:r w:rsidR="00E95B4D">
        <w:rPr>
          <w:rFonts w:eastAsia="Times New Roman"/>
        </w:rPr>
        <w:t xml:space="preserve">oncentration profiles in </w:t>
      </w:r>
      <w:r w:rsidR="00E95B4D">
        <w:rPr>
          <w:rFonts w:eastAsia="Times New Roman"/>
        </w:rPr>
        <w:fldChar w:fldCharType="begin"/>
      </w:r>
      <w:r w:rsidR="00E95B4D">
        <w:rPr>
          <w:rFonts w:eastAsia="Times New Roman"/>
        </w:rPr>
        <w:instrText xml:space="preserve"> REF _Ref521416088 \h </w:instrText>
      </w:r>
      <w:r w:rsidR="00E95B4D">
        <w:rPr>
          <w:rFonts w:eastAsia="Times New Roman"/>
        </w:rPr>
      </w:r>
      <w:r w:rsidR="00E95B4D">
        <w:rPr>
          <w:rFonts w:eastAsia="Times New Roman"/>
        </w:rPr>
        <w:fldChar w:fldCharType="separate"/>
      </w:r>
      <w:r w:rsidR="006D52C2">
        <w:t xml:space="preserve">Figure </w:t>
      </w:r>
      <w:r w:rsidR="006D52C2">
        <w:rPr>
          <w:noProof/>
        </w:rPr>
        <w:t>12</w:t>
      </w:r>
      <w:r w:rsidR="00E95B4D">
        <w:rPr>
          <w:rFonts w:eastAsia="Times New Roman"/>
        </w:rPr>
        <w:fldChar w:fldCharType="end"/>
      </w:r>
      <w:r w:rsidR="00E95B4D">
        <w:rPr>
          <w:rFonts w:eastAsia="Times New Roman"/>
        </w:rPr>
        <w:t>.</w:t>
      </w:r>
      <w:bookmarkEnd w:id="69"/>
    </w:p>
    <w:tbl>
      <w:tblPr>
        <w:tblStyle w:val="TableGrid"/>
        <w:tblW w:w="7735" w:type="dxa"/>
        <w:jc w:val="center"/>
        <w:tblLook w:val="04A0" w:firstRow="1" w:lastRow="0" w:firstColumn="1" w:lastColumn="0" w:noHBand="0" w:noVBand="1"/>
      </w:tblPr>
      <w:tblGrid>
        <w:gridCol w:w="3055"/>
        <w:gridCol w:w="1390"/>
        <w:gridCol w:w="1580"/>
        <w:gridCol w:w="1710"/>
      </w:tblGrid>
      <w:tr w:rsidR="0072504B" w14:paraId="40089298" w14:textId="77777777" w:rsidTr="002817C4">
        <w:trPr>
          <w:jc w:val="center"/>
        </w:trPr>
        <w:tc>
          <w:tcPr>
            <w:tcW w:w="3055" w:type="dxa"/>
          </w:tcPr>
          <w:p w14:paraId="567AF83A" w14:textId="77777777" w:rsidR="0072504B" w:rsidRDefault="0072504B" w:rsidP="002817C4">
            <w:pPr>
              <w:spacing w:line="240" w:lineRule="auto"/>
              <w:ind w:firstLine="0"/>
              <w:rPr>
                <w:rFonts w:eastAsia="Times New Roman" w:cs="Times New Roman"/>
                <w:szCs w:val="24"/>
              </w:rPr>
            </w:pPr>
          </w:p>
        </w:tc>
        <w:tc>
          <w:tcPr>
            <w:tcW w:w="1390" w:type="dxa"/>
          </w:tcPr>
          <w:p w14:paraId="4691AEE6" w14:textId="77777777" w:rsidR="0072504B" w:rsidRDefault="0072504B" w:rsidP="002817C4">
            <w:pPr>
              <w:spacing w:line="240" w:lineRule="auto"/>
              <w:ind w:firstLine="0"/>
              <w:jc w:val="center"/>
              <w:rPr>
                <w:rFonts w:eastAsia="Times New Roman" w:cs="Times New Roman"/>
                <w:szCs w:val="24"/>
              </w:rPr>
            </w:pPr>
            <w:proofErr w:type="spellStart"/>
            <w:r w:rsidRPr="0072504B">
              <w:rPr>
                <w:rFonts w:eastAsia="Times New Roman" w:cs="Times New Roman"/>
                <w:i/>
                <w:szCs w:val="24"/>
              </w:rPr>
              <w:t>i</w:t>
            </w:r>
            <w:proofErr w:type="spellEnd"/>
            <w:r>
              <w:rPr>
                <w:rFonts w:eastAsia="Times New Roman" w:cs="Times New Roman"/>
                <w:szCs w:val="24"/>
              </w:rPr>
              <w:t>) 40-ply Quartz/BMI</w:t>
            </w:r>
          </w:p>
        </w:tc>
        <w:tc>
          <w:tcPr>
            <w:tcW w:w="1580" w:type="dxa"/>
          </w:tcPr>
          <w:p w14:paraId="5DEF819F" w14:textId="77777777" w:rsidR="0072504B" w:rsidRDefault="0072504B" w:rsidP="002817C4">
            <w:pPr>
              <w:spacing w:line="240" w:lineRule="auto"/>
              <w:ind w:firstLine="0"/>
              <w:jc w:val="center"/>
              <w:rPr>
                <w:rFonts w:eastAsia="Times New Roman" w:cs="Times New Roman"/>
                <w:szCs w:val="24"/>
              </w:rPr>
            </w:pPr>
            <w:r w:rsidRPr="0072504B">
              <w:rPr>
                <w:rFonts w:eastAsia="Times New Roman" w:cs="Times New Roman"/>
                <w:i/>
                <w:szCs w:val="24"/>
              </w:rPr>
              <w:t>ii</w:t>
            </w:r>
            <w:r>
              <w:rPr>
                <w:rFonts w:eastAsia="Times New Roman" w:cs="Times New Roman"/>
                <w:szCs w:val="24"/>
              </w:rPr>
              <w:t>) Isotropic</w:t>
            </w:r>
          </w:p>
        </w:tc>
        <w:tc>
          <w:tcPr>
            <w:tcW w:w="1710" w:type="dxa"/>
          </w:tcPr>
          <w:p w14:paraId="484CA952" w14:textId="77777777" w:rsidR="0072504B" w:rsidRDefault="0072504B" w:rsidP="002817C4">
            <w:pPr>
              <w:spacing w:line="240" w:lineRule="auto"/>
              <w:ind w:firstLine="0"/>
              <w:jc w:val="center"/>
              <w:rPr>
                <w:rFonts w:eastAsia="Times New Roman" w:cs="Times New Roman"/>
                <w:szCs w:val="24"/>
              </w:rPr>
            </w:pPr>
            <w:r w:rsidRPr="0072504B">
              <w:rPr>
                <w:rFonts w:eastAsia="Times New Roman" w:cs="Times New Roman"/>
                <w:i/>
                <w:szCs w:val="24"/>
              </w:rPr>
              <w:t>iii</w:t>
            </w:r>
            <w:r>
              <w:rPr>
                <w:rFonts w:eastAsia="Times New Roman" w:cs="Times New Roman"/>
                <w:szCs w:val="24"/>
              </w:rPr>
              <w:t>) One-dimensional</w:t>
            </w:r>
          </w:p>
        </w:tc>
      </w:tr>
      <w:tr w:rsidR="0072504B" w14:paraId="4527709D" w14:textId="77777777" w:rsidTr="002817C4">
        <w:trPr>
          <w:jc w:val="center"/>
        </w:trPr>
        <w:tc>
          <w:tcPr>
            <w:tcW w:w="3055" w:type="dxa"/>
          </w:tcPr>
          <w:p w14:paraId="23ECA8F6"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Through-the-thickness Diffusion Coefficient,</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oMath>
          </w:p>
        </w:tc>
        <w:tc>
          <w:tcPr>
            <w:tcW w:w="1390" w:type="dxa"/>
          </w:tcPr>
          <w:p w14:paraId="491AB3BE" w14:textId="046E67FE" w:rsidR="0072504B" w:rsidRDefault="0072504B" w:rsidP="002817C4">
            <w:pPr>
              <w:spacing w:line="240" w:lineRule="auto"/>
              <w:ind w:firstLine="0"/>
              <w:rPr>
                <w:rFonts w:eastAsia="Times New Roman" w:cs="Times New Roman"/>
                <w:szCs w:val="24"/>
              </w:rPr>
            </w:pPr>
            <w:r>
              <w:rPr>
                <w:rFonts w:eastAsia="Times New Roman" w:cs="Times New Roman"/>
                <w:szCs w:val="24"/>
              </w:rPr>
              <w:t>3.94</w:t>
            </w:r>
            <w:r w:rsidR="003F56CD">
              <w:rPr>
                <w:rFonts w:eastAsia="Times New Roman" w:cs="Times New Roman"/>
                <w:szCs w:val="24"/>
              </w:rPr>
              <w:t xml:space="preserve"> × </w:t>
            </w:r>
            <w:r>
              <w:rPr>
                <w:rFonts w:eastAsia="Times New Roman" w:cs="Times New Roman"/>
                <w:szCs w:val="24"/>
              </w:rPr>
              <w:t>10</w:t>
            </w:r>
            <w:r w:rsidRPr="00EC6E5C">
              <w:rPr>
                <w:rFonts w:eastAsia="Times New Roman" w:cs="Times New Roman"/>
                <w:szCs w:val="24"/>
                <w:vertAlign w:val="superscript"/>
              </w:rPr>
              <w:t>-4</w:t>
            </w:r>
          </w:p>
        </w:tc>
        <w:tc>
          <w:tcPr>
            <w:tcW w:w="1580" w:type="dxa"/>
          </w:tcPr>
          <w:p w14:paraId="206E59B7"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3.94 </w:t>
            </w:r>
            <w:r w:rsidRPr="00EC6E5C">
              <w:rPr>
                <w:rFonts w:eastAsia="Times New Roman" w:cs="Times New Roman"/>
                <w:szCs w:val="24"/>
              </w:rPr>
              <w:t>×</w:t>
            </w:r>
            <w:r>
              <w:rPr>
                <w:rFonts w:eastAsia="Times New Roman" w:cs="Times New Roman"/>
                <w:szCs w:val="24"/>
              </w:rPr>
              <w:t xml:space="preserve"> 10</w:t>
            </w:r>
            <w:r w:rsidRPr="00EC6E5C">
              <w:rPr>
                <w:rFonts w:eastAsia="Times New Roman" w:cs="Times New Roman"/>
                <w:szCs w:val="24"/>
                <w:vertAlign w:val="superscript"/>
              </w:rPr>
              <w:t>-4</w:t>
            </w:r>
          </w:p>
        </w:tc>
        <w:tc>
          <w:tcPr>
            <w:tcW w:w="1710" w:type="dxa"/>
          </w:tcPr>
          <w:p w14:paraId="44748537"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3.94 </w:t>
            </w:r>
            <w:r w:rsidRPr="00EC6E5C">
              <w:rPr>
                <w:rFonts w:eastAsia="Times New Roman" w:cs="Times New Roman"/>
                <w:szCs w:val="24"/>
              </w:rPr>
              <w:t>×</w:t>
            </w:r>
            <w:r>
              <w:rPr>
                <w:rFonts w:eastAsia="Times New Roman" w:cs="Times New Roman"/>
                <w:szCs w:val="24"/>
              </w:rPr>
              <w:t xml:space="preserve"> 10</w:t>
            </w:r>
            <w:r w:rsidRPr="00EC6E5C">
              <w:rPr>
                <w:rFonts w:eastAsia="Times New Roman" w:cs="Times New Roman"/>
                <w:szCs w:val="24"/>
                <w:vertAlign w:val="superscript"/>
              </w:rPr>
              <w:t>-4</w:t>
            </w:r>
          </w:p>
        </w:tc>
      </w:tr>
      <w:tr w:rsidR="0072504B" w14:paraId="4E1965B0" w14:textId="77777777" w:rsidTr="002817C4">
        <w:trPr>
          <w:jc w:val="center"/>
        </w:trPr>
        <w:tc>
          <w:tcPr>
            <w:tcW w:w="3055" w:type="dxa"/>
          </w:tcPr>
          <w:p w14:paraId="15180484"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Planar Diffusion Coefficient,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oMath>
          </w:p>
        </w:tc>
        <w:tc>
          <w:tcPr>
            <w:tcW w:w="1390" w:type="dxa"/>
          </w:tcPr>
          <w:p w14:paraId="5571E862"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4.04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-3</w:t>
            </w:r>
          </w:p>
        </w:tc>
        <w:tc>
          <w:tcPr>
            <w:tcW w:w="1580" w:type="dxa"/>
          </w:tcPr>
          <w:p w14:paraId="0DECECCB"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3.94 </w:t>
            </w:r>
            <w:r w:rsidRPr="00EC6E5C">
              <w:rPr>
                <w:rFonts w:eastAsia="Times New Roman" w:cs="Times New Roman"/>
                <w:szCs w:val="24"/>
              </w:rPr>
              <w:t>×</w:t>
            </w:r>
            <w:r>
              <w:rPr>
                <w:rFonts w:eastAsia="Times New Roman" w:cs="Times New Roman"/>
                <w:szCs w:val="24"/>
              </w:rPr>
              <w:t xml:space="preserve"> 10</w:t>
            </w:r>
            <w:r w:rsidRPr="00EC6E5C">
              <w:rPr>
                <w:rFonts w:eastAsia="Times New Roman" w:cs="Times New Roman"/>
                <w:szCs w:val="24"/>
                <w:vertAlign w:val="superscript"/>
              </w:rPr>
              <w:t>-4</w:t>
            </w:r>
          </w:p>
        </w:tc>
        <w:tc>
          <w:tcPr>
            <w:tcW w:w="1710" w:type="dxa"/>
          </w:tcPr>
          <w:p w14:paraId="5544DE85"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w:t>
            </w:r>
          </w:p>
        </w:tc>
      </w:tr>
      <w:tr w:rsidR="0072504B" w14:paraId="69D8C7C1" w14:textId="77777777" w:rsidTr="002817C4">
        <w:trPr>
          <w:jc w:val="center"/>
        </w:trPr>
        <w:tc>
          <w:tcPr>
            <w:tcW w:w="3055" w:type="dxa"/>
          </w:tcPr>
          <w:p w14:paraId="3F5EF4D1"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Bound</w:t>
            </w:r>
            <w:r w:rsidRPr="00EC6E5C">
              <w:rPr>
                <w:rFonts w:eastAsia="Times New Roman" w:cs="Times New Roman"/>
                <w:szCs w:val="24"/>
              </w:rPr>
              <w:sym w:font="Wingdings" w:char="F0E0"/>
            </w:r>
            <w:r>
              <w:rPr>
                <w:rFonts w:eastAsia="Times New Roman" w:cs="Times New Roman"/>
                <w:szCs w:val="24"/>
              </w:rPr>
              <w:t xml:space="preserve">Unbound, </w:t>
            </w:r>
            <m:oMath>
              <m:r>
                <w:rPr>
                  <w:rFonts w:ascii="Cambria Math" w:eastAsia="Times New Roman" w:hAnsi="Cambria Math" w:cs="Times New Roman"/>
                  <w:szCs w:val="24"/>
                </w:rPr>
                <m:t>β</m:t>
              </m:r>
            </m:oMath>
          </w:p>
        </w:tc>
        <w:tc>
          <w:tcPr>
            <w:tcW w:w="1390" w:type="dxa"/>
          </w:tcPr>
          <w:p w14:paraId="38E2D4A3"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5.64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-5</w:t>
            </w:r>
          </w:p>
        </w:tc>
        <w:tc>
          <w:tcPr>
            <w:tcW w:w="1580" w:type="dxa"/>
          </w:tcPr>
          <w:p w14:paraId="71043B77"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5.64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-5</w:t>
            </w:r>
          </w:p>
        </w:tc>
        <w:tc>
          <w:tcPr>
            <w:tcW w:w="1710" w:type="dxa"/>
          </w:tcPr>
          <w:p w14:paraId="4A6A44A8"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5.64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-5</w:t>
            </w:r>
          </w:p>
        </w:tc>
      </w:tr>
      <w:tr w:rsidR="0072504B" w14:paraId="4B83AD5C" w14:textId="77777777" w:rsidTr="002817C4">
        <w:trPr>
          <w:jc w:val="center"/>
        </w:trPr>
        <w:tc>
          <w:tcPr>
            <w:tcW w:w="3055" w:type="dxa"/>
          </w:tcPr>
          <w:p w14:paraId="3C743871"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Unbound</w:t>
            </w:r>
            <w:r w:rsidRPr="00EC6E5C">
              <w:rPr>
                <w:rFonts w:eastAsia="Times New Roman" w:cs="Times New Roman"/>
                <w:szCs w:val="24"/>
              </w:rPr>
              <w:sym w:font="Wingdings" w:char="F0E0"/>
            </w:r>
            <w:r>
              <w:rPr>
                <w:rFonts w:eastAsia="Times New Roman" w:cs="Times New Roman"/>
                <w:szCs w:val="24"/>
              </w:rPr>
              <w:t xml:space="preserve">Bound, </w:t>
            </w:r>
            <m:oMath>
              <m:r>
                <w:rPr>
                  <w:rFonts w:ascii="Cambria Math" w:eastAsia="Times New Roman" w:hAnsi="Cambria Math" w:cs="Times New Roman"/>
                  <w:szCs w:val="24"/>
                </w:rPr>
                <m:t>γ</m:t>
              </m:r>
            </m:oMath>
          </w:p>
        </w:tc>
        <w:tc>
          <w:tcPr>
            <w:tcW w:w="1390" w:type="dxa"/>
          </w:tcPr>
          <w:p w14:paraId="51A60E28"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2.74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-5</w:t>
            </w:r>
          </w:p>
        </w:tc>
        <w:tc>
          <w:tcPr>
            <w:tcW w:w="1580" w:type="dxa"/>
          </w:tcPr>
          <w:p w14:paraId="6A79FCD4"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2.74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-5</w:t>
            </w:r>
          </w:p>
        </w:tc>
        <w:tc>
          <w:tcPr>
            <w:tcW w:w="1710" w:type="dxa"/>
          </w:tcPr>
          <w:p w14:paraId="64E54B39"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2.74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-5</w:t>
            </w:r>
          </w:p>
        </w:tc>
      </w:tr>
      <w:tr w:rsidR="0072504B" w14:paraId="33D44A3B" w14:textId="77777777" w:rsidTr="002817C4">
        <w:trPr>
          <w:jc w:val="center"/>
        </w:trPr>
        <w:tc>
          <w:tcPr>
            <w:tcW w:w="3055" w:type="dxa"/>
          </w:tcPr>
          <w:p w14:paraId="159E9298"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 xml:space="preserve">Maximum Moisture Content, </w:t>
            </w:r>
            <m:oMath>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oMath>
          </w:p>
        </w:tc>
        <w:tc>
          <w:tcPr>
            <w:tcW w:w="1390" w:type="dxa"/>
          </w:tcPr>
          <w:p w14:paraId="7F6A8178"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1.80</w:t>
            </w:r>
          </w:p>
        </w:tc>
        <w:tc>
          <w:tcPr>
            <w:tcW w:w="1580" w:type="dxa"/>
          </w:tcPr>
          <w:p w14:paraId="33F5D7E6"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1.80</w:t>
            </w:r>
          </w:p>
        </w:tc>
        <w:tc>
          <w:tcPr>
            <w:tcW w:w="1710" w:type="dxa"/>
          </w:tcPr>
          <w:p w14:paraId="79685D68" w14:textId="77777777" w:rsidR="0072504B" w:rsidRDefault="0072504B" w:rsidP="002817C4">
            <w:pPr>
              <w:spacing w:line="240" w:lineRule="auto"/>
              <w:ind w:firstLine="0"/>
              <w:rPr>
                <w:rFonts w:eastAsia="Times New Roman" w:cs="Times New Roman"/>
                <w:szCs w:val="24"/>
              </w:rPr>
            </w:pPr>
            <w:r>
              <w:rPr>
                <w:rFonts w:eastAsia="Times New Roman" w:cs="Times New Roman"/>
                <w:szCs w:val="24"/>
              </w:rPr>
              <w:t>1.80</w:t>
            </w:r>
          </w:p>
        </w:tc>
      </w:tr>
    </w:tbl>
    <w:p w14:paraId="6EAC5BB0" w14:textId="77777777" w:rsidR="006308CB" w:rsidRDefault="006308CB" w:rsidP="000C2D31">
      <w:pPr>
        <w:rPr>
          <w:rFonts w:eastAsia="Times New Roman" w:cs="Times New Roman"/>
          <w:szCs w:val="24"/>
        </w:rPr>
      </w:pPr>
    </w:p>
    <w:p w14:paraId="775CD254" w14:textId="7DC37C97" w:rsidR="0035460C" w:rsidRDefault="00E95B4D" w:rsidP="000C2D31">
      <w:pPr>
        <w:rPr>
          <w:rFonts w:eastAsia="Times New Roman" w:cs="Times New Roman"/>
          <w:szCs w:val="24"/>
        </w:rPr>
      </w:pPr>
      <w:r>
        <w:rPr>
          <w:rFonts w:eastAsia="Times New Roman"/>
        </w:rPr>
        <w:fldChar w:fldCharType="begin"/>
      </w:r>
      <w:r>
        <w:rPr>
          <w:rFonts w:eastAsia="Times New Roman"/>
        </w:rPr>
        <w:instrText xml:space="preserve"> REF _Ref521416088 \h </w:instrText>
      </w:r>
      <w:r>
        <w:rPr>
          <w:rFonts w:eastAsia="Times New Roman"/>
        </w:rPr>
      </w:r>
      <w:r>
        <w:rPr>
          <w:rFonts w:eastAsia="Times New Roman"/>
        </w:rPr>
        <w:fldChar w:fldCharType="separate"/>
      </w:r>
      <w:r w:rsidR="006D52C2">
        <w:t xml:space="preserve">Figure </w:t>
      </w:r>
      <w:r w:rsidR="006D52C2">
        <w:rPr>
          <w:noProof/>
        </w:rPr>
        <w:t>12</w:t>
      </w:r>
      <w:r>
        <w:rPr>
          <w:rFonts w:eastAsia="Times New Roman"/>
        </w:rPr>
        <w:fldChar w:fldCharType="end"/>
      </w:r>
      <w:r>
        <w:rPr>
          <w:rFonts w:eastAsia="Times New Roman"/>
        </w:rPr>
        <w:t xml:space="preserve"> </w:t>
      </w:r>
      <w:r w:rsidR="00465495">
        <w:rPr>
          <w:rFonts w:eastAsia="Times New Roman" w:cs="Times New Roman"/>
          <w:szCs w:val="24"/>
        </w:rPr>
        <w:t xml:space="preserve">illustrates the concentration profile of three cases given in </w:t>
      </w:r>
      <w:r>
        <w:rPr>
          <w:rFonts w:eastAsia="Times New Roman" w:cs="Times New Roman"/>
          <w:szCs w:val="24"/>
        </w:rPr>
        <w:fldChar w:fldCharType="begin"/>
      </w:r>
      <w:r>
        <w:rPr>
          <w:rFonts w:eastAsia="Times New Roman" w:cs="Times New Roman"/>
          <w:szCs w:val="24"/>
        </w:rPr>
        <w:instrText xml:space="preserve"> REF _Ref521416111 \h </w:instrText>
      </w:r>
      <w:r>
        <w:rPr>
          <w:rFonts w:eastAsia="Times New Roman" w:cs="Times New Roman"/>
          <w:szCs w:val="24"/>
        </w:rPr>
      </w:r>
      <w:r>
        <w:rPr>
          <w:rFonts w:eastAsia="Times New Roman" w:cs="Times New Roman"/>
          <w:szCs w:val="24"/>
        </w:rPr>
        <w:fldChar w:fldCharType="separate"/>
      </w:r>
      <w:r w:rsidR="006D52C2">
        <w:t xml:space="preserve">Table </w:t>
      </w:r>
      <w:r w:rsidR="006D52C2">
        <w:rPr>
          <w:noProof/>
        </w:rPr>
        <w:t>1</w:t>
      </w:r>
      <w:r>
        <w:rPr>
          <w:rFonts w:eastAsia="Times New Roman" w:cs="Times New Roman"/>
          <w:szCs w:val="24"/>
        </w:rPr>
        <w:fldChar w:fldCharType="end"/>
      </w:r>
      <w:r>
        <w:rPr>
          <w:rFonts w:eastAsia="Times New Roman" w:cs="Times New Roman"/>
          <w:szCs w:val="24"/>
        </w:rPr>
        <w:t xml:space="preserve"> </w:t>
      </w:r>
      <w:r w:rsidR="00465495">
        <w:rPr>
          <w:rFonts w:eastAsia="Times New Roman" w:cs="Times New Roman"/>
          <w:szCs w:val="24"/>
        </w:rPr>
        <w:t>at 96 days, 384 days and 864 days. The two-dimensional concentration profiles are taken from the mid-plane</w:t>
      </w:r>
      <w:r w:rsidR="001358CC">
        <w:rPr>
          <w:rFonts w:eastAsia="Times New Roman" w:cs="Times New Roman"/>
          <w:szCs w:val="24"/>
        </w:rPr>
        <w:t xml:space="preserve"> of a </w:t>
      </w:r>
      <w:r w:rsidR="0072504B">
        <w:rPr>
          <w:rFonts w:eastAsia="Times New Roman" w:cs="Times New Roman"/>
          <w:szCs w:val="24"/>
        </w:rPr>
        <w:t>three-dimensional</w:t>
      </w:r>
      <w:r w:rsidR="001358CC">
        <w:rPr>
          <w:rFonts w:eastAsia="Times New Roman" w:cs="Times New Roman"/>
          <w:szCs w:val="24"/>
        </w:rPr>
        <w:t xml:space="preserve"> slab</w:t>
      </w:r>
      <w:r w:rsidR="00465495">
        <w:rPr>
          <w:rFonts w:eastAsia="Times New Roman" w:cs="Times New Roman"/>
          <w:szCs w:val="24"/>
        </w:rPr>
        <w:t xml:space="preserve"> illustrated in </w:t>
      </w:r>
      <w:r>
        <w:rPr>
          <w:rFonts w:eastAsia="Times New Roman"/>
        </w:rPr>
        <w:fldChar w:fldCharType="begin"/>
      </w:r>
      <w:r>
        <w:rPr>
          <w:rFonts w:eastAsia="Times New Roman"/>
        </w:rPr>
        <w:instrText xml:space="preserve"> REF _Ref521416088 \h </w:instrText>
      </w:r>
      <w:r>
        <w:rPr>
          <w:rFonts w:eastAsia="Times New Roman"/>
        </w:rPr>
      </w:r>
      <w:r>
        <w:rPr>
          <w:rFonts w:eastAsia="Times New Roman"/>
        </w:rPr>
        <w:fldChar w:fldCharType="separate"/>
      </w:r>
      <w:r w:rsidR="006D52C2">
        <w:t xml:space="preserve">Figure </w:t>
      </w:r>
      <w:r w:rsidR="006D52C2">
        <w:rPr>
          <w:noProof/>
        </w:rPr>
        <w:t>12</w:t>
      </w:r>
      <w:r>
        <w:rPr>
          <w:rFonts w:eastAsia="Times New Roman"/>
        </w:rPr>
        <w:fldChar w:fldCharType="end"/>
      </w:r>
      <w:r w:rsidR="00465495">
        <w:rPr>
          <w:rFonts w:eastAsia="Times New Roman" w:cs="Times New Roman"/>
          <w:szCs w:val="24"/>
        </w:rPr>
        <w:t>. In all three cases, moisture content in the slabs increase</w:t>
      </w:r>
      <w:r w:rsidR="00BF36FE">
        <w:rPr>
          <w:rFonts w:eastAsia="Times New Roman" w:cs="Times New Roman"/>
          <w:szCs w:val="24"/>
        </w:rPr>
        <w:t>s</w:t>
      </w:r>
      <w:r w:rsidR="00465495">
        <w:rPr>
          <w:rFonts w:eastAsia="Times New Roman" w:cs="Times New Roman"/>
          <w:szCs w:val="24"/>
        </w:rPr>
        <w:t xml:space="preserve"> over time. Between the </w:t>
      </w:r>
      <w:r w:rsidR="00465495" w:rsidRPr="0072504B">
        <w:rPr>
          <w:rFonts w:eastAsia="Times New Roman" w:cs="Times New Roman"/>
          <w:i/>
          <w:szCs w:val="24"/>
        </w:rPr>
        <w:t xml:space="preserve">case </w:t>
      </w:r>
      <w:proofErr w:type="spellStart"/>
      <w:r w:rsidR="00465495" w:rsidRPr="0072504B">
        <w:rPr>
          <w:rFonts w:eastAsia="Times New Roman" w:cs="Times New Roman"/>
          <w:i/>
          <w:szCs w:val="24"/>
        </w:rPr>
        <w:t>i</w:t>
      </w:r>
      <w:proofErr w:type="spellEnd"/>
      <w:r w:rsidR="00465495">
        <w:rPr>
          <w:rFonts w:eastAsia="Times New Roman" w:cs="Times New Roman"/>
          <w:szCs w:val="24"/>
        </w:rPr>
        <w:t xml:space="preserve"> and </w:t>
      </w:r>
      <w:r w:rsidR="00465495" w:rsidRPr="0072504B">
        <w:rPr>
          <w:rFonts w:eastAsia="Times New Roman" w:cs="Times New Roman"/>
          <w:i/>
          <w:szCs w:val="24"/>
        </w:rPr>
        <w:t>ii</w:t>
      </w:r>
      <w:r w:rsidR="00465495">
        <w:rPr>
          <w:rFonts w:eastAsia="Times New Roman" w:cs="Times New Roman"/>
          <w:szCs w:val="24"/>
        </w:rPr>
        <w:t xml:space="preserve">, the only difference is the planar diffusion coefficient. In </w:t>
      </w:r>
      <w:r w:rsidR="002C020A">
        <w:rPr>
          <w:rFonts w:eastAsia="Times New Roman" w:cs="Times New Roman"/>
          <w:szCs w:val="24"/>
        </w:rPr>
        <w:t xml:space="preserve">the </w:t>
      </w:r>
      <w:r w:rsidR="00465495">
        <w:rPr>
          <w:rFonts w:eastAsia="Times New Roman" w:cs="Times New Roman"/>
          <w:szCs w:val="24"/>
        </w:rPr>
        <w:t>isotropic case, the planar diffusion coefficient is set to through-the-thickness diffusion coefficient which has</w:t>
      </w:r>
      <w:r w:rsidR="002C020A">
        <w:rPr>
          <w:rFonts w:eastAsia="Times New Roman" w:cs="Times New Roman"/>
          <w:szCs w:val="24"/>
        </w:rPr>
        <w:t xml:space="preserve"> a</w:t>
      </w:r>
      <w:r w:rsidR="00465495">
        <w:rPr>
          <w:rFonts w:eastAsia="Times New Roman" w:cs="Times New Roman"/>
          <w:szCs w:val="24"/>
        </w:rPr>
        <w:t xml:space="preserve"> lower value. Smaller planar diffusion coefficient in </w:t>
      </w:r>
      <w:r w:rsidR="00465495" w:rsidRPr="0072504B">
        <w:rPr>
          <w:rFonts w:eastAsia="Times New Roman" w:cs="Times New Roman"/>
          <w:i/>
          <w:szCs w:val="24"/>
        </w:rPr>
        <w:t>case ii</w:t>
      </w:r>
      <w:r w:rsidR="00465495">
        <w:rPr>
          <w:rFonts w:eastAsia="Times New Roman" w:cs="Times New Roman"/>
          <w:szCs w:val="24"/>
        </w:rPr>
        <w:t xml:space="preserve"> yields slower absorption through the side surfaces. At 864 days, average concentration in </w:t>
      </w:r>
      <w:r w:rsidR="00465495" w:rsidRPr="00AD2E2C">
        <w:rPr>
          <w:rFonts w:eastAsia="Times New Roman" w:cs="Times New Roman"/>
          <w:i/>
          <w:szCs w:val="24"/>
        </w:rPr>
        <w:t>case ii</w:t>
      </w:r>
      <w:r w:rsidR="00465495">
        <w:rPr>
          <w:rFonts w:eastAsia="Times New Roman" w:cs="Times New Roman"/>
          <w:szCs w:val="24"/>
        </w:rPr>
        <w:t xml:space="preserve"> is 25% lower than</w:t>
      </w:r>
      <w:r w:rsidR="00465495" w:rsidRPr="00465495">
        <w:rPr>
          <w:rFonts w:eastAsia="Times New Roman" w:cs="Times New Roman"/>
          <w:szCs w:val="24"/>
        </w:rPr>
        <w:t xml:space="preserve"> </w:t>
      </w:r>
      <w:r w:rsidR="00BF36FE">
        <w:rPr>
          <w:rFonts w:eastAsia="Times New Roman" w:cs="Times New Roman"/>
          <w:szCs w:val="24"/>
        </w:rPr>
        <w:t xml:space="preserve">the </w:t>
      </w:r>
      <w:r w:rsidR="00465495" w:rsidRPr="0072504B">
        <w:rPr>
          <w:rFonts w:eastAsia="Times New Roman" w:cs="Times New Roman"/>
          <w:i/>
          <w:szCs w:val="24"/>
        </w:rPr>
        <w:t xml:space="preserve">case </w:t>
      </w:r>
      <w:proofErr w:type="spellStart"/>
      <w:r w:rsidR="00465495" w:rsidRPr="0072504B">
        <w:rPr>
          <w:rFonts w:eastAsia="Times New Roman" w:cs="Times New Roman"/>
          <w:i/>
          <w:szCs w:val="24"/>
        </w:rPr>
        <w:t>i</w:t>
      </w:r>
      <w:proofErr w:type="spellEnd"/>
      <w:r w:rsidR="00465495">
        <w:rPr>
          <w:rFonts w:eastAsia="Times New Roman" w:cs="Times New Roman"/>
          <w:szCs w:val="24"/>
        </w:rPr>
        <w:t>.</w:t>
      </w:r>
    </w:p>
    <w:p w14:paraId="76C9BF2F" w14:textId="4233064D" w:rsidR="006308CB" w:rsidRDefault="00BF36FE" w:rsidP="00AC6003">
      <w:pPr>
        <w:rPr>
          <w:rFonts w:eastAsia="Times New Roman" w:cs="Times New Roman"/>
          <w:szCs w:val="24"/>
        </w:rPr>
        <w:sectPr w:rsidR="006308CB" w:rsidSect="00BE4897">
          <w:pgSz w:w="12240" w:h="15840"/>
          <w:pgMar w:top="1440" w:right="1440" w:bottom="1440" w:left="2160" w:header="720" w:footer="720" w:gutter="0"/>
          <w:cols w:space="720"/>
          <w:docGrid w:linePitch="360"/>
        </w:sectPr>
      </w:pPr>
      <w:r>
        <w:rPr>
          <w:rFonts w:eastAsia="Times New Roman" w:cs="Times New Roman"/>
          <w:szCs w:val="24"/>
        </w:rPr>
        <w:t xml:space="preserve">In </w:t>
      </w:r>
      <w:r w:rsidRPr="00AD2E2C">
        <w:rPr>
          <w:rFonts w:eastAsia="Times New Roman" w:cs="Times New Roman"/>
          <w:i/>
          <w:szCs w:val="24"/>
        </w:rPr>
        <w:t>case iii</w:t>
      </w:r>
      <w:r>
        <w:rPr>
          <w:rFonts w:eastAsia="Times New Roman" w:cs="Times New Roman"/>
          <w:szCs w:val="24"/>
        </w:rPr>
        <w:t xml:space="preserve">, the absorption through the side surfaces are negligible. Thus, no concentration gradient in </w:t>
      </w:r>
      <w:proofErr w:type="gramStart"/>
      <w:r>
        <w:rPr>
          <w:rFonts w:eastAsia="Times New Roman" w:cs="Times New Roman"/>
          <w:szCs w:val="24"/>
        </w:rPr>
        <w:t xml:space="preserve">the </w:t>
      </w:r>
      <m:oMath>
        <m:r>
          <w:rPr>
            <w:rFonts w:ascii="Cambria Math" w:eastAsia="Times New Roman" w:hAnsi="Cambria Math" w:cs="Times New Roman"/>
            <w:szCs w:val="24"/>
          </w:rPr>
          <m:t>x</m:t>
        </m:r>
      </m:oMath>
      <w:r>
        <w:rPr>
          <w:rFonts w:eastAsia="Times New Roman" w:cs="Times New Roman"/>
          <w:szCs w:val="24"/>
        </w:rPr>
        <w:t xml:space="preserve"> and</w:t>
      </w:r>
      <w:proofErr w:type="gramEnd"/>
      <w:r>
        <w:rPr>
          <w:rFonts w:eastAsia="Times New Roman" w:cs="Times New Roman"/>
          <w:szCs w:val="24"/>
        </w:rPr>
        <w:t xml:space="preserve"> </w:t>
      </w:r>
      <m:oMath>
        <m:r>
          <w:rPr>
            <w:rFonts w:ascii="Cambria Math" w:eastAsia="Times New Roman" w:hAnsi="Cambria Math" w:cs="Times New Roman"/>
            <w:szCs w:val="24"/>
          </w:rPr>
          <m:t>y</m:t>
        </m:r>
      </m:oMath>
      <w:r>
        <w:rPr>
          <w:rFonts w:eastAsia="Times New Roman" w:cs="Times New Roman"/>
          <w:szCs w:val="24"/>
        </w:rPr>
        <w:t xml:space="preserve"> direction is observed. Diffusion flux is only through the thickness (</w:t>
      </w:r>
      <m:oMath>
        <m:r>
          <w:rPr>
            <w:rFonts w:ascii="Cambria Math" w:eastAsia="Times New Roman" w:hAnsi="Cambria Math" w:cs="Times New Roman"/>
            <w:szCs w:val="24"/>
          </w:rPr>
          <m:t>z</m:t>
        </m:r>
      </m:oMath>
      <w:r w:rsidR="001358CC">
        <w:rPr>
          <w:rFonts w:eastAsia="Times New Roman" w:cs="Times New Roman"/>
          <w:szCs w:val="24"/>
        </w:rPr>
        <w:t xml:space="preserve"> direction). Case iii </w:t>
      </w:r>
      <w:r>
        <w:rPr>
          <w:rFonts w:eastAsia="Times New Roman" w:cs="Times New Roman"/>
          <w:szCs w:val="24"/>
        </w:rPr>
        <w:t xml:space="preserve">absorbed 42% and 22% less amount of water at 864 days than </w:t>
      </w:r>
      <w:r w:rsidRPr="00AD2E2C">
        <w:rPr>
          <w:rFonts w:eastAsia="Times New Roman" w:cs="Times New Roman"/>
          <w:i/>
          <w:szCs w:val="24"/>
        </w:rPr>
        <w:t xml:space="preserve">case </w:t>
      </w:r>
      <w:proofErr w:type="spellStart"/>
      <w:r w:rsidRPr="00AD2E2C">
        <w:rPr>
          <w:rFonts w:eastAsia="Times New Roman" w:cs="Times New Roman"/>
          <w:i/>
          <w:szCs w:val="24"/>
        </w:rPr>
        <w:t>i</w:t>
      </w:r>
      <w:proofErr w:type="spellEnd"/>
      <w:r>
        <w:rPr>
          <w:rFonts w:eastAsia="Times New Roman" w:cs="Times New Roman"/>
          <w:szCs w:val="24"/>
        </w:rPr>
        <w:t xml:space="preserve"> and </w:t>
      </w:r>
      <w:r w:rsidRPr="00AD2E2C">
        <w:rPr>
          <w:rFonts w:eastAsia="Times New Roman" w:cs="Times New Roman"/>
          <w:i/>
          <w:szCs w:val="24"/>
        </w:rPr>
        <w:t>ii</w:t>
      </w:r>
      <w:r>
        <w:rPr>
          <w:rFonts w:eastAsia="Times New Roman" w:cs="Times New Roman"/>
          <w:szCs w:val="24"/>
        </w:rPr>
        <w:t>, respectively.</w:t>
      </w:r>
      <w:r w:rsidR="00AC6003">
        <w:rPr>
          <w:rFonts w:eastAsia="Times New Roman" w:cs="Times New Roman"/>
          <w:szCs w:val="24"/>
        </w:rPr>
        <w:t xml:space="preserve"> Comparing </w:t>
      </w:r>
      <w:r w:rsidR="00AC6003" w:rsidRPr="00AD2E2C">
        <w:rPr>
          <w:rFonts w:eastAsia="Times New Roman" w:cs="Times New Roman"/>
          <w:i/>
          <w:szCs w:val="24"/>
        </w:rPr>
        <w:t>case ii</w:t>
      </w:r>
      <w:r w:rsidR="00AC6003">
        <w:rPr>
          <w:rFonts w:eastAsia="Times New Roman" w:cs="Times New Roman"/>
          <w:szCs w:val="24"/>
        </w:rPr>
        <w:t xml:space="preserve"> and </w:t>
      </w:r>
      <w:r w:rsidR="00AC6003" w:rsidRPr="00AD2E2C">
        <w:rPr>
          <w:rFonts w:eastAsia="Times New Roman" w:cs="Times New Roman"/>
          <w:i/>
          <w:szCs w:val="24"/>
        </w:rPr>
        <w:t>iii</w:t>
      </w:r>
      <w:r w:rsidR="00AC6003">
        <w:rPr>
          <w:rFonts w:eastAsia="Times New Roman" w:cs="Times New Roman"/>
          <w:szCs w:val="24"/>
        </w:rPr>
        <w:t xml:space="preserve"> </w:t>
      </w:r>
      <w:r w:rsidR="00AD2E2C">
        <w:rPr>
          <w:rFonts w:eastAsia="Times New Roman" w:cs="Times New Roman"/>
          <w:szCs w:val="24"/>
        </w:rPr>
        <w:t>indicates</w:t>
      </w:r>
      <w:r w:rsidR="00AC6003">
        <w:rPr>
          <w:rFonts w:eastAsia="Times New Roman" w:cs="Times New Roman"/>
          <w:szCs w:val="24"/>
        </w:rPr>
        <w:t xml:space="preserve"> that having a finite dimensions causes a faster </w:t>
      </w:r>
      <w:r w:rsidR="00AD2E2C">
        <w:rPr>
          <w:rFonts w:eastAsia="Times New Roman" w:cs="Times New Roman"/>
          <w:szCs w:val="24"/>
        </w:rPr>
        <w:t>moisture intake</w:t>
      </w:r>
      <w:r w:rsidR="00AC6003">
        <w:rPr>
          <w:rFonts w:eastAsia="Times New Roman" w:cs="Times New Roman"/>
          <w:szCs w:val="24"/>
        </w:rPr>
        <w:t xml:space="preserve">. </w:t>
      </w:r>
      <w:r>
        <w:rPr>
          <w:rFonts w:eastAsia="Times New Roman" w:cs="Times New Roman"/>
          <w:szCs w:val="24"/>
        </w:rPr>
        <w:t>For an accurate characterization of the absorption behavior,</w:t>
      </w:r>
      <w:r>
        <w:t xml:space="preserve"> three dimensional effects must be considered when material anisotropy exist and/or planar sizes are comparable to the thickness.</w:t>
      </w:r>
    </w:p>
    <w:tbl>
      <w:tblPr>
        <w:tblStyle w:val="TableGrid"/>
        <w:tblW w:w="0" w:type="auto"/>
        <w:jc w:val="center"/>
        <w:tblLayout w:type="fixed"/>
        <w:tblLook w:val="04A0" w:firstRow="1" w:lastRow="0" w:firstColumn="1" w:lastColumn="0" w:noHBand="0" w:noVBand="1"/>
      </w:tblPr>
      <w:tblGrid>
        <w:gridCol w:w="805"/>
        <w:gridCol w:w="3780"/>
        <w:gridCol w:w="3780"/>
        <w:gridCol w:w="3780"/>
      </w:tblGrid>
      <w:tr w:rsidR="00465495" w14:paraId="4ABE1840" w14:textId="77777777" w:rsidTr="00A230BA">
        <w:trPr>
          <w:jc w:val="center"/>
        </w:trPr>
        <w:tc>
          <w:tcPr>
            <w:tcW w:w="12145" w:type="dxa"/>
            <w:gridSpan w:val="4"/>
          </w:tcPr>
          <w:p w14:paraId="63A84DD0" w14:textId="63E39E9C" w:rsidR="00465495" w:rsidRDefault="00CE7343" w:rsidP="00A230BA">
            <w:pPr>
              <w:spacing w:before="120" w:after="120" w:line="240" w:lineRule="auto"/>
              <w:ind w:firstLine="0"/>
              <w:jc w:val="center"/>
              <w:rPr>
                <w:rFonts w:eastAsia="Times New Roman" w:cs="Times New Roman"/>
                <w:szCs w:val="24"/>
              </w:rPr>
            </w:pPr>
            <w:r>
              <w:rPr>
                <w:rFonts w:eastAsia="Times New Roman" w:cs="Times New Roman"/>
                <w:noProof/>
                <w:szCs w:val="24"/>
              </w:rPr>
              <w:lastRenderedPageBreak/>
              <w:drawing>
                <wp:inline distT="0" distB="0" distL="0" distR="0" wp14:anchorId="3DF16ADC" wp14:editId="5C2F7E4E">
                  <wp:extent cx="1886054" cy="1143000"/>
                  <wp:effectExtent l="0" t="0" r="0" b="0"/>
                  <wp:docPr id="31" name="Picture 31" descr="C:\Users\Administrator\Desktop\proje\PhD Dissertation\2d-3d conc prof\3D slic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proje\PhD Dissertation\2d-3d conc prof\3D slice2.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86054" cy="1143000"/>
                          </a:xfrm>
                          <a:prstGeom prst="rect">
                            <a:avLst/>
                          </a:prstGeom>
                          <a:noFill/>
                          <a:ln>
                            <a:noFill/>
                          </a:ln>
                        </pic:spPr>
                      </pic:pic>
                    </a:graphicData>
                  </a:graphic>
                </wp:inline>
              </w:drawing>
            </w:r>
          </w:p>
        </w:tc>
      </w:tr>
      <w:tr w:rsidR="00E16285" w14:paraId="63747BEF" w14:textId="77777777" w:rsidTr="00A230BA">
        <w:trPr>
          <w:jc w:val="center"/>
        </w:trPr>
        <w:tc>
          <w:tcPr>
            <w:tcW w:w="805" w:type="dxa"/>
          </w:tcPr>
          <w:p w14:paraId="2AE9B0A7" w14:textId="70DFBAE6"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Time</w:t>
            </w:r>
          </w:p>
        </w:tc>
        <w:tc>
          <w:tcPr>
            <w:tcW w:w="3780" w:type="dxa"/>
          </w:tcPr>
          <w:p w14:paraId="686D4BB3" w14:textId="137FDA63"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40-ply Quartz/BMI</w:t>
            </w:r>
          </w:p>
        </w:tc>
        <w:tc>
          <w:tcPr>
            <w:tcW w:w="3780" w:type="dxa"/>
          </w:tcPr>
          <w:p w14:paraId="43FE0797" w14:textId="68BE58C2"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Isotropic</w:t>
            </w:r>
          </w:p>
        </w:tc>
        <w:tc>
          <w:tcPr>
            <w:tcW w:w="3780" w:type="dxa"/>
          </w:tcPr>
          <w:p w14:paraId="037610F0" w14:textId="1257A589"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One-dimensional</w:t>
            </w:r>
          </w:p>
        </w:tc>
      </w:tr>
      <w:tr w:rsidR="00E16285" w14:paraId="3AB526C3" w14:textId="77777777" w:rsidTr="00A230BA">
        <w:trPr>
          <w:jc w:val="center"/>
        </w:trPr>
        <w:tc>
          <w:tcPr>
            <w:tcW w:w="805" w:type="dxa"/>
            <w:vAlign w:val="center"/>
          </w:tcPr>
          <w:p w14:paraId="1D6E9558" w14:textId="5CB1B0DC"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96 days</w:t>
            </w:r>
          </w:p>
        </w:tc>
        <w:tc>
          <w:tcPr>
            <w:tcW w:w="3780" w:type="dxa"/>
            <w:vAlign w:val="center"/>
          </w:tcPr>
          <w:p w14:paraId="06C37B3C" w14:textId="30104D0A"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2368B901" wp14:editId="4ABA7CD5">
                  <wp:extent cx="2263953" cy="795528"/>
                  <wp:effectExtent l="0" t="0" r="3175" b="5080"/>
                  <wp:docPr id="7" name="Picture 7" descr="C:\Users\Administrator\Desktop\proje\Strain Calculation\Original\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proje\Strain Calculation\Original\4.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c>
          <w:tcPr>
            <w:tcW w:w="3780" w:type="dxa"/>
            <w:vAlign w:val="center"/>
          </w:tcPr>
          <w:p w14:paraId="145B667F" w14:textId="36DB2B7A"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111FBA45" wp14:editId="38C312AB">
                  <wp:extent cx="2263953" cy="795528"/>
                  <wp:effectExtent l="0" t="0" r="3175" b="5080"/>
                  <wp:docPr id="15" name="Picture 15" descr="C:\Users\Administrator\Desktop\proje\Strain Calculation\Edg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Strain Calculation\Edge\4.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c>
          <w:tcPr>
            <w:tcW w:w="3780" w:type="dxa"/>
            <w:vAlign w:val="center"/>
          </w:tcPr>
          <w:p w14:paraId="1177C45F" w14:textId="42BF60EA"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73374B06" wp14:editId="29DCB599">
                  <wp:extent cx="2263953" cy="795528"/>
                  <wp:effectExtent l="0" t="0" r="3175" b="5080"/>
                  <wp:docPr id="19" name="Picture 19" descr="C:\Users\Administrator\Desktop\proje\PhD Dissertation\2d-3d conc prof\Isotropic\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proje\PhD Dissertation\2d-3d conc prof\Isotropic\4.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r>
      <w:tr w:rsidR="00E16285" w14:paraId="1B109BE7" w14:textId="77777777" w:rsidTr="00A230BA">
        <w:trPr>
          <w:jc w:val="center"/>
        </w:trPr>
        <w:tc>
          <w:tcPr>
            <w:tcW w:w="805" w:type="dxa"/>
            <w:vAlign w:val="center"/>
          </w:tcPr>
          <w:p w14:paraId="37B7A7D1" w14:textId="27DAC2D0"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384 days</w:t>
            </w:r>
          </w:p>
        </w:tc>
        <w:tc>
          <w:tcPr>
            <w:tcW w:w="3780" w:type="dxa"/>
            <w:vAlign w:val="center"/>
          </w:tcPr>
          <w:p w14:paraId="529CCDCC" w14:textId="0AB8BF40"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1344E842" wp14:editId="7A7C3981">
                  <wp:extent cx="2263953" cy="795528"/>
                  <wp:effectExtent l="0" t="0" r="3175" b="5080"/>
                  <wp:docPr id="10" name="Picture 10" descr="C:\Users\Administrator\Desktop\proje\Strain Calculation\Original\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proje\Strain Calculation\Original\7.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c>
          <w:tcPr>
            <w:tcW w:w="3780" w:type="dxa"/>
            <w:vAlign w:val="center"/>
          </w:tcPr>
          <w:p w14:paraId="648FE579" w14:textId="6FC4BEC7"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37B9EF93" wp14:editId="06E55721">
                  <wp:extent cx="2263953" cy="795528"/>
                  <wp:effectExtent l="0" t="0" r="3175" b="5080"/>
                  <wp:docPr id="17" name="Picture 17" descr="C:\Users\Administrator\Desktop\proje\Strain Calculation\Edg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Strain Calculation\Edge\7.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c>
          <w:tcPr>
            <w:tcW w:w="3780" w:type="dxa"/>
            <w:vAlign w:val="center"/>
          </w:tcPr>
          <w:p w14:paraId="7F632F0A" w14:textId="4CB1A717"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737CAA09" wp14:editId="69BCAF28">
                  <wp:extent cx="2263953" cy="795528"/>
                  <wp:effectExtent l="0" t="0" r="3175" b="5080"/>
                  <wp:docPr id="20" name="Picture 20" descr="C:\Users\Administrator\Desktop\proje\PhD Dissertation\2d-3d conc prof\Isotropic\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proje\PhD Dissertation\2d-3d conc prof\Isotropic\7.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r>
      <w:tr w:rsidR="00E16285" w14:paraId="5BB6150E" w14:textId="77777777" w:rsidTr="00A230BA">
        <w:trPr>
          <w:jc w:val="center"/>
        </w:trPr>
        <w:tc>
          <w:tcPr>
            <w:tcW w:w="805" w:type="dxa"/>
            <w:vAlign w:val="center"/>
          </w:tcPr>
          <w:p w14:paraId="76FB1009" w14:textId="0E7065B4"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szCs w:val="24"/>
              </w:rPr>
              <w:t>864 days</w:t>
            </w:r>
          </w:p>
        </w:tc>
        <w:tc>
          <w:tcPr>
            <w:tcW w:w="3780" w:type="dxa"/>
            <w:vAlign w:val="center"/>
          </w:tcPr>
          <w:p w14:paraId="6739BDC3" w14:textId="08FA7074"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6C998356" wp14:editId="387C69A4">
                  <wp:extent cx="2263953" cy="795528"/>
                  <wp:effectExtent l="0" t="0" r="3175" b="5080"/>
                  <wp:docPr id="13" name="Picture 13" descr="C:\Users\Administrator\Desktop\proje\Strain Calculation\Original\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proje\Strain Calculation\Original\10.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c>
          <w:tcPr>
            <w:tcW w:w="3780" w:type="dxa"/>
            <w:vAlign w:val="center"/>
          </w:tcPr>
          <w:p w14:paraId="2D31E1AB" w14:textId="06D19B90"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5867A37B" wp14:editId="19FFB9B5">
                  <wp:extent cx="2263953" cy="795528"/>
                  <wp:effectExtent l="0" t="0" r="3175" b="5080"/>
                  <wp:docPr id="18" name="Picture 18" descr="C:\Users\Administrator\Desktop\proje\Strain Calculation\Edge\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proje\Strain Calculation\Edge\10.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c>
          <w:tcPr>
            <w:tcW w:w="3780" w:type="dxa"/>
            <w:vAlign w:val="center"/>
          </w:tcPr>
          <w:p w14:paraId="6DAB3250" w14:textId="434D6E75" w:rsidR="00E16285" w:rsidRDefault="00E16285" w:rsidP="00A230BA">
            <w:pPr>
              <w:spacing w:before="120" w:after="120" w:line="240" w:lineRule="auto"/>
              <w:ind w:firstLine="0"/>
              <w:jc w:val="center"/>
              <w:rPr>
                <w:rFonts w:eastAsia="Times New Roman" w:cs="Times New Roman"/>
                <w:szCs w:val="24"/>
              </w:rPr>
            </w:pPr>
            <w:r>
              <w:rPr>
                <w:rFonts w:eastAsia="Times New Roman" w:cs="Times New Roman"/>
                <w:noProof/>
                <w:szCs w:val="24"/>
              </w:rPr>
              <w:drawing>
                <wp:inline distT="0" distB="0" distL="0" distR="0" wp14:anchorId="24006322" wp14:editId="06ABC439">
                  <wp:extent cx="2263953" cy="795528"/>
                  <wp:effectExtent l="0" t="0" r="3175" b="5080"/>
                  <wp:docPr id="22" name="Picture 22" descr="C:\Users\Administrator\Desktop\proje\PhD Dissertation\2d-3d conc prof\Isotropic\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2d-3d conc prof\Isotropic\10.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63953" cy="795528"/>
                          </a:xfrm>
                          <a:prstGeom prst="rect">
                            <a:avLst/>
                          </a:prstGeom>
                          <a:noFill/>
                          <a:ln>
                            <a:noFill/>
                          </a:ln>
                        </pic:spPr>
                      </pic:pic>
                    </a:graphicData>
                  </a:graphic>
                </wp:inline>
              </w:drawing>
            </w:r>
          </w:p>
        </w:tc>
      </w:tr>
      <w:tr w:rsidR="001027F0" w14:paraId="24F53D31" w14:textId="77777777" w:rsidTr="00A230BA">
        <w:trPr>
          <w:jc w:val="center"/>
        </w:trPr>
        <w:tc>
          <w:tcPr>
            <w:tcW w:w="12145" w:type="dxa"/>
            <w:gridSpan w:val="4"/>
          </w:tcPr>
          <w:p w14:paraId="0CB55E74" w14:textId="42D07D48" w:rsidR="001027F0" w:rsidRDefault="001027F0" w:rsidP="00A230BA">
            <w:pPr>
              <w:spacing w:before="120" w:after="120" w:line="240" w:lineRule="auto"/>
              <w:ind w:firstLine="0"/>
              <w:jc w:val="center"/>
              <w:rPr>
                <w:rFonts w:eastAsia="Times New Roman" w:cs="Times New Roman"/>
                <w:noProof/>
                <w:szCs w:val="24"/>
              </w:rPr>
            </w:pPr>
            <w:r>
              <w:rPr>
                <w:rFonts w:eastAsia="Times New Roman" w:cs="Times New Roman"/>
                <w:noProof/>
                <w:szCs w:val="24"/>
              </w:rPr>
              <w:drawing>
                <wp:inline distT="0" distB="0" distL="0" distR="0" wp14:anchorId="313E62F0" wp14:editId="01C28C78">
                  <wp:extent cx="4278182" cy="365760"/>
                  <wp:effectExtent l="0" t="0" r="8255" b="0"/>
                  <wp:docPr id="32" name="Picture 32" descr="C:\Users\Administrator\Desktop\proje\PhD Dissertation\2d-3d conc prof\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proje\PhD Dissertation\2d-3d conc prof\legend.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78182" cy="365760"/>
                          </a:xfrm>
                          <a:prstGeom prst="rect">
                            <a:avLst/>
                          </a:prstGeom>
                          <a:noFill/>
                          <a:ln>
                            <a:noFill/>
                          </a:ln>
                        </pic:spPr>
                      </pic:pic>
                    </a:graphicData>
                  </a:graphic>
                </wp:inline>
              </w:drawing>
            </w:r>
          </w:p>
        </w:tc>
      </w:tr>
    </w:tbl>
    <w:p w14:paraId="202105ED" w14:textId="3FE5C491" w:rsidR="006308CB" w:rsidRDefault="005B3DBB" w:rsidP="00A230BA">
      <w:pPr>
        <w:pStyle w:val="Caption"/>
        <w:rPr>
          <w:rFonts w:eastAsia="Times New Roman"/>
        </w:rPr>
        <w:sectPr w:rsidR="006308CB" w:rsidSect="00A230BA">
          <w:pgSz w:w="15840" w:h="12240" w:orient="landscape"/>
          <w:pgMar w:top="2160" w:right="1440" w:bottom="1440" w:left="1440" w:header="720" w:footer="720" w:gutter="0"/>
          <w:cols w:space="720"/>
          <w:docGrid w:linePitch="360"/>
        </w:sectPr>
      </w:pPr>
      <w:bookmarkStart w:id="70" w:name="_Ref521416088"/>
      <w:bookmarkStart w:id="71" w:name="_Toc530997368"/>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12</w:t>
      </w:r>
      <w:r w:rsidR="0023508C">
        <w:rPr>
          <w:noProof/>
        </w:rPr>
        <w:fldChar w:fldCharType="end"/>
      </w:r>
      <w:bookmarkEnd w:id="70"/>
      <w:r w:rsidR="00976B81">
        <w:rPr>
          <w:rFonts w:eastAsia="Times New Roman"/>
        </w:rPr>
        <w:t>. Concentration profile of anisotropic, isotropic</w:t>
      </w:r>
      <w:r w:rsidR="00980A92">
        <w:rPr>
          <w:rFonts w:eastAsia="Times New Roman"/>
        </w:rPr>
        <w:t>,</w:t>
      </w:r>
      <w:r w:rsidR="00976B81">
        <w:rPr>
          <w:rFonts w:eastAsia="Times New Roman"/>
        </w:rPr>
        <w:t xml:space="preserve"> and one-dimensional quartz/BMI laminate</w:t>
      </w:r>
      <w:r w:rsidR="00CA72AB">
        <w:rPr>
          <w:rFonts w:eastAsia="Times New Roman"/>
        </w:rPr>
        <w:t xml:space="preserve"> at t=96, 384</w:t>
      </w:r>
      <w:r w:rsidR="00D9460B">
        <w:rPr>
          <w:rFonts w:eastAsia="Times New Roman"/>
        </w:rPr>
        <w:t>,</w:t>
      </w:r>
      <w:r w:rsidR="00CA72AB">
        <w:rPr>
          <w:rFonts w:eastAsia="Times New Roman"/>
        </w:rPr>
        <w:t xml:space="preserve"> and 864 days</w:t>
      </w:r>
      <w:bookmarkEnd w:id="71"/>
    </w:p>
    <w:p w14:paraId="34FBF440" w14:textId="31544244" w:rsidR="00D75B60" w:rsidRDefault="00D75B60" w:rsidP="00B63058">
      <w:pPr>
        <w:pStyle w:val="Heading3"/>
        <w:rPr>
          <w:rFonts w:eastAsia="Times New Roman"/>
        </w:rPr>
      </w:pPr>
      <w:bookmarkStart w:id="72" w:name="_Toc531943747"/>
      <w:r>
        <w:rPr>
          <w:rFonts w:eastAsia="Times New Roman"/>
        </w:rPr>
        <w:lastRenderedPageBreak/>
        <w:t xml:space="preserve">Non-dimensional and Approximate Solution of </w:t>
      </w:r>
      <w:r w:rsidR="00AD2E2C">
        <w:rPr>
          <w:rFonts w:eastAsia="Times New Roman"/>
        </w:rPr>
        <w:t>3D HDM</w:t>
      </w:r>
      <w:bookmarkEnd w:id="72"/>
    </w:p>
    <w:p w14:paraId="70FA896E" w14:textId="75F75E3A" w:rsidR="000C2D31" w:rsidRDefault="000C2D31" w:rsidP="000C2D31">
      <w:pPr>
        <w:rPr>
          <w:rFonts w:eastAsia="Times New Roman" w:cs="Times New Roman"/>
          <w:szCs w:val="24"/>
        </w:rPr>
      </w:pPr>
      <w:r>
        <w:rPr>
          <w:rFonts w:eastAsia="Times New Roman" w:cs="Times New Roman"/>
          <w:szCs w:val="24"/>
        </w:rPr>
        <w:t>To further investigate the capabilities of 3D</w:t>
      </w:r>
      <w:r w:rsidR="00AD2E2C">
        <w:rPr>
          <w:rFonts w:eastAsia="Times New Roman" w:cs="Times New Roman"/>
          <w:szCs w:val="24"/>
        </w:rPr>
        <w:t xml:space="preserve"> </w:t>
      </w:r>
      <w:r>
        <w:rPr>
          <w:rFonts w:eastAsia="Times New Roman" w:cs="Times New Roman"/>
          <w:szCs w:val="24"/>
        </w:rPr>
        <w:t xml:space="preserve">HDM, non-dimensional solution is also obtained for a fully immersed slab. A new coordinate </w:t>
      </w:r>
      <w:proofErr w:type="gramStart"/>
      <w:r>
        <w:rPr>
          <w:rFonts w:eastAsia="Times New Roman" w:cs="Times New Roman"/>
          <w:szCs w:val="24"/>
        </w:rPr>
        <w:t xml:space="preserve">system </w:t>
      </w:r>
      <w:proofErr w:type="gramEnd"/>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x</m:t>
            </m:r>
          </m:e>
          <m:sub>
            <m:r>
              <w:rPr>
                <w:rFonts w:ascii="Cambria Math" w:eastAsia="Times New Roman" w:hAnsi="Cambria Math" w:cs="Times New Roman"/>
                <w:szCs w:val="24"/>
              </w:rPr>
              <m:t>1</m:t>
            </m:r>
          </m:sub>
        </m:sSub>
      </m:oMath>
      <w:r>
        <w:rPr>
          <w:rFonts w:eastAsia="Times New Roman" w:cs="Times New Roman"/>
          <w:szCs w:val="24"/>
        </w:rPr>
        <w:t>,</w:t>
      </w:r>
      <m:oMath>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y</m:t>
            </m:r>
          </m:e>
          <m:sub>
            <m:r>
              <w:rPr>
                <w:rFonts w:ascii="Cambria Math" w:eastAsia="Times New Roman" w:hAnsi="Cambria Math" w:cs="Times New Roman"/>
                <w:szCs w:val="24"/>
              </w:rPr>
              <m:t>1</m:t>
            </m:r>
          </m:sub>
        </m:sSub>
      </m:oMath>
      <w:r>
        <w:rPr>
          <w:rFonts w:eastAsia="Times New Roman" w:cs="Times New Roman"/>
          <w:szCs w:val="24"/>
        </w:rPr>
        <w:t xml:space="preserve">, and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z</m:t>
            </m:r>
          </m:e>
          <m:sub>
            <m:r>
              <w:rPr>
                <w:rFonts w:ascii="Cambria Math" w:eastAsia="Times New Roman" w:hAnsi="Cambria Math" w:cs="Times New Roman"/>
                <w:szCs w:val="24"/>
              </w:rPr>
              <m:t>1</m:t>
            </m:r>
          </m:sub>
        </m:sSub>
      </m:oMath>
      <w:r>
        <w:rPr>
          <w:rFonts w:eastAsia="Times New Roman" w:cs="Times New Roman"/>
          <w:szCs w:val="24"/>
        </w:rPr>
        <w:t xml:space="preserve"> is defined as</w:t>
      </w:r>
    </w:p>
    <w:p w14:paraId="56774489" w14:textId="6CB2CC1C" w:rsidR="000C2D31" w:rsidRPr="00AD2E2C" w:rsidRDefault="007B3686" w:rsidP="000C2D31">
      <w:pPr>
        <w:rPr>
          <w:rFonts w:cs="Times New Roman"/>
          <w:i/>
          <w:szCs w:val="24"/>
        </w:rPr>
      </w:pPr>
      <m:oMath>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1</m:t>
            </m:r>
          </m:sub>
        </m:sSub>
        <m:r>
          <w:rPr>
            <w:rFonts w:ascii="Cambria Math" w:hAnsi="Cambria Math" w:cs="Times New Roman"/>
            <w:szCs w:val="24"/>
          </w:rPr>
          <m:t>=</m:t>
        </m:r>
        <m:rad>
          <m:radPr>
            <m:degHide m:val="1"/>
            <m:ctrlPr>
              <w:rPr>
                <w:rFonts w:ascii="Cambria Math" w:hAnsi="Cambria Math" w:cs="Times New Roman"/>
                <w:i/>
                <w:szCs w:val="24"/>
              </w:rPr>
            </m:ctrlPr>
          </m:radPr>
          <m:deg/>
          <m:e>
            <m:f>
              <m:fPr>
                <m:ctrlPr>
                  <w:rPr>
                    <w:rFonts w:ascii="Cambria Math" w:hAnsi="Cambria Math" w:cs="Times New Roman"/>
                    <w:i/>
                    <w:szCs w:val="24"/>
                  </w:rPr>
                </m:ctrlPr>
              </m:fPr>
              <m:num>
                <m:r>
                  <w:rPr>
                    <w:rFonts w:ascii="Cambria Math" w:hAnsi="Cambria Math" w:cs="Times New Roman"/>
                    <w:szCs w:val="24"/>
                  </w:rPr>
                  <m:t>D</m:t>
                </m:r>
              </m:num>
              <m:den>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den>
            </m:f>
          </m:e>
        </m:rad>
        <m:r>
          <w:rPr>
            <w:rFonts w:ascii="Cambria Math" w:hAnsi="Cambria Math" w:cs="Times New Roman"/>
            <w:szCs w:val="24"/>
          </w:rPr>
          <m:t>x</m:t>
        </m:r>
      </m:oMath>
      <w:r w:rsidR="000C2D31" w:rsidRPr="00AD2E2C">
        <w:rPr>
          <w:rFonts w:cs="Times New Roman"/>
          <w:i/>
          <w:szCs w:val="24"/>
        </w:rPr>
        <w:t xml:space="preserve">, </w:t>
      </w:r>
      <m:oMath>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1</m:t>
            </m:r>
          </m:sub>
        </m:sSub>
        <m:r>
          <w:rPr>
            <w:rFonts w:ascii="Cambria Math" w:hAnsi="Cambria Math" w:cs="Times New Roman"/>
            <w:szCs w:val="24"/>
          </w:rPr>
          <m:t>=</m:t>
        </m:r>
        <m:rad>
          <m:radPr>
            <m:degHide m:val="1"/>
            <m:ctrlPr>
              <w:rPr>
                <w:rFonts w:ascii="Cambria Math" w:hAnsi="Cambria Math" w:cs="Times New Roman"/>
                <w:i/>
                <w:szCs w:val="24"/>
              </w:rPr>
            </m:ctrlPr>
          </m:radPr>
          <m:deg/>
          <m:e>
            <m:f>
              <m:fPr>
                <m:ctrlPr>
                  <w:rPr>
                    <w:rFonts w:ascii="Cambria Math" w:hAnsi="Cambria Math" w:cs="Times New Roman"/>
                    <w:i/>
                    <w:szCs w:val="24"/>
                  </w:rPr>
                </m:ctrlPr>
              </m:fPr>
              <m:num>
                <m:r>
                  <w:rPr>
                    <w:rFonts w:ascii="Cambria Math" w:hAnsi="Cambria Math" w:cs="Times New Roman"/>
                    <w:szCs w:val="24"/>
                  </w:rPr>
                  <m:t>D</m:t>
                </m:r>
              </m:num>
              <m:den>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den>
            </m:f>
          </m:e>
        </m:rad>
        <m:r>
          <w:rPr>
            <w:rFonts w:ascii="Cambria Math" w:hAnsi="Cambria Math" w:cs="Times New Roman"/>
            <w:szCs w:val="24"/>
          </w:rPr>
          <m:t>y</m:t>
        </m:r>
      </m:oMath>
      <w:r w:rsidR="000C2D31" w:rsidRPr="00AD2E2C">
        <w:rPr>
          <w:rFonts w:cs="Times New Roman"/>
          <w:i/>
          <w:szCs w:val="24"/>
        </w:rPr>
        <w:t xml:space="preserve">, </w:t>
      </w:r>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1</m:t>
            </m:r>
          </m:sub>
        </m:sSub>
        <m:r>
          <w:rPr>
            <w:rFonts w:ascii="Cambria Math" w:hAnsi="Cambria Math" w:cs="Times New Roman"/>
            <w:szCs w:val="24"/>
          </w:rPr>
          <m:t>=</m:t>
        </m:r>
        <m:rad>
          <m:radPr>
            <m:degHide m:val="1"/>
            <m:ctrlPr>
              <w:rPr>
                <w:rFonts w:ascii="Cambria Math" w:hAnsi="Cambria Math" w:cs="Times New Roman"/>
                <w:i/>
                <w:szCs w:val="24"/>
              </w:rPr>
            </m:ctrlPr>
          </m:radPr>
          <m:deg/>
          <m:e>
            <m:f>
              <m:fPr>
                <m:ctrlPr>
                  <w:rPr>
                    <w:rFonts w:ascii="Cambria Math" w:hAnsi="Cambria Math" w:cs="Times New Roman"/>
                    <w:i/>
                    <w:szCs w:val="24"/>
                  </w:rPr>
                </m:ctrlPr>
              </m:fPr>
              <m:num>
                <m:r>
                  <w:rPr>
                    <w:rFonts w:ascii="Cambria Math" w:hAnsi="Cambria Math" w:cs="Times New Roman"/>
                    <w:szCs w:val="24"/>
                  </w:rPr>
                  <m:t>D</m:t>
                </m:r>
              </m:num>
              <m:den>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den>
            </m:f>
          </m:e>
        </m:rad>
        <m:r>
          <w:rPr>
            <w:rFonts w:ascii="Cambria Math" w:hAnsi="Cambria Math" w:cs="Times New Roman"/>
            <w:szCs w:val="24"/>
          </w:rPr>
          <m:t>z</m:t>
        </m:r>
      </m:oMath>
    </w:p>
    <w:p w14:paraId="388D141C" w14:textId="440B0624" w:rsidR="000C2D31" w:rsidRDefault="000C2D31" w:rsidP="000C2D31">
      <w:pPr>
        <w:rPr>
          <w:rFonts w:eastAsia="Times New Roman" w:cs="Times New Roman"/>
          <w:szCs w:val="24"/>
        </w:rPr>
      </w:pPr>
      <w:r w:rsidRPr="00E26E4C">
        <w:rPr>
          <w:rFonts w:eastAsia="Times New Roman" w:cs="Times New Roman"/>
          <w:szCs w:val="24"/>
        </w:rPr>
        <w:t xml:space="preserve">Original space </w:t>
      </w:r>
      <m:oMath>
        <m:r>
          <w:rPr>
            <w:rFonts w:ascii="Cambria Math" w:eastAsia="Times New Roman" w:hAnsi="Cambria Math" w:cs="Times New Roman"/>
            <w:szCs w:val="24"/>
          </w:rPr>
          <m:t>dxdydz</m:t>
        </m:r>
      </m:oMath>
      <w:r w:rsidRPr="00E26E4C">
        <w:rPr>
          <w:rFonts w:eastAsia="Times New Roman" w:cs="Times New Roman"/>
          <w:szCs w:val="24"/>
        </w:rPr>
        <w:t xml:space="preserve"> transforms to</w:t>
      </w:r>
      <w:r>
        <w:rPr>
          <w:rFonts w:eastAsia="Times New Roman" w:cs="Times New Roman"/>
          <w:szCs w:val="24"/>
        </w:rPr>
        <w:t xml:space="preserve"> </w:t>
      </w:r>
      <m:oMath>
        <m:f>
          <m:fPr>
            <m:ctrlPr>
              <w:rPr>
                <w:rFonts w:ascii="Cambria Math" w:hAnsi="Cambria Math" w:cs="Times New Roman"/>
                <w:i/>
                <w:szCs w:val="24"/>
              </w:rPr>
            </m:ctrlPr>
          </m:fPr>
          <m:num>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e>
            </m:rad>
          </m:num>
          <m:den>
            <m:sSup>
              <m:sSupPr>
                <m:ctrlPr>
                  <w:rPr>
                    <w:rFonts w:ascii="Cambria Math" w:hAnsi="Cambria Math" w:cs="Times New Roman"/>
                    <w:i/>
                    <w:szCs w:val="24"/>
                  </w:rPr>
                </m:ctrlPr>
              </m:sSupPr>
              <m:e>
                <m:r>
                  <w:rPr>
                    <w:rFonts w:ascii="Cambria Math" w:hAnsi="Cambria Math" w:cs="Times New Roman"/>
                    <w:szCs w:val="24"/>
                  </w:rPr>
                  <m:t>D</m:t>
                </m:r>
              </m:e>
              <m:sup>
                <m:f>
                  <m:fPr>
                    <m:type m:val="skw"/>
                    <m:ctrlPr>
                      <w:rPr>
                        <w:rFonts w:ascii="Cambria Math" w:hAnsi="Cambria Math" w:cs="Times New Roman"/>
                        <w:i/>
                        <w:szCs w:val="24"/>
                      </w:rPr>
                    </m:ctrlPr>
                  </m:fPr>
                  <m:num>
                    <m:r>
                      <w:rPr>
                        <w:rFonts w:ascii="Cambria Math" w:hAnsi="Cambria Math" w:cs="Times New Roman"/>
                        <w:szCs w:val="24"/>
                      </w:rPr>
                      <m:t>3</m:t>
                    </m:r>
                  </m:num>
                  <m:den>
                    <m:r>
                      <w:rPr>
                        <w:rFonts w:ascii="Cambria Math" w:hAnsi="Cambria Math" w:cs="Times New Roman"/>
                        <w:szCs w:val="24"/>
                      </w:rPr>
                      <m:t>2</m:t>
                    </m:r>
                  </m:den>
                </m:f>
              </m:sup>
            </m:sSup>
          </m:den>
        </m:f>
        <m:sSub>
          <m:sSubPr>
            <m:ctrlPr>
              <w:rPr>
                <w:rFonts w:ascii="Cambria Math" w:hAnsi="Cambria Math" w:cs="Times New Roman"/>
                <w:i/>
                <w:szCs w:val="24"/>
              </w:rPr>
            </m:ctrlPr>
          </m:sSubPr>
          <m:e>
            <m:r>
              <w:rPr>
                <w:rFonts w:ascii="Cambria Math" w:hAnsi="Cambria Math" w:cs="Times New Roman"/>
                <w:szCs w:val="24"/>
              </w:rPr>
              <m:t>dx</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dy</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dz</m:t>
            </m:r>
          </m:e>
          <m:sub>
            <m:r>
              <w:rPr>
                <w:rFonts w:ascii="Cambria Math" w:hAnsi="Cambria Math" w:cs="Times New Roman"/>
                <w:szCs w:val="24"/>
              </w:rPr>
              <m:t>1</m:t>
            </m:r>
          </m:sub>
        </m:sSub>
      </m:oMath>
    </w:p>
    <w:tbl>
      <w:tblPr>
        <w:tblW w:w="8460" w:type="dxa"/>
        <w:tblLayout w:type="fixed"/>
        <w:tblLook w:val="04A0" w:firstRow="1" w:lastRow="0" w:firstColumn="1" w:lastColumn="0" w:noHBand="0" w:noVBand="1"/>
      </w:tblPr>
      <w:tblGrid>
        <w:gridCol w:w="7830"/>
        <w:gridCol w:w="630"/>
      </w:tblGrid>
      <w:tr w:rsidR="000C2D31" w:rsidRPr="00C5108B" w14:paraId="076E4398" w14:textId="77777777" w:rsidTr="007D7AB8">
        <w:tc>
          <w:tcPr>
            <w:tcW w:w="7830" w:type="dxa"/>
            <w:vAlign w:val="center"/>
          </w:tcPr>
          <w:p w14:paraId="174955EF" w14:textId="77777777" w:rsidR="000C2D31" w:rsidRPr="00F346A3" w:rsidRDefault="000C2D31" w:rsidP="000C2D31">
            <w:pPr>
              <w:rPr>
                <w:rFonts w:cs="Times New Roman"/>
                <w:szCs w:val="24"/>
                <w:vertAlign w:val="subscript"/>
              </w:rPr>
            </w:pPr>
            <m:oMathPara>
              <m:oMath>
                <m:r>
                  <w:rPr>
                    <w:rFonts w:ascii="Cambria Math" w:hAnsi="Cambria Math" w:cs="Times New Roman"/>
                    <w:szCs w:val="24"/>
                  </w:rPr>
                  <m:t>D=</m:t>
                </m:r>
                <m:rad>
                  <m:radPr>
                    <m:ctrlPr>
                      <w:rPr>
                        <w:rFonts w:ascii="Cambria Math" w:hAnsi="Cambria Math" w:cs="Times New Roman"/>
                        <w:i/>
                        <w:szCs w:val="24"/>
                      </w:rPr>
                    </m:ctrlPr>
                  </m:radPr>
                  <m:deg>
                    <m:r>
                      <w:rPr>
                        <w:rFonts w:ascii="Cambria Math" w:hAnsi="Cambria Math" w:cs="Times New Roman"/>
                        <w:szCs w:val="24"/>
                      </w:rPr>
                      <m:t>3</m:t>
                    </m:r>
                  </m:deg>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e>
                </m:rad>
              </m:oMath>
            </m:oMathPara>
          </w:p>
        </w:tc>
        <w:tc>
          <w:tcPr>
            <w:tcW w:w="630" w:type="dxa"/>
            <w:vAlign w:val="center"/>
          </w:tcPr>
          <w:p w14:paraId="73726A8B" w14:textId="77777777" w:rsidR="000C2D31" w:rsidRPr="00C5108B" w:rsidRDefault="000C2D31" w:rsidP="000C2D31">
            <w:pPr>
              <w:spacing w:after="200"/>
              <w:ind w:firstLine="0"/>
              <w:jc w:val="right"/>
              <w:rPr>
                <w:rFonts w:cs="Times New Roman"/>
                <w:szCs w:val="24"/>
              </w:rPr>
            </w:pPr>
            <w:r w:rsidRPr="00C5108B">
              <w:rPr>
                <w:rFonts w:cs="Times New Roman"/>
                <w:szCs w:val="24"/>
              </w:rPr>
              <w:t>(</w:t>
            </w:r>
            <w:r>
              <w:rPr>
                <w:rFonts w:cs="Times New Roman"/>
                <w:szCs w:val="24"/>
              </w:rPr>
              <w:t>31</w:t>
            </w:r>
            <w:r w:rsidRPr="00C5108B">
              <w:rPr>
                <w:rFonts w:cs="Times New Roman"/>
                <w:szCs w:val="24"/>
              </w:rPr>
              <w:t>)</w:t>
            </w:r>
          </w:p>
        </w:tc>
      </w:tr>
    </w:tbl>
    <w:p w14:paraId="2C23E3AE" w14:textId="033D053D" w:rsidR="000C2D31" w:rsidRDefault="000C2D31" w:rsidP="000C2D31">
      <w:pPr>
        <w:rPr>
          <w:rFonts w:eastAsia="Times New Roman" w:cs="Times New Roman"/>
          <w:szCs w:val="24"/>
        </w:rPr>
      </w:pPr>
      <w:r>
        <w:rPr>
          <w:rFonts w:eastAsia="Times New Roman" w:cs="Times New Roman"/>
          <w:szCs w:val="24"/>
        </w:rPr>
        <w:t xml:space="preserve">Using Eqs. </w:t>
      </w:r>
      <w:r w:rsidR="009B05F7">
        <w:rPr>
          <w:rFonts w:eastAsia="Times New Roman" w:cs="Times New Roman"/>
          <w:szCs w:val="24"/>
        </w:rPr>
        <w:t>(</w:t>
      </w:r>
      <w:r>
        <w:rPr>
          <w:rFonts w:eastAsia="Times New Roman" w:cs="Times New Roman"/>
          <w:szCs w:val="24"/>
        </w:rPr>
        <w:t>18</w:t>
      </w:r>
      <w:r w:rsidR="009B05F7">
        <w:rPr>
          <w:rFonts w:eastAsia="Times New Roman" w:cs="Times New Roman"/>
          <w:szCs w:val="24"/>
        </w:rPr>
        <w:t>)</w:t>
      </w:r>
      <w:r>
        <w:rPr>
          <w:rFonts w:eastAsia="Times New Roman" w:cs="Times New Roman"/>
          <w:szCs w:val="24"/>
        </w:rPr>
        <w:t xml:space="preserve"> </w:t>
      </w:r>
      <w:proofErr w:type="gramStart"/>
      <w:r>
        <w:rPr>
          <w:rFonts w:eastAsia="Times New Roman" w:cs="Times New Roman"/>
          <w:szCs w:val="24"/>
        </w:rPr>
        <w:t>and</w:t>
      </w:r>
      <w:proofErr w:type="gramEnd"/>
      <w:r>
        <w:rPr>
          <w:rFonts w:eastAsia="Times New Roman" w:cs="Times New Roman"/>
          <w:szCs w:val="24"/>
        </w:rPr>
        <w:t xml:space="preserve"> </w:t>
      </w:r>
      <w:r w:rsidR="009B05F7">
        <w:rPr>
          <w:rFonts w:eastAsia="Times New Roman" w:cs="Times New Roman"/>
          <w:szCs w:val="24"/>
        </w:rPr>
        <w:t>(</w:t>
      </w:r>
      <w:r>
        <w:rPr>
          <w:rFonts w:eastAsia="Times New Roman" w:cs="Times New Roman"/>
          <w:szCs w:val="24"/>
        </w:rPr>
        <w:t>31</w:t>
      </w:r>
      <w:r w:rsidR="009B05F7">
        <w:rPr>
          <w:rFonts w:eastAsia="Times New Roman" w:cs="Times New Roman"/>
          <w:szCs w:val="24"/>
        </w:rPr>
        <w:t>)</w:t>
      </w:r>
      <w:r>
        <w:rPr>
          <w:rFonts w:eastAsia="Times New Roman" w:cs="Times New Roman"/>
          <w:szCs w:val="24"/>
        </w:rPr>
        <w:t xml:space="preserve">, the non-dimensional form of </w:t>
      </w:r>
      <w:r w:rsidR="00AD2E2C">
        <w:rPr>
          <w:rFonts w:eastAsia="Times New Roman" w:cs="Times New Roman"/>
          <w:szCs w:val="24"/>
        </w:rPr>
        <w:t>3D HDM</w:t>
      </w:r>
      <w:r>
        <w:rPr>
          <w:rFonts w:eastAsia="Times New Roman" w:cs="Times New Roman"/>
          <w:szCs w:val="24"/>
        </w:rPr>
        <w:t xml:space="preserve"> becomes:</w:t>
      </w:r>
    </w:p>
    <w:tbl>
      <w:tblPr>
        <w:tblW w:w="0" w:type="auto"/>
        <w:tblLook w:val="04A0" w:firstRow="1" w:lastRow="0" w:firstColumn="1" w:lastColumn="0" w:noHBand="0" w:noVBand="1"/>
      </w:tblPr>
      <w:tblGrid>
        <w:gridCol w:w="7760"/>
        <w:gridCol w:w="736"/>
      </w:tblGrid>
      <w:tr w:rsidR="000C2D31" w14:paraId="73F494D0" w14:textId="77777777" w:rsidTr="007D7AB8">
        <w:tc>
          <w:tcPr>
            <w:tcW w:w="7825" w:type="dxa"/>
            <w:vAlign w:val="center"/>
          </w:tcPr>
          <w:p w14:paraId="77E24C4B" w14:textId="77777777" w:rsidR="000C2D31" w:rsidRPr="00496435" w:rsidRDefault="000C2D31" w:rsidP="000C2D31">
            <w:pPr>
              <w:rPr>
                <w:rFonts w:ascii="Cambria Math" w:hAnsi="Cambria Math" w:cs="Times New Roman"/>
                <w:szCs w:val="24"/>
              </w:rPr>
            </w:pPr>
            <m:oMathPara>
              <m:oMath>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num>
                  <m:den>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t</m:t>
                        </m:r>
                      </m:e>
                      <m:sup>
                        <m:r>
                          <w:rPr>
                            <w:rFonts w:ascii="Cambria Math" w:hAnsi="Cambria Math" w:cs="Times New Roman"/>
                            <w:szCs w:val="24"/>
                          </w:rPr>
                          <m:t>*</m:t>
                        </m:r>
                      </m:sup>
                    </m:sSup>
                  </m:den>
                </m:f>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μ</m:t>
                    </m:r>
                  </m:e>
                  <m:sup>
                    <m:r>
                      <w:rPr>
                        <w:rFonts w:ascii="Cambria Math" w:hAnsi="Cambria Math" w:cs="Times New Roman"/>
                        <w:szCs w:val="24"/>
                      </w:rPr>
                      <m:t>*</m:t>
                    </m:r>
                  </m:sup>
                </m:sSup>
                <m:f>
                  <m:fPr>
                    <m:ctrlPr>
                      <w:rPr>
                        <w:rFonts w:ascii="Cambria Math" w:hAnsi="Cambria Math" w:cs="Times New Roman"/>
                        <w:szCs w:val="24"/>
                      </w:rPr>
                    </m:ctrlPr>
                  </m:fPr>
                  <m:num>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num>
                  <m:den>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t</m:t>
                        </m:r>
                      </m:e>
                      <m:sup>
                        <m:r>
                          <w:rPr>
                            <w:rFonts w:ascii="Cambria Math" w:hAnsi="Cambria Math" w:cs="Times New Roman"/>
                            <w:szCs w:val="24"/>
                          </w:rPr>
                          <m:t>*</m:t>
                        </m:r>
                      </m:sup>
                    </m:sSup>
                  </m:den>
                </m:f>
              </m:oMath>
            </m:oMathPara>
          </w:p>
        </w:tc>
        <w:tc>
          <w:tcPr>
            <w:tcW w:w="661" w:type="dxa"/>
            <w:vAlign w:val="center"/>
          </w:tcPr>
          <w:p w14:paraId="3F95E164" w14:textId="77777777" w:rsidR="000C2D31" w:rsidRDefault="000C2D31" w:rsidP="007D7AB8">
            <w:pPr>
              <w:ind w:firstLine="0"/>
              <w:jc w:val="right"/>
            </w:pPr>
            <w:r>
              <w:t>(32a)</w:t>
            </w:r>
          </w:p>
        </w:tc>
      </w:tr>
      <w:tr w:rsidR="000C2D31" w14:paraId="45ED97E7" w14:textId="77777777" w:rsidTr="007D7AB8">
        <w:tc>
          <w:tcPr>
            <w:tcW w:w="7825" w:type="dxa"/>
            <w:vAlign w:val="center"/>
          </w:tcPr>
          <w:p w14:paraId="08FDE774" w14:textId="77777777" w:rsidR="000C2D31" w:rsidRPr="00496435" w:rsidRDefault="007B3686" w:rsidP="000C2D31">
            <w:pPr>
              <w:jc w:val="center"/>
              <w:rPr>
                <w:rFonts w:cs="Times New Roman"/>
                <w:szCs w:val="24"/>
              </w:rPr>
            </w:pPr>
            <m:oMathPara>
              <m:oMath>
                <m:f>
                  <m:fPr>
                    <m:ctrlPr>
                      <w:rPr>
                        <w:rFonts w:ascii="Cambria Math" w:hAnsi="Cambria Math" w:cs="Times New Roman"/>
                        <w:szCs w:val="24"/>
                      </w:rPr>
                    </m:ctrlPr>
                  </m:fPr>
                  <m:num>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num>
                  <m:den>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t</m:t>
                        </m:r>
                      </m:e>
                      <m:sup>
                        <m:r>
                          <w:rPr>
                            <w:rFonts w:ascii="Cambria Math" w:hAnsi="Cambria Math" w:cs="Times New Roman"/>
                            <w:szCs w:val="24"/>
                          </w:rPr>
                          <m:t>*</m:t>
                        </m:r>
                      </m:sup>
                    </m:sSup>
                  </m:den>
                </m:f>
                <m:r>
                  <m:rPr>
                    <m:sty m:val="p"/>
                  </m:rP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β</m:t>
                    </m:r>
                  </m:e>
                  <m:sup>
                    <m:r>
                      <w:rPr>
                        <w:rFonts w:ascii="Cambria Math" w:hAnsi="Cambria Math" w:cs="Times New Roman"/>
                        <w:szCs w:val="24"/>
                      </w:rPr>
                      <m: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r>
                  <m:rPr>
                    <m:sty m:val="p"/>
                  </m:rP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r>
                  <w:rPr>
                    <w:rFonts w:ascii="Cambria Math" w:hAnsi="Cambria Math" w:cs="Times New Roman"/>
                    <w:szCs w:val="24"/>
                  </w:rPr>
                  <m:t>)</m:t>
                </m:r>
              </m:oMath>
            </m:oMathPara>
          </w:p>
        </w:tc>
        <w:tc>
          <w:tcPr>
            <w:tcW w:w="661" w:type="dxa"/>
            <w:vAlign w:val="center"/>
          </w:tcPr>
          <w:p w14:paraId="0FA4F23C" w14:textId="77777777" w:rsidR="000C2D31" w:rsidRDefault="000C2D31" w:rsidP="007D7AB8">
            <w:pPr>
              <w:ind w:firstLine="0"/>
              <w:jc w:val="right"/>
            </w:pPr>
            <w:r>
              <w:t>(32b)</w:t>
            </w:r>
          </w:p>
        </w:tc>
      </w:tr>
    </w:tbl>
    <w:p w14:paraId="46E943EC" w14:textId="77777777" w:rsidR="000C2D31" w:rsidRDefault="000C2D31" w:rsidP="000C2D31">
      <w:pPr>
        <w:rPr>
          <w:rFonts w:cs="Times New Roman"/>
          <w:szCs w:val="24"/>
        </w:rPr>
      </w:pPr>
      <w:proofErr w:type="gramStart"/>
      <w:r>
        <w:rPr>
          <w:rFonts w:cs="Times New Roman"/>
          <w:szCs w:val="24"/>
        </w:rPr>
        <w:t>where</w:t>
      </w:r>
      <w:proofErr w:type="gramEnd"/>
      <w:r>
        <w:rPr>
          <w:rFonts w:cs="Times New Roman"/>
          <w:szCs w:val="24"/>
        </w:rPr>
        <w:t>:</w:t>
      </w:r>
    </w:p>
    <w:tbl>
      <w:tblPr>
        <w:tblW w:w="0" w:type="auto"/>
        <w:tblLook w:val="04A0" w:firstRow="1" w:lastRow="0" w:firstColumn="1" w:lastColumn="0" w:noHBand="0" w:noVBand="1"/>
      </w:tblPr>
      <w:tblGrid>
        <w:gridCol w:w="2828"/>
        <w:gridCol w:w="2829"/>
        <w:gridCol w:w="2829"/>
      </w:tblGrid>
      <w:tr w:rsidR="000C2D31" w14:paraId="2DF939E4" w14:textId="77777777" w:rsidTr="000C2D31">
        <w:tc>
          <w:tcPr>
            <w:tcW w:w="2828" w:type="dxa"/>
          </w:tcPr>
          <w:p w14:paraId="7DDF87C0"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1</m:t>
                        </m:r>
                      </m:sub>
                    </m:sSub>
                  </m:num>
                  <m:den>
                    <m:r>
                      <w:rPr>
                        <w:rFonts w:ascii="Cambria Math" w:hAnsi="Cambria Math" w:cs="Times New Roman"/>
                        <w:szCs w:val="24"/>
                      </w:rPr>
                      <m:t>h</m:t>
                    </m:r>
                  </m:den>
                </m:f>
              </m:oMath>
            </m:oMathPara>
          </w:p>
        </w:tc>
        <w:tc>
          <w:tcPr>
            <w:tcW w:w="2829" w:type="dxa"/>
          </w:tcPr>
          <w:p w14:paraId="0367DAD9"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y</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1</m:t>
                        </m:r>
                      </m:sub>
                    </m:sSub>
                  </m:num>
                  <m:den>
                    <m:r>
                      <w:rPr>
                        <w:rFonts w:ascii="Cambria Math" w:hAnsi="Cambria Math" w:cs="Times New Roman"/>
                        <w:szCs w:val="24"/>
                      </w:rPr>
                      <m:t>h</m:t>
                    </m:r>
                  </m:den>
                </m:f>
              </m:oMath>
            </m:oMathPara>
          </w:p>
        </w:tc>
        <w:tc>
          <w:tcPr>
            <w:tcW w:w="2829" w:type="dxa"/>
          </w:tcPr>
          <w:p w14:paraId="42436151"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z</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1</m:t>
                        </m:r>
                      </m:sub>
                    </m:sSub>
                  </m:num>
                  <m:den>
                    <m:r>
                      <w:rPr>
                        <w:rFonts w:ascii="Cambria Math" w:hAnsi="Cambria Math" w:cs="Times New Roman"/>
                        <w:szCs w:val="24"/>
                      </w:rPr>
                      <m:t>h</m:t>
                    </m:r>
                  </m:den>
                </m:f>
              </m:oMath>
            </m:oMathPara>
          </w:p>
        </w:tc>
      </w:tr>
      <w:tr w:rsidR="000C2D31" w14:paraId="189A075F" w14:textId="77777777" w:rsidTr="000C2D31">
        <w:tc>
          <w:tcPr>
            <w:tcW w:w="2828" w:type="dxa"/>
          </w:tcPr>
          <w:p w14:paraId="4D2EB505"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β</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2</m:t>
                        </m:r>
                      </m:sup>
                    </m:sSup>
                  </m:num>
                  <m:den>
                    <m:r>
                      <w:rPr>
                        <w:rFonts w:ascii="Cambria Math" w:hAnsi="Cambria Math" w:cs="Times New Roman"/>
                        <w:szCs w:val="24"/>
                      </w:rPr>
                      <m:t>D</m:t>
                    </m:r>
                  </m:den>
                </m:f>
                <m:r>
                  <w:rPr>
                    <w:rFonts w:ascii="Cambria Math" w:hAnsi="Cambria Math" w:cs="Times New Roman"/>
                    <w:szCs w:val="24"/>
                  </w:rPr>
                  <m:t>β</m:t>
                </m:r>
              </m:oMath>
            </m:oMathPara>
          </w:p>
        </w:tc>
        <w:tc>
          <w:tcPr>
            <w:tcW w:w="2829" w:type="dxa"/>
          </w:tcPr>
          <w:p w14:paraId="13E36ED0"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γ</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2</m:t>
                        </m:r>
                      </m:sup>
                    </m:sSup>
                  </m:num>
                  <m:den>
                    <m:r>
                      <w:rPr>
                        <w:rFonts w:ascii="Cambria Math" w:hAnsi="Cambria Math" w:cs="Times New Roman"/>
                        <w:szCs w:val="24"/>
                      </w:rPr>
                      <m:t>D</m:t>
                    </m:r>
                  </m:den>
                </m:f>
                <m:r>
                  <w:rPr>
                    <w:rFonts w:ascii="Cambria Math" w:hAnsi="Cambria Math" w:cs="Times New Roman"/>
                    <w:szCs w:val="24"/>
                  </w:rPr>
                  <m:t>γ</m:t>
                </m:r>
              </m:oMath>
            </m:oMathPara>
          </w:p>
        </w:tc>
        <w:tc>
          <w:tcPr>
            <w:tcW w:w="2829" w:type="dxa"/>
          </w:tcPr>
          <w:p w14:paraId="171EEDEB" w14:textId="77777777" w:rsidR="000C2D31" w:rsidRPr="00E26E4C" w:rsidRDefault="007B3686" w:rsidP="000C2D31">
            <w:pPr>
              <w:ind w:firstLine="0"/>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μ</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i/>
                            <w:szCs w:val="24"/>
                          </w:rPr>
                        </m:ctrlPr>
                      </m:sSupPr>
                      <m:e>
                        <m:r>
                          <w:rPr>
                            <w:rFonts w:ascii="Cambria Math" w:hAnsi="Cambria Math" w:cs="Times New Roman"/>
                            <w:szCs w:val="24"/>
                          </w:rPr>
                          <m:t>γ</m:t>
                        </m:r>
                      </m:e>
                      <m:sup>
                        <m:r>
                          <w:rPr>
                            <w:rFonts w:ascii="Cambria Math" w:hAnsi="Cambria Math" w:cs="Times New Roman"/>
                            <w:szCs w:val="24"/>
                          </w:rPr>
                          <m:t>*</m:t>
                        </m:r>
                      </m:sup>
                    </m:sSup>
                  </m:num>
                  <m:den>
                    <m:sSup>
                      <m:sSupPr>
                        <m:ctrlPr>
                          <w:rPr>
                            <w:rFonts w:ascii="Cambria Math" w:hAnsi="Cambria Math" w:cs="Times New Roman"/>
                            <w:i/>
                            <w:szCs w:val="24"/>
                          </w:rPr>
                        </m:ctrlPr>
                      </m:sSupPr>
                      <m:e>
                        <m:r>
                          <w:rPr>
                            <w:rFonts w:ascii="Cambria Math" w:hAnsi="Cambria Math" w:cs="Times New Roman"/>
                            <w:szCs w:val="24"/>
                          </w:rPr>
                          <m:t>β</m:t>
                        </m:r>
                      </m:e>
                      <m:sup>
                        <m:r>
                          <w:rPr>
                            <w:rFonts w:ascii="Cambria Math" w:hAnsi="Cambria Math" w:cs="Times New Roman"/>
                            <w:szCs w:val="24"/>
                          </w:rPr>
                          <m:t>*</m:t>
                        </m:r>
                      </m:sup>
                    </m:sSup>
                  </m:den>
                </m:f>
              </m:oMath>
            </m:oMathPara>
          </w:p>
        </w:tc>
      </w:tr>
      <w:tr w:rsidR="000C2D31" w14:paraId="24C54C34" w14:textId="77777777" w:rsidTr="000C2D31">
        <w:tc>
          <w:tcPr>
            <w:tcW w:w="2828" w:type="dxa"/>
          </w:tcPr>
          <w:p w14:paraId="6819876C"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m:t>
                    </m:r>
                  </m:num>
                  <m:den>
                    <m:sSub>
                      <m:sSubPr>
                        <m:ctrlPr>
                          <w:rPr>
                            <w:rFonts w:ascii="Cambria Math" w:hAnsi="Cambria Math" w:cs="Times New Roman"/>
                            <w:i/>
                            <w:iCs/>
                            <w:color w:val="000000" w:themeColor="text1"/>
                            <w:kern w:val="24"/>
                            <w:szCs w:val="24"/>
                          </w:rPr>
                        </m:ctrlPr>
                      </m:sSubPr>
                      <m:e>
                        <m:r>
                          <w:rPr>
                            <w:rFonts w:ascii="Cambria Math" w:hAnsi="Cambria Math"/>
                            <w:color w:val="000000" w:themeColor="text1"/>
                            <w:kern w:val="24"/>
                            <w:szCs w:val="24"/>
                          </w:rPr>
                          <m:t>n</m:t>
                        </m:r>
                      </m:e>
                      <m:sub>
                        <m:r>
                          <w:rPr>
                            <w:rFonts w:ascii="Cambria Math" w:hAnsi="Cambria Math"/>
                            <w:color w:val="000000" w:themeColor="text1"/>
                            <w:kern w:val="24"/>
                            <w:szCs w:val="24"/>
                          </w:rPr>
                          <m:t>∞</m:t>
                        </m:r>
                      </m:sub>
                    </m:sSub>
                  </m:den>
                </m:f>
              </m:oMath>
            </m:oMathPara>
          </w:p>
        </w:tc>
        <w:tc>
          <w:tcPr>
            <w:tcW w:w="2829" w:type="dxa"/>
          </w:tcPr>
          <w:p w14:paraId="366D381D"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m:t>
                    </m:r>
                  </m:num>
                  <m:den>
                    <m:sSub>
                      <m:sSubPr>
                        <m:ctrlPr>
                          <w:rPr>
                            <w:rFonts w:ascii="Cambria Math" w:hAnsi="Cambria Math" w:cs="Times New Roman"/>
                            <w:i/>
                            <w:iCs/>
                            <w:color w:val="000000" w:themeColor="text1"/>
                            <w:kern w:val="24"/>
                            <w:szCs w:val="24"/>
                          </w:rPr>
                        </m:ctrlPr>
                      </m:sSubPr>
                      <m:e>
                        <m:r>
                          <w:rPr>
                            <w:rFonts w:ascii="Cambria Math" w:hAnsi="Cambria Math"/>
                            <w:color w:val="000000" w:themeColor="text1"/>
                            <w:kern w:val="24"/>
                            <w:szCs w:val="24"/>
                          </w:rPr>
                          <m:t>N</m:t>
                        </m:r>
                      </m:e>
                      <m:sub>
                        <m:r>
                          <w:rPr>
                            <w:rFonts w:ascii="Cambria Math" w:hAnsi="Cambria Math"/>
                            <w:color w:val="000000" w:themeColor="text1"/>
                            <w:kern w:val="24"/>
                            <w:szCs w:val="24"/>
                          </w:rPr>
                          <m:t>∞</m:t>
                        </m:r>
                      </m:sub>
                    </m:sSub>
                  </m:den>
                </m:f>
              </m:oMath>
            </m:oMathPara>
          </w:p>
        </w:tc>
        <w:tc>
          <w:tcPr>
            <w:tcW w:w="2829" w:type="dxa"/>
          </w:tcPr>
          <w:p w14:paraId="170E905F" w14:textId="77777777" w:rsidR="000C2D31" w:rsidRPr="00E26E4C" w:rsidRDefault="007B3686" w:rsidP="000C2D31">
            <w:pPr>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t</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D</m:t>
                    </m:r>
                  </m:num>
                  <m:den>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2</m:t>
                        </m:r>
                      </m:sup>
                    </m:sSup>
                  </m:den>
                </m:f>
                <m:r>
                  <w:rPr>
                    <w:rFonts w:ascii="Cambria Math" w:hAnsi="Cambria Math" w:cs="Times New Roman"/>
                    <w:szCs w:val="24"/>
                  </w:rPr>
                  <m:t>t</m:t>
                </m:r>
              </m:oMath>
            </m:oMathPara>
          </w:p>
        </w:tc>
      </w:tr>
    </w:tbl>
    <w:p w14:paraId="30CCEFE4" w14:textId="54737B44" w:rsidR="007D3A7E" w:rsidRDefault="000C2D31" w:rsidP="00BB2C1B">
      <w:pPr>
        <w:rPr>
          <w:rFonts w:cs="Times New Roman"/>
          <w:szCs w:val="24"/>
        </w:rPr>
      </w:pPr>
      <w:r>
        <w:rPr>
          <w:rFonts w:cs="Times New Roman"/>
          <w:szCs w:val="24"/>
        </w:rPr>
        <w:t xml:space="preserve">Non-dimensional form of </w:t>
      </w:r>
      <w:r w:rsidR="00AD2E2C">
        <w:rPr>
          <w:rFonts w:cs="Times New Roman"/>
          <w:szCs w:val="24"/>
        </w:rPr>
        <w:t>3D HDM</w:t>
      </w:r>
      <w:r>
        <w:rPr>
          <w:rFonts w:cs="Times New Roman"/>
          <w:szCs w:val="24"/>
        </w:rPr>
        <w:t xml:space="preserve"> is similar to the non-dimensional form of </w:t>
      </w:r>
      <w:r w:rsidR="00AD2E2C">
        <w:rPr>
          <w:rFonts w:cs="Times New Roman"/>
          <w:szCs w:val="24"/>
        </w:rPr>
        <w:t>1D HDM</w:t>
      </w:r>
      <w:r>
        <w:rPr>
          <w:rFonts w:cs="Times New Roman"/>
          <w:szCs w:val="24"/>
        </w:rPr>
        <w:t xml:space="preserve">. The only difference that </w:t>
      </w:r>
      <w:r w:rsidR="00AD2E2C">
        <w:rPr>
          <w:rFonts w:cs="Times New Roman"/>
          <w:szCs w:val="24"/>
        </w:rPr>
        <w:t>3D HDM</w:t>
      </w:r>
      <w:r>
        <w:rPr>
          <w:rFonts w:cs="Times New Roman"/>
          <w:szCs w:val="24"/>
        </w:rPr>
        <w:t xml:space="preserve"> has the spatial Laplacian of the unbound concentration instead of curvature of the unbound concentration. Having a similar non-dimensional formula allow</w:t>
      </w:r>
      <w:r w:rsidR="002C020A">
        <w:rPr>
          <w:rFonts w:cs="Times New Roman"/>
          <w:szCs w:val="24"/>
        </w:rPr>
        <w:t>s</w:t>
      </w:r>
      <w:r>
        <w:rPr>
          <w:rFonts w:cs="Times New Roman"/>
          <w:szCs w:val="24"/>
        </w:rPr>
        <w:t xml:space="preserve"> transformation between the non-trivial solutions of the models. Seeking an approximate analytical solution for </w:t>
      </w:r>
      <w:r w:rsidR="00AD2E2C">
        <w:rPr>
          <w:rFonts w:cs="Times New Roman"/>
          <w:szCs w:val="24"/>
        </w:rPr>
        <w:t>3D HDM</w:t>
      </w:r>
      <w:r>
        <w:rPr>
          <w:rFonts w:cs="Times New Roman"/>
          <w:szCs w:val="24"/>
        </w:rPr>
        <w:t xml:space="preserve"> is found to be mathematically challenging. Non-dimensional solution similarity yielded that the </w:t>
      </w:r>
      <w:r w:rsidR="00AD2E2C">
        <w:rPr>
          <w:rFonts w:cs="Times New Roman"/>
          <w:szCs w:val="24"/>
        </w:rPr>
        <w:t>3D HDM</w:t>
      </w:r>
      <w:r>
        <w:rPr>
          <w:rFonts w:cs="Times New Roman"/>
          <w:szCs w:val="24"/>
        </w:rPr>
        <w:t xml:space="preserve"> and </w:t>
      </w:r>
      <w:r w:rsidR="00AD2E2C">
        <w:rPr>
          <w:rFonts w:cs="Times New Roman"/>
          <w:szCs w:val="24"/>
        </w:rPr>
        <w:t>1D HDM</w:t>
      </w:r>
      <w:r>
        <w:rPr>
          <w:rFonts w:cs="Times New Roman"/>
          <w:szCs w:val="24"/>
        </w:rPr>
        <w:t xml:space="preserve"> have</w:t>
      </w:r>
      <w:r w:rsidR="002C020A">
        <w:rPr>
          <w:rFonts w:cs="Times New Roman"/>
          <w:szCs w:val="24"/>
        </w:rPr>
        <w:t xml:space="preserve"> the</w:t>
      </w:r>
      <w:r>
        <w:rPr>
          <w:rFonts w:cs="Times New Roman"/>
          <w:szCs w:val="24"/>
        </w:rPr>
        <w:t xml:space="preserve"> same approximate solution shown in Eqs. </w:t>
      </w:r>
      <w:r w:rsidR="009B05F7">
        <w:rPr>
          <w:rFonts w:cs="Times New Roman"/>
          <w:szCs w:val="24"/>
        </w:rPr>
        <w:t>(</w:t>
      </w:r>
      <w:r>
        <w:rPr>
          <w:rFonts w:cs="Times New Roman"/>
          <w:szCs w:val="24"/>
        </w:rPr>
        <w:t>12-13</w:t>
      </w:r>
      <w:r w:rsidR="009B05F7">
        <w:rPr>
          <w:rFonts w:cs="Times New Roman"/>
          <w:szCs w:val="24"/>
        </w:rPr>
        <w:t>)</w:t>
      </w:r>
      <w:r>
        <w:rPr>
          <w:rFonts w:cs="Times New Roman"/>
          <w:szCs w:val="24"/>
        </w:rPr>
        <w:t xml:space="preserve">. It should </w:t>
      </w:r>
      <w:r>
        <w:rPr>
          <w:rFonts w:cs="Times New Roman"/>
          <w:szCs w:val="24"/>
        </w:rPr>
        <w:lastRenderedPageBreak/>
        <w:t xml:space="preserve">be noted here that the diffusivity used for </w:t>
      </w:r>
      <w:r w:rsidR="00AD2E2C">
        <w:rPr>
          <w:rFonts w:cs="Times New Roman"/>
          <w:szCs w:val="24"/>
        </w:rPr>
        <w:t>3D HDM</w:t>
      </w:r>
      <w:r>
        <w:rPr>
          <w:rFonts w:cs="Times New Roman"/>
          <w:szCs w:val="24"/>
        </w:rPr>
        <w:t xml:space="preserve"> should be the average diffusivity in Eq. </w:t>
      </w:r>
      <w:r w:rsidR="009B05F7">
        <w:rPr>
          <w:rFonts w:cs="Times New Roman"/>
          <w:szCs w:val="24"/>
        </w:rPr>
        <w:t>(</w:t>
      </w:r>
      <w:r>
        <w:rPr>
          <w:rFonts w:cs="Times New Roman"/>
          <w:szCs w:val="24"/>
        </w:rPr>
        <w:t>31</w:t>
      </w:r>
      <w:r w:rsidR="009B05F7">
        <w:rPr>
          <w:rFonts w:cs="Times New Roman"/>
          <w:szCs w:val="24"/>
        </w:rPr>
        <w:t>)</w:t>
      </w:r>
      <w:r>
        <w:rPr>
          <w:rFonts w:cs="Times New Roman"/>
          <w:szCs w:val="24"/>
        </w:rPr>
        <w:t xml:space="preserve">. The approximate solution of </w:t>
      </w:r>
      <w:r w:rsidR="00AD2E2C">
        <w:rPr>
          <w:rFonts w:cs="Times New Roman"/>
          <w:szCs w:val="24"/>
        </w:rPr>
        <w:t>3D HDM</w:t>
      </w:r>
      <w:r>
        <w:rPr>
          <w:rFonts w:cs="Times New Roman"/>
          <w:szCs w:val="24"/>
        </w:rPr>
        <w:t xml:space="preserve"> can be utilized to find initial guesses in</w:t>
      </w:r>
      <w:r w:rsidR="00BB2C1B">
        <w:rPr>
          <w:rFonts w:cs="Times New Roman"/>
          <w:szCs w:val="24"/>
        </w:rPr>
        <w:t xml:space="preserve"> absorption parameter recovery.</w:t>
      </w:r>
    </w:p>
    <w:p w14:paraId="5B233497" w14:textId="77777777" w:rsidR="000C2D31" w:rsidRPr="006F68D2" w:rsidRDefault="000C2D31" w:rsidP="00BB2C1B">
      <w:pPr>
        <w:pStyle w:val="Heading2"/>
      </w:pPr>
      <w:bookmarkStart w:id="73" w:name="_Toc403980423"/>
      <w:bookmarkStart w:id="74" w:name="_Toc531943748"/>
      <w:r>
        <w:t>2.5. Other Diffusion Models</w:t>
      </w:r>
      <w:bookmarkEnd w:id="73"/>
      <w:bookmarkEnd w:id="74"/>
    </w:p>
    <w:p w14:paraId="70A57864" w14:textId="5F90B56A" w:rsidR="000C2D31" w:rsidRDefault="000C2D31" w:rsidP="00B63058">
      <w:pPr>
        <w:pStyle w:val="Heading3"/>
        <w:numPr>
          <w:ilvl w:val="0"/>
          <w:numId w:val="23"/>
        </w:numPr>
      </w:pPr>
      <w:bookmarkStart w:id="75" w:name="_Toc403980424"/>
      <w:bookmarkStart w:id="76" w:name="_Toc531943749"/>
      <w:r>
        <w:t>Dual-Diffusivity Model</w:t>
      </w:r>
      <w:bookmarkEnd w:id="75"/>
      <w:bookmarkEnd w:id="76"/>
    </w:p>
    <w:p w14:paraId="170897FB" w14:textId="6D4CC6F4" w:rsidR="000C2D31" w:rsidRDefault="000C2D31" w:rsidP="000C2D31">
      <w:r>
        <w:t xml:space="preserve">Jacobs and Jones </w:t>
      </w:r>
      <w:r>
        <w:fldChar w:fldCharType="begin" w:fldLock="1"/>
      </w:r>
      <w:r w:rsidR="00B274D5">
        <w:instrText>ADDIN CSL_CITATION {"citationItems":[{"id":"ITEM-1","itemData":{"DOI":"10.1007/BF01174494","ISSN":"00222461","author":[{"dropping-particle":"","family":"Jacobs","given":"P. M.","non-dropping-particle":"","parse-names":false,"suffix":""},{"dropping-particle":"","family":"Jones","given":"E. R.","non-dropping-particle":"","parse-names":false,"suffix":""}],"container-title":"Journal of Materials Science","id":"ITEM-1","issue":"7","issued":{"date-parts":[["1989"]]},"page":"2343-2347","title":"Diffusion of moisture into two-phase polymers - Part 2 Styrenated polyester resins","type":"article-journal","volume":"24"},"uris":["http://www.mendeley.com/documents/?uuid=59367bef-043a-42a2-ba22-db5730ed88f6"]}],"mendeley":{"formattedCitation":"[50]","plainTextFormattedCitation":"[50]","previouslyFormattedCitation":"[50]"},"properties":{"noteIndex":0},"schema":"https://github.com/citation-style-language/schema/raw/master/csl-citation.json"}</w:instrText>
      </w:r>
      <w:r>
        <w:fldChar w:fldCharType="separate"/>
      </w:r>
      <w:r w:rsidR="007021F2" w:rsidRPr="007021F2">
        <w:rPr>
          <w:noProof/>
        </w:rPr>
        <w:t>[50]</w:t>
      </w:r>
      <w:r>
        <w:fldChar w:fldCharType="end"/>
      </w:r>
      <w:r>
        <w:t xml:space="preserve"> proposed a dual-diffusivity model describing</w:t>
      </w:r>
      <w:r w:rsidRPr="00FA7B3C">
        <w:t xml:space="preserve"> the moisture absorption behavior of a polymer</w:t>
      </w:r>
      <w:r>
        <w:t xml:space="preserve"> with two phases</w:t>
      </w:r>
      <w:r w:rsidRPr="00FA7B3C">
        <w:t xml:space="preserve">. </w:t>
      </w:r>
      <w:r>
        <w:t xml:space="preserve">Two-phase polymer </w:t>
      </w:r>
      <w:r w:rsidR="002C020A">
        <w:t xml:space="preserve">is </w:t>
      </w:r>
      <w:r>
        <w:t>assumed to consist of dense and les</w:t>
      </w:r>
      <w:r w:rsidR="00AD2E2C">
        <w:t>s dense polymer phases which have</w:t>
      </w:r>
      <w:r>
        <w:t xml:space="preserve"> different diffusivity and maximum moisture content. Thus, both phases absorb water in different rates.</w:t>
      </w:r>
    </w:p>
    <w:p w14:paraId="3FBB3134" w14:textId="5F1A23D3" w:rsidR="000C2D31" w:rsidRDefault="00E95B4D" w:rsidP="000C2D31">
      <w:r>
        <w:rPr>
          <w:rFonts w:cs="Times New Roman"/>
          <w:szCs w:val="24"/>
        </w:rPr>
        <w:fldChar w:fldCharType="begin"/>
      </w:r>
      <w:r>
        <w:instrText xml:space="preserve"> REF _Ref521416130 \h </w:instrText>
      </w:r>
      <w:r>
        <w:rPr>
          <w:rFonts w:cs="Times New Roman"/>
          <w:szCs w:val="24"/>
        </w:rPr>
      </w:r>
      <w:r>
        <w:rPr>
          <w:rFonts w:cs="Times New Roman"/>
          <w:szCs w:val="24"/>
        </w:rPr>
        <w:fldChar w:fldCharType="separate"/>
      </w:r>
      <w:r w:rsidR="006D52C2">
        <w:t xml:space="preserve">Figure </w:t>
      </w:r>
      <w:r w:rsidR="006D52C2">
        <w:rPr>
          <w:noProof/>
        </w:rPr>
        <w:t>13</w:t>
      </w:r>
      <w:r>
        <w:rPr>
          <w:rFonts w:cs="Times New Roman"/>
          <w:szCs w:val="24"/>
        </w:rPr>
        <w:fldChar w:fldCharType="end"/>
      </w:r>
      <w:r>
        <w:rPr>
          <w:rFonts w:cs="Times New Roman"/>
          <w:szCs w:val="24"/>
        </w:rPr>
        <w:t xml:space="preserve"> </w:t>
      </w:r>
      <w:r w:rsidR="000C2D31" w:rsidRPr="00675DCA">
        <w:t xml:space="preserve">shows a typical </w:t>
      </w:r>
      <w:r w:rsidR="000C2D31">
        <w:t>non-Fickian</w:t>
      </w:r>
      <w:r w:rsidR="000C2D31" w:rsidRPr="00675DCA">
        <w:t xml:space="preserve"> type </w:t>
      </w:r>
      <w:r w:rsidR="000C2D31">
        <w:t>uptake behavior of moisture absorption and different regions of dual diffusivity model</w:t>
      </w:r>
      <w:r w:rsidR="000C2D31" w:rsidRPr="00675DCA">
        <w:t>.</w:t>
      </w:r>
      <w:r w:rsidR="000C2D31">
        <w:t xml:space="preserve"> Region I is the initial absorption where </w:t>
      </w:r>
      <w:r w:rsidR="00AD2E2C">
        <w:t xml:space="preserve">diffusion takes place in </w:t>
      </w:r>
      <w:r w:rsidR="000C2D31">
        <w:t xml:space="preserve">both phases. In Region II, only dense phase continues absorption whereas the less dense phase assumed to be saturated </w:t>
      </w:r>
    </w:p>
    <w:p w14:paraId="0B5B7A80" w14:textId="27DE4F02" w:rsidR="000C2D31" w:rsidRDefault="000C2D31" w:rsidP="000C2D31">
      <w:r>
        <w:t>Each phase has own diffusion coefficient and equilibrium moisture content. The equilibrium moisture content of less dense phase</w:t>
      </w:r>
      <w:proofErr w:type="gramStart"/>
      <w:r>
        <w:t xml:space="preserve">, </w:t>
      </w:r>
      <w:proofErr w:type="gramEnd"/>
      <m:oMath>
        <m:sSub>
          <m:sSubPr>
            <m:ctrlPr>
              <w:rPr>
                <w:rFonts w:ascii="Cambria Math" w:hAnsi="Cambria Math"/>
                <w:i/>
              </w:rPr>
            </m:ctrlPr>
          </m:sSubPr>
          <m:e>
            <m:r>
              <w:rPr>
                <w:rFonts w:ascii="Cambria Math" w:hAnsi="Cambria Math"/>
              </w:rPr>
              <m:t>M</m:t>
            </m:r>
          </m:e>
          <m:sub>
            <m:r>
              <w:rPr>
                <w:rFonts w:ascii="Cambria Math" w:hAnsi="Cambria Math"/>
              </w:rPr>
              <m:t>l</m:t>
            </m:r>
          </m:sub>
        </m:sSub>
      </m:oMath>
      <w:r>
        <w:t xml:space="preserve">, is found by extrapolating the slope of the absorption curve in Region II to moisture content axis. Subtracting </w:t>
      </w:r>
      <m:oMath>
        <m:sSub>
          <m:sSubPr>
            <m:ctrlPr>
              <w:rPr>
                <w:rFonts w:ascii="Cambria Math" w:hAnsi="Cambria Math"/>
                <w:i/>
              </w:rPr>
            </m:ctrlPr>
          </m:sSubPr>
          <m:e>
            <m:r>
              <w:rPr>
                <w:rFonts w:ascii="Cambria Math" w:hAnsi="Cambria Math"/>
              </w:rPr>
              <m:t>M</m:t>
            </m:r>
          </m:e>
          <m:sub>
            <m:r>
              <w:rPr>
                <w:rFonts w:ascii="Cambria Math" w:hAnsi="Cambria Math"/>
              </w:rPr>
              <m:t>l</m:t>
            </m:r>
          </m:sub>
        </m:sSub>
      </m:oMath>
      <w:r>
        <w:t xml:space="preserve"> from max</w:t>
      </w:r>
      <w:proofErr w:type="spellStart"/>
      <w:r>
        <w:t>imum</w:t>
      </w:r>
      <w:proofErr w:type="spellEnd"/>
      <w:r>
        <w:t xml:space="preserve"> moisture content</w:t>
      </w:r>
      <w:proofErr w:type="gramStart"/>
      <w:r>
        <w:t xml:space="preserve">, </w:t>
      </w:r>
      <w:proofErr w:type="gramEnd"/>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gives the equilibrium moisture content of dense phase, </w:t>
      </w:r>
      <m:oMath>
        <m:sSub>
          <m:sSubPr>
            <m:ctrlPr>
              <w:rPr>
                <w:rFonts w:ascii="Cambria Math" w:hAnsi="Cambria Math"/>
                <w:i/>
              </w:rPr>
            </m:ctrlPr>
          </m:sSubPr>
          <m:e>
            <m:r>
              <w:rPr>
                <w:rFonts w:ascii="Cambria Math" w:hAnsi="Cambria Math"/>
              </w:rPr>
              <m:t>M</m:t>
            </m:r>
          </m:e>
          <m:sub>
            <m:r>
              <w:rPr>
                <w:rFonts w:ascii="Cambria Math" w:hAnsi="Cambria Math"/>
              </w:rPr>
              <m:t>d</m:t>
            </m:r>
          </m:sub>
        </m:sSub>
      </m:oMath>
      <w:r>
        <w:t>. Using the equilibrium moisture contents and the initial slope</w:t>
      </w:r>
      <w:proofErr w:type="gramStart"/>
      <w:r>
        <w:t xml:space="preserve">, </w:t>
      </w:r>
      <w:proofErr w:type="gramEnd"/>
      <m:oMath>
        <m:sSub>
          <m:sSubPr>
            <m:ctrlPr>
              <w:rPr>
                <w:rFonts w:ascii="Cambria Math" w:hAnsi="Cambria Math"/>
                <w:i/>
              </w:rPr>
            </m:ctrlPr>
          </m:sSubPr>
          <m:e>
            <m:r>
              <w:rPr>
                <w:rFonts w:ascii="Cambria Math" w:hAnsi="Cambria Math"/>
              </w:rPr>
              <m:t>s</m:t>
            </m:r>
          </m:e>
          <m:sub>
            <m:r>
              <w:rPr>
                <w:rFonts w:ascii="Cambria Math" w:hAnsi="Cambria Math"/>
              </w:rPr>
              <m:t>1</m:t>
            </m:r>
          </m:sub>
        </m:sSub>
      </m:oMath>
      <w:r>
        <w:t xml:space="preserve">, and the slope of Region II, </w:t>
      </w:r>
      <m:oMath>
        <m:sSub>
          <m:sSubPr>
            <m:ctrlPr>
              <w:rPr>
                <w:rFonts w:ascii="Cambria Math" w:hAnsi="Cambria Math"/>
                <w:i/>
              </w:rPr>
            </m:ctrlPr>
          </m:sSubPr>
          <m:e>
            <m:r>
              <w:rPr>
                <w:rFonts w:ascii="Cambria Math" w:hAnsi="Cambria Math"/>
              </w:rPr>
              <m:t>s</m:t>
            </m:r>
          </m:e>
          <m:sub>
            <m:r>
              <w:rPr>
                <w:rFonts w:ascii="Cambria Math" w:hAnsi="Cambria Math"/>
              </w:rPr>
              <m:t>d</m:t>
            </m:r>
          </m:sub>
        </m:sSub>
      </m:oMath>
      <w:r>
        <w:t xml:space="preserve">, average diffusion coefficient, </w:t>
      </w:r>
      <m:oMath>
        <m:sSub>
          <m:sSubPr>
            <m:ctrlPr>
              <w:rPr>
                <w:rFonts w:ascii="Cambria Math" w:hAnsi="Cambria Math"/>
                <w:i/>
              </w:rPr>
            </m:ctrlPr>
          </m:sSubPr>
          <m:e>
            <m:r>
              <w:rPr>
                <w:rFonts w:ascii="Cambria Math" w:hAnsi="Cambria Math"/>
              </w:rPr>
              <m:t>D</m:t>
            </m:r>
          </m:e>
          <m:sub>
            <m:r>
              <w:rPr>
                <w:rFonts w:ascii="Cambria Math" w:hAnsi="Cambria Math"/>
              </w:rPr>
              <m:t>z</m:t>
            </m:r>
          </m:sub>
        </m:sSub>
      </m:oMath>
      <w:r>
        <w:t xml:space="preserve">, and diffusion coefficients of dense phase, </w:t>
      </w:r>
      <m:oMath>
        <m:sSub>
          <m:sSubPr>
            <m:ctrlPr>
              <w:rPr>
                <w:rFonts w:ascii="Cambria Math" w:hAnsi="Cambria Math"/>
                <w:i/>
              </w:rPr>
            </m:ctrlPr>
          </m:sSubPr>
          <m:e>
            <m:r>
              <w:rPr>
                <w:rFonts w:ascii="Cambria Math" w:hAnsi="Cambria Math"/>
              </w:rPr>
              <m:t>D</m:t>
            </m:r>
          </m:e>
          <m:sub>
            <m:r>
              <w:rPr>
                <w:rFonts w:ascii="Cambria Math" w:hAnsi="Cambria Math"/>
              </w:rPr>
              <m:t>d</m:t>
            </m:r>
          </m:sub>
        </m:sSub>
      </m:oMath>
      <w:r>
        <w:t>, and less</w:t>
      </w:r>
      <w:r w:rsidRPr="00CA3515">
        <w:t xml:space="preserve"> </w:t>
      </w:r>
      <w:r>
        <w:t xml:space="preserve">dense phase, </w:t>
      </w:r>
      <m:oMath>
        <m:sSub>
          <m:sSubPr>
            <m:ctrlPr>
              <w:rPr>
                <w:rFonts w:ascii="Cambria Math" w:hAnsi="Cambria Math"/>
                <w:i/>
              </w:rPr>
            </m:ctrlPr>
          </m:sSubPr>
          <m:e>
            <m:r>
              <w:rPr>
                <w:rFonts w:ascii="Cambria Math" w:hAnsi="Cambria Math"/>
              </w:rPr>
              <m:t>D</m:t>
            </m:r>
          </m:e>
          <m:sub>
            <m:r>
              <w:rPr>
                <w:rFonts w:ascii="Cambria Math" w:hAnsi="Cambria Math"/>
              </w:rPr>
              <m:t>l</m:t>
            </m:r>
          </m:sub>
        </m:sSub>
      </m:oMath>
      <w:r>
        <w:t xml:space="preserve"> can be found using Eqs. </w:t>
      </w:r>
      <w:r w:rsidR="009B05F7">
        <w:t>(</w:t>
      </w:r>
      <w:r>
        <w:t>33a-c</w:t>
      </w:r>
      <w:r w:rsidR="009B05F7">
        <w:t>)</w:t>
      </w:r>
      <w:r>
        <w:t>.</w:t>
      </w:r>
    </w:p>
    <w:p w14:paraId="0F187C14" w14:textId="77777777" w:rsidR="00810427" w:rsidRDefault="00810427" w:rsidP="000C2D31"/>
    <w:p w14:paraId="6928B721" w14:textId="77777777" w:rsidR="00A230BA" w:rsidRDefault="00A230BA" w:rsidP="000C2D31"/>
    <w:tbl>
      <w:tblPr>
        <w:tblW w:w="8550" w:type="dxa"/>
        <w:tblLook w:val="04A0" w:firstRow="1" w:lastRow="0" w:firstColumn="1" w:lastColumn="0" w:noHBand="0" w:noVBand="1"/>
      </w:tblPr>
      <w:tblGrid>
        <w:gridCol w:w="7735"/>
        <w:gridCol w:w="815"/>
      </w:tblGrid>
      <w:tr w:rsidR="000C2D31" w14:paraId="02D233FB" w14:textId="77777777" w:rsidTr="007D7AB8">
        <w:tc>
          <w:tcPr>
            <w:tcW w:w="7735" w:type="dxa"/>
            <w:vAlign w:val="center"/>
          </w:tcPr>
          <w:p w14:paraId="4F773579" w14:textId="77777777" w:rsidR="000C2D31" w:rsidRPr="005B2788" w:rsidRDefault="007B3686" w:rsidP="00810427">
            <w:pPr>
              <w:spacing w:line="360" w:lineRule="auto"/>
              <w:ind w:firstLine="0"/>
              <w:jc w:val="center"/>
              <w:rPr>
                <w:rFonts w:eastAsia="Times New Roman" w:cs="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z</m:t>
                    </m:r>
                  </m:sub>
                </m:sSub>
                <m:r>
                  <w:rPr>
                    <w:rFonts w:ascii="Cambria Math" w:hAnsi="Cambria Math"/>
                  </w:rPr>
                  <m:t>=</m:t>
                </m:r>
                <m:sSup>
                  <m:sSupPr>
                    <m:ctrlPr>
                      <w:rPr>
                        <w:rFonts w:ascii="Cambria Math" w:hAnsi="Cambria Math"/>
                        <w:i/>
                      </w:rPr>
                    </m:ctrlPr>
                  </m:sSupPr>
                  <m:e>
                    <m:r>
                      <w:rPr>
                        <w:rFonts w:ascii="Cambria Math" w:hAnsi="Cambria Math"/>
                      </w:rPr>
                      <m:t>π</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h</m:t>
                            </m:r>
                          </m:num>
                          <m:den>
                            <m:sSub>
                              <m:sSubPr>
                                <m:ctrlPr>
                                  <w:rPr>
                                    <w:rFonts w:ascii="Cambria Math" w:hAnsi="Cambria Math"/>
                                    <w:i/>
                                  </w:rPr>
                                </m:ctrlPr>
                              </m:sSubPr>
                              <m:e>
                                <m:r>
                                  <w:rPr>
                                    <w:rFonts w:ascii="Cambria Math" w:hAnsi="Cambria Math"/>
                                  </w:rPr>
                                  <m:t>4M</m:t>
                                </m:r>
                              </m:e>
                              <m:sub>
                                <m:r>
                                  <w:rPr>
                                    <w:rFonts w:ascii="Cambria Math" w:hAnsi="Cambria Math"/>
                                  </w:rPr>
                                  <m:t>∞</m:t>
                                </m:r>
                              </m:sub>
                            </m:sSub>
                          </m:den>
                        </m:f>
                      </m:e>
                    </m:d>
                  </m:e>
                  <m:sup>
                    <m:r>
                      <w:rPr>
                        <w:rFonts w:ascii="Cambria Math" w:hAnsi="Cambria Math"/>
                      </w:rPr>
                      <m:t>2</m:t>
                    </m:r>
                  </m:sup>
                </m:sSup>
              </m:oMath>
            </m:oMathPara>
          </w:p>
        </w:tc>
        <w:tc>
          <w:tcPr>
            <w:tcW w:w="815" w:type="dxa"/>
            <w:vAlign w:val="center"/>
          </w:tcPr>
          <w:p w14:paraId="2B4B4CE8" w14:textId="77777777" w:rsidR="000C2D31" w:rsidRDefault="000C2D31" w:rsidP="00810427">
            <w:pPr>
              <w:spacing w:line="360" w:lineRule="auto"/>
              <w:ind w:firstLine="0"/>
              <w:jc w:val="right"/>
            </w:pPr>
            <w:r>
              <w:t>(33a)</w:t>
            </w:r>
          </w:p>
        </w:tc>
      </w:tr>
      <w:tr w:rsidR="000C2D31" w14:paraId="6ECBFC94" w14:textId="77777777" w:rsidTr="007D7AB8">
        <w:tc>
          <w:tcPr>
            <w:tcW w:w="7735" w:type="dxa"/>
            <w:vAlign w:val="center"/>
          </w:tcPr>
          <w:p w14:paraId="5520D38A" w14:textId="77777777" w:rsidR="000C2D31" w:rsidRDefault="007B3686" w:rsidP="00810427">
            <w:pPr>
              <w:spacing w:line="360" w:lineRule="auto"/>
              <w:ind w:firstLine="0"/>
              <w:jc w:val="center"/>
            </w:pPr>
            <m:oMathPara>
              <m:oMath>
                <m:sSub>
                  <m:sSubPr>
                    <m:ctrlPr>
                      <w:rPr>
                        <w:rFonts w:ascii="Cambria Math" w:hAnsi="Cambria Math"/>
                        <w:i/>
                      </w:rPr>
                    </m:ctrlPr>
                  </m:sSubPr>
                  <m:e>
                    <m:r>
                      <w:rPr>
                        <w:rFonts w:ascii="Cambria Math" w:hAnsi="Cambria Math"/>
                      </w:rPr>
                      <m:t>D</m:t>
                    </m:r>
                  </m:e>
                  <m:sub>
                    <m:r>
                      <w:rPr>
                        <w:rFonts w:ascii="Cambria Math" w:hAnsi="Cambria Math"/>
                      </w:rPr>
                      <m:t>d</m:t>
                    </m:r>
                  </m:sub>
                </m:sSub>
                <m:r>
                  <w:rPr>
                    <w:rFonts w:ascii="Cambria Math" w:hAnsi="Cambria Math"/>
                  </w:rPr>
                  <m:t>=</m:t>
                </m:r>
                <m:sSup>
                  <m:sSupPr>
                    <m:ctrlPr>
                      <w:rPr>
                        <w:rFonts w:ascii="Cambria Math" w:hAnsi="Cambria Math"/>
                        <w:i/>
                      </w:rPr>
                    </m:ctrlPr>
                  </m:sSupPr>
                  <m:e>
                    <m:r>
                      <w:rPr>
                        <w:rFonts w:ascii="Cambria Math" w:hAnsi="Cambria Math"/>
                      </w:rPr>
                      <m:t>π</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d</m:t>
                                </m:r>
                              </m:sub>
                            </m:sSub>
                            <m:r>
                              <w:rPr>
                                <w:rFonts w:ascii="Cambria Math" w:hAnsi="Cambria Math"/>
                              </w:rPr>
                              <m:t>h</m:t>
                            </m:r>
                          </m:num>
                          <m:den>
                            <m:sSub>
                              <m:sSubPr>
                                <m:ctrlPr>
                                  <w:rPr>
                                    <w:rFonts w:ascii="Cambria Math" w:hAnsi="Cambria Math"/>
                                    <w:i/>
                                  </w:rPr>
                                </m:ctrlPr>
                              </m:sSubPr>
                              <m:e>
                                <m:r>
                                  <w:rPr>
                                    <w:rFonts w:ascii="Cambria Math" w:hAnsi="Cambria Math"/>
                                  </w:rPr>
                                  <m:t>4M</m:t>
                                </m:r>
                              </m:e>
                              <m:sub>
                                <m:r>
                                  <w:rPr>
                                    <w:rFonts w:ascii="Cambria Math" w:hAnsi="Cambria Math"/>
                                  </w:rPr>
                                  <m:t>d</m:t>
                                </m:r>
                              </m:sub>
                            </m:sSub>
                          </m:den>
                        </m:f>
                      </m:e>
                    </m:d>
                  </m:e>
                  <m:sup>
                    <m:r>
                      <w:rPr>
                        <w:rFonts w:ascii="Cambria Math" w:hAnsi="Cambria Math"/>
                      </w:rPr>
                      <m:t>2</m:t>
                    </m:r>
                  </m:sup>
                </m:sSup>
              </m:oMath>
            </m:oMathPara>
          </w:p>
        </w:tc>
        <w:tc>
          <w:tcPr>
            <w:tcW w:w="815" w:type="dxa"/>
            <w:vAlign w:val="center"/>
          </w:tcPr>
          <w:p w14:paraId="6760272E" w14:textId="77777777" w:rsidR="000C2D31" w:rsidRDefault="000C2D31" w:rsidP="00810427">
            <w:pPr>
              <w:spacing w:line="360" w:lineRule="auto"/>
              <w:ind w:firstLine="0"/>
              <w:jc w:val="right"/>
            </w:pPr>
            <w:r>
              <w:t>(33b)</w:t>
            </w:r>
          </w:p>
        </w:tc>
      </w:tr>
      <w:tr w:rsidR="000C2D31" w14:paraId="2F8D86DC" w14:textId="77777777" w:rsidTr="007D7AB8">
        <w:tc>
          <w:tcPr>
            <w:tcW w:w="7735" w:type="dxa"/>
            <w:vAlign w:val="center"/>
          </w:tcPr>
          <w:p w14:paraId="22A5B70C" w14:textId="77777777" w:rsidR="000C2D31" w:rsidRDefault="007B3686" w:rsidP="00810427">
            <w:pPr>
              <w:spacing w:line="360" w:lineRule="auto"/>
              <w:ind w:firstLine="0"/>
              <w:jc w:val="center"/>
            </w:pPr>
            <m:oMathPara>
              <m:oMath>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m:t>
                </m:r>
                <m:sSup>
                  <m:sSupPr>
                    <m:ctrlPr>
                      <w:rPr>
                        <w:rFonts w:ascii="Cambria Math" w:hAnsi="Cambria Math"/>
                        <w:i/>
                      </w:rPr>
                    </m:ctrlPr>
                  </m:sSupPr>
                  <m:e>
                    <m:r>
                      <w:rPr>
                        <w:rFonts w:ascii="Cambria Math" w:hAnsi="Cambria Math"/>
                      </w:rPr>
                      <m:t>π</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d</m:t>
                                </m:r>
                              </m:sub>
                            </m:sSub>
                            <m:r>
                              <w:rPr>
                                <w:rFonts w:ascii="Cambria Math" w:hAnsi="Cambria Math"/>
                              </w:rPr>
                              <m:t>)h</m:t>
                            </m:r>
                          </m:num>
                          <m:den>
                            <m:sSub>
                              <m:sSubPr>
                                <m:ctrlPr>
                                  <w:rPr>
                                    <w:rFonts w:ascii="Cambria Math" w:hAnsi="Cambria Math"/>
                                    <w:i/>
                                  </w:rPr>
                                </m:ctrlPr>
                              </m:sSubPr>
                              <m:e>
                                <m:r>
                                  <w:rPr>
                                    <w:rFonts w:ascii="Cambria Math" w:hAnsi="Cambria Math"/>
                                  </w:rPr>
                                  <m:t>4M</m:t>
                                </m:r>
                              </m:e>
                              <m:sub>
                                <m:r>
                                  <w:rPr>
                                    <w:rFonts w:ascii="Cambria Math" w:hAnsi="Cambria Math"/>
                                  </w:rPr>
                                  <m:t>l</m:t>
                                </m:r>
                              </m:sub>
                            </m:sSub>
                          </m:den>
                        </m:f>
                      </m:e>
                    </m:d>
                  </m:e>
                  <m:sup>
                    <m:r>
                      <w:rPr>
                        <w:rFonts w:ascii="Cambria Math" w:hAnsi="Cambria Math"/>
                      </w:rPr>
                      <m:t>2</m:t>
                    </m:r>
                  </m:sup>
                </m:sSup>
              </m:oMath>
            </m:oMathPara>
          </w:p>
        </w:tc>
        <w:tc>
          <w:tcPr>
            <w:tcW w:w="815" w:type="dxa"/>
            <w:vAlign w:val="center"/>
          </w:tcPr>
          <w:p w14:paraId="4A6C15CF" w14:textId="77777777" w:rsidR="000C2D31" w:rsidRDefault="000C2D31" w:rsidP="00810427">
            <w:pPr>
              <w:spacing w:line="360" w:lineRule="auto"/>
              <w:ind w:firstLine="0"/>
              <w:jc w:val="right"/>
            </w:pPr>
            <w:r>
              <w:t>(33c)</w:t>
            </w:r>
          </w:p>
        </w:tc>
      </w:tr>
    </w:tbl>
    <w:p w14:paraId="637B6589" w14:textId="332339CA" w:rsidR="000C2D31" w:rsidRDefault="000C2D31" w:rsidP="000C2D31">
      <w:r w:rsidRPr="00495A44">
        <w:t>The normalized moisture absorption curve</w:t>
      </w:r>
      <w:r>
        <w:t xml:space="preserve"> is represented by Eq. </w:t>
      </w:r>
      <w:r w:rsidR="009B05F7">
        <w:t>(</w:t>
      </w:r>
      <w:r>
        <w:t>34</w:t>
      </w:r>
      <w:r w:rsidR="009B05F7">
        <w:t>)</w:t>
      </w:r>
      <w:r>
        <w:t>.</w:t>
      </w:r>
    </w:p>
    <w:tbl>
      <w:tblPr>
        <w:tblW w:w="8550" w:type="dxa"/>
        <w:tblLook w:val="04A0" w:firstRow="1" w:lastRow="0" w:firstColumn="1" w:lastColumn="0" w:noHBand="0" w:noVBand="1"/>
      </w:tblPr>
      <w:tblGrid>
        <w:gridCol w:w="7825"/>
        <w:gridCol w:w="725"/>
      </w:tblGrid>
      <w:tr w:rsidR="000C2D31" w14:paraId="32CA6B71" w14:textId="77777777" w:rsidTr="00810427">
        <w:tc>
          <w:tcPr>
            <w:tcW w:w="7825" w:type="dxa"/>
            <w:vAlign w:val="center"/>
          </w:tcPr>
          <w:p w14:paraId="0FF31AC7" w14:textId="77777777" w:rsidR="000C2D31" w:rsidRDefault="000C2D31" w:rsidP="00810427">
            <w:pPr>
              <w:pStyle w:val="Equations"/>
              <w:spacing w:line="360" w:lineRule="auto"/>
            </w:pPr>
            <m:oMathPara>
              <m:oMath>
                <m:r>
                  <w:rPr>
                    <w:rFonts w:ascii="Cambria Math" w:hAnsi="Cambria Math"/>
                  </w:rPr>
                  <m:t>M</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d</m:t>
                    </m:r>
                  </m:sub>
                </m:sSub>
                <m:d>
                  <m:dPr>
                    <m:begChr m:val="{"/>
                    <m:endChr m:val="}"/>
                    <m:ctrlPr>
                      <w:rPr>
                        <w:rFonts w:ascii="Cambria Math" w:hAnsi="Cambria Math"/>
                      </w:rPr>
                    </m:ctrlPr>
                  </m:dPr>
                  <m:e>
                    <m:r>
                      <m:rPr>
                        <m:sty m:val="p"/>
                      </m:rPr>
                      <w:rPr>
                        <w:rFonts w:ascii="Cambria Math" w:hAnsi="Cambria Math"/>
                      </w:rPr>
                      <m:t>1-</m:t>
                    </m:r>
                    <m:r>
                      <w:rPr>
                        <w:rFonts w:ascii="Cambria Math" w:hAnsi="Cambria Math"/>
                      </w:rPr>
                      <m:t>exp</m:t>
                    </m:r>
                    <m:d>
                      <m:dPr>
                        <m:begChr m:val="["/>
                        <m:endChr m:val="]"/>
                        <m:ctrlPr>
                          <w:rPr>
                            <w:rFonts w:ascii="Cambria Math" w:hAnsi="Cambria Math"/>
                          </w:rPr>
                        </m:ctrlPr>
                      </m:dPr>
                      <m:e>
                        <m:r>
                          <m:rPr>
                            <m:sty m:val="p"/>
                          </m:rPr>
                          <w:rPr>
                            <w:rFonts w:ascii="Cambria Math" w:hAnsi="Cambria Math"/>
                          </w:rPr>
                          <m:t>-7.3</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d</m:t>
                                        </m:r>
                                      </m:sub>
                                    </m:sSub>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e>
                          <m:sup>
                            <m:r>
                              <m:rPr>
                                <m:sty m:val="p"/>
                              </m:rPr>
                              <w:rPr>
                                <w:rFonts w:ascii="Cambria Math" w:hAnsi="Cambria Math"/>
                              </w:rPr>
                              <m:t>0.75</m:t>
                            </m:r>
                          </m:sup>
                        </m:sSup>
                      </m:e>
                    </m:d>
                  </m:e>
                </m:d>
                <m:r>
                  <m:rPr>
                    <m:sty m:val="p"/>
                  </m:rPr>
                  <w:rPr>
                    <w:rFonts w:ascii="Cambria Math" w:hAnsi="Cambria Math"/>
                  </w:rPr>
                  <m:t>+</m:t>
                </m:r>
                <m:r>
                  <m:rPr>
                    <m:sty m:val="p"/>
                  </m:rPr>
                  <w:rPr>
                    <w:rFonts w:ascii="Cambria Math" w:hAnsi="Cambria Math"/>
                  </w:rPr>
                  <w:br/>
                </m:r>
              </m:oMath>
              <m:oMath>
                <m:r>
                  <m:rPr>
                    <m:sty m:val="p"/>
                  </m:rPr>
                  <w:rPr>
                    <w:rFonts w:ascii="Cambria Math" w:hAnsi="Cambria Math"/>
                  </w:rPr>
                  <m:t>(1-</m:t>
                </m:r>
                <m:sSub>
                  <m:sSubPr>
                    <m:ctrlPr>
                      <w:rPr>
                        <w:rFonts w:ascii="Cambria Math" w:hAnsi="Cambria Math"/>
                      </w:rPr>
                    </m:ctrlPr>
                  </m:sSubPr>
                  <m:e>
                    <m:r>
                      <w:rPr>
                        <w:rFonts w:ascii="Cambria Math" w:hAnsi="Cambria Math"/>
                      </w:rPr>
                      <m:t>V</m:t>
                    </m:r>
                  </m:e>
                  <m:sub>
                    <m:r>
                      <w:rPr>
                        <w:rFonts w:ascii="Cambria Math" w:hAnsi="Cambria Math"/>
                      </w:rPr>
                      <m:t>d</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r>
                      <w:rPr>
                        <w:rFonts w:ascii="Cambria Math" w:hAnsi="Cambria Math"/>
                      </w:rPr>
                      <m:t>exp</m:t>
                    </m:r>
                    <m:d>
                      <m:dPr>
                        <m:begChr m:val="["/>
                        <m:endChr m:val="]"/>
                        <m:ctrlPr>
                          <w:rPr>
                            <w:rFonts w:ascii="Cambria Math" w:hAnsi="Cambria Math"/>
                          </w:rPr>
                        </m:ctrlPr>
                      </m:dPr>
                      <m:e>
                        <m:r>
                          <m:rPr>
                            <m:sty m:val="p"/>
                          </m:rPr>
                          <w:rPr>
                            <w:rFonts w:ascii="Cambria Math" w:hAnsi="Cambria Math"/>
                          </w:rPr>
                          <m:t>⁡-7.3</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l</m:t>
                                        </m:r>
                                      </m:sub>
                                    </m:sSub>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e>
                          <m:sup>
                            <m:r>
                              <m:rPr>
                                <m:sty m:val="p"/>
                              </m:rPr>
                              <w:rPr>
                                <w:rFonts w:ascii="Cambria Math" w:hAnsi="Cambria Math"/>
                              </w:rPr>
                              <m:t>0.75</m:t>
                            </m:r>
                          </m:sup>
                        </m:sSup>
                      </m:e>
                    </m:d>
                  </m:e>
                </m:d>
              </m:oMath>
            </m:oMathPara>
          </w:p>
        </w:tc>
        <w:tc>
          <w:tcPr>
            <w:tcW w:w="725" w:type="dxa"/>
            <w:vAlign w:val="center"/>
          </w:tcPr>
          <w:p w14:paraId="7C570E3E" w14:textId="77777777" w:rsidR="000C2D31" w:rsidRDefault="000C2D31" w:rsidP="00810427">
            <w:pPr>
              <w:pStyle w:val="Equations"/>
              <w:spacing w:line="360" w:lineRule="auto"/>
              <w:jc w:val="right"/>
            </w:pPr>
            <w:r>
              <w:t>(34)</w:t>
            </w:r>
          </w:p>
        </w:tc>
      </w:tr>
    </w:tbl>
    <w:p w14:paraId="1A889EE7" w14:textId="77777777" w:rsidR="000C2D31" w:rsidRDefault="000C2D31" w:rsidP="000C2D31">
      <w:pPr>
        <w:ind w:firstLine="0"/>
      </w:pPr>
      <w:proofErr w:type="gramStart"/>
      <w:r>
        <w:t>where</w:t>
      </w:r>
      <w:proofErr w:type="gramEnd"/>
      <w:r>
        <w:t xml:space="preserve"> </w:t>
      </w:r>
      <m:oMath>
        <m:sSub>
          <m:sSubPr>
            <m:ctrlPr>
              <w:rPr>
                <w:rFonts w:ascii="Cambria Math" w:hAnsi="Cambria Math"/>
                <w:i/>
              </w:rPr>
            </m:ctrlPr>
          </m:sSubPr>
          <m:e>
            <m:r>
              <w:rPr>
                <w:rFonts w:ascii="Cambria Math" w:hAnsi="Cambria Math"/>
              </w:rPr>
              <m:t>V</m:t>
            </m:r>
          </m:e>
          <m:sub>
            <m:r>
              <w:rPr>
                <w:rFonts w:ascii="Cambria Math" w:hAnsi="Cambria Math"/>
              </w:rPr>
              <m:t>d</m:t>
            </m:r>
          </m:sub>
        </m:sSub>
      </m:oMath>
      <w:r>
        <w:t xml:space="preserve"> is t</w:t>
      </w:r>
      <w:r w:rsidRPr="00495A44">
        <w:t>he volume fraction of the dense pha</w:t>
      </w:r>
      <w:r>
        <w:t>se relative to the total system.</w:t>
      </w:r>
    </w:p>
    <w:tbl>
      <w:tblPr>
        <w:tblW w:w="8550" w:type="dxa"/>
        <w:tblLook w:val="04A0" w:firstRow="1" w:lastRow="0" w:firstColumn="1" w:lastColumn="0" w:noHBand="0" w:noVBand="1"/>
      </w:tblPr>
      <w:tblGrid>
        <w:gridCol w:w="7825"/>
        <w:gridCol w:w="725"/>
      </w:tblGrid>
      <w:tr w:rsidR="000C2D31" w14:paraId="23290AB9" w14:textId="77777777" w:rsidTr="007D7AB8">
        <w:tc>
          <w:tcPr>
            <w:tcW w:w="7825" w:type="dxa"/>
            <w:vAlign w:val="center"/>
          </w:tcPr>
          <w:p w14:paraId="0644B706" w14:textId="77777777" w:rsidR="000C2D31" w:rsidRDefault="007B3686" w:rsidP="00810427">
            <w:pPr>
              <w:spacing w:line="360" w:lineRule="auto"/>
              <w:ind w:firstLine="0"/>
              <w:jc w:val="center"/>
            </w:pPr>
            <m:oMathPara>
              <m:oMath>
                <m:sSub>
                  <m:sSubPr>
                    <m:ctrlPr>
                      <w:rPr>
                        <w:rFonts w:ascii="Cambria Math" w:hAnsi="Cambria Math"/>
                        <w:i/>
                      </w:rPr>
                    </m:ctrlPr>
                  </m:sSubPr>
                  <m:e>
                    <m:r>
                      <w:rPr>
                        <w:rFonts w:ascii="Cambria Math" w:hAnsi="Cambria Math"/>
                      </w:rPr>
                      <m:t>V</m:t>
                    </m:r>
                  </m:e>
                  <m:sub>
                    <m:r>
                      <w:rPr>
                        <w:rFonts w:ascii="Cambria Math" w:hAnsi="Cambria Math"/>
                      </w:rPr>
                      <m:t>d</m:t>
                    </m:r>
                  </m:sub>
                </m:sSub>
                <m:r>
                  <w:rPr>
                    <w:rFonts w:ascii="Cambria Math" w:hAnsi="Cambria Math"/>
                  </w:rPr>
                  <m:t>=</m:t>
                </m:r>
                <m:f>
                  <m:fPr>
                    <m:ctrlPr>
                      <w:rPr>
                        <w:rFonts w:ascii="Cambria Math" w:hAnsi="Cambria Math"/>
                        <w:i/>
                      </w:rPr>
                    </m:ctrlPr>
                  </m:fPr>
                  <m:num>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d</m:t>
                                </m:r>
                              </m:sub>
                            </m:sSub>
                          </m:num>
                          <m:den>
                            <m:sSub>
                              <m:sSubPr>
                                <m:ctrlPr>
                                  <w:rPr>
                                    <w:rFonts w:ascii="Cambria Math" w:hAnsi="Cambria Math"/>
                                    <w:i/>
                                  </w:rPr>
                                </m:ctrlPr>
                              </m:sSubPr>
                              <m:e>
                                <m:r>
                                  <w:rPr>
                                    <w:rFonts w:ascii="Cambria Math" w:hAnsi="Cambria Math"/>
                                  </w:rPr>
                                  <m:t>D</m:t>
                                </m:r>
                              </m:e>
                              <m:sub>
                                <m:r>
                                  <w:rPr>
                                    <w:rFonts w:ascii="Cambria Math" w:hAnsi="Cambria Math"/>
                                  </w:rPr>
                                  <m:t>l</m:t>
                                </m:r>
                              </m:sub>
                            </m:sSub>
                          </m:den>
                        </m:f>
                        <m:r>
                          <w:rPr>
                            <w:rFonts w:ascii="Cambria Math" w:hAnsi="Cambria Math"/>
                          </w:rPr>
                          <m:t>+2</m:t>
                        </m:r>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z</m:t>
                                </m:r>
                              </m:sub>
                            </m:sSub>
                          </m:num>
                          <m:den>
                            <m:sSub>
                              <m:sSubPr>
                                <m:ctrlPr>
                                  <w:rPr>
                                    <w:rFonts w:ascii="Cambria Math" w:hAnsi="Cambria Math"/>
                                    <w:i/>
                                  </w:rPr>
                                </m:ctrlPr>
                              </m:sSubPr>
                              <m:e>
                                <m:r>
                                  <w:rPr>
                                    <w:rFonts w:ascii="Cambria Math" w:hAnsi="Cambria Math"/>
                                  </w:rPr>
                                  <m:t>D</m:t>
                                </m:r>
                              </m:e>
                              <m:sub>
                                <m:r>
                                  <w:rPr>
                                    <w:rFonts w:ascii="Cambria Math" w:hAnsi="Cambria Math"/>
                                  </w:rPr>
                                  <m:t>l</m:t>
                                </m:r>
                              </m:sub>
                            </m:sSub>
                          </m:den>
                        </m:f>
                        <m:r>
                          <w:rPr>
                            <w:rFonts w:ascii="Cambria Math" w:hAnsi="Cambria Math"/>
                          </w:rPr>
                          <m:t>-1</m:t>
                        </m:r>
                      </m:e>
                    </m:d>
                  </m:num>
                  <m:den>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d</m:t>
                                </m:r>
                              </m:sub>
                            </m:sSub>
                          </m:num>
                          <m:den>
                            <m:sSub>
                              <m:sSubPr>
                                <m:ctrlPr>
                                  <w:rPr>
                                    <w:rFonts w:ascii="Cambria Math" w:hAnsi="Cambria Math"/>
                                    <w:i/>
                                  </w:rPr>
                                </m:ctrlPr>
                              </m:sSubPr>
                              <m:e>
                                <m:r>
                                  <w:rPr>
                                    <w:rFonts w:ascii="Cambria Math" w:hAnsi="Cambria Math"/>
                                  </w:rPr>
                                  <m:t>D</m:t>
                                </m:r>
                              </m:e>
                              <m:sub>
                                <m:r>
                                  <w:rPr>
                                    <w:rFonts w:ascii="Cambria Math" w:hAnsi="Cambria Math"/>
                                  </w:rPr>
                                  <m:t>l</m:t>
                                </m:r>
                              </m:sub>
                            </m:sSub>
                          </m:den>
                        </m:f>
                        <m:r>
                          <w:rPr>
                            <w:rFonts w:ascii="Cambria Math" w:hAnsi="Cambria Math"/>
                          </w:rPr>
                          <m:t>-1</m:t>
                        </m:r>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z</m:t>
                                </m:r>
                              </m:sub>
                            </m:sSub>
                          </m:num>
                          <m:den>
                            <m:sSub>
                              <m:sSubPr>
                                <m:ctrlPr>
                                  <w:rPr>
                                    <w:rFonts w:ascii="Cambria Math" w:hAnsi="Cambria Math"/>
                                    <w:i/>
                                  </w:rPr>
                                </m:ctrlPr>
                              </m:sSubPr>
                              <m:e>
                                <m:r>
                                  <w:rPr>
                                    <w:rFonts w:ascii="Cambria Math" w:hAnsi="Cambria Math"/>
                                  </w:rPr>
                                  <m:t>D</m:t>
                                </m:r>
                              </m:e>
                              <m:sub>
                                <m:r>
                                  <w:rPr>
                                    <w:rFonts w:ascii="Cambria Math" w:hAnsi="Cambria Math"/>
                                  </w:rPr>
                                  <m:t>l</m:t>
                                </m:r>
                              </m:sub>
                            </m:sSub>
                          </m:den>
                        </m:f>
                        <m:r>
                          <w:rPr>
                            <w:rFonts w:ascii="Cambria Math" w:hAnsi="Cambria Math"/>
                          </w:rPr>
                          <m:t>+2</m:t>
                        </m:r>
                      </m:e>
                    </m:d>
                  </m:den>
                </m:f>
              </m:oMath>
            </m:oMathPara>
          </w:p>
        </w:tc>
        <w:tc>
          <w:tcPr>
            <w:tcW w:w="725" w:type="dxa"/>
            <w:vAlign w:val="center"/>
          </w:tcPr>
          <w:p w14:paraId="152E1003" w14:textId="77777777" w:rsidR="000C2D31" w:rsidRDefault="000C2D31" w:rsidP="00810427">
            <w:pPr>
              <w:spacing w:line="360" w:lineRule="auto"/>
              <w:ind w:firstLine="0"/>
              <w:jc w:val="right"/>
            </w:pPr>
            <w:r>
              <w:t>(35)</w:t>
            </w:r>
          </w:p>
        </w:tc>
      </w:tr>
    </w:tbl>
    <w:p w14:paraId="65D18A44" w14:textId="1E833947" w:rsidR="005B3DBB" w:rsidRDefault="00810427" w:rsidP="00554848">
      <w:pPr>
        <w:pStyle w:val="NoSpacing"/>
      </w:pPr>
      <w:r>
        <w:rPr>
          <w:noProof/>
          <w:lang w:bidi="ar-SA"/>
        </w:rPr>
        <mc:AlternateContent>
          <mc:Choice Requires="wps">
            <w:drawing>
              <wp:anchor distT="45720" distB="45720" distL="114300" distR="114300" simplePos="0" relativeHeight="251663360" behindDoc="0" locked="0" layoutInCell="1" allowOverlap="1" wp14:anchorId="4328D132" wp14:editId="0B8A60B5">
                <wp:simplePos x="0" y="0"/>
                <wp:positionH relativeFrom="column">
                  <wp:posOffset>270078</wp:posOffset>
                </wp:positionH>
                <wp:positionV relativeFrom="paragraph">
                  <wp:posOffset>954764</wp:posOffset>
                </wp:positionV>
                <wp:extent cx="400050" cy="1404620"/>
                <wp:effectExtent l="0" t="0" r="0" b="0"/>
                <wp:wrapNone/>
                <wp:docPr id="4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70D8919F" w14:textId="77777777" w:rsidR="000A15D2" w:rsidRPr="003B42F0" w:rsidRDefault="007B3686" w:rsidP="000C2D31">
                            <w:pPr>
                              <w:rPr>
                                <w:sz w:val="20"/>
                                <w:szCs w:val="20"/>
                              </w:rPr>
                            </w:pPr>
                            <m:oMathPara>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l</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eastAsia="Malgun Gothic" w:hAnsi="Cambria Math"/>
                                            <w:sz w:val="20"/>
                                            <w:szCs w:val="20"/>
                                            <w:lang w:eastAsia="ko-KR"/>
                                          </w:rPr>
                                          <m:t>∞</m:t>
                                        </m:r>
                                      </m:sub>
                                    </m:sSub>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8D132" id="Text Box 2" o:spid="_x0000_s1029" type="#_x0000_t202" style="position:absolute;left:0;text-align:left;margin-left:21.25pt;margin-top:75.2pt;width:31.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" filled="f" stroked="f">
                <v:textbox style="mso-fit-shape-to-text:t">
                  <w:txbxContent>
                    <w:p w14:paraId="70D8919F" w14:textId="77777777" w:rsidR="000A15D2" w:rsidRPr="003B42F0" w:rsidRDefault="007B3686" w:rsidP="000C2D31">
                      <w:pPr>
                        <w:rPr>
                          <w:sz w:val="20"/>
                          <w:szCs w:val="20"/>
                        </w:rPr>
                      </w:pPr>
                      <m:oMathPara>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l</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eastAsia="Malgun Gothic" w:hAnsi="Cambria Math"/>
                                      <w:sz w:val="20"/>
                                      <w:szCs w:val="20"/>
                                      <w:lang w:eastAsia="ko-KR"/>
                                    </w:rPr>
                                    <m:t>∞</m:t>
                                  </m:r>
                                </m:sub>
                              </m:sSub>
                            </m:den>
                          </m:f>
                        </m:oMath>
                      </m:oMathPara>
                    </w:p>
                  </w:txbxContent>
                </v:textbox>
              </v:shape>
            </w:pict>
          </mc:Fallback>
        </mc:AlternateContent>
      </w:r>
      <w:r>
        <w:rPr>
          <w:noProof/>
          <w:lang w:bidi="ar-SA"/>
        </w:rPr>
        <mc:AlternateContent>
          <mc:Choice Requires="wps">
            <w:drawing>
              <wp:anchor distT="45720" distB="45720" distL="114300" distR="114300" simplePos="0" relativeHeight="251665408" behindDoc="0" locked="0" layoutInCell="1" allowOverlap="1" wp14:anchorId="4B661E7D" wp14:editId="2B3925E5">
                <wp:simplePos x="0" y="0"/>
                <wp:positionH relativeFrom="margin">
                  <wp:posOffset>1901190</wp:posOffset>
                </wp:positionH>
                <wp:positionV relativeFrom="paragraph">
                  <wp:posOffset>3424184</wp:posOffset>
                </wp:positionV>
                <wp:extent cx="2181225" cy="250166"/>
                <wp:effectExtent l="0" t="0" r="952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0166"/>
                        </a:xfrm>
                        <a:prstGeom prst="rect">
                          <a:avLst/>
                        </a:prstGeom>
                        <a:solidFill>
                          <a:schemeClr val="bg1"/>
                        </a:solidFill>
                        <a:ln w="9525">
                          <a:noFill/>
                          <a:miter lim="800000"/>
                          <a:headEnd/>
                          <a:tailEnd/>
                        </a:ln>
                      </wps:spPr>
                      <wps:txbx>
                        <w:txbxContent>
                          <w:p w14:paraId="5ECF6F31" w14:textId="77777777" w:rsidR="000A15D2" w:rsidRPr="00810427" w:rsidRDefault="007B3686" w:rsidP="00810427">
                            <w:pPr>
                              <w:spacing w:line="240" w:lineRule="auto"/>
                              <w:rPr>
                                <w:sz w:val="20"/>
                                <w:szCs w:val="20"/>
                              </w:rPr>
                            </w:pPr>
                            <m:oMathPara>
                              <m:oMath>
                                <m:rad>
                                  <m:radPr>
                                    <m:degHide m:val="1"/>
                                    <m:ctrlPr>
                                      <w:rPr>
                                        <w:rFonts w:ascii="Cambria Math" w:hAnsi="Cambria Math"/>
                                        <w:i/>
                                        <w:sz w:val="20"/>
                                        <w:szCs w:val="20"/>
                                      </w:rPr>
                                    </m:ctrlPr>
                                  </m:radPr>
                                  <m:deg/>
                                  <m:e>
                                    <m:r>
                                      <w:rPr>
                                        <w:rFonts w:ascii="Cambria Math" w:hAnsi="Cambria Math"/>
                                        <w:sz w:val="20"/>
                                        <w:szCs w:val="20"/>
                                      </w:rPr>
                                      <m:t>time</m:t>
                                    </m:r>
                                  </m:e>
                                </m:rad>
                                <m:r>
                                  <w:rPr>
                                    <w:rFonts w:ascii="Cambria Math" w:hAnsi="Cambria Math"/>
                                    <w:sz w:val="20"/>
                                    <w:szCs w:val="20"/>
                                  </w:rPr>
                                  <m:t>/thickness</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61E7D" id="_x0000_s1030" type="#_x0000_t202" style="position:absolute;left:0;text-align:left;margin-left:149.7pt;margin-top:269.6pt;width:171.75pt;height:19.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" fillcolor="white [3212]" stroked="f">
                <v:textbox>
                  <w:txbxContent>
                    <w:p w14:paraId="5ECF6F31" w14:textId="77777777" w:rsidR="000A15D2" w:rsidRPr="00810427" w:rsidRDefault="007B3686" w:rsidP="00810427">
                      <w:pPr>
                        <w:spacing w:line="240" w:lineRule="auto"/>
                        <w:rPr>
                          <w:sz w:val="20"/>
                          <w:szCs w:val="20"/>
                        </w:rPr>
                      </w:pPr>
                      <m:oMathPara>
                        <m:oMath>
                          <m:rad>
                            <m:radPr>
                              <m:degHide m:val="1"/>
                              <m:ctrlPr>
                                <w:rPr>
                                  <w:rFonts w:ascii="Cambria Math" w:hAnsi="Cambria Math"/>
                                  <w:i/>
                                  <w:sz w:val="20"/>
                                  <w:szCs w:val="20"/>
                                </w:rPr>
                              </m:ctrlPr>
                            </m:radPr>
                            <m:deg/>
                            <m:e>
                              <m:r>
                                <w:rPr>
                                  <w:rFonts w:ascii="Cambria Math" w:hAnsi="Cambria Math"/>
                                  <w:sz w:val="20"/>
                                  <w:szCs w:val="20"/>
                                </w:rPr>
                                <m:t>time</m:t>
                              </m:r>
                            </m:e>
                          </m:rad>
                          <m:r>
                            <w:rPr>
                              <w:rFonts w:ascii="Cambria Math" w:hAnsi="Cambria Math"/>
                              <w:sz w:val="20"/>
                              <w:szCs w:val="20"/>
                            </w:rPr>
                            <m:t>/thickness</m:t>
                          </m:r>
                        </m:oMath>
                      </m:oMathPara>
                    </w:p>
                  </w:txbxContent>
                </v:textbox>
                <w10:wrap anchorx="margin"/>
              </v:shape>
            </w:pict>
          </mc:Fallback>
        </mc:AlternateContent>
      </w:r>
      <w:r w:rsidR="00BB2C1B">
        <w:rPr>
          <w:noProof/>
          <w:lang w:bidi="ar-SA"/>
        </w:rPr>
        <mc:AlternateContent>
          <mc:Choice Requires="wps">
            <w:drawing>
              <wp:anchor distT="45720" distB="45720" distL="114300" distR="114300" simplePos="0" relativeHeight="251664384" behindDoc="0" locked="0" layoutInCell="1" allowOverlap="1" wp14:anchorId="1DF8A3D2" wp14:editId="3016AA8F">
                <wp:simplePos x="0" y="0"/>
                <wp:positionH relativeFrom="margin">
                  <wp:posOffset>161602</wp:posOffset>
                </wp:positionH>
                <wp:positionV relativeFrom="paragraph">
                  <wp:posOffset>1548537</wp:posOffset>
                </wp:positionV>
                <wp:extent cx="400050"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59474597" w14:textId="77777777" w:rsidR="000A15D2" w:rsidRDefault="007B3686" w:rsidP="000C2D31">
                            <m:oMathPara>
                              <m:oMath>
                                <m:f>
                                  <m:fPr>
                                    <m:ctrlPr>
                                      <w:rPr>
                                        <w:rFonts w:ascii="Cambria Math" w:hAnsi="Cambria Math"/>
                                        <w:i/>
                                      </w:rPr>
                                    </m:ctrlPr>
                                  </m:fPr>
                                  <m:num>
                                    <m:r>
                                      <w:rPr>
                                        <w:rFonts w:ascii="Cambria Math" w:hAnsi="Cambria Math"/>
                                      </w:rPr>
                                      <m:t>M(t)</m:t>
                                    </m:r>
                                  </m:num>
                                  <m:den>
                                    <m:sSub>
                                      <m:sSubPr>
                                        <m:ctrlPr>
                                          <w:rPr>
                                            <w:rFonts w:ascii="Cambria Math" w:hAnsi="Cambria Math"/>
                                            <w:i/>
                                          </w:rPr>
                                        </m:ctrlPr>
                                      </m:sSubPr>
                                      <m:e>
                                        <m:r>
                                          <w:rPr>
                                            <w:rFonts w:ascii="Cambria Math" w:hAnsi="Cambria Math"/>
                                          </w:rPr>
                                          <m:t>M</m:t>
                                        </m:r>
                                      </m:e>
                                      <m:sub>
                                        <m:r>
                                          <w:rPr>
                                            <w:rFonts w:ascii="Cambria Math" w:eastAsia="Malgun Gothic" w:hAnsi="Cambria Math"/>
                                            <w:lang w:eastAsia="ko-KR"/>
                                          </w:rPr>
                                          <m:t>∞</m:t>
                                        </m:r>
                                      </m:sub>
                                    </m:sSub>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F8A3D2" id="_x0000_s1031" type="#_x0000_t202" style="position:absolute;left:0;text-align:left;margin-left:12.7pt;margin-top:121.95pt;width:31.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" filled="f" stroked="f">
                <v:textbox style="mso-fit-shape-to-text:t">
                  <w:txbxContent>
                    <w:p w14:paraId="59474597" w14:textId="77777777" w:rsidR="000A15D2" w:rsidRDefault="007B3686" w:rsidP="000C2D31">
                      <m:oMathPara>
                        <m:oMath>
                          <m:f>
                            <m:fPr>
                              <m:ctrlPr>
                                <w:rPr>
                                  <w:rFonts w:ascii="Cambria Math" w:hAnsi="Cambria Math"/>
                                  <w:i/>
                                </w:rPr>
                              </m:ctrlPr>
                            </m:fPr>
                            <m:num>
                              <m:r>
                                <w:rPr>
                                  <w:rFonts w:ascii="Cambria Math" w:hAnsi="Cambria Math"/>
                                </w:rPr>
                                <m:t>M(t)</m:t>
                              </m:r>
                            </m:num>
                            <m:den>
                              <m:sSub>
                                <m:sSubPr>
                                  <m:ctrlPr>
                                    <w:rPr>
                                      <w:rFonts w:ascii="Cambria Math" w:hAnsi="Cambria Math"/>
                                      <w:i/>
                                    </w:rPr>
                                  </m:ctrlPr>
                                </m:sSubPr>
                                <m:e>
                                  <m:r>
                                    <w:rPr>
                                      <w:rFonts w:ascii="Cambria Math" w:hAnsi="Cambria Math"/>
                                    </w:rPr>
                                    <m:t>M</m:t>
                                  </m:r>
                                </m:e>
                                <m:sub>
                                  <m:r>
                                    <w:rPr>
                                      <w:rFonts w:ascii="Cambria Math" w:eastAsia="Malgun Gothic" w:hAnsi="Cambria Math"/>
                                      <w:lang w:eastAsia="ko-KR"/>
                                    </w:rPr>
                                    <m:t>∞</m:t>
                                  </m:r>
                                </m:sub>
                              </m:sSub>
                            </m:den>
                          </m:f>
                        </m:oMath>
                      </m:oMathPara>
                    </w:p>
                  </w:txbxContent>
                </v:textbox>
                <w10:wrap anchorx="margin"/>
              </v:shape>
            </w:pict>
          </mc:Fallback>
        </mc:AlternateContent>
      </w:r>
      <w:r w:rsidR="000C2D31">
        <w:rPr>
          <w:noProof/>
          <w:lang w:bidi="ar-SA"/>
        </w:rPr>
        <mc:AlternateContent>
          <mc:Choice Requires="wps">
            <w:drawing>
              <wp:anchor distT="45720" distB="45720" distL="114300" distR="114300" simplePos="0" relativeHeight="251660288" behindDoc="0" locked="0" layoutInCell="1" allowOverlap="1" wp14:anchorId="434D03DD" wp14:editId="7C9A0348">
                <wp:simplePos x="0" y="0"/>
                <wp:positionH relativeFrom="margin">
                  <wp:posOffset>575310</wp:posOffset>
                </wp:positionH>
                <wp:positionV relativeFrom="paragraph">
                  <wp:posOffset>2711450</wp:posOffset>
                </wp:positionV>
                <wp:extent cx="1485900" cy="2762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76225"/>
                        </a:xfrm>
                        <a:prstGeom prst="rect">
                          <a:avLst/>
                        </a:prstGeom>
                        <a:noFill/>
                        <a:ln w="9525">
                          <a:noFill/>
                          <a:miter lim="800000"/>
                          <a:headEnd/>
                          <a:tailEnd/>
                        </a:ln>
                      </wps:spPr>
                      <wps:txbx>
                        <w:txbxContent>
                          <w:p w14:paraId="1923EAB0" w14:textId="77777777" w:rsidR="000A15D2" w:rsidRDefault="007B3686" w:rsidP="000C2D31">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0A15D2">
                              <w:t xml:space="preserve">: </w:t>
                            </w:r>
                            <w:proofErr w:type="gramStart"/>
                            <w:r w:rsidR="000A15D2">
                              <w:t>initial</w:t>
                            </w:r>
                            <w:proofErr w:type="gramEnd"/>
                            <w:r w:rsidR="000A15D2">
                              <w:t xml:space="preserve"> slope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D03DD" id="_x0000_s1032" type="#_x0000_t202" style="position:absolute;left:0;text-align:left;margin-left:45.3pt;margin-top:213.5pt;width:117pt;height:21.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" filled="f" stroked="f">
                <v:textbox>
                  <w:txbxContent>
                    <w:p w14:paraId="1923EAB0" w14:textId="77777777" w:rsidR="000A15D2" w:rsidRDefault="007B3686" w:rsidP="000C2D31">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0A15D2">
                        <w:t xml:space="preserve">: </w:t>
                      </w:r>
                      <w:proofErr w:type="gramStart"/>
                      <w:r w:rsidR="000A15D2">
                        <w:t>initial</w:t>
                      </w:r>
                      <w:proofErr w:type="gramEnd"/>
                      <w:r w:rsidR="000A15D2">
                        <w:t xml:space="preserve"> slope</w:t>
                      </w:r>
                    </w:p>
                  </w:txbxContent>
                </v:textbox>
                <w10:wrap anchorx="margin"/>
              </v:shape>
            </w:pict>
          </mc:Fallback>
        </mc:AlternateContent>
      </w:r>
      <w:r w:rsidR="000C2D31">
        <w:rPr>
          <w:noProof/>
          <w:lang w:bidi="ar-SA"/>
        </w:rPr>
        <mc:AlternateContent>
          <mc:Choice Requires="wps">
            <w:drawing>
              <wp:anchor distT="45720" distB="45720" distL="114300" distR="114300" simplePos="0" relativeHeight="251662336" behindDoc="0" locked="0" layoutInCell="1" allowOverlap="1" wp14:anchorId="3B7CE4BB" wp14:editId="415FB246">
                <wp:simplePos x="0" y="0"/>
                <wp:positionH relativeFrom="column">
                  <wp:posOffset>1089660</wp:posOffset>
                </wp:positionH>
                <wp:positionV relativeFrom="paragraph">
                  <wp:posOffset>796925</wp:posOffset>
                </wp:positionV>
                <wp:extent cx="1962150" cy="1404620"/>
                <wp:effectExtent l="0" t="0" r="0" b="0"/>
                <wp:wrapNone/>
                <wp:docPr id="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04620"/>
                        </a:xfrm>
                        <a:prstGeom prst="rect">
                          <a:avLst/>
                        </a:prstGeom>
                        <a:noFill/>
                        <a:ln w="9525">
                          <a:noFill/>
                          <a:miter lim="800000"/>
                          <a:headEnd/>
                          <a:tailEnd/>
                        </a:ln>
                      </wps:spPr>
                      <wps:txbx>
                        <w:txbxContent>
                          <w:p w14:paraId="209BC110" w14:textId="77777777" w:rsidR="000A15D2" w:rsidRDefault="007B3686" w:rsidP="000C2D31">
                            <m:oMath>
                              <m:sSub>
                                <m:sSubPr>
                                  <m:ctrlPr>
                                    <w:rPr>
                                      <w:rFonts w:ascii="Cambria Math" w:hAnsi="Cambria Math"/>
                                      <w:i/>
                                    </w:rPr>
                                  </m:ctrlPr>
                                </m:sSubPr>
                                <m:e>
                                  <m:r>
                                    <w:rPr>
                                      <w:rFonts w:ascii="Cambria Math" w:hAnsi="Cambria Math"/>
                                    </w:rPr>
                                    <m:t>s</m:t>
                                  </m:r>
                                </m:e>
                                <m:sub>
                                  <m:r>
                                    <w:rPr>
                                      <w:rFonts w:ascii="Cambria Math" w:hAnsi="Cambria Math"/>
                                    </w:rPr>
                                    <m:t>d</m:t>
                                  </m:r>
                                </m:sub>
                              </m:sSub>
                            </m:oMath>
                            <w:r w:rsidR="000A15D2">
                              <w:t>: slope of dense phase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7CE4BB" id="_x0000_s1033" type="#_x0000_t202" style="position:absolute;left:0;text-align:left;margin-left:85.8pt;margin-top:62.75pt;width:154.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" filled="f" stroked="f">
                <v:textbox style="mso-fit-shape-to-text:t">
                  <w:txbxContent>
                    <w:p w14:paraId="209BC110" w14:textId="77777777" w:rsidR="000A15D2" w:rsidRDefault="007B3686" w:rsidP="000C2D31">
                      <m:oMath>
                        <m:sSub>
                          <m:sSubPr>
                            <m:ctrlPr>
                              <w:rPr>
                                <w:rFonts w:ascii="Cambria Math" w:hAnsi="Cambria Math"/>
                                <w:i/>
                              </w:rPr>
                            </m:ctrlPr>
                          </m:sSubPr>
                          <m:e>
                            <m:r>
                              <w:rPr>
                                <w:rFonts w:ascii="Cambria Math" w:hAnsi="Cambria Math"/>
                              </w:rPr>
                              <m:t>s</m:t>
                            </m:r>
                          </m:e>
                          <m:sub>
                            <m:r>
                              <w:rPr>
                                <w:rFonts w:ascii="Cambria Math" w:hAnsi="Cambria Math"/>
                              </w:rPr>
                              <m:t>d</m:t>
                            </m:r>
                          </m:sub>
                        </m:sSub>
                      </m:oMath>
                      <w:r w:rsidR="000A15D2">
                        <w:t>: slope of dense phase</w:t>
                      </w:r>
                    </w:p>
                  </w:txbxContent>
                </v:textbox>
              </v:shape>
            </w:pict>
          </mc:Fallback>
        </mc:AlternateContent>
      </w:r>
      <w:r w:rsidR="000C2D31">
        <w:rPr>
          <w:noProof/>
          <w:lang w:bidi="ar-SA"/>
        </w:rPr>
        <mc:AlternateContent>
          <mc:Choice Requires="wps">
            <w:drawing>
              <wp:anchor distT="0" distB="0" distL="114300" distR="114300" simplePos="0" relativeHeight="251661312" behindDoc="0" locked="0" layoutInCell="1" allowOverlap="1" wp14:anchorId="0F470731" wp14:editId="32EB9B86">
                <wp:simplePos x="0" y="0"/>
                <wp:positionH relativeFrom="column">
                  <wp:posOffset>765809</wp:posOffset>
                </wp:positionH>
                <wp:positionV relativeFrom="paragraph">
                  <wp:posOffset>530226</wp:posOffset>
                </wp:positionV>
                <wp:extent cx="1028700" cy="704850"/>
                <wp:effectExtent l="0" t="0" r="19050" b="19050"/>
                <wp:wrapNone/>
                <wp:docPr id="4133" name="Straight Connector 4133"/>
                <wp:cNvGraphicFramePr/>
                <a:graphic xmlns:a="http://schemas.openxmlformats.org/drawingml/2006/main">
                  <a:graphicData uri="http://schemas.microsoft.com/office/word/2010/wordprocessingShape">
                    <wps:wsp>
                      <wps:cNvCnPr/>
                      <wps:spPr>
                        <a:xfrm flipH="1">
                          <a:off x="0" y="0"/>
                          <a:ext cx="1028700" cy="704850"/>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BF621" id="Straight Connector 413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41.75pt" to="141.3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" strokecolor="black [3213]" strokeweight="2pt">
                <v:stroke dashstyle="dash" joinstyle="miter"/>
              </v:line>
            </w:pict>
          </mc:Fallback>
        </mc:AlternateContent>
      </w:r>
      <w:r w:rsidR="000C2D31">
        <w:rPr>
          <w:noProof/>
          <w:lang w:bidi="ar-SA"/>
        </w:rPr>
        <w:drawing>
          <wp:inline distT="0" distB="0" distL="0" distR="0" wp14:anchorId="13BA2A6A" wp14:editId="67F9E9F7">
            <wp:extent cx="484632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46320" cy="3657600"/>
                    </a:xfrm>
                    <a:prstGeom prst="rect">
                      <a:avLst/>
                    </a:prstGeom>
                    <a:noFill/>
                    <a:ln>
                      <a:noFill/>
                    </a:ln>
                  </pic:spPr>
                </pic:pic>
              </a:graphicData>
            </a:graphic>
          </wp:inline>
        </w:drawing>
      </w:r>
      <w:bookmarkStart w:id="77" w:name="_Toc405036766"/>
    </w:p>
    <w:p w14:paraId="034E9B21" w14:textId="77CACF9B" w:rsidR="000C2D31" w:rsidRDefault="005B3DBB" w:rsidP="00BB2C1B">
      <w:pPr>
        <w:pStyle w:val="Caption"/>
      </w:pPr>
      <w:bookmarkStart w:id="78" w:name="_Ref521416130"/>
      <w:bookmarkStart w:id="79" w:name="_Toc530997369"/>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13</w:t>
      </w:r>
      <w:r w:rsidR="0023508C">
        <w:rPr>
          <w:noProof/>
        </w:rPr>
        <w:fldChar w:fldCharType="end"/>
      </w:r>
      <w:bookmarkEnd w:id="78"/>
      <w:r w:rsidR="000C2D31">
        <w:t>.</w:t>
      </w:r>
      <w:r w:rsidR="000C2D31" w:rsidRPr="000A66DC">
        <w:t xml:space="preserve"> </w:t>
      </w:r>
      <w:r w:rsidR="007D3A7E">
        <w:t>T</w:t>
      </w:r>
      <w:r w:rsidR="000C2D31">
        <w:t>wo stages of dual diffusivity model</w:t>
      </w:r>
      <w:bookmarkEnd w:id="77"/>
      <w:r w:rsidR="007D3A7E">
        <w:t xml:space="preserve"> on non-Fickian mass gain</w:t>
      </w:r>
      <w:bookmarkEnd w:id="79"/>
    </w:p>
    <w:p w14:paraId="1F676CEA" w14:textId="77777777" w:rsidR="00810427" w:rsidRPr="00810427" w:rsidRDefault="00810427" w:rsidP="00810427"/>
    <w:p w14:paraId="79A20013" w14:textId="3763B84C" w:rsidR="000C2D31" w:rsidRDefault="000C2D31" w:rsidP="00B63058">
      <w:pPr>
        <w:pStyle w:val="Heading3"/>
      </w:pPr>
      <w:bookmarkStart w:id="80" w:name="_Toc403980425"/>
      <w:r>
        <w:lastRenderedPageBreak/>
        <w:t xml:space="preserve"> </w:t>
      </w:r>
      <w:bookmarkStart w:id="81" w:name="_Toc531943750"/>
      <w:r>
        <w:t>T</w:t>
      </w:r>
      <w:r w:rsidRPr="00FA7B3C">
        <w:t>ime-Varying Diffusivity Model</w:t>
      </w:r>
      <w:bookmarkEnd w:id="80"/>
      <w:bookmarkEnd w:id="81"/>
    </w:p>
    <w:p w14:paraId="56E9D6DC" w14:textId="224D3B6B" w:rsidR="000C2D31" w:rsidRDefault="000C2D31" w:rsidP="000C2D31">
      <w:proofErr w:type="spellStart"/>
      <w:r>
        <w:t>Weitsman</w:t>
      </w:r>
      <w:proofErr w:type="spellEnd"/>
      <w:r>
        <w:t xml:space="preserve"> </w:t>
      </w:r>
      <w:r>
        <w:fldChar w:fldCharType="begin" w:fldLock="1"/>
      </w:r>
      <w:r w:rsidR="00B274D5">
        <w:instrText>ADDIN CSL_CITATION {"citationItems":[{"id":"ITEM-1","itemData":{"DOI":"10.1177/002199837601000302","ISSN":"1530793x","author":[{"dropping-particle":"","family":"Weitsman","given":"Y.","non-dropping-particle":"","parse-names":false,"suffix":""}],"container-title":"Journal of Composite Materials","id":"ITEM-1","issue":"3","issued":{"date-parts":[["1976"]]},"page":"193-204","title":"Diffusion With Time-Varying Diffusivity, With Application to Moisture-Sorption in Composites","type":"article-journal","volume":"10"},"uris":["http://www.mendeley.com/documents/?uuid=c1740ff9-bdbb-401c-927d-5d16579f60eb"]}],"mendeley":{"formattedCitation":"[114]","plainTextFormattedCitation":"[114]","previouslyFormattedCitation":"[114]"},"properties":{"noteIndex":0},"schema":"https://github.com/citation-style-language/schema/raw/master/csl-citation.json"}</w:instrText>
      </w:r>
      <w:r>
        <w:fldChar w:fldCharType="separate"/>
      </w:r>
      <w:r w:rsidR="007021F2" w:rsidRPr="007021F2">
        <w:rPr>
          <w:noProof/>
        </w:rPr>
        <w:t>[114]</w:t>
      </w:r>
      <w:r>
        <w:fldChar w:fldCharType="end"/>
      </w:r>
      <w:r>
        <w:t xml:space="preserve"> </w:t>
      </w:r>
      <w:r w:rsidRPr="00FA7B3C">
        <w:t>developed a one-dimensional diffusion model with time-varying diffusivity.</w:t>
      </w:r>
      <w:r>
        <w:t xml:space="preserve"> The diffusion model is same as the classical Fickian model but the diffusion coefficient is assumed to be a function of temperature. </w:t>
      </w:r>
      <w:proofErr w:type="spellStart"/>
      <w:r>
        <w:t>Weitsman</w:t>
      </w:r>
      <w:proofErr w:type="spellEnd"/>
      <w:r>
        <w:t xml:space="preserve"> </w:t>
      </w:r>
      <w:r>
        <w:fldChar w:fldCharType="begin" w:fldLock="1"/>
      </w:r>
      <w:r w:rsidR="00B274D5">
        <w:instrText>ADDIN CSL_CITATION {"citationItems":[{"id":"ITEM-1","itemData":{"DOI":"10.1177/002199837601000302","ISSN":"1530793x","author":[{"dropping-particle":"","family":"Weitsman","given":"Y.","non-dropping-particle":"","parse-names":false,"suffix":""}],"container-title":"Journal of Composite Materials","id":"ITEM-1","issue":"3","issued":{"date-parts":[["1976"]]},"page":"193-204","title":"Diffusion With Time-Varying Diffusivity, With Application to Moisture-Sorption in Composites","type":"article-journal","volume":"10"},"uris":["http://www.mendeley.com/documents/?uuid=c1740ff9-bdbb-401c-927d-5d16579f60eb"]}],"mendeley":{"formattedCitation":"[114]","plainTextFormattedCitation":"[114]","previouslyFormattedCitation":"[114]"},"properties":{"noteIndex":0},"schema":"https://github.com/citation-style-language/schema/raw/master/csl-citation.json"}</w:instrText>
      </w:r>
      <w:r>
        <w:fldChar w:fldCharType="separate"/>
      </w:r>
      <w:r w:rsidR="007021F2" w:rsidRPr="007021F2">
        <w:rPr>
          <w:noProof/>
        </w:rPr>
        <w:t>[114]</w:t>
      </w:r>
      <w:r>
        <w:fldChar w:fldCharType="end"/>
      </w:r>
      <w:r>
        <w:t xml:space="preserve"> state</w:t>
      </w:r>
      <w:r w:rsidR="002C020A">
        <w:t>s</w:t>
      </w:r>
      <w:r>
        <w:t xml:space="preserve"> that if the material is subjected to time-varying temperature, the diffusivity will</w:t>
      </w:r>
      <w:r w:rsidR="00AD2E2C">
        <w:t xml:space="preserve"> be</w:t>
      </w:r>
      <w:r>
        <w:t xml:space="preserve"> a function of time. Governing equation of time-varying diffusivity model is given in Eq. </w:t>
      </w:r>
      <w:r w:rsidR="009B05F7">
        <w:t>(</w:t>
      </w:r>
      <w:r>
        <w:t>36</w:t>
      </w:r>
      <w:r w:rsidR="009B05F7">
        <w:t>)</w:t>
      </w:r>
      <w:r>
        <w:t>.</w:t>
      </w:r>
    </w:p>
    <w:tbl>
      <w:tblPr>
        <w:tblW w:w="8550" w:type="dxa"/>
        <w:tblLook w:val="04A0" w:firstRow="1" w:lastRow="0" w:firstColumn="1" w:lastColumn="0" w:noHBand="0" w:noVBand="1"/>
      </w:tblPr>
      <w:tblGrid>
        <w:gridCol w:w="7825"/>
        <w:gridCol w:w="725"/>
      </w:tblGrid>
      <w:tr w:rsidR="000C2D31" w14:paraId="4B1C277A" w14:textId="77777777" w:rsidTr="007D7AB8">
        <w:tc>
          <w:tcPr>
            <w:tcW w:w="7825" w:type="dxa"/>
            <w:vAlign w:val="center"/>
          </w:tcPr>
          <w:p w14:paraId="63E48D5C" w14:textId="77777777" w:rsidR="000C2D31" w:rsidRDefault="007B3686" w:rsidP="000C2D31">
            <w:pPr>
              <w:ind w:firstLine="0"/>
              <w:jc w:val="center"/>
            </w:pPr>
            <m:oMathPara>
              <m:oMath>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∂t</m:t>
                    </m:r>
                  </m:den>
                </m:f>
                <m:r>
                  <m:rPr>
                    <m:sty m:val="p"/>
                  </m:rP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0</m:t>
                    </m:r>
                  </m:sub>
                </m:sSub>
                <m:r>
                  <w:rPr>
                    <w:rFonts w:ascii="Cambria Math" w:hAnsi="Cambria Math" w:cs="Times New Roman"/>
                    <w:szCs w:val="24"/>
                  </w:rPr>
                  <m:t>exp</m:t>
                </m:r>
                <m:d>
                  <m:dPr>
                    <m:begChr m:val="["/>
                    <m:endChr m:val="]"/>
                    <m:ctrlPr>
                      <w:rPr>
                        <w:rFonts w:ascii="Cambria Math" w:hAnsi="Cambria Math" w:cs="Times New Roman"/>
                        <w:i/>
                        <w:szCs w:val="24"/>
                      </w:rPr>
                    </m:ctrlPr>
                  </m:dPr>
                  <m:e>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B</m:t>
                        </m:r>
                      </m:num>
                      <m:den>
                        <m:r>
                          <w:rPr>
                            <w:rFonts w:ascii="Cambria Math" w:hAnsi="Cambria Math" w:cs="Times New Roman"/>
                            <w:szCs w:val="24"/>
                          </w:rPr>
                          <m:t>θ(t)</m:t>
                        </m:r>
                      </m:den>
                    </m:f>
                  </m:e>
                </m:d>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r>
                      <w:rPr>
                        <w:rFonts w:ascii="Cambria Math" w:hAnsi="Cambria Math" w:cs="Times New Roman"/>
                        <w:szCs w:val="24"/>
                      </w:rPr>
                      <m:t>C</m:t>
                    </m:r>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oMath>
            </m:oMathPara>
          </w:p>
        </w:tc>
        <w:tc>
          <w:tcPr>
            <w:tcW w:w="725" w:type="dxa"/>
            <w:vAlign w:val="center"/>
          </w:tcPr>
          <w:p w14:paraId="521001A6" w14:textId="77777777" w:rsidR="000C2D31" w:rsidRDefault="000C2D31" w:rsidP="000C2D31">
            <w:pPr>
              <w:ind w:firstLine="0"/>
              <w:jc w:val="right"/>
            </w:pPr>
            <w:r>
              <w:t>(36)</w:t>
            </w:r>
          </w:p>
        </w:tc>
      </w:tr>
    </w:tbl>
    <w:p w14:paraId="12235BEC" w14:textId="1556CB04" w:rsidR="000C2D31" w:rsidRDefault="000C2D31" w:rsidP="000C2D31">
      <w:pPr>
        <w:ind w:firstLine="0"/>
        <w:rPr>
          <w:szCs w:val="24"/>
        </w:rPr>
      </w:pPr>
      <w:proofErr w:type="gramStart"/>
      <w:r>
        <w:t>where</w:t>
      </w:r>
      <w:proofErr w:type="gramEnd"/>
      <w:r w:rsidRPr="00DB620D">
        <w:t xml:space="preserv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0</m:t>
            </m:r>
          </m:sub>
        </m:sSub>
      </m:oMath>
      <w:r>
        <w:rPr>
          <w:szCs w:val="24"/>
        </w:rPr>
        <w:t xml:space="preserve">, </w:t>
      </w:r>
      <m:oMath>
        <m:r>
          <w:rPr>
            <w:rFonts w:ascii="Cambria Math" w:hAnsi="Cambria Math"/>
          </w:rPr>
          <m:t>B</m:t>
        </m:r>
      </m:oMath>
      <w:r w:rsidRPr="00DB620D">
        <w:t xml:space="preserve"> are material constants</w:t>
      </w:r>
      <w:r>
        <w:t xml:space="preserve"> and </w:t>
      </w:r>
      <m:oMath>
        <m:r>
          <w:rPr>
            <w:rFonts w:ascii="Cambria Math" w:hAnsi="Cambria Math" w:cs="Times New Roman"/>
            <w:szCs w:val="24"/>
          </w:rPr>
          <m:t>θ(t)</m:t>
        </m:r>
      </m:oMath>
      <w:r>
        <w:rPr>
          <w:szCs w:val="24"/>
        </w:rPr>
        <w:t xml:space="preserve"> is the absolute temperature function.</w:t>
      </w:r>
    </w:p>
    <w:p w14:paraId="718A3616" w14:textId="6EDF44C6" w:rsidR="000C2D31" w:rsidRDefault="000C2D31" w:rsidP="000C2D31">
      <w:r>
        <w:t xml:space="preserve">The solution of differential equation in Eq. </w:t>
      </w:r>
      <w:r w:rsidR="009B05F7">
        <w:t>(</w:t>
      </w:r>
      <w:r>
        <w:t>36</w:t>
      </w:r>
      <w:r w:rsidR="009B05F7">
        <w:t>)</w:t>
      </w:r>
      <w:r>
        <w:t xml:space="preserve"> is given in Eq. </w:t>
      </w:r>
      <w:r w:rsidR="009B05F7">
        <w:t>(</w:t>
      </w:r>
      <w:r>
        <w:t>37</w:t>
      </w:r>
      <w:r w:rsidR="009B05F7">
        <w:t>)</w:t>
      </w:r>
      <w:r>
        <w:t>.</w:t>
      </w:r>
    </w:p>
    <w:p w14:paraId="5E49E386" w14:textId="77777777" w:rsidR="000C2D31" w:rsidRDefault="000C2D31" w:rsidP="000C2D31">
      <w:pPr>
        <w:ind w:firstLine="0"/>
      </w:pPr>
    </w:p>
    <w:tbl>
      <w:tblPr>
        <w:tblW w:w="0" w:type="auto"/>
        <w:tblLook w:val="04A0" w:firstRow="1" w:lastRow="0" w:firstColumn="1" w:lastColumn="0" w:noHBand="0" w:noVBand="1"/>
      </w:tblPr>
      <w:tblGrid>
        <w:gridCol w:w="7880"/>
        <w:gridCol w:w="616"/>
      </w:tblGrid>
      <w:tr w:rsidR="000C2D31" w14:paraId="02D0D051" w14:textId="77777777" w:rsidTr="007D7AB8">
        <w:tc>
          <w:tcPr>
            <w:tcW w:w="7880" w:type="dxa"/>
            <w:tcBorders>
              <w:top w:val="nil"/>
              <w:left w:val="nil"/>
              <w:bottom w:val="nil"/>
              <w:right w:val="nil"/>
            </w:tcBorders>
          </w:tcPr>
          <w:p w14:paraId="53AA7D7F" w14:textId="77777777" w:rsidR="000C2D31" w:rsidRDefault="000C2D31" w:rsidP="000C2D31">
            <w:pPr>
              <w:ind w:firstLine="0"/>
            </w:pPr>
            <m:oMathPara>
              <m:oMath>
                <m:r>
                  <w:rPr>
                    <w:rFonts w:ascii="Cambria Math" w:hAnsi="Cambria Math"/>
                  </w:rPr>
                  <m:t>C</m:t>
                </m:r>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4</m:t>
                        </m:r>
                      </m:num>
                      <m:den>
                        <m:r>
                          <w:rPr>
                            <w:rFonts w:ascii="Cambria Math" w:hAnsi="Cambria Math"/>
                          </w:rPr>
                          <m:t>π</m:t>
                        </m:r>
                      </m:den>
                    </m:f>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r>
                              <w:rPr>
                                <w:rFonts w:ascii="Cambria Math" w:hAnsi="Cambria Math"/>
                              </w:rPr>
                              <m:t>2n-1</m:t>
                            </m:r>
                          </m:den>
                        </m:f>
                        <m:r>
                          <w:rPr>
                            <w:rFonts w:ascii="Cambria Math" w:hAnsi="Cambria Math"/>
                          </w:rPr>
                          <m:t>Cos</m:t>
                        </m:r>
                        <m:d>
                          <m:dPr>
                            <m:begChr m:val="["/>
                            <m:endChr m:val="]"/>
                            <m:ctrlPr>
                              <w:rPr>
                                <w:rFonts w:ascii="Cambria Math" w:hAnsi="Cambria Math"/>
                                <w:i/>
                              </w:rPr>
                            </m:ctrlPr>
                          </m:dPr>
                          <m:e>
                            <m:f>
                              <m:fPr>
                                <m:ctrlPr>
                                  <w:rPr>
                                    <w:rFonts w:ascii="Cambria Math" w:hAnsi="Cambria Math"/>
                                    <w:i/>
                                  </w:rPr>
                                </m:ctrlPr>
                              </m:fPr>
                              <m:num>
                                <m:r>
                                  <w:rPr>
                                    <w:rFonts w:ascii="Cambria Math" w:hAnsi="Cambria Math"/>
                                  </w:rPr>
                                  <m:t>(2n-1)πx</m:t>
                                </m:r>
                              </m:num>
                              <m:den>
                                <m:r>
                                  <w:rPr>
                                    <w:rFonts w:ascii="Cambria Math" w:hAnsi="Cambria Math"/>
                                  </w:rPr>
                                  <m:t>2L</m:t>
                                </m:r>
                              </m:den>
                            </m:f>
                          </m:e>
                        </m:d>
                        <m:r>
                          <w:rPr>
                            <w:rFonts w:ascii="Cambria Math" w:hAnsi="Cambria Math"/>
                          </w:rPr>
                          <m:t>exp</m:t>
                        </m:r>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(2n-1)π</m:t>
                                        </m:r>
                                      </m:num>
                                      <m:den>
                                        <m:r>
                                          <w:rPr>
                                            <w:rFonts w:ascii="Cambria Math" w:hAnsi="Cambria Math"/>
                                          </w:rPr>
                                          <m:t>2</m:t>
                                        </m:r>
                                      </m:den>
                                    </m:f>
                                  </m:e>
                                </m:d>
                              </m:e>
                              <m:sup>
                                <m:r>
                                  <w:rPr>
                                    <w:rFonts w:ascii="Cambria Math" w:hAnsi="Cambria Math"/>
                                  </w:rPr>
                                  <m:t>2</m:t>
                                </m:r>
                              </m:sup>
                            </m:sSup>
                            <m:sSup>
                              <m:sSupPr>
                                <m:ctrlPr>
                                  <w:rPr>
                                    <w:rFonts w:ascii="Cambria Math" w:hAnsi="Cambria Math"/>
                                    <w:i/>
                                  </w:rPr>
                                </m:ctrlPr>
                              </m:sSupPr>
                              <m:e>
                                <m:r>
                                  <w:rPr>
                                    <w:rFonts w:ascii="Cambria Math" w:hAnsi="Cambria Math"/>
                                  </w:rPr>
                                  <m:t>t</m:t>
                                </m:r>
                              </m:e>
                              <m:sup>
                                <m:r>
                                  <w:rPr>
                                    <w:rFonts w:ascii="Cambria Math" w:hAnsi="Cambria Math"/>
                                  </w:rPr>
                                  <m:t>*</m:t>
                                </m:r>
                              </m:sup>
                            </m:sSup>
                          </m:e>
                        </m:d>
                      </m:e>
                    </m:nary>
                  </m:e>
                </m:d>
              </m:oMath>
            </m:oMathPara>
          </w:p>
        </w:tc>
        <w:tc>
          <w:tcPr>
            <w:tcW w:w="616" w:type="dxa"/>
            <w:tcBorders>
              <w:top w:val="nil"/>
              <w:left w:val="nil"/>
              <w:bottom w:val="nil"/>
              <w:right w:val="nil"/>
            </w:tcBorders>
            <w:vAlign w:val="center"/>
          </w:tcPr>
          <w:p w14:paraId="4E9D479A" w14:textId="77777777" w:rsidR="000C2D31" w:rsidRDefault="000C2D31" w:rsidP="000C2D31">
            <w:pPr>
              <w:ind w:firstLine="0"/>
              <w:jc w:val="right"/>
            </w:pPr>
            <w:r>
              <w:t>(37)</w:t>
            </w:r>
          </w:p>
        </w:tc>
      </w:tr>
    </w:tbl>
    <w:p w14:paraId="1FD46016" w14:textId="77777777" w:rsidR="000C2D31" w:rsidRDefault="000C2D31" w:rsidP="000C2D31">
      <w:pPr>
        <w:ind w:firstLine="0"/>
      </w:pPr>
      <w:proofErr w:type="gramStart"/>
      <w:r>
        <w:t>where</w:t>
      </w:r>
      <w:proofErr w:type="gramEnd"/>
      <w:r>
        <w:t xml:space="preserve">  </w:t>
      </w:r>
    </w:p>
    <w:tbl>
      <w:tblPr>
        <w:tblW w:w="8550" w:type="dxa"/>
        <w:tblLook w:val="04A0" w:firstRow="1" w:lastRow="0" w:firstColumn="1" w:lastColumn="0" w:noHBand="0" w:noVBand="1"/>
      </w:tblPr>
      <w:tblGrid>
        <w:gridCol w:w="7825"/>
        <w:gridCol w:w="725"/>
      </w:tblGrid>
      <w:tr w:rsidR="000C2D31" w14:paraId="616EABF5" w14:textId="77777777" w:rsidTr="007D7AB8">
        <w:tc>
          <w:tcPr>
            <w:tcW w:w="7825" w:type="dxa"/>
            <w:vAlign w:val="center"/>
          </w:tcPr>
          <w:p w14:paraId="3176E95D" w14:textId="77777777" w:rsidR="000C2D31" w:rsidRDefault="007B3686" w:rsidP="000C2D31">
            <w:pPr>
              <w:ind w:firstLine="0"/>
              <w:jc w:val="center"/>
            </w:pPr>
            <m:oMathPara>
              <m:oMath>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0</m:t>
                        </m:r>
                      </m:sub>
                    </m:sSub>
                    <m:nary>
                      <m:naryPr>
                        <m:limLoc m:val="subSup"/>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cs="Times New Roman"/>
                            <w:szCs w:val="24"/>
                          </w:rPr>
                          <m:t>exp</m:t>
                        </m:r>
                        <m:d>
                          <m:dPr>
                            <m:begChr m:val="["/>
                            <m:endChr m:val="]"/>
                            <m:ctrlPr>
                              <w:rPr>
                                <w:rFonts w:ascii="Cambria Math" w:hAnsi="Cambria Math" w:cs="Times New Roman"/>
                                <w:i/>
                                <w:szCs w:val="24"/>
                              </w:rPr>
                            </m:ctrlPr>
                          </m:dPr>
                          <m:e>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B</m:t>
                                </m:r>
                              </m:num>
                              <m:den>
                                <m:r>
                                  <w:rPr>
                                    <w:rFonts w:ascii="Cambria Math" w:hAnsi="Cambria Math" w:cs="Times New Roman"/>
                                    <w:szCs w:val="24"/>
                                  </w:rPr>
                                  <m:t>θ(s)</m:t>
                                </m:r>
                              </m:den>
                            </m:f>
                          </m:e>
                        </m:d>
                        <m:r>
                          <w:rPr>
                            <w:rFonts w:ascii="Cambria Math" w:hAnsi="Cambria Math" w:cs="Times New Roman"/>
                            <w:szCs w:val="24"/>
                          </w:rPr>
                          <m:t>ds</m:t>
                        </m:r>
                      </m:e>
                    </m:nary>
                  </m:num>
                  <m:den>
                    <m:sSup>
                      <m:sSupPr>
                        <m:ctrlPr>
                          <w:rPr>
                            <w:rFonts w:ascii="Cambria Math" w:hAnsi="Cambria Math"/>
                            <w:i/>
                          </w:rPr>
                        </m:ctrlPr>
                      </m:sSupPr>
                      <m:e>
                        <m:r>
                          <w:rPr>
                            <w:rFonts w:ascii="Cambria Math" w:hAnsi="Cambria Math"/>
                          </w:rPr>
                          <m:t>L</m:t>
                        </m:r>
                      </m:e>
                      <m:sup>
                        <m:r>
                          <w:rPr>
                            <w:rFonts w:ascii="Cambria Math" w:hAnsi="Cambria Math"/>
                          </w:rPr>
                          <m:t>2</m:t>
                        </m:r>
                      </m:sup>
                    </m:sSup>
                  </m:den>
                </m:f>
              </m:oMath>
            </m:oMathPara>
          </w:p>
        </w:tc>
        <w:tc>
          <w:tcPr>
            <w:tcW w:w="725" w:type="dxa"/>
            <w:vAlign w:val="center"/>
          </w:tcPr>
          <w:p w14:paraId="39E35633" w14:textId="77777777" w:rsidR="000C2D31" w:rsidRDefault="000C2D31" w:rsidP="000C2D31">
            <w:pPr>
              <w:ind w:firstLine="0"/>
              <w:jc w:val="right"/>
            </w:pPr>
            <w:r>
              <w:t>(38)</w:t>
            </w:r>
          </w:p>
        </w:tc>
      </w:tr>
    </w:tbl>
    <w:p w14:paraId="6DC7B024" w14:textId="07ED4B6B" w:rsidR="000C2D31" w:rsidRDefault="000C2D31" w:rsidP="000C2D31">
      <w:pPr>
        <w:ind w:firstLine="0"/>
      </w:pPr>
      <w:r>
        <w:t xml:space="preserve">If the integral in Eq. </w:t>
      </w:r>
      <w:r w:rsidR="009B05F7">
        <w:t>(</w:t>
      </w:r>
      <w:r>
        <w:t>38</w:t>
      </w:r>
      <w:r w:rsidR="009B05F7">
        <w:t>)</w:t>
      </w:r>
      <w:r>
        <w:t xml:space="preserve"> is equal </w:t>
      </w:r>
      <w:proofErr w:type="gramStart"/>
      <w:r>
        <w:t xml:space="preserve">to </w:t>
      </w:r>
      <w:proofErr w:type="gramEnd"/>
      <m:oMath>
        <m:r>
          <w:rPr>
            <w:rFonts w:ascii="Cambria Math" w:hAnsi="Cambria Math"/>
          </w:rPr>
          <m:t>t</m:t>
        </m:r>
      </m:oMath>
      <w:r>
        <w:t>, diffusion is not time dependent and reduced to the classical Fickian diffusion.</w:t>
      </w:r>
    </w:p>
    <w:p w14:paraId="6BF747EA" w14:textId="77777777" w:rsidR="007D3A7E" w:rsidRDefault="007D3A7E" w:rsidP="000C2D31">
      <w:pPr>
        <w:ind w:firstLine="0"/>
      </w:pPr>
    </w:p>
    <w:p w14:paraId="7C3D602A" w14:textId="77777777" w:rsidR="007D3A7E" w:rsidRDefault="007D3A7E" w:rsidP="00BB2C1B">
      <w:pPr>
        <w:pStyle w:val="Heading2"/>
      </w:pPr>
      <w:r>
        <w:br w:type="page"/>
      </w:r>
    </w:p>
    <w:p w14:paraId="20BD42A0" w14:textId="69EB2027" w:rsidR="000C2D31" w:rsidRDefault="006D2C83" w:rsidP="00BB2C1B">
      <w:pPr>
        <w:pStyle w:val="Heading2"/>
      </w:pPr>
      <w:bookmarkStart w:id="82" w:name="_Toc531943751"/>
      <w:r>
        <w:lastRenderedPageBreak/>
        <w:t>2.6.</w:t>
      </w:r>
      <w:r w:rsidR="007021F2">
        <w:t xml:space="preserve"> </w:t>
      </w:r>
      <w:r w:rsidR="000C2D31">
        <w:t>Model Parameter Recovery</w:t>
      </w:r>
      <w:bookmarkEnd w:id="82"/>
    </w:p>
    <w:p w14:paraId="17B1BD2F" w14:textId="5F8090D1" w:rsidR="000C2D31" w:rsidRPr="00EA0C0F" w:rsidRDefault="000C2D31" w:rsidP="000C2D31">
      <w:pPr>
        <w:spacing w:after="120"/>
        <w:rPr>
          <w:rFonts w:cs="Times New Roman"/>
          <w:szCs w:val="24"/>
        </w:rPr>
      </w:pPr>
      <w:r>
        <w:rPr>
          <w:rFonts w:cs="Times New Roman"/>
          <w:szCs w:val="24"/>
        </w:rPr>
        <w:t>Both the Fickian and</w:t>
      </w:r>
      <w:r w:rsidRPr="00EA0C0F">
        <w:rPr>
          <w:rFonts w:cs="Times New Roman"/>
          <w:szCs w:val="24"/>
        </w:rPr>
        <w:t xml:space="preserve"> hindered diffusion model</w:t>
      </w:r>
      <w:r>
        <w:rPr>
          <w:rFonts w:cs="Times New Roman"/>
          <w:szCs w:val="24"/>
        </w:rPr>
        <w:t>s contain a model specific</w:t>
      </w:r>
      <w:r w:rsidRPr="00EA0C0F">
        <w:rPr>
          <w:rFonts w:cs="Times New Roman"/>
          <w:szCs w:val="24"/>
        </w:rPr>
        <w:t xml:space="preserve"> set of material properties generally referred to as “absorption parameters” or “</w:t>
      </w:r>
      <w:r>
        <w:rPr>
          <w:rFonts w:cs="Times New Roman"/>
          <w:szCs w:val="24"/>
        </w:rPr>
        <w:t xml:space="preserve">diffusion parameters” </w:t>
      </w:r>
      <w:r w:rsidR="00AD2E2C">
        <w:rPr>
          <w:rFonts w:cs="Times New Roman"/>
          <w:szCs w:val="24"/>
        </w:rPr>
        <w:t>which are needed for the characterization of liquid absorption in a particular polymer or composite</w:t>
      </w:r>
      <w:r w:rsidR="00AD2E2C" w:rsidRPr="00EA0C0F">
        <w:rPr>
          <w:rFonts w:cs="Times New Roman"/>
          <w:szCs w:val="24"/>
        </w:rPr>
        <w:t xml:space="preserve">. </w:t>
      </w:r>
      <w:r w:rsidR="00AD2E2C">
        <w:rPr>
          <w:rFonts w:cs="Times New Roman"/>
          <w:szCs w:val="24"/>
        </w:rPr>
        <w:t>The o</w:t>
      </w:r>
      <w:r w:rsidR="00AD2E2C" w:rsidRPr="00EA0C0F">
        <w:rPr>
          <w:rFonts w:cs="Times New Roman"/>
          <w:szCs w:val="24"/>
        </w:rPr>
        <w:t>ne-dimensional Fickian diffusion model</w:t>
      </w:r>
      <w:r w:rsidR="00AD2E2C">
        <w:rPr>
          <w:rFonts w:cs="Times New Roman"/>
          <w:szCs w:val="24"/>
        </w:rPr>
        <w:t xml:space="preserve"> </w:t>
      </w:r>
      <w:r w:rsidR="00AD2E2C" w:rsidRPr="00EA0C0F">
        <w:rPr>
          <w:rFonts w:cs="Times New Roman"/>
          <w:szCs w:val="24"/>
        </w:rPr>
        <w:t xml:space="preserve">uses only two distinctive </w:t>
      </w:r>
      <w:r w:rsidR="00AD2E2C">
        <w:rPr>
          <w:rFonts w:cs="Times New Roman"/>
          <w:szCs w:val="24"/>
        </w:rPr>
        <w:t>absorption parameter</w:t>
      </w:r>
      <w:r w:rsidR="00AD2E2C" w:rsidRPr="00EA0C0F">
        <w:rPr>
          <w:rFonts w:cs="Times New Roman"/>
          <w:szCs w:val="24"/>
        </w:rPr>
        <w:t>s: through-the-thickness diffusion coefficient</w:t>
      </w:r>
      <w:proofErr w:type="gramStart"/>
      <w:r w:rsidR="00AD2E2C" w:rsidRPr="00EA0C0F">
        <w:rPr>
          <w:rFonts w:cs="Times New Roman"/>
          <w:szCs w:val="24"/>
        </w:rPr>
        <w:t xml:space="preserve">, </w:t>
      </w:r>
      <w:proofErr w:type="gramEnd"/>
      <m:oMath>
        <m:r>
          <w:rPr>
            <w:rFonts w:ascii="Cambria Math" w:hAnsi="Cambria Math" w:cs="Times New Roman"/>
            <w:szCs w:val="24"/>
          </w:rPr>
          <m:t>D</m:t>
        </m:r>
      </m:oMath>
      <w:r w:rsidR="00AD2E2C">
        <w:rPr>
          <w:rFonts w:cs="Times New Roman"/>
          <w:szCs w:val="24"/>
        </w:rPr>
        <w:t>, and the maximum amount of penetrant</w:t>
      </w:r>
      <w:r w:rsidR="00AD2E2C" w:rsidRPr="00EA0C0F">
        <w:rPr>
          <w:rFonts w:cs="Times New Roman"/>
          <w:szCs w:val="24"/>
        </w:rPr>
        <w:t xml:space="preserve"> that </w:t>
      </w:r>
      <w:r w:rsidR="00AD2E2C">
        <w:rPr>
          <w:rFonts w:cs="Times New Roman"/>
          <w:szCs w:val="24"/>
        </w:rPr>
        <w:t xml:space="preserve">the </w:t>
      </w:r>
      <w:r w:rsidR="00AD2E2C" w:rsidRPr="00EA0C0F">
        <w:rPr>
          <w:rFonts w:cs="Times New Roman"/>
          <w:szCs w:val="24"/>
        </w:rPr>
        <w:t xml:space="preserve">material can absorb, </w:t>
      </w:r>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oMath>
      <w:r w:rsidR="00AD2E2C">
        <w:rPr>
          <w:rFonts w:cs="Times New Roman"/>
          <w:szCs w:val="24"/>
        </w:rPr>
        <w:t xml:space="preserve">, </w:t>
      </w:r>
      <w:r w:rsidR="00AD2E2C" w:rsidRPr="00EA0C0F">
        <w:rPr>
          <w:rFonts w:cs="Times New Roman"/>
          <w:szCs w:val="24"/>
        </w:rPr>
        <w:t>often given</w:t>
      </w:r>
      <w:r w:rsidR="00AD2E2C">
        <w:rPr>
          <w:rFonts w:cs="Times New Roman"/>
          <w:szCs w:val="24"/>
        </w:rPr>
        <w:t xml:space="preserve"> in terms of weight percentage.</w:t>
      </w:r>
      <w:r w:rsidRPr="00EA0C0F">
        <w:rPr>
          <w:rFonts w:cs="Times New Roman"/>
          <w:szCs w:val="24"/>
        </w:rPr>
        <w:t xml:space="preserve"> In the event that edge effects and/or anisotropy </w:t>
      </w:r>
      <w:r>
        <w:rPr>
          <w:rFonts w:cs="Times New Roman"/>
          <w:szCs w:val="24"/>
        </w:rPr>
        <w:t>are</w:t>
      </w:r>
      <w:r w:rsidRPr="00EA0C0F">
        <w:rPr>
          <w:rFonts w:cs="Times New Roman"/>
          <w:szCs w:val="24"/>
        </w:rPr>
        <w:t xml:space="preserve"> present, different directions might have different diffusion coefficients</w:t>
      </w:r>
      <w:r>
        <w:rPr>
          <w:rFonts w:cs="Times New Roman"/>
          <w:szCs w:val="24"/>
        </w:rPr>
        <w:t xml:space="preserve">, usually </w:t>
      </w:r>
      <w:r w:rsidRPr="00EA0C0F">
        <w:rPr>
          <w:rFonts w:cs="Times New Roman"/>
          <w:szCs w:val="24"/>
        </w:rPr>
        <w:t>referred</w:t>
      </w:r>
      <w:r>
        <w:rPr>
          <w:rFonts w:cs="Times New Roman"/>
          <w:szCs w:val="24"/>
        </w:rPr>
        <w:t xml:space="preserve"> to</w:t>
      </w:r>
      <w:r w:rsidRPr="00EA0C0F">
        <w:rPr>
          <w:rFonts w:cs="Times New Roman"/>
          <w:szCs w:val="24"/>
        </w:rPr>
        <w:t xml:space="preserve"> as: through-the-thickness diffusion coefficient</w:t>
      </w:r>
      <w:proofErr w:type="gramStart"/>
      <w:r w:rsidRPr="00EA0C0F">
        <w:rPr>
          <w:rFonts w:cs="Times New Roman"/>
          <w:szCs w:val="24"/>
        </w:rPr>
        <w:t xml:space="preserve">, </w:t>
      </w:r>
      <w:proofErr w:type="gramEnd"/>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oMath>
      <w:r w:rsidRPr="00EA0C0F">
        <w:rPr>
          <w:rFonts w:cs="Times New Roman"/>
          <w:szCs w:val="24"/>
        </w:rPr>
        <w:t xml:space="preserve">, and planar diffusion coefficients,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oMath>
      <w:r w:rsidRPr="00EA0C0F">
        <w:rPr>
          <w:rFonts w:cs="Times New Roman"/>
          <w:szCs w:val="24"/>
        </w:rPr>
        <w:t xml:space="preserve"> and</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oMath>
      <w:r>
        <w:rPr>
          <w:rFonts w:cs="Times New Roman"/>
          <w:szCs w:val="24"/>
        </w:rPr>
        <w:t xml:space="preserve"> in the direction of </w:t>
      </w:r>
      <m:oMath>
        <m:r>
          <w:rPr>
            <w:rFonts w:ascii="Cambria Math" w:hAnsi="Cambria Math" w:cs="Times New Roman"/>
            <w:szCs w:val="24"/>
          </w:rPr>
          <m:t>x</m:t>
        </m:r>
      </m:oMath>
      <w:r>
        <w:rPr>
          <w:rFonts w:cs="Times New Roman"/>
          <w:szCs w:val="24"/>
        </w:rPr>
        <w:t xml:space="preserve"> and </w:t>
      </w:r>
      <m:oMath>
        <m:r>
          <w:rPr>
            <w:rFonts w:ascii="Cambria Math" w:hAnsi="Cambria Math" w:cs="Times New Roman"/>
            <w:szCs w:val="24"/>
          </w:rPr>
          <m:t>y</m:t>
        </m:r>
      </m:oMath>
      <w:r>
        <w:rPr>
          <w:rFonts w:cs="Times New Roman"/>
          <w:szCs w:val="24"/>
        </w:rPr>
        <w:t>, respectively</w:t>
      </w:r>
      <w:r w:rsidRPr="00EA0C0F">
        <w:rPr>
          <w:rFonts w:cs="Times New Roman"/>
          <w:szCs w:val="24"/>
        </w:rPr>
        <w:t xml:space="preserve">. </w:t>
      </w:r>
      <w:r>
        <w:rPr>
          <w:rFonts w:cs="Times New Roman"/>
          <w:szCs w:val="24"/>
        </w:rPr>
        <w:t>When the diffusion is non-Fickian,</w:t>
      </w:r>
      <w:r w:rsidRPr="00EA0C0F">
        <w:rPr>
          <w:rFonts w:cs="Times New Roman"/>
          <w:szCs w:val="24"/>
        </w:rPr>
        <w:t xml:space="preserve"> the hindered diffusion model</w:t>
      </w:r>
      <w:r>
        <w:rPr>
          <w:rFonts w:cs="Times New Roman"/>
          <w:szCs w:val="24"/>
        </w:rPr>
        <w:t xml:space="preserve"> introduces </w:t>
      </w:r>
      <w:r w:rsidRPr="00EA0C0F">
        <w:rPr>
          <w:rFonts w:cs="Times New Roman"/>
          <w:szCs w:val="24"/>
        </w:rPr>
        <w:t xml:space="preserve">two </w:t>
      </w:r>
      <w:r>
        <w:rPr>
          <w:rFonts w:cs="Times New Roman"/>
          <w:szCs w:val="24"/>
        </w:rPr>
        <w:t xml:space="preserve">additional </w:t>
      </w:r>
      <w:r w:rsidRPr="00EA0C0F">
        <w:rPr>
          <w:rFonts w:cs="Times New Roman"/>
          <w:szCs w:val="24"/>
        </w:rPr>
        <w:t xml:space="preserve">parameters to the ones used in the Fickian model: the </w:t>
      </w:r>
      <w:r>
        <w:rPr>
          <w:rFonts w:cs="Times New Roman"/>
          <w:szCs w:val="24"/>
        </w:rPr>
        <w:t>rate</w:t>
      </w:r>
      <w:r w:rsidRPr="00EA0C0F">
        <w:rPr>
          <w:rFonts w:cs="Times New Roman"/>
          <w:szCs w:val="24"/>
        </w:rPr>
        <w:t xml:space="preserve"> of bound molecules becoming mobile</w:t>
      </w:r>
      <w:r w:rsidRPr="007D1701">
        <w:rPr>
          <w:rFonts w:cs="Times New Roman"/>
          <w:szCs w:val="24"/>
        </w:rPr>
        <w:t xml:space="preserve"> </w:t>
      </w:r>
      <w:r>
        <w:rPr>
          <w:rFonts w:cs="Times New Roman"/>
          <w:szCs w:val="24"/>
        </w:rPr>
        <w:t>per unit time</w:t>
      </w:r>
      <w:proofErr w:type="gramStart"/>
      <w:r w:rsidRPr="00EA0C0F">
        <w:rPr>
          <w:rFonts w:cs="Times New Roman"/>
          <w:szCs w:val="24"/>
        </w:rPr>
        <w:t xml:space="preserve">, </w:t>
      </w:r>
      <w:proofErr w:type="gramEnd"/>
      <m:oMath>
        <m:r>
          <w:rPr>
            <w:rFonts w:ascii="Cambria Math" w:hAnsi="Cambria Math" w:cs="Times New Roman"/>
            <w:szCs w:val="24"/>
          </w:rPr>
          <m:t>β</m:t>
        </m:r>
      </m:oMath>
      <w:r w:rsidRPr="00EA0C0F">
        <w:rPr>
          <w:rFonts w:cs="Times New Roman"/>
          <w:szCs w:val="24"/>
        </w:rPr>
        <w:t xml:space="preserve">, and the </w:t>
      </w:r>
      <w:r>
        <w:rPr>
          <w:rFonts w:cs="Times New Roman"/>
          <w:szCs w:val="24"/>
        </w:rPr>
        <w:t>rate</w:t>
      </w:r>
      <w:r w:rsidRPr="00EA0C0F">
        <w:rPr>
          <w:rFonts w:cs="Times New Roman"/>
          <w:szCs w:val="24"/>
        </w:rPr>
        <w:t xml:space="preserve"> of mobile molecule becoming bound</w:t>
      </w:r>
      <w:r>
        <w:rPr>
          <w:rFonts w:cs="Times New Roman"/>
          <w:szCs w:val="24"/>
        </w:rPr>
        <w:t xml:space="preserve"> per unit time</w:t>
      </w:r>
      <w:r w:rsidRPr="00EA0C0F">
        <w:rPr>
          <w:rFonts w:cs="Times New Roman"/>
          <w:szCs w:val="24"/>
        </w:rPr>
        <w:t xml:space="preserve">, </w:t>
      </w:r>
      <m:oMath>
        <m:r>
          <w:rPr>
            <w:rFonts w:ascii="Cambria Math" w:hAnsi="Cambria Math" w:cs="Times New Roman"/>
            <w:szCs w:val="24"/>
          </w:rPr>
          <m:t>γ</m:t>
        </m:r>
      </m:oMath>
      <w:r w:rsidRPr="00EA0C0F">
        <w:rPr>
          <w:rFonts w:cs="Times New Roman"/>
          <w:szCs w:val="24"/>
        </w:rPr>
        <w:t>.</w:t>
      </w:r>
      <w:r>
        <w:rPr>
          <w:rFonts w:cs="Times New Roman"/>
          <w:szCs w:val="24"/>
        </w:rPr>
        <w:t xml:space="preserve"> Bound molecule means that the liquid penetrant is chemically interacts and binds the medium, whereas in the case of unbound molecule penetrant is mobile and free to diffuse into the medium.</w:t>
      </w:r>
    </w:p>
    <w:p w14:paraId="18B36B60" w14:textId="238A9407" w:rsidR="000C2D31" w:rsidRPr="001E6BA7" w:rsidRDefault="000C2D31" w:rsidP="000C2D31">
      <w:pPr>
        <w:rPr>
          <w:rFonts w:cs="Times New Roman"/>
          <w:szCs w:val="24"/>
        </w:rPr>
      </w:pPr>
      <w:r>
        <w:rPr>
          <w:rFonts w:cs="Times New Roman"/>
          <w:szCs w:val="24"/>
        </w:rPr>
        <w:t>The most accurate and versatile method available to recover</w:t>
      </w:r>
      <w:r w:rsidRPr="001E6BA7">
        <w:rPr>
          <w:rFonts w:cs="Times New Roman"/>
          <w:szCs w:val="24"/>
        </w:rPr>
        <w:t xml:space="preserve"> </w:t>
      </w:r>
      <w:r>
        <w:rPr>
          <w:rFonts w:cs="Times New Roman"/>
          <w:szCs w:val="24"/>
        </w:rPr>
        <w:t xml:space="preserve">the absorption parameters is the </w:t>
      </w:r>
      <w:r w:rsidRPr="001E6BA7">
        <w:rPr>
          <w:rFonts w:cs="Times New Roman"/>
          <w:szCs w:val="24"/>
        </w:rPr>
        <w:t xml:space="preserve">one proposed by </w:t>
      </w:r>
      <w:proofErr w:type="spellStart"/>
      <w:r w:rsidRPr="001E6BA7">
        <w:rPr>
          <w:rFonts w:cs="Times New Roman"/>
          <w:szCs w:val="24"/>
        </w:rPr>
        <w:t>Aktas</w:t>
      </w:r>
      <w:proofErr w:type="spellEnd"/>
      <w:r w:rsidRPr="001E6BA7">
        <w:rPr>
          <w:rFonts w:cs="Times New Roman"/>
          <w:szCs w:val="24"/>
        </w:rPr>
        <w:t xml:space="preserve"> et al.</w:t>
      </w:r>
      <w:r>
        <w:rPr>
          <w:rFonts w:cs="Times New Roman"/>
          <w:szCs w:val="24"/>
        </w:rPr>
        <w:t xml:space="preserve"> </w:t>
      </w:r>
      <w:r>
        <w:rPr>
          <w:rFonts w:cs="Times New Roman"/>
          <w:szCs w:val="24"/>
        </w:rPr>
        <w:fldChar w:fldCharType="begin" w:fldLock="1"/>
      </w:r>
      <w:r w:rsidR="00B274D5">
        <w:rPr>
          <w:rFonts w:cs="Times New Roman"/>
          <w:szCs w:val="24"/>
        </w:rPr>
        <w:instrText>ADDIN CSL_CITATION {"citationItems":[{"id":"ITEM-1","itemData":{"DOI":"10.1115/1.1789959","ISSN":"00944289","abstract":"The common methods used to determine the diffusion coefficients of polymer composites are based on the solution of Fickian diffusion equation in one-dimensional {(1D)} rectangular domain. However, these diffusivities usually involve errors primarily due to finite sample dimensions and anisotropy introduced by fiber reinforcements. In this study, the solution of transient, three-dimensional {(3D)} anisotropic Fickian diffusion equation is nondimensionalized using six parameters. The solution is then used to analyze the combined contribution of finite sample dimensions and anisotropy to the errors involved in diffusion constants calculated by {1D} methods. The small time solution of the Fickian diffusion equation in {3D} domain is used to analyze the slope used in diffusivity calculations. It is shown that the diffusion coefficient calculated by the {1D} approach is exact only if the correct slope of percent mass gain versus root square time curve at t=0 is used. However, it has also been shown that depending on the part geometry and degree of anisotropy, there might be considerable differences between the measured slope from the experimental data and the actual slope at t=0. The mismatch between the slopes results in as much as 50% errors in estimates of diffusion coefficients. Using the {3D} solution in nondimensional form, the magnitudes of these errors are studied. A least-square curve-fit method, which yields accurate anisotropic diffusion coefficients, is proposed. The method is demonstrated on artificially generated experimental data for a polymer composite containing 50% unidirectional reinforcement. The anisotropic diffusion coefficients used to generate the data are recovered with less than 1% error.","author":[{"dropping-particle":"","family":"Aktas","given":"Levent","non-dropping-particle":"","parse-names":false,"suffix":""},{"dropping-particle":"","family":"Hamidi","given":"Youssef K.","non-dropping-particle":"","parse-names":false,"suffix":""},{"dropping-particle":"","family":"Altan","given":"M. Cengiz","non-dropping-particle":"","parse-names":false,"suffix":""}],"container-title":"Journal of Engineering Materials and Technology","id":"ITEM-1","issue":"4","issued":{"date-parts":[["2004"]]},"page":"427","title":"Combined Edge and Anisotropy Effects on Fickian Mass Diffusion in Polymer Composites","type":"article-journal","volume":"126"},"uris":["http://www.mendeley.com/documents/?uuid=cb72864e-064b-4f8c-bf07-ac4be74036d8"]}],"mendeley":{"formattedCitation":"[61]","plainTextFormattedCitation":"[61]","previouslyFormattedCitation":"[61]"},"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[61]</w:t>
      </w:r>
      <w:r>
        <w:rPr>
          <w:rFonts w:cs="Times New Roman"/>
          <w:szCs w:val="24"/>
        </w:rPr>
        <w:fldChar w:fldCharType="end"/>
      </w:r>
      <w:r>
        <w:rPr>
          <w:rFonts w:cs="Times New Roman"/>
          <w:szCs w:val="24"/>
        </w:rPr>
        <w:t>. T</w:t>
      </w:r>
      <w:r w:rsidRPr="001E6BA7">
        <w:rPr>
          <w:rFonts w:cs="Times New Roman"/>
          <w:szCs w:val="24"/>
        </w:rPr>
        <w:t xml:space="preserve">he </w:t>
      </w:r>
      <w:r>
        <w:rPr>
          <w:rFonts w:cs="Times New Roman"/>
          <w:szCs w:val="24"/>
        </w:rPr>
        <w:t>absorption parameters</w:t>
      </w:r>
      <w:r w:rsidRPr="001E6BA7">
        <w:rPr>
          <w:rFonts w:cs="Times New Roman"/>
          <w:szCs w:val="24"/>
        </w:rPr>
        <w:t xml:space="preserve"> of a material can be recovered </w:t>
      </w:r>
      <w:r>
        <w:rPr>
          <w:rFonts w:cs="Times New Roman"/>
          <w:szCs w:val="24"/>
        </w:rPr>
        <w:t xml:space="preserve">simultaneously </w:t>
      </w:r>
      <w:r w:rsidRPr="001E6BA7">
        <w:rPr>
          <w:rFonts w:cs="Times New Roman"/>
          <w:szCs w:val="24"/>
        </w:rPr>
        <w:t xml:space="preserve">from experimental moisture absorption data by using a gradient optimization method </w:t>
      </w:r>
      <w:r>
        <w:rPr>
          <w:rFonts w:cs="Times New Roman"/>
          <w:szCs w:val="24"/>
        </w:rPr>
        <w:t xml:space="preserve">to match the data </w:t>
      </w:r>
      <w:r w:rsidRPr="001E6BA7">
        <w:rPr>
          <w:rFonts w:cs="Times New Roman"/>
          <w:szCs w:val="24"/>
        </w:rPr>
        <w:t xml:space="preserve">with either the exact analytical or the approximate solution. The </w:t>
      </w:r>
      <w:r>
        <w:rPr>
          <w:rFonts w:cs="Times New Roman"/>
          <w:szCs w:val="24"/>
        </w:rPr>
        <w:t>error to be minimized</w:t>
      </w:r>
      <w:r w:rsidRPr="001E6BA7">
        <w:rPr>
          <w:rFonts w:cs="Times New Roman"/>
          <w:szCs w:val="24"/>
        </w:rPr>
        <w:t xml:space="preserve"> </w:t>
      </w:r>
      <w:r>
        <w:rPr>
          <w:rFonts w:cs="Times New Roman"/>
          <w:szCs w:val="24"/>
        </w:rPr>
        <w:t xml:space="preserve">in the matching algorithm </w:t>
      </w:r>
      <w:r w:rsidR="007D3A7E">
        <w:rPr>
          <w:rFonts w:cs="Times New Roman"/>
          <w:szCs w:val="24"/>
        </w:rPr>
        <w:t>is:</w:t>
      </w:r>
    </w:p>
    <w:tbl>
      <w:tblPr>
        <w:tblW w:w="0" w:type="auto"/>
        <w:tblLook w:val="04A0" w:firstRow="1" w:lastRow="0" w:firstColumn="1" w:lastColumn="0" w:noHBand="0" w:noVBand="1"/>
      </w:tblPr>
      <w:tblGrid>
        <w:gridCol w:w="7520"/>
        <w:gridCol w:w="976"/>
      </w:tblGrid>
      <w:tr w:rsidR="000C2D31" w:rsidRPr="001E6BA7" w14:paraId="17FF63B3" w14:textId="77777777" w:rsidTr="000C2D31">
        <w:tc>
          <w:tcPr>
            <w:tcW w:w="9198" w:type="dxa"/>
            <w:vAlign w:val="center"/>
          </w:tcPr>
          <w:p w14:paraId="362AF74D" w14:textId="77777777" w:rsidR="000C2D31" w:rsidRPr="001E6BA7" w:rsidRDefault="000C2D31" w:rsidP="000C2D31">
            <w:pPr>
              <w:rPr>
                <w:rFonts w:cs="Times New Roman"/>
                <w:szCs w:val="24"/>
              </w:rPr>
            </w:pPr>
            <m:oMathPara>
              <m:oMath>
                <m:r>
                  <w:rPr>
                    <w:rFonts w:ascii="Cambria Math" w:hAnsi="Cambria Math" w:cs="Times New Roman"/>
                    <w:szCs w:val="24"/>
                  </w:rPr>
                  <w:lastRenderedPageBreak/>
                  <m:t>E</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m:t>
                    </m:r>
                  </m:sub>
                  <m:sup>
                    <m:r>
                      <w:rPr>
                        <w:rFonts w:ascii="Cambria Math" w:hAnsi="Cambria Math" w:cs="Times New Roman"/>
                        <w:szCs w:val="24"/>
                      </w:rPr>
                      <m:t>n</m:t>
                    </m:r>
                  </m:sup>
                  <m:e>
                    <m:sSup>
                      <m:sSupPr>
                        <m:ctrlPr>
                          <w:rPr>
                            <w:rFonts w:ascii="Cambria Math" w:hAnsi="Cambria Math" w:cs="Times New Roman"/>
                            <w:i/>
                            <w:szCs w:val="24"/>
                          </w:rPr>
                        </m:ctrlPr>
                      </m:sSupPr>
                      <m:e>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j</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exp,j</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e>
                      <m:sup>
                        <m:r>
                          <w:rPr>
                            <w:rFonts w:ascii="Cambria Math" w:hAnsi="Cambria Math" w:cs="Times New Roman"/>
                            <w:szCs w:val="24"/>
                          </w:rPr>
                          <m:t>2</m:t>
                        </m:r>
                      </m:sup>
                    </m:sSup>
                  </m:e>
                </m:nary>
              </m:oMath>
            </m:oMathPara>
          </w:p>
        </w:tc>
        <w:tc>
          <w:tcPr>
            <w:tcW w:w="378" w:type="dxa"/>
            <w:vAlign w:val="center"/>
          </w:tcPr>
          <w:p w14:paraId="295E0C02" w14:textId="77777777" w:rsidR="000C2D31" w:rsidRPr="001E6BA7" w:rsidRDefault="000C2D31" w:rsidP="000C2D31">
            <w:pPr>
              <w:jc w:val="center"/>
              <w:rPr>
                <w:rFonts w:eastAsiaTheme="majorEastAsia" w:cs="Times New Roman"/>
                <w:szCs w:val="24"/>
              </w:rPr>
            </w:pPr>
            <w:r>
              <w:rPr>
                <w:rFonts w:eastAsiaTheme="majorEastAsia" w:cs="Times New Roman"/>
                <w:szCs w:val="24"/>
              </w:rPr>
              <w:t>(39</w:t>
            </w:r>
            <w:r w:rsidRPr="001E6BA7">
              <w:rPr>
                <w:rFonts w:eastAsiaTheme="majorEastAsia" w:cs="Times New Roman"/>
                <w:szCs w:val="24"/>
              </w:rPr>
              <w:t>)</w:t>
            </w:r>
          </w:p>
        </w:tc>
      </w:tr>
    </w:tbl>
    <w:p w14:paraId="3BA07BA1" w14:textId="5FFB32D0" w:rsidR="000C2D31" w:rsidRPr="001E6BA7" w:rsidRDefault="000C2D31" w:rsidP="00AD2E2C">
      <w:pPr>
        <w:ind w:firstLine="0"/>
        <w:rPr>
          <w:rFonts w:cs="Times New Roman"/>
          <w:szCs w:val="24"/>
        </w:rPr>
      </w:pPr>
      <w:proofErr w:type="gramStart"/>
      <w:r w:rsidRPr="001E6BA7">
        <w:rPr>
          <w:rFonts w:cs="Times New Roman"/>
          <w:szCs w:val="24"/>
        </w:rPr>
        <w:t>where</w:t>
      </w:r>
      <w:proofErr w:type="gramEnd"/>
      <w:r w:rsidRPr="001E6BA7">
        <w:rPr>
          <w:rFonts w:cs="Times New Roman"/>
          <w:szCs w:val="24"/>
        </w:rPr>
        <w:t xml:space="preserve"> </w:t>
      </w:r>
      <m:oMath>
        <m:r>
          <w:rPr>
            <w:rFonts w:ascii="Cambria Math" w:hAnsi="Cambria Math" w:cs="Times New Roman"/>
            <w:szCs w:val="24"/>
          </w:rPr>
          <m:t>M(t)</m:t>
        </m:r>
      </m:oMath>
      <w:r>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exp</m:t>
            </m:r>
          </m:sub>
        </m:sSub>
        <m:r>
          <w:rPr>
            <w:rFonts w:ascii="Cambria Math" w:hAnsi="Cambria Math" w:cs="Times New Roman"/>
            <w:szCs w:val="24"/>
          </w:rPr>
          <m:t>(t)</m:t>
        </m:r>
      </m:oMath>
      <w:r w:rsidRPr="001E6BA7">
        <w:rPr>
          <w:rFonts w:cs="Times New Roman"/>
          <w:szCs w:val="24"/>
        </w:rPr>
        <w:t xml:space="preserve"> </w:t>
      </w:r>
      <w:r>
        <w:rPr>
          <w:rFonts w:cs="Times New Roman"/>
          <w:szCs w:val="24"/>
        </w:rPr>
        <w:t>are</w:t>
      </w:r>
      <w:r w:rsidRPr="001E6BA7">
        <w:rPr>
          <w:rFonts w:cs="Times New Roman"/>
          <w:szCs w:val="24"/>
        </w:rPr>
        <w:t xml:space="preserve"> theoretical</w:t>
      </w:r>
      <w:r>
        <w:rPr>
          <w:rFonts w:cs="Times New Roman"/>
          <w:szCs w:val="24"/>
        </w:rPr>
        <w:t>ly predicted and</w:t>
      </w:r>
      <w:r w:rsidRPr="001E6BA7">
        <w:rPr>
          <w:rFonts w:cs="Times New Roman"/>
          <w:szCs w:val="24"/>
        </w:rPr>
        <w:t xml:space="preserve"> experimentally </w:t>
      </w:r>
      <w:r>
        <w:rPr>
          <w:rFonts w:cs="Times New Roman"/>
          <w:szCs w:val="24"/>
        </w:rPr>
        <w:t>measured</w:t>
      </w:r>
      <w:r w:rsidRPr="001E6BA7">
        <w:rPr>
          <w:rFonts w:cs="Times New Roman"/>
          <w:szCs w:val="24"/>
        </w:rPr>
        <w:t xml:space="preserve"> mass gain</w:t>
      </w:r>
      <w:r>
        <w:rPr>
          <w:rFonts w:cs="Times New Roman"/>
          <w:szCs w:val="24"/>
        </w:rPr>
        <w:t>s, respectively</w:t>
      </w:r>
      <w:r w:rsidRPr="001E6BA7">
        <w:rPr>
          <w:rFonts w:cs="Times New Roman"/>
          <w:szCs w:val="24"/>
        </w:rPr>
        <w:t xml:space="preserve">. </w:t>
      </w:r>
      <w:r>
        <w:rPr>
          <w:rFonts w:cs="Times New Roman"/>
          <w:szCs w:val="24"/>
        </w:rPr>
        <w:t xml:space="preserve">The error function, </w:t>
      </w:r>
      <m:oMath>
        <m:r>
          <w:rPr>
            <w:rFonts w:ascii="Cambria Math" w:hAnsi="Cambria Math" w:cs="Times New Roman"/>
            <w:szCs w:val="24"/>
          </w:rPr>
          <m:t>E</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oMath>
      <w:r>
        <w:rPr>
          <w:rFonts w:cs="Times New Roman"/>
          <w:szCs w:val="24"/>
        </w:rPr>
        <w:t xml:space="preserve"> is calculated via the summation of the errors from each one of the</w:t>
      </w:r>
      <m:oMath>
        <m:r>
          <w:rPr>
            <w:rFonts w:ascii="Cambria Math" w:hAnsi="Cambria Math" w:cs="Times New Roman"/>
            <w:szCs w:val="24"/>
          </w:rPr>
          <m:t xml:space="preserve"> n </m:t>
        </m:r>
      </m:oMath>
      <w:r>
        <w:rPr>
          <w:rFonts w:cs="Times New Roman"/>
          <w:szCs w:val="24"/>
        </w:rPr>
        <w:t>data points on the thermogravimetric curve.</w:t>
      </w:r>
    </w:p>
    <w:p w14:paraId="16B3B2C5" w14:textId="4E1AD3FB" w:rsidR="000C2D31" w:rsidRDefault="000C2D31" w:rsidP="000C2D31">
      <w:pPr>
        <w:rPr>
          <w:rFonts w:cs="Times New Roman"/>
          <w:szCs w:val="24"/>
        </w:rPr>
      </w:pPr>
      <w:r w:rsidRPr="001E6BA7">
        <w:rPr>
          <w:rFonts w:cs="Times New Roman"/>
          <w:szCs w:val="24"/>
        </w:rPr>
        <w:t xml:space="preserve">A modified version </w:t>
      </w:r>
      <w:r>
        <w:rPr>
          <w:rFonts w:cs="Times New Roman"/>
          <w:szCs w:val="24"/>
        </w:rPr>
        <w:t xml:space="preserve">of the steepest descent method </w:t>
      </w:r>
      <w:r>
        <w:rPr>
          <w:rFonts w:cs="Times New Roman"/>
          <w:szCs w:val="24"/>
        </w:rPr>
        <w:fldChar w:fldCharType="begin" w:fldLock="1"/>
      </w:r>
      <w:r w:rsidR="00B274D5">
        <w:rPr>
          <w:rFonts w:cs="Times New Roman"/>
          <w:szCs w:val="24"/>
        </w:rPr>
        <w:instrText>ADDIN CSL_CITATION {"citationItems":[{"id":"ITEM-1","itemData":{"DOI":"10.1115/1.1789959","ISSN":"00944289","abstract":"The common methods used to determine the diffusion coefficients of polymer composites are based on the solution of Fickian diffusion equation in one-dimensional {(1D)} rectangular domain. However, these diffusivities usually involve errors primarily due to finite sample dimensions and anisotropy introduced by fiber reinforcements. In this study, the solution of transient, three-dimensional {(3D)} anisotropic Fickian diffusion equation is nondimensionalized using six parameters. The solution is then used to analyze the combined contribution of finite sample dimensions and anisotropy to the errors involved in diffusion constants calculated by {1D} methods. The small time solution of the Fickian diffusion equation in {3D} domain is used to analyze the slope used in diffusivity calculations. It is shown that the diffusion coefficient calculated by the {1D} approach is exact only if the correct slope of percent mass gain versus root square time curve at t=0 is used. However, it has also been shown that depending on the part geometry and degree of anisotropy, there might be considerable differences between the measured slope from the experimental data and the actual slope at t=0. The mismatch between the slopes results in as much as 50% errors in estimates of diffusion coefficients. Using the {3D} solution in nondimensional form, the magnitudes of these errors are studied. A least-square curve-fit method, which yields accurate anisotropic diffusion coefficients, is proposed. The method is demonstrated on artificially generated experimental data for a polymer composite containing 50% unidirectional reinforcement. The anisotropic diffusion coefficients used to generate the data are recovered with less than 1% error.","author":[{"dropping-particle":"","family":"Aktas","given":"Levent","non-dropping-particle":"","parse-names":false,"suffix":""},{"dropping-particle":"","family":"Hamidi","given":"Youssef K.","non-dropping-particle":"","parse-names":false,"suffix":""},{"dropping-particle":"","family":"Altan","given":"M. Cengiz","non-dropping-particle":"","parse-names":false,"suffix":""}],"container-title":"Journal of Engineering Materials and Technology","id":"ITEM-1","issue":"4","issued":{"date-parts":[["2004"]]},"page":"427","title":"Combined Edge and Anisotropy Effects on Fickian Mass Diffusion in Polymer Composites","type":"article-journal","volume":"126"},"uris":["http://www.mendeley.com/documents/?uuid=cb72864e-064b-4f8c-bf07-ac4be74036d8"]}],"mendeley":{"formattedCitation":"[61]","plainTextFormattedCitation":"[61]","previouslyFormattedCitation":"[61]"},"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[61]</w:t>
      </w:r>
      <w:r>
        <w:rPr>
          <w:rFonts w:cs="Times New Roman"/>
          <w:szCs w:val="24"/>
        </w:rPr>
        <w:fldChar w:fldCharType="end"/>
      </w:r>
      <w:r w:rsidRPr="001E6BA7">
        <w:rPr>
          <w:rFonts w:cs="Times New Roman"/>
          <w:szCs w:val="24"/>
        </w:rPr>
        <w:t xml:space="preserve"> is used to </w:t>
      </w:r>
      <w:r>
        <w:rPr>
          <w:rFonts w:cs="Times New Roman"/>
          <w:szCs w:val="24"/>
        </w:rPr>
        <w:t xml:space="preserve">iteratively </w:t>
      </w:r>
      <w:r w:rsidRPr="001E6BA7">
        <w:rPr>
          <w:rFonts w:cs="Times New Roman"/>
          <w:szCs w:val="24"/>
        </w:rPr>
        <w:t xml:space="preserve">find the set of </w:t>
      </w:r>
      <w:r>
        <w:rPr>
          <w:rFonts w:cs="Times New Roman"/>
          <w:szCs w:val="24"/>
        </w:rPr>
        <w:t xml:space="preserve">absorption parameters </w:t>
      </w:r>
      <w:r w:rsidRPr="001E6BA7">
        <w:rPr>
          <w:rFonts w:cs="Times New Roman"/>
          <w:szCs w:val="24"/>
        </w:rPr>
        <w:t xml:space="preserve">that minimize the function </w:t>
      </w:r>
      <m:oMath>
        <m:r>
          <w:rPr>
            <w:rFonts w:ascii="Cambria Math" w:hAnsi="Cambria Math" w:cs="Times New Roman"/>
            <w:szCs w:val="24"/>
          </w:rPr>
          <m:t>E(t)</m:t>
        </m:r>
      </m:oMath>
      <w:r w:rsidRPr="001E6BA7">
        <w:rPr>
          <w:rFonts w:cs="Times New Roman"/>
          <w:i/>
          <w:szCs w:val="24"/>
        </w:rPr>
        <w:t>.</w:t>
      </w:r>
      <w:r w:rsidRPr="001E6BA7">
        <w:rPr>
          <w:rFonts w:cs="Times New Roman"/>
          <w:szCs w:val="24"/>
        </w:rPr>
        <w:t xml:space="preserve"> The gradient vector in the steepest descent optimization method is always towards the local maximum</w:t>
      </w:r>
      <w:r>
        <w:rPr>
          <w:rFonts w:cs="Times New Roman"/>
          <w:szCs w:val="24"/>
        </w:rPr>
        <w:t>. T</w:t>
      </w:r>
      <w:r w:rsidRPr="001E6BA7">
        <w:rPr>
          <w:rFonts w:cs="Times New Roman"/>
          <w:szCs w:val="24"/>
        </w:rPr>
        <w:t xml:space="preserve">herefore, </w:t>
      </w:r>
      <w:r>
        <w:rPr>
          <w:rFonts w:cs="Times New Roman"/>
          <w:szCs w:val="24"/>
        </w:rPr>
        <w:t xml:space="preserve">the </w:t>
      </w:r>
      <w:r w:rsidRPr="001E6BA7">
        <w:rPr>
          <w:rFonts w:cs="Times New Roman"/>
          <w:szCs w:val="24"/>
        </w:rPr>
        <w:t xml:space="preserve">model parameters are adjusted in the opposite direction of the gradient </w:t>
      </w:r>
      <w:r>
        <w:rPr>
          <w:rFonts w:cs="Times New Roman"/>
          <w:szCs w:val="24"/>
        </w:rPr>
        <w:t xml:space="preserve">vector at each </w:t>
      </w:r>
      <m:oMath>
        <m:sSup>
          <m:sSupPr>
            <m:ctrlPr>
              <w:rPr>
                <w:rFonts w:ascii="Cambria Math" w:hAnsi="Cambria Math" w:cs="Times New Roman"/>
                <w:i/>
                <w:szCs w:val="24"/>
              </w:rPr>
            </m:ctrlPr>
          </m:sSupPr>
          <m:e>
            <m:r>
              <w:rPr>
                <w:rFonts w:ascii="Cambria Math" w:hAnsi="Cambria Math" w:cs="Times New Roman"/>
                <w:szCs w:val="24"/>
              </w:rPr>
              <m:t>k</m:t>
            </m:r>
          </m:e>
          <m:sup>
            <m:r>
              <w:rPr>
                <w:rFonts w:ascii="Cambria Math" w:hAnsi="Cambria Math" w:cs="Times New Roman"/>
                <w:szCs w:val="24"/>
              </w:rPr>
              <m:t>th</m:t>
            </m:r>
          </m:sup>
        </m:sSup>
      </m:oMath>
      <w:r>
        <w:rPr>
          <w:rFonts w:cs="Times New Roman"/>
          <w:szCs w:val="24"/>
        </w:rPr>
        <w:t xml:space="preserve"> iteration </w:t>
      </w:r>
      <w:r w:rsidRPr="001E6BA7">
        <w:rPr>
          <w:rFonts w:cs="Times New Roman"/>
          <w:szCs w:val="24"/>
        </w:rPr>
        <w:t>in order to find the minimum</w:t>
      </w:r>
      <w:r>
        <w:rPr>
          <w:rFonts w:cs="Times New Roman"/>
          <w:szCs w:val="24"/>
        </w:rPr>
        <w:t xml:space="preserve"> as given in Eqs. </w:t>
      </w:r>
      <w:r w:rsidR="009B05F7">
        <w:rPr>
          <w:rFonts w:cs="Times New Roman"/>
          <w:szCs w:val="24"/>
        </w:rPr>
        <w:t>(</w:t>
      </w:r>
      <w:r>
        <w:rPr>
          <w:rFonts w:cs="Times New Roman"/>
          <w:szCs w:val="24"/>
        </w:rPr>
        <w:t>40</w:t>
      </w:r>
      <w:r w:rsidR="009B05F7">
        <w:rPr>
          <w:rFonts w:cs="Times New Roman"/>
          <w:szCs w:val="24"/>
        </w:rPr>
        <w:t>-</w:t>
      </w:r>
      <w:r>
        <w:rPr>
          <w:rFonts w:cs="Times New Roman"/>
          <w:szCs w:val="24"/>
        </w:rPr>
        <w:t>41</w:t>
      </w:r>
      <w:r w:rsidR="009B05F7">
        <w:rPr>
          <w:rFonts w:cs="Times New Roman"/>
          <w:szCs w:val="24"/>
        </w:rPr>
        <w:t>)</w:t>
      </w:r>
      <w:r>
        <w:rPr>
          <w:rFonts w:cs="Times New Roman"/>
          <w:szCs w:val="24"/>
        </w:rPr>
        <w:t>.</w:t>
      </w:r>
    </w:p>
    <w:tbl>
      <w:tblPr>
        <w:tblW w:w="0" w:type="auto"/>
        <w:tblLook w:val="04A0" w:firstRow="1" w:lastRow="0" w:firstColumn="1" w:lastColumn="0" w:noHBand="0" w:noVBand="1"/>
      </w:tblPr>
      <w:tblGrid>
        <w:gridCol w:w="6126"/>
        <w:gridCol w:w="1394"/>
        <w:gridCol w:w="976"/>
      </w:tblGrid>
      <w:tr w:rsidR="000C2D31" w:rsidRPr="001E6BA7" w14:paraId="69CC58C4" w14:textId="77777777" w:rsidTr="000C2D31">
        <w:tc>
          <w:tcPr>
            <w:tcW w:w="6126" w:type="dxa"/>
            <w:vAlign w:val="center"/>
          </w:tcPr>
          <w:p w14:paraId="06DDFCE5" w14:textId="77777777" w:rsidR="000C2D31" w:rsidRPr="001E6BA7" w:rsidRDefault="007B3686" w:rsidP="000C2D31">
            <w:pPr>
              <w:jc w:val="right"/>
              <w:rPr>
                <w:rFonts w:cs="Times New Roman"/>
                <w:szCs w:val="24"/>
              </w:rPr>
            </w:pPr>
            <m:oMathPara>
              <m:oMath>
                <m:sSub>
                  <m:sSubPr>
                    <m:ctrlPr>
                      <w:rPr>
                        <w:rFonts w:ascii="Cambria Math" w:hAnsi="Cambria Math" w:cs="Times New Roman"/>
                        <w:i/>
                        <w:szCs w:val="24"/>
                      </w:rPr>
                    </m:ctrlPr>
                  </m:sSub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e>
                  <m:sub>
                    <m:r>
                      <w:rPr>
                        <w:rFonts w:ascii="Cambria Math" w:hAnsi="Cambria Math" w:cs="Times New Roman"/>
                        <w:szCs w:val="24"/>
                      </w:rPr>
                      <m:t>k+1</m:t>
                    </m:r>
                  </m:sub>
                </m:sSub>
                <m:r>
                  <w:rPr>
                    <w:rFonts w:ascii="Cambria Math" w:hAnsi="Cambria Math" w:cs="Times New Roman"/>
                    <w:szCs w:val="24"/>
                  </w:rPr>
                  <m:t>=</m:t>
                </m:r>
                <m:sSub>
                  <m:sSubPr>
                    <m:ctrlPr>
                      <w:rPr>
                        <w:rFonts w:ascii="Cambria Math" w:hAnsi="Cambria Math" w:cs="Times New Roman"/>
                        <w:i/>
                        <w:szCs w:val="24"/>
                      </w:rPr>
                    </m:ctrlPr>
                  </m:sSub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e>
                  <m:sub>
                    <m:r>
                      <w:rPr>
                        <w:rFonts w:ascii="Cambria Math" w:hAnsi="Cambria Math" w:cs="Times New Roman"/>
                        <w:szCs w:val="24"/>
                      </w:rPr>
                      <m:t>k</m:t>
                    </m:r>
                  </m:sub>
                </m:sSub>
                <m:r>
                  <w:rPr>
                    <w:rFonts w:ascii="Cambria Math" w:hAnsi="Cambria Math" w:cs="Times New Roman"/>
                    <w:szCs w:val="24"/>
                  </w:rPr>
                  <m:t>-</m:t>
                </m:r>
                <m:sSub>
                  <m:sSubPr>
                    <m:ctrlPr>
                      <w:rPr>
                        <w:rFonts w:ascii="Cambria Math" w:hAnsi="Cambria Math" w:cs="Times New Roman"/>
                        <w:i/>
                        <w:szCs w:val="24"/>
                      </w:rPr>
                    </m:ctrlPr>
                  </m:sSub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i</m:t>
                            </m:r>
                          </m:sub>
                        </m:sSub>
                        <m:r>
                          <m:rPr>
                            <m:sty m:val="p"/>
                          </m:rPr>
                          <w:rPr>
                            <w:rFonts w:ascii="Cambria Math" w:hAns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E</m:t>
                            </m:r>
                          </m:e>
                        </m:acc>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e>
                  <m:sub>
                    <m:r>
                      <w:rPr>
                        <w:rFonts w:ascii="Cambria Math" w:hAnsi="Cambria Math" w:cs="Times New Roman"/>
                        <w:szCs w:val="24"/>
                      </w:rPr>
                      <m:t>k</m:t>
                    </m:r>
                  </m:sub>
                </m:sSub>
              </m:oMath>
            </m:oMathPara>
          </w:p>
        </w:tc>
        <w:tc>
          <w:tcPr>
            <w:tcW w:w="1394" w:type="dxa"/>
            <w:vAlign w:val="bottom"/>
          </w:tcPr>
          <w:p w14:paraId="0D3BA20E" w14:textId="77777777" w:rsidR="000C2D31" w:rsidRPr="001E6BA7" w:rsidRDefault="000C2D31" w:rsidP="000C2D31">
            <w:pPr>
              <w:rPr>
                <w:rFonts w:eastAsiaTheme="majorEastAsia" w:cs="Times New Roman"/>
                <w:szCs w:val="24"/>
              </w:rPr>
            </w:pPr>
          </w:p>
        </w:tc>
        <w:tc>
          <w:tcPr>
            <w:tcW w:w="976" w:type="dxa"/>
            <w:vAlign w:val="center"/>
          </w:tcPr>
          <w:p w14:paraId="43C4A3CA" w14:textId="77777777" w:rsidR="000C2D31" w:rsidRPr="001E6BA7" w:rsidRDefault="000C2D31" w:rsidP="000C2D31">
            <w:pPr>
              <w:jc w:val="center"/>
              <w:rPr>
                <w:rFonts w:eastAsiaTheme="majorEastAsia" w:cs="Times New Roman"/>
                <w:szCs w:val="24"/>
              </w:rPr>
            </w:pPr>
            <w:r>
              <w:rPr>
                <w:rFonts w:eastAsiaTheme="majorEastAsia" w:cs="Times New Roman"/>
                <w:szCs w:val="24"/>
              </w:rPr>
              <w:t>(40</w:t>
            </w:r>
            <w:r w:rsidRPr="001E6BA7">
              <w:rPr>
                <w:rFonts w:eastAsiaTheme="majorEastAsia" w:cs="Times New Roman"/>
                <w:szCs w:val="24"/>
              </w:rPr>
              <w:t>)</w:t>
            </w:r>
          </w:p>
        </w:tc>
      </w:tr>
      <w:tr w:rsidR="000C2D31" w:rsidRPr="001E6BA7" w14:paraId="53D43CC7" w14:textId="77777777" w:rsidTr="000C2D31">
        <w:tc>
          <w:tcPr>
            <w:tcW w:w="6126" w:type="dxa"/>
            <w:vAlign w:val="center"/>
          </w:tcPr>
          <w:p w14:paraId="5F7655FB" w14:textId="77777777" w:rsidR="000C2D31" w:rsidRPr="001E6BA7" w:rsidRDefault="000C2D31" w:rsidP="000C2D31">
            <w:pPr>
              <w:jc w:val="center"/>
              <w:rPr>
                <w:rFonts w:cs="Times New Roman"/>
                <w:szCs w:val="24"/>
              </w:rPr>
            </w:pPr>
            <m:oMathPara>
              <m:oMath>
                <m:r>
                  <m:rPr>
                    <m:sty m:val="p"/>
                  </m:rPr>
                  <w:rPr>
                    <w:rFonts w:ascii="Cambria Math" w:hAns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E</m:t>
                    </m:r>
                  </m:e>
                </m:acc>
                <m:r>
                  <w:rPr>
                    <w:rFonts w:ascii="Cambria Math" w:hAnsi="Cambria Math" w:cs="Times New Roman"/>
                    <w:szCs w:val="24"/>
                  </w:rPr>
                  <m:t>=</m:t>
                </m:r>
                <m:f>
                  <m:fPr>
                    <m:ctrlPr>
                      <w:rPr>
                        <w:rFonts w:ascii="Cambria Math" w:hAnsi="Cambria Math" w:cs="Times New Roman"/>
                        <w:i/>
                        <w:szCs w:val="24"/>
                      </w:rPr>
                    </m:ctrlPr>
                  </m:fPr>
                  <m:num>
                    <m:f>
                      <m:fPr>
                        <m:ctrlPr>
                          <w:rPr>
                            <w:rFonts w:ascii="Cambria Math" w:hAnsi="Cambria Math" w:cs="Times New Roman"/>
                            <w:i/>
                            <w:szCs w:val="24"/>
                          </w:rPr>
                        </m:ctrlPr>
                      </m:fPr>
                      <m:num>
                        <m:r>
                          <w:rPr>
                            <w:rFonts w:ascii="Cambria Math" w:hAnsi="Cambria Math" w:cs="Times New Roman"/>
                            <w:szCs w:val="24"/>
                          </w:rPr>
                          <m:t>∂E</m:t>
                        </m:r>
                      </m:num>
                      <m:den>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den>
                    </m:f>
                  </m:num>
                  <m:den>
                    <m:rad>
                      <m:radPr>
                        <m:degHide m:val="1"/>
                        <m:ctrlPr>
                          <w:rPr>
                            <w:rFonts w:ascii="Cambria Math" w:hAnsi="Cambria Math" w:cs="Times New Roman"/>
                            <w:i/>
                            <w:szCs w:val="24"/>
                          </w:rPr>
                        </m:ctrlPr>
                      </m:radPr>
                      <m:deg/>
                      <m:e>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∂E</m:t>
                                        </m:r>
                                      </m:num>
                                      <m:den>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den>
                                    </m:f>
                                  </m:e>
                                </m:d>
                              </m:e>
                              <m:sup>
                                <m:r>
                                  <w:rPr>
                                    <w:rFonts w:ascii="Cambria Math" w:hAnsi="Cambria Math" w:cs="Times New Roman"/>
                                    <w:szCs w:val="24"/>
                                  </w:rPr>
                                  <m:t>2</m:t>
                                </m:r>
                              </m:sup>
                            </m:sSup>
                          </m:e>
                        </m:nary>
                      </m:e>
                    </m:rad>
                  </m:den>
                </m:f>
              </m:oMath>
            </m:oMathPara>
          </w:p>
        </w:tc>
        <w:tc>
          <w:tcPr>
            <w:tcW w:w="1394" w:type="dxa"/>
          </w:tcPr>
          <w:p w14:paraId="59CD64E9" w14:textId="77777777" w:rsidR="000C2D31" w:rsidRPr="001E6BA7" w:rsidRDefault="000C2D31" w:rsidP="000C2D31">
            <w:pPr>
              <w:jc w:val="center"/>
              <w:rPr>
                <w:rFonts w:eastAsiaTheme="majorEastAsia" w:cs="Times New Roman"/>
                <w:szCs w:val="24"/>
              </w:rPr>
            </w:pPr>
          </w:p>
        </w:tc>
        <w:tc>
          <w:tcPr>
            <w:tcW w:w="976" w:type="dxa"/>
            <w:vAlign w:val="center"/>
          </w:tcPr>
          <w:p w14:paraId="37A5199C" w14:textId="77777777" w:rsidR="000C2D31" w:rsidRPr="001E6BA7" w:rsidRDefault="000C2D31" w:rsidP="000C2D31">
            <w:pPr>
              <w:jc w:val="center"/>
              <w:rPr>
                <w:rFonts w:eastAsiaTheme="majorEastAsia" w:cs="Times New Roman"/>
                <w:szCs w:val="24"/>
              </w:rPr>
            </w:pPr>
            <w:r>
              <w:rPr>
                <w:rFonts w:eastAsiaTheme="majorEastAsia" w:cs="Times New Roman"/>
                <w:szCs w:val="24"/>
              </w:rPr>
              <w:t>(41</w:t>
            </w:r>
            <w:r w:rsidRPr="001E6BA7">
              <w:rPr>
                <w:rFonts w:eastAsiaTheme="majorEastAsia" w:cs="Times New Roman"/>
                <w:szCs w:val="24"/>
              </w:rPr>
              <w:t>)</w:t>
            </w:r>
          </w:p>
        </w:tc>
      </w:tr>
    </w:tbl>
    <w:p w14:paraId="102C8699" w14:textId="35730FA7" w:rsidR="000C2D31" w:rsidRPr="001E6BA7" w:rsidRDefault="000C2D31" w:rsidP="00AD2E2C">
      <w:pPr>
        <w:ind w:firstLine="0"/>
        <w:rPr>
          <w:rFonts w:cs="Times New Roman"/>
          <w:szCs w:val="24"/>
        </w:rPr>
      </w:pPr>
      <w:proofErr w:type="gramStart"/>
      <w:r w:rsidRPr="001E6BA7">
        <w:rPr>
          <w:rFonts w:cs="Times New Roman"/>
          <w:szCs w:val="24"/>
        </w:rPr>
        <w:t>where</w:t>
      </w:r>
      <w:proofErr w:type="gramEnd"/>
      <w:r w:rsidRPr="001E6BA7">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i</m:t>
            </m:r>
          </m:sub>
        </m:sSub>
      </m:oMath>
      <w:r w:rsidRPr="001E6BA7">
        <w:rPr>
          <w:rFonts w:cs="Times New Roman"/>
          <w:szCs w:val="24"/>
        </w:rPr>
        <w:t xml:space="preserve"> is a vector of parameters chosen to accelerate the minimization of </w:t>
      </w:r>
      <m:oMath>
        <m:r>
          <w:rPr>
            <w:rFonts w:ascii="Cambria Math" w:hAnsi="Cambria Math" w:cs="Times New Roman"/>
            <w:szCs w:val="24"/>
          </w:rPr>
          <m:t>E(t)</m:t>
        </m:r>
      </m:oMath>
      <w:r w:rsidRPr="001E6BA7">
        <w:rPr>
          <w:rFonts w:cs="Times New Roman"/>
          <w:szCs w:val="24"/>
        </w:rPr>
        <w:t xml:space="preserve">, </w:t>
      </w:r>
      <m:oMath>
        <m:r>
          <w:rPr>
            <w:rFonts w:ascii="Cambria Math" w:hAnsi="Cambria Math" w:cs="Times New Roman"/>
            <w:szCs w:val="24"/>
          </w:rPr>
          <m:t xml:space="preserve">k </m:t>
        </m:r>
      </m:oMath>
      <w:r>
        <w:rPr>
          <w:rFonts w:cs="Times New Roman"/>
          <w:szCs w:val="24"/>
        </w:rPr>
        <w:t xml:space="preserve">is the number of iterations, </w:t>
      </w:r>
      <m:oMath>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oMath>
      <w:r>
        <w:rPr>
          <w:rFonts w:cs="Times New Roman"/>
          <w:szCs w:val="24"/>
        </w:rPr>
        <w:t xml:space="preserve"> is the absorption parameter to be recovered (e.g</w:t>
      </w:r>
      <w:r w:rsidRPr="001E6BA7">
        <w:rPr>
          <w:rFonts w:cs="Times New Roman"/>
          <w:szCs w:val="24"/>
        </w:rPr>
        <w:t>.</w:t>
      </w:r>
      <w:r>
        <w:rPr>
          <w:rFonts w:cs="Times New Roman"/>
          <w:szCs w:val="24"/>
        </w:rPr>
        <w:t>,</w:t>
      </w:r>
      <m:oMath>
        <m:r>
          <w:rPr>
            <w:rFonts w:ascii="Cambria Math" w:hAnsi="Cambria Math" w:cs="Times New Roman"/>
            <w:szCs w:val="24"/>
          </w:rPr>
          <m:t xml:space="preserve"> D, β, γ, </m:t>
        </m:r>
        <m:r>
          <m:rPr>
            <m:sty m:val="p"/>
          </m:rPr>
          <w:rPr>
            <w:rFonts w:ascii="Cambria Math" w:hAnsi="Cambria Math" w:cs="Times New Roman"/>
            <w:szCs w:val="24"/>
          </w:rPr>
          <m:t>and</m:t>
        </m:r>
      </m:oMath>
      <w:r w:rsidRPr="001E6BA7">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oMath>
      <w:r>
        <w:rPr>
          <w:rFonts w:cs="Times New Roman"/>
          <w:szCs w:val="24"/>
        </w:rPr>
        <w:t xml:space="preserve"> for Langmuir diffusion model</w:t>
      </w:r>
      <w:r w:rsidRPr="001E6BA7">
        <w:rPr>
          <w:rFonts w:cs="Times New Roman"/>
          <w:szCs w:val="24"/>
        </w:rPr>
        <w:t>)</w:t>
      </w:r>
      <w:r>
        <w:rPr>
          <w:rFonts w:cs="Times New Roman"/>
          <w:szCs w:val="24"/>
        </w:rPr>
        <w:t xml:space="preserve">, and </w:t>
      </w:r>
      <m:oMath>
        <m:r>
          <w:rPr>
            <w:rFonts w:ascii="Cambria Math" w:hAnsi="Cambria Math" w:cs="Times New Roman"/>
            <w:szCs w:val="24"/>
          </w:rPr>
          <m:t>n</m:t>
        </m:r>
      </m:oMath>
      <w:r>
        <w:rPr>
          <w:rFonts w:cs="Times New Roman"/>
          <w:szCs w:val="24"/>
        </w:rPr>
        <w:t xml:space="preserve"> is the number of absorption parameters (e.g. </w:t>
      </w:r>
      <m:oMath>
        <m:r>
          <w:rPr>
            <w:rFonts w:ascii="Cambria Math" w:hAnsi="Cambria Math" w:cs="Times New Roman"/>
            <w:szCs w:val="24"/>
          </w:rPr>
          <m:t>n</m:t>
        </m:r>
      </m:oMath>
      <w:r>
        <w:rPr>
          <w:rFonts w:cs="Times New Roman"/>
          <w:szCs w:val="24"/>
        </w:rPr>
        <w:t xml:space="preserve">=2 for Fickian and </w:t>
      </w:r>
      <m:oMath>
        <m:r>
          <w:rPr>
            <w:rFonts w:ascii="Cambria Math" w:hAnsi="Cambria Math" w:cs="Times New Roman"/>
            <w:szCs w:val="24"/>
          </w:rPr>
          <m:t>n</m:t>
        </m:r>
      </m:oMath>
      <w:r>
        <w:rPr>
          <w:rFonts w:cs="Times New Roman"/>
          <w:szCs w:val="24"/>
        </w:rPr>
        <w:t>=4 for Langmuir diffusion model).</w:t>
      </w:r>
    </w:p>
    <w:p w14:paraId="17344911" w14:textId="252B6080" w:rsidR="000C2D31" w:rsidRPr="001E6BA7" w:rsidRDefault="000C2D31" w:rsidP="000C2D31">
      <w:pPr>
        <w:rPr>
          <w:rFonts w:cs="Times New Roman"/>
          <w:szCs w:val="24"/>
        </w:rPr>
      </w:pPr>
      <w:r w:rsidRPr="001E6BA7">
        <w:rPr>
          <w:rFonts w:cs="Times New Roman"/>
          <w:szCs w:val="24"/>
        </w:rPr>
        <w:t xml:space="preserve">To start the algorithm, initial values should be assigned to unknown </w:t>
      </w:r>
      <w:r>
        <w:rPr>
          <w:rFonts w:cs="Times New Roman"/>
          <w:szCs w:val="24"/>
        </w:rPr>
        <w:t>absorption parameters</w:t>
      </w:r>
      <w:r w:rsidRPr="001E6BA7">
        <w:rPr>
          <w:rFonts w:cs="Times New Roman"/>
          <w:szCs w:val="24"/>
        </w:rPr>
        <w:t xml:space="preserve">. Selection of the initial </w:t>
      </w:r>
      <w:r>
        <w:rPr>
          <w:rFonts w:cs="Times New Roman"/>
          <w:szCs w:val="24"/>
        </w:rPr>
        <w:t>guess</w:t>
      </w:r>
      <w:r w:rsidRPr="001E6BA7">
        <w:rPr>
          <w:rFonts w:cs="Times New Roman"/>
          <w:szCs w:val="24"/>
        </w:rPr>
        <w:t xml:space="preserve"> should be performed carefully, as the </w:t>
      </w:r>
      <w:r>
        <w:rPr>
          <w:rFonts w:cs="Times New Roman"/>
          <w:szCs w:val="24"/>
        </w:rPr>
        <w:t xml:space="preserve">rate of </w:t>
      </w:r>
      <w:r w:rsidRPr="001E6BA7">
        <w:rPr>
          <w:rFonts w:cs="Times New Roman"/>
          <w:szCs w:val="24"/>
        </w:rPr>
        <w:t xml:space="preserve">convergence is highly </w:t>
      </w:r>
      <w:r>
        <w:rPr>
          <w:rFonts w:cs="Times New Roman"/>
          <w:szCs w:val="24"/>
        </w:rPr>
        <w:t xml:space="preserve">sensitive to </w:t>
      </w:r>
      <w:r w:rsidRPr="001E6BA7">
        <w:rPr>
          <w:rFonts w:cs="Times New Roman"/>
          <w:szCs w:val="24"/>
        </w:rPr>
        <w:t xml:space="preserve">these values. Consequently, </w:t>
      </w:r>
      <w:r>
        <w:rPr>
          <w:rFonts w:cs="Times New Roman"/>
          <w:szCs w:val="24"/>
        </w:rPr>
        <w:t>absorption parameters</w:t>
      </w:r>
      <w:r w:rsidRPr="001E6BA7">
        <w:rPr>
          <w:rFonts w:cs="Times New Roman"/>
          <w:szCs w:val="24"/>
        </w:rPr>
        <w:t xml:space="preserve"> of a similar material system</w:t>
      </w:r>
      <w:r>
        <w:rPr>
          <w:rFonts w:cs="Times New Roman"/>
          <w:szCs w:val="24"/>
        </w:rPr>
        <w:t>s</w:t>
      </w:r>
      <w:r w:rsidRPr="001E6BA7">
        <w:rPr>
          <w:rFonts w:cs="Times New Roman"/>
          <w:szCs w:val="24"/>
        </w:rPr>
        <w:t xml:space="preserve"> could be useful in this selection.</w:t>
      </w:r>
      <w:r>
        <w:rPr>
          <w:rFonts w:cs="Times New Roman"/>
          <w:szCs w:val="24"/>
        </w:rPr>
        <w:t xml:space="preserve"> A recent approach developed by </w:t>
      </w:r>
      <w:proofErr w:type="spellStart"/>
      <w:r>
        <w:rPr>
          <w:rFonts w:cs="Times New Roman"/>
          <w:szCs w:val="24"/>
        </w:rPr>
        <w:t>Guloglu</w:t>
      </w:r>
      <w:proofErr w:type="spellEnd"/>
      <w:r>
        <w:rPr>
          <w:rFonts w:cs="Times New Roman"/>
          <w:szCs w:val="24"/>
        </w:rPr>
        <w:t xml:space="preserve"> et al. </w:t>
      </w:r>
      <w:r>
        <w:rPr>
          <w:rFonts w:cs="Times New Roman"/>
          <w:szCs w:val="24"/>
        </w:rPr>
        <w:fldChar w:fldCharType="begin" w:fldLock="1"/>
      </w:r>
      <w:r w:rsidR="00B274D5">
        <w:rPr>
          <w:rFonts w:cs="Times New Roman"/>
          <w:szCs w:val="24"/>
        </w:rPr>
        <w:instrText>ADDIN CSL_CITATION {"citationItems":[{"id":"ITEM-1","itemData":{"DOI":"10.1002/pen.24469","ISSN":"0032-3888","abstract":"Moisture absorption is known to detrimentally affect the mechanical integrity and durability of polymeric materials. Consequently, accurately characterizing the moisture diffusion into these materials is critical when predicting their service life behavior. The hindered diffusion model (HDM), that is, Langmuir?type absorption, has been widely used to successfully describe both Fickian and anomalous absorption behavior of polymeric materials. In this article, proper use of both exact and approximate solutions of the HDM model is illustrated on two material systems: nanoclay/epoxy composites and thin epoxy laminates. A parameter recovery technique, based on a modified version of the steepest descent search, is shown to accurately recover all absorption parameters simultaneously from experimental data. The absorption behavior predicted by the recovered parameters is then validated by long?term absorption data not used in the recovery process. The errors induced by approximate solutions are observed to be material?dependent and could be substantially larger compared to the exact solution. In addition, a novel method to computationally accelerate the recovery of the absorption parameters is proposed. The new technique uses the approximate absorption parameters as the initial guess. It is shown that this approach substantially reduces the computational effort by decreasing the number of iterations without compromising from accuracy. POLYM. ENG. SCI., 57:921?931, 2017. ? 2016 Society of Plastics Engineers","author":[{"dropping-particle":"","family":"Guloglu","given":"Gorkem E.","non-dropping-particle":"","parse-names":false,"suffix":""},{"dropping-particle":"","family":"Hamidi","given":"Youssef K.","non-dropping-particle":"","parse-names":false,"suffix":""},{"dropping-particle":"","family":"Altan","given":"M. Cengiz","non-dropping-particle":"","parse-names":false,"suffix":""}],"container-title":"Polymer Engineering &amp; Science","id":"ITEM-1","issue":"9","issued":{"date-parts":[["2016","10","18"]]},"note":"doi: 10.1002/pen.24469","page":"921-931","publisher":"Wiley-Blackwell","title":"Fast recovery of non</w:instrText>
      </w:r>
      <w:r w:rsidR="00B274D5">
        <w:rPr>
          <w:rFonts w:ascii="Cambria Math" w:hAnsi="Cambria Math" w:cs="Cambria Math"/>
          <w:szCs w:val="24"/>
        </w:rPr>
        <w:instrText>‐</w:instrText>
      </w:r>
      <w:r w:rsidR="00B274D5">
        <w:rPr>
          <w:rFonts w:cs="Times New Roman"/>
          <w:szCs w:val="24"/>
        </w:rPr>
        <w:instrText>fickian moisture absorption parameters for polymers and polymer composites","type":"article-journal","volume":"57"},"uris":["http://www.mendeley.com/documents/?uuid=122f51aa-f81c-4b81-bb6c-253a3d6e49ba"]}],"mendeley":{"formattedCitation":"[1]","plainTextFormattedCitation":"[1]","previouslyFormattedCitation":"[1]"},"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[1]</w:t>
      </w:r>
      <w:r>
        <w:rPr>
          <w:rFonts w:cs="Times New Roman"/>
          <w:szCs w:val="24"/>
        </w:rPr>
        <w:fldChar w:fldCharType="end"/>
      </w:r>
      <w:r>
        <w:rPr>
          <w:rFonts w:cs="Times New Roman"/>
          <w:szCs w:val="24"/>
        </w:rPr>
        <w:t xml:space="preserve"> is to use the parameters obtained from the approximate solutions as </w:t>
      </w:r>
      <w:r>
        <w:rPr>
          <w:rFonts w:cs="Times New Roman"/>
          <w:szCs w:val="24"/>
        </w:rPr>
        <w:lastRenderedPageBreak/>
        <w:t>the initial guess. This novel approach could</w:t>
      </w:r>
      <w:r w:rsidR="00AD2E2C">
        <w:rPr>
          <w:rFonts w:cs="Times New Roman"/>
          <w:szCs w:val="24"/>
        </w:rPr>
        <w:t xml:space="preserve"> serve as</w:t>
      </w:r>
      <w:r>
        <w:rPr>
          <w:rFonts w:cs="Times New Roman"/>
          <w:szCs w:val="24"/>
        </w:rPr>
        <w:t xml:space="preserve"> excellent initial values and likely reduce the number of iterations needed, thus leading to the rapid recovery of parameters as demonstrated later in this </w:t>
      </w:r>
      <w:r w:rsidR="00AD2E2C">
        <w:rPr>
          <w:rFonts w:cs="Times New Roman"/>
          <w:szCs w:val="24"/>
        </w:rPr>
        <w:t>section</w:t>
      </w:r>
      <w:r>
        <w:rPr>
          <w:rFonts w:cs="Times New Roman"/>
          <w:szCs w:val="24"/>
        </w:rPr>
        <w:t>.</w:t>
      </w:r>
    </w:p>
    <w:p w14:paraId="4BE3CE77" w14:textId="77777777" w:rsidR="000C2D31" w:rsidRPr="001E6BA7" w:rsidRDefault="000C2D31" w:rsidP="000C2D31">
      <w:pPr>
        <w:rPr>
          <w:rFonts w:cs="Times New Roman"/>
          <w:szCs w:val="24"/>
        </w:rPr>
      </w:pPr>
      <w:r>
        <w:rPr>
          <w:rFonts w:cs="Times New Roman"/>
          <w:szCs w:val="24"/>
        </w:rPr>
        <w:t>T</w:t>
      </w:r>
      <w:r w:rsidRPr="001E6BA7">
        <w:rPr>
          <w:rFonts w:cs="Times New Roman"/>
          <w:szCs w:val="24"/>
        </w:rPr>
        <w:t xml:space="preserve">he </w:t>
      </w:r>
      <w:r>
        <w:rPr>
          <w:rFonts w:cs="Times New Roman"/>
          <w:szCs w:val="24"/>
        </w:rPr>
        <w:t xml:space="preserve">minimization </w:t>
      </w:r>
      <w:r w:rsidRPr="001E6BA7">
        <w:rPr>
          <w:rFonts w:cs="Times New Roman"/>
          <w:szCs w:val="24"/>
        </w:rPr>
        <w:t xml:space="preserve">algorithm recalculates each of the </w:t>
      </w:r>
      <w:r>
        <w:rPr>
          <w:rFonts w:cs="Times New Roman"/>
          <w:szCs w:val="24"/>
        </w:rPr>
        <w:t>absorption parameters</w:t>
      </w:r>
      <w:r w:rsidRPr="001E6BA7">
        <w:rPr>
          <w:rFonts w:cs="Times New Roman"/>
          <w:szCs w:val="24"/>
        </w:rPr>
        <w:t xml:space="preserve"> based on the</w:t>
      </w:r>
      <w:r>
        <w:rPr>
          <w:rFonts w:cs="Times New Roman"/>
          <w:szCs w:val="24"/>
        </w:rPr>
        <w:t xml:space="preserve"> </w:t>
      </w:r>
      <w:r w:rsidRPr="001E6BA7">
        <w:rPr>
          <w:rFonts w:cs="Times New Roman"/>
          <w:szCs w:val="24"/>
        </w:rPr>
        <w:t>normalized gradient of the previous iteration</w:t>
      </w:r>
      <w:r>
        <w:rPr>
          <w:rFonts w:cs="Times New Roman"/>
          <w:szCs w:val="24"/>
        </w:rPr>
        <w:t xml:space="preserve">. </w:t>
      </w:r>
      <w:r w:rsidRPr="001E6BA7">
        <w:rPr>
          <w:rFonts w:cs="Times New Roman"/>
          <w:szCs w:val="24"/>
        </w:rPr>
        <w:t xml:space="preserve">Using this algorithm, the set of </w:t>
      </w:r>
      <w:r>
        <w:rPr>
          <w:rFonts w:cs="Times New Roman"/>
          <w:szCs w:val="24"/>
        </w:rPr>
        <w:t>absorption parameters</w:t>
      </w:r>
      <w:r w:rsidRPr="001E6BA7">
        <w:rPr>
          <w:rFonts w:cs="Times New Roman"/>
          <w:szCs w:val="24"/>
        </w:rPr>
        <w:t xml:space="preserve"> that minimizes the function </w:t>
      </w:r>
      <m:oMath>
        <m:r>
          <w:rPr>
            <w:rFonts w:ascii="Cambria Math" w:hAnsi="Cambria Math" w:cs="Times New Roman"/>
            <w:szCs w:val="24"/>
          </w:rPr>
          <m:t>E(t)</m:t>
        </m:r>
      </m:oMath>
      <w:r w:rsidRPr="001E6BA7">
        <w:rPr>
          <w:rFonts w:cs="Times New Roman"/>
          <w:i/>
          <w:szCs w:val="24"/>
        </w:rPr>
        <w:t xml:space="preserve"> </w:t>
      </w:r>
      <w:r w:rsidRPr="001E6BA7">
        <w:rPr>
          <w:rFonts w:cs="Times New Roman"/>
          <w:szCs w:val="24"/>
        </w:rPr>
        <w:t>can be found</w:t>
      </w:r>
      <w:r>
        <w:rPr>
          <w:rFonts w:cs="Times New Roman"/>
          <w:szCs w:val="24"/>
        </w:rPr>
        <w:t xml:space="preserve"> after the specified error convergence is achieved</w:t>
      </w:r>
      <w:r w:rsidRPr="001E6BA7">
        <w:rPr>
          <w:rFonts w:cs="Times New Roman"/>
          <w:szCs w:val="24"/>
        </w:rPr>
        <w:t xml:space="preserve">. Minimizing </w:t>
      </w:r>
      <m:oMath>
        <m:r>
          <w:rPr>
            <w:rFonts w:ascii="Cambria Math" w:hAnsi="Cambria Math" w:cs="Times New Roman"/>
            <w:szCs w:val="24"/>
          </w:rPr>
          <m:t>E(t)</m:t>
        </m:r>
      </m:oMath>
      <w:r w:rsidRPr="001E6BA7">
        <w:rPr>
          <w:rFonts w:cs="Times New Roman"/>
          <w:i/>
          <w:szCs w:val="24"/>
        </w:rPr>
        <w:t xml:space="preserve"> </w:t>
      </w:r>
      <w:r w:rsidRPr="001E6BA7">
        <w:rPr>
          <w:rFonts w:cs="Times New Roman"/>
          <w:szCs w:val="24"/>
        </w:rPr>
        <w:t xml:space="preserve">results in </w:t>
      </w:r>
      <w:r>
        <w:rPr>
          <w:rFonts w:cs="Times New Roman"/>
          <w:szCs w:val="24"/>
        </w:rPr>
        <w:t>the best possible match between the</w:t>
      </w:r>
      <w:r w:rsidRPr="001E6BA7">
        <w:rPr>
          <w:rFonts w:cs="Times New Roman"/>
          <w:szCs w:val="24"/>
        </w:rPr>
        <w:t xml:space="preserve"> model prediction </w:t>
      </w:r>
      <w:r>
        <w:rPr>
          <w:rFonts w:cs="Times New Roman"/>
          <w:szCs w:val="24"/>
        </w:rPr>
        <w:t>and</w:t>
      </w:r>
      <w:r w:rsidRPr="001E6BA7">
        <w:rPr>
          <w:rFonts w:cs="Times New Roman"/>
          <w:szCs w:val="24"/>
        </w:rPr>
        <w:t xml:space="preserve"> each data point</w:t>
      </w:r>
      <w:r>
        <w:rPr>
          <w:rFonts w:cs="Times New Roman"/>
          <w:szCs w:val="24"/>
        </w:rPr>
        <w:t>,</w:t>
      </w:r>
      <w:r w:rsidRPr="001E6BA7">
        <w:rPr>
          <w:rFonts w:cs="Times New Roman"/>
          <w:szCs w:val="24"/>
        </w:rPr>
        <w:t xml:space="preserve"> and thus </w:t>
      </w:r>
      <w:r>
        <w:rPr>
          <w:rFonts w:cs="Times New Roman"/>
          <w:szCs w:val="24"/>
        </w:rPr>
        <w:t>generates the</w:t>
      </w:r>
      <w:r w:rsidRPr="001E6BA7">
        <w:rPr>
          <w:rFonts w:cs="Times New Roman"/>
          <w:szCs w:val="24"/>
        </w:rPr>
        <w:t xml:space="preserve"> best possible </w:t>
      </w:r>
      <w:r>
        <w:rPr>
          <w:rFonts w:cs="Times New Roman"/>
          <w:szCs w:val="24"/>
        </w:rPr>
        <w:t>set of absorption parameters</w:t>
      </w:r>
      <w:r w:rsidRPr="001E6BA7">
        <w:rPr>
          <w:rFonts w:cs="Times New Roman"/>
          <w:szCs w:val="24"/>
        </w:rPr>
        <w:t xml:space="preserve"> that represent the</w:t>
      </w:r>
      <w:r>
        <w:rPr>
          <w:rFonts w:cs="Times New Roman"/>
          <w:szCs w:val="24"/>
        </w:rPr>
        <w:t xml:space="preserve"> thermogravimetric </w:t>
      </w:r>
      <w:r w:rsidRPr="001E6BA7">
        <w:rPr>
          <w:rFonts w:cs="Times New Roman"/>
          <w:szCs w:val="24"/>
        </w:rPr>
        <w:t>experimental data.</w:t>
      </w:r>
    </w:p>
    <w:p w14:paraId="071CFE07" w14:textId="3A8B6FC2" w:rsidR="007D3A7E" w:rsidRDefault="000C2D31" w:rsidP="00BB2C1B">
      <w:pPr>
        <w:rPr>
          <w:rFonts w:cs="Times New Roman"/>
          <w:szCs w:val="24"/>
        </w:rPr>
      </w:pPr>
      <w:r w:rsidRPr="001E6BA7">
        <w:rPr>
          <w:rFonts w:cs="Times New Roman"/>
          <w:szCs w:val="24"/>
        </w:rPr>
        <w:t xml:space="preserve">The main advantage of this optimization method is that it minimizes </w:t>
      </w:r>
      <m:oMath>
        <m:r>
          <w:rPr>
            <w:rFonts w:ascii="Cambria Math" w:hAnsi="Cambria Math" w:cs="Times New Roman"/>
            <w:szCs w:val="24"/>
          </w:rPr>
          <m:t>E</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oMath>
      <w:r w:rsidRPr="001E6BA7">
        <w:rPr>
          <w:rFonts w:cs="Times New Roman"/>
          <w:szCs w:val="24"/>
        </w:rPr>
        <w:t xml:space="preserve"> using all parameters simultaneously by changing their values </w:t>
      </w:r>
      <w:r>
        <w:rPr>
          <w:rFonts w:cs="Times New Roman"/>
          <w:szCs w:val="24"/>
        </w:rPr>
        <w:t xml:space="preserve">at each iteration </w:t>
      </w:r>
      <w:r w:rsidRPr="001E6BA7">
        <w:rPr>
          <w:rFonts w:cs="Times New Roman"/>
          <w:szCs w:val="24"/>
        </w:rPr>
        <w:t xml:space="preserve">according to their </w:t>
      </w:r>
      <w:r>
        <w:rPr>
          <w:rFonts w:cs="Times New Roman"/>
          <w:szCs w:val="24"/>
        </w:rPr>
        <w:t xml:space="preserve">individual </w:t>
      </w:r>
      <w:r w:rsidRPr="001E6BA7">
        <w:rPr>
          <w:rFonts w:cs="Times New Roman"/>
          <w:szCs w:val="24"/>
        </w:rPr>
        <w:t xml:space="preserve">effect on the </w:t>
      </w:r>
      <w:r>
        <w:rPr>
          <w:rFonts w:cs="Times New Roman"/>
          <w:szCs w:val="24"/>
        </w:rPr>
        <w:t xml:space="preserve">error </w:t>
      </w:r>
      <w:proofErr w:type="gramStart"/>
      <w:r>
        <w:rPr>
          <w:rFonts w:cs="Times New Roman"/>
          <w:szCs w:val="24"/>
        </w:rPr>
        <w:t xml:space="preserve">function </w:t>
      </w:r>
      <w:proofErr w:type="gramEnd"/>
      <m:oMath>
        <m:r>
          <w:rPr>
            <w:rFonts w:ascii="Cambria Math" w:hAnsi="Cambria Math" w:cs="Times New Roman"/>
            <w:szCs w:val="24"/>
          </w:rPr>
          <m:t>E</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oMath>
      <w:r w:rsidRPr="001E6BA7">
        <w:rPr>
          <w:rFonts w:cs="Times New Roman"/>
          <w:szCs w:val="24"/>
        </w:rPr>
        <w:t xml:space="preserve">. An advantage of the steepest descent optimization method is that when the function is differentiable and convex, this method is convergent. </w:t>
      </w:r>
      <w:r>
        <w:rPr>
          <w:rFonts w:cs="Times New Roman"/>
          <w:szCs w:val="24"/>
        </w:rPr>
        <w:t>However</w:t>
      </w:r>
      <w:r w:rsidRPr="001E6BA7">
        <w:rPr>
          <w:rFonts w:cs="Times New Roman"/>
          <w:szCs w:val="24"/>
        </w:rPr>
        <w:t xml:space="preserve">, </w:t>
      </w:r>
      <w:r>
        <w:rPr>
          <w:rFonts w:cs="Times New Roman"/>
          <w:szCs w:val="24"/>
        </w:rPr>
        <w:t xml:space="preserve">the number of iterations required and the </w:t>
      </w:r>
      <w:r w:rsidRPr="001E6BA7">
        <w:rPr>
          <w:rFonts w:cs="Times New Roman"/>
          <w:szCs w:val="24"/>
        </w:rPr>
        <w:t xml:space="preserve">convergence </w:t>
      </w:r>
      <w:r>
        <w:rPr>
          <w:rFonts w:cs="Times New Roman"/>
          <w:szCs w:val="24"/>
        </w:rPr>
        <w:t>rate</w:t>
      </w:r>
      <w:r w:rsidRPr="001E6BA7">
        <w:rPr>
          <w:rFonts w:cs="Times New Roman"/>
          <w:szCs w:val="24"/>
        </w:rPr>
        <w:t xml:space="preserve"> highly depend on the initial values supplied by the user. </w:t>
      </w:r>
    </w:p>
    <w:p w14:paraId="7D7A6EAB" w14:textId="2970703B" w:rsidR="000C2D31" w:rsidRDefault="000C2D31" w:rsidP="00B63058">
      <w:pPr>
        <w:pStyle w:val="Heading3"/>
        <w:numPr>
          <w:ilvl w:val="0"/>
          <w:numId w:val="24"/>
        </w:numPr>
      </w:pPr>
      <w:bookmarkStart w:id="83" w:name="_Toc531943752"/>
      <w:r>
        <w:t>Absorption parameters to be recovered</w:t>
      </w:r>
      <w:bookmarkEnd w:id="83"/>
    </w:p>
    <w:p w14:paraId="5CF4956C" w14:textId="77777777" w:rsidR="000C2D31" w:rsidRPr="009F7F57" w:rsidRDefault="000C2D31" w:rsidP="000C2D31">
      <w:pPr>
        <w:pStyle w:val="ListParagraph"/>
        <w:numPr>
          <w:ilvl w:val="0"/>
          <w:numId w:val="20"/>
        </w:numPr>
        <w:spacing w:line="480" w:lineRule="auto"/>
        <w:ind w:firstLine="0"/>
        <w:rPr>
          <w:szCs w:val="24"/>
        </w:rPr>
      </w:pPr>
      <w:r>
        <w:t>Classical Fickian Model</w:t>
      </w:r>
    </w:p>
    <w:p w14:paraId="2E154174" w14:textId="77777777" w:rsidR="000C2D31" w:rsidRPr="00A230BA" w:rsidRDefault="007B3686" w:rsidP="000C2D31">
      <w:pPr>
        <w:pStyle w:val="ListParagraph"/>
        <w:ind w:left="1080" w:firstLine="0"/>
        <w:rPr>
          <w:rFonts w:eastAsiaTheme="minorEastAsia"/>
          <w:szCs w:val="24"/>
        </w:rPr>
      </w:pPr>
      <m:oMathPara>
        <m:oMath>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D</m:t>
                    </m:r>
                  </m:e>
                </m:mr>
                <m:mr>
                  <m:e>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e>
                </m:mr>
              </m:m>
            </m:e>
          </m:d>
        </m:oMath>
      </m:oMathPara>
    </w:p>
    <w:p w14:paraId="14011D21" w14:textId="77777777" w:rsidR="00A230BA" w:rsidRDefault="00A230BA" w:rsidP="000C2D31">
      <w:pPr>
        <w:pStyle w:val="ListParagraph"/>
        <w:ind w:left="1080" w:firstLine="0"/>
      </w:pPr>
    </w:p>
    <w:p w14:paraId="007CC43B" w14:textId="77777777" w:rsidR="000C2D31" w:rsidRDefault="000C2D31" w:rsidP="000C2D31">
      <w:pPr>
        <w:pStyle w:val="ListParagraph"/>
        <w:numPr>
          <w:ilvl w:val="0"/>
          <w:numId w:val="20"/>
        </w:numPr>
        <w:spacing w:line="480" w:lineRule="auto"/>
        <w:ind w:firstLine="0"/>
      </w:pPr>
      <w:r>
        <w:t>Langmuir-type Diffusion Model (1D Hindered Diffusion Model)</w:t>
      </w:r>
    </w:p>
    <w:p w14:paraId="4D80AAAE" w14:textId="77777777" w:rsidR="000C2D31" w:rsidRPr="00A230BA" w:rsidRDefault="007B3686" w:rsidP="000C2D31">
      <w:pPr>
        <w:pStyle w:val="ListParagraph"/>
        <w:ind w:left="1080" w:firstLine="0"/>
        <w:rPr>
          <w:rFonts w:eastAsiaTheme="minorEastAsia"/>
          <w:szCs w:val="24"/>
        </w:rPr>
      </w:pPr>
      <m:oMathPara>
        <m:oMath>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D</m:t>
                    </m:r>
                  </m:e>
                </m:mr>
                <m:mr>
                  <m:e>
                    <m:r>
                      <w:rPr>
                        <w:rFonts w:ascii="Cambria Math" w:hAnsi="Cambria Math" w:cs="Times New Roman"/>
                        <w:szCs w:val="24"/>
                      </w:rPr>
                      <m:t>γ</m:t>
                    </m:r>
                  </m:e>
                </m:mr>
                <m:m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β</m:t>
                          </m:r>
                        </m:e>
                      </m:mr>
                      <m:mr>
                        <m:e>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e>
                      </m:mr>
                    </m:m>
                  </m:e>
                </m:mr>
              </m:m>
            </m:e>
          </m:d>
        </m:oMath>
      </m:oMathPara>
    </w:p>
    <w:p w14:paraId="012FF0C0" w14:textId="77777777" w:rsidR="00A230BA" w:rsidRDefault="00A230BA" w:rsidP="000C2D31">
      <w:pPr>
        <w:pStyle w:val="ListParagraph"/>
        <w:ind w:left="1080" w:firstLine="0"/>
        <w:rPr>
          <w:szCs w:val="24"/>
        </w:rPr>
      </w:pPr>
    </w:p>
    <w:p w14:paraId="27339A2B" w14:textId="77777777" w:rsidR="00A230BA" w:rsidRDefault="00A230BA" w:rsidP="000C2D31">
      <w:pPr>
        <w:pStyle w:val="ListParagraph"/>
        <w:ind w:left="1080" w:firstLine="0"/>
        <w:rPr>
          <w:szCs w:val="24"/>
        </w:rPr>
      </w:pPr>
    </w:p>
    <w:p w14:paraId="01AE21BE" w14:textId="77777777" w:rsidR="00A230BA" w:rsidRDefault="00A230BA" w:rsidP="000C2D31">
      <w:pPr>
        <w:pStyle w:val="ListParagraph"/>
        <w:ind w:left="1080" w:firstLine="0"/>
        <w:rPr>
          <w:szCs w:val="24"/>
        </w:rPr>
      </w:pPr>
    </w:p>
    <w:p w14:paraId="5C20A53C" w14:textId="77777777" w:rsidR="000C2D31" w:rsidRDefault="000C2D31" w:rsidP="000C2D31">
      <w:pPr>
        <w:pStyle w:val="ListParagraph"/>
        <w:numPr>
          <w:ilvl w:val="0"/>
          <w:numId w:val="20"/>
        </w:numPr>
        <w:spacing w:line="480" w:lineRule="auto"/>
        <w:ind w:firstLine="0"/>
      </w:pPr>
      <w:r>
        <w:lastRenderedPageBreak/>
        <w:t>3D Fickian Diffusion Model</w:t>
      </w:r>
    </w:p>
    <w:p w14:paraId="6B6FD3CC" w14:textId="77777777" w:rsidR="000C2D31" w:rsidRPr="00A230BA" w:rsidRDefault="007B3686" w:rsidP="000C2D31">
      <w:pPr>
        <w:pStyle w:val="ListParagraph"/>
        <w:ind w:left="1080" w:firstLine="0"/>
        <w:rPr>
          <w:rFonts w:eastAsiaTheme="minorEastAsia"/>
          <w:szCs w:val="24"/>
        </w:rPr>
      </w:pPr>
      <m:oMathPara>
        <m:oMath>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e>
                </m:mr>
                <m:mr>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e>
                </m:mr>
                <m:mr>
                  <m:e>
                    <m:m>
                      <m:mPr>
                        <m:mcs>
                          <m:mc>
                            <m:mcPr>
                              <m:count m:val="1"/>
                              <m:mcJc m:val="center"/>
                            </m:mcPr>
                          </m:mc>
                        </m:mcs>
                        <m:ctrlPr>
                          <w:rPr>
                            <w:rFonts w:ascii="Cambria Math" w:hAnsi="Cambria Math" w:cs="Times New Roman"/>
                            <w:i/>
                            <w:szCs w:val="24"/>
                          </w:rPr>
                        </m:ctrlPr>
                      </m:mPr>
                      <m:mr>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e>
                      </m:mr>
                      <m:mr>
                        <m:e>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e>
                      </m:mr>
                    </m:m>
                  </m:e>
                </m:mr>
              </m:m>
            </m:e>
          </m:d>
        </m:oMath>
      </m:oMathPara>
    </w:p>
    <w:p w14:paraId="09C7491B" w14:textId="77777777" w:rsidR="00A230BA" w:rsidRDefault="00A230BA" w:rsidP="000C2D31">
      <w:pPr>
        <w:pStyle w:val="ListParagraph"/>
        <w:ind w:left="1080" w:firstLine="0"/>
      </w:pPr>
    </w:p>
    <w:p w14:paraId="3C1D339E" w14:textId="77777777" w:rsidR="000C2D31" w:rsidRDefault="000C2D31" w:rsidP="000C2D31">
      <w:pPr>
        <w:pStyle w:val="ListParagraph"/>
        <w:numPr>
          <w:ilvl w:val="0"/>
          <w:numId w:val="20"/>
        </w:numPr>
        <w:spacing w:line="480" w:lineRule="auto"/>
        <w:ind w:firstLine="0"/>
      </w:pPr>
      <w:r>
        <w:t>3D Hindered Diffusion Model</w:t>
      </w:r>
    </w:p>
    <w:p w14:paraId="2E9D3939" w14:textId="77777777" w:rsidR="00C26B41" w:rsidRPr="00AD2E2C" w:rsidRDefault="007B3686" w:rsidP="00C26B41">
      <w:pPr>
        <w:pStyle w:val="ListParagraph"/>
        <w:ind w:left="1080" w:firstLine="0"/>
        <w:rPr>
          <w:rFonts w:eastAsiaTheme="minorEastAsia"/>
          <w:noProof/>
          <w:szCs w:val="24"/>
        </w:rPr>
      </w:pPr>
      <m:oMathPara>
        <m:oMath>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e>
          </m:d>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m>
                      <m:mPr>
                        <m:mcs>
                          <m:mc>
                            <m:mcPr>
                              <m:count m:val="1"/>
                              <m:mcJc m:val="center"/>
                            </m:mcPr>
                          </m:mc>
                        </m:mcs>
                        <m:ctrlPr>
                          <w:rPr>
                            <w:rFonts w:ascii="Cambria Math" w:hAnsi="Cambria Math" w:cs="Times New Roman"/>
                            <w:i/>
                            <w:szCs w:val="24"/>
                          </w:rPr>
                        </m:ctrlPr>
                      </m:mPr>
                      <m:mr>
                        <m:e>
                          <m:m>
                            <m:mPr>
                              <m:mcs>
                                <m:mc>
                                  <m:mcPr>
                                    <m:count m:val="1"/>
                                    <m:mcJc m:val="center"/>
                                  </m:mcPr>
                                </m:mc>
                              </m:mcs>
                              <m:ctrlPr>
                                <w:rPr>
                                  <w:rFonts w:ascii="Cambria Math" w:hAnsi="Cambria Math" w:cs="Times New Roman"/>
                                  <w:i/>
                                  <w:szCs w:val="24"/>
                                </w:rPr>
                              </m:ctrlPr>
                            </m:mPr>
                            <m:mr>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x</m:t>
                                    </m:r>
                                  </m:sub>
                                </m:sSub>
                              </m:e>
                            </m:mr>
                            <m:mr>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y</m:t>
                                    </m:r>
                                  </m:sub>
                                </m:sSub>
                              </m:e>
                            </m:mr>
                            <m:mr>
                              <m:e>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z</m:t>
                                    </m:r>
                                  </m:sub>
                                </m:sSub>
                              </m:e>
                            </m:mr>
                          </m:m>
                        </m:e>
                      </m:mr>
                      <m:mr>
                        <m:e>
                          <m:r>
                            <w:rPr>
                              <w:rFonts w:ascii="Cambria Math" w:hAnsi="Cambria Math" w:cs="Times New Roman"/>
                              <w:szCs w:val="24"/>
                            </w:rPr>
                            <m:t>γ</m:t>
                          </m:r>
                        </m:e>
                      </m:mr>
                    </m:m>
                  </m:e>
                </m:mr>
                <m:mr>
                  <m:e>
                    <m:r>
                      <w:rPr>
                        <w:rFonts w:ascii="Cambria Math" w:hAnsi="Cambria Math" w:cs="Times New Roman"/>
                        <w:szCs w:val="24"/>
                      </w:rPr>
                      <m:t>β</m:t>
                    </m:r>
                  </m:e>
                </m:mr>
                <m:mr>
                  <m:e>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e>
                </m:mr>
              </m:m>
            </m:e>
          </m:d>
        </m:oMath>
      </m:oMathPara>
    </w:p>
    <w:p w14:paraId="4D6DE60F" w14:textId="77777777" w:rsidR="00AD2E2C" w:rsidRPr="004A4DD1" w:rsidRDefault="00AD2E2C" w:rsidP="00C26B41">
      <w:pPr>
        <w:pStyle w:val="ListParagraph"/>
        <w:ind w:left="1080" w:firstLine="0"/>
        <w:rPr>
          <w:rFonts w:eastAsiaTheme="minorEastAsia"/>
          <w:noProof/>
          <w:szCs w:val="24"/>
        </w:rPr>
      </w:pPr>
    </w:p>
    <w:p w14:paraId="0991FAC6" w14:textId="7617329E" w:rsidR="00C90CD3" w:rsidRDefault="004A4DD1" w:rsidP="004A4DD1">
      <w:pPr>
        <w:rPr>
          <w:noProof/>
          <w:szCs w:val="24"/>
        </w:rPr>
      </w:pPr>
      <w:r>
        <w:rPr>
          <w:noProof/>
          <w:szCs w:val="24"/>
        </w:rPr>
        <w:t>To illustrate the recovery mechanism</w:t>
      </w:r>
      <w:r w:rsidR="00AD2E2C">
        <w:rPr>
          <w:noProof/>
          <w:szCs w:val="24"/>
        </w:rPr>
        <w:t>,</w:t>
      </w:r>
      <w:r>
        <w:rPr>
          <w:noProof/>
          <w:szCs w:val="24"/>
        </w:rPr>
        <w:t xml:space="preserve"> a representative thermo-gravimetric data is generated.</w:t>
      </w:r>
      <w:r w:rsidR="001422F3">
        <w:rPr>
          <w:noProof/>
          <w:szCs w:val="24"/>
        </w:rPr>
        <w:t xml:space="preserve"> No approximate solution </w:t>
      </w:r>
      <w:r w:rsidR="00AC6003">
        <w:rPr>
          <w:noProof/>
          <w:szCs w:val="24"/>
        </w:rPr>
        <w:t xml:space="preserve">is </w:t>
      </w:r>
      <w:r w:rsidR="001422F3">
        <w:rPr>
          <w:noProof/>
          <w:szCs w:val="24"/>
        </w:rPr>
        <w:t>used to get the initial guesses.</w:t>
      </w:r>
      <w:r w:rsidR="00AC6003">
        <w:rPr>
          <w:noProof/>
          <w:szCs w:val="24"/>
        </w:rPr>
        <w:t xml:space="preserve"> In order</w:t>
      </w:r>
      <w:r w:rsidR="001422F3">
        <w:rPr>
          <w:noProof/>
          <w:szCs w:val="24"/>
        </w:rPr>
        <w:t xml:space="preserve"> </w:t>
      </w:r>
      <w:r w:rsidR="00AC6003">
        <w:rPr>
          <w:noProof/>
          <w:szCs w:val="24"/>
        </w:rPr>
        <w:t>to demonstrate the predictive capabilities of modified steepest descent method, i</w:t>
      </w:r>
      <w:r w:rsidR="001422F3">
        <w:rPr>
          <w:noProof/>
          <w:szCs w:val="24"/>
        </w:rPr>
        <w:t>nitial guesses are deliberately chosen not to represent the generated moisture mass gain curve.</w:t>
      </w:r>
      <w:r>
        <w:rPr>
          <w:noProof/>
          <w:szCs w:val="24"/>
        </w:rPr>
        <w:t xml:space="preserve"> </w:t>
      </w:r>
      <w:r w:rsidR="008E1336">
        <w:rPr>
          <w:noProof/>
          <w:szCs w:val="24"/>
        </w:rPr>
        <w:fldChar w:fldCharType="begin"/>
      </w:r>
      <w:r w:rsidR="008E1336">
        <w:rPr>
          <w:noProof/>
          <w:szCs w:val="24"/>
        </w:rPr>
        <w:instrText xml:space="preserve"> REF _Ref521416453 \h </w:instrText>
      </w:r>
      <w:r w:rsidR="008E1336">
        <w:rPr>
          <w:noProof/>
          <w:szCs w:val="24"/>
        </w:rPr>
      </w:r>
      <w:r w:rsidR="008E1336">
        <w:rPr>
          <w:noProof/>
          <w:szCs w:val="24"/>
        </w:rPr>
        <w:fldChar w:fldCharType="separate"/>
      </w:r>
      <w:r w:rsidR="006D52C2">
        <w:t xml:space="preserve">Table </w:t>
      </w:r>
      <w:r w:rsidR="006D52C2">
        <w:rPr>
          <w:noProof/>
        </w:rPr>
        <w:t>2</w:t>
      </w:r>
      <w:r w:rsidR="008E1336">
        <w:rPr>
          <w:noProof/>
          <w:szCs w:val="24"/>
        </w:rPr>
        <w:fldChar w:fldCharType="end"/>
      </w:r>
      <w:r w:rsidR="008E1336">
        <w:rPr>
          <w:noProof/>
          <w:szCs w:val="24"/>
        </w:rPr>
        <w:t xml:space="preserve"> </w:t>
      </w:r>
      <w:r>
        <w:rPr>
          <w:noProof/>
          <w:szCs w:val="24"/>
        </w:rPr>
        <w:t xml:space="preserve">presents the </w:t>
      </w:r>
      <w:r w:rsidR="00AC6003">
        <w:rPr>
          <w:noProof/>
          <w:szCs w:val="24"/>
        </w:rPr>
        <w:t xml:space="preserve">one-dimensional hindered diffusion model </w:t>
      </w:r>
      <w:r>
        <w:rPr>
          <w:noProof/>
          <w:szCs w:val="24"/>
        </w:rPr>
        <w:t>absorption parameters used to generate the synthetic data, initialing parameters and final recovered parameters.</w:t>
      </w:r>
    </w:p>
    <w:p w14:paraId="102B9033" w14:textId="6686B2D1" w:rsidR="00590835" w:rsidRDefault="005B3DBB" w:rsidP="0069708C">
      <w:pPr>
        <w:pStyle w:val="Caption"/>
        <w:rPr>
          <w:noProof/>
        </w:rPr>
      </w:pPr>
      <w:bookmarkStart w:id="84" w:name="_Ref521416453"/>
      <w:bookmarkStart w:id="85" w:name="_Toc530997317"/>
      <w:r>
        <w:t xml:space="preserve">Table </w:t>
      </w:r>
      <w:r w:rsidR="0023508C">
        <w:rPr>
          <w:noProof/>
        </w:rPr>
        <w:fldChar w:fldCharType="begin"/>
      </w:r>
      <w:r w:rsidR="0023508C">
        <w:rPr>
          <w:noProof/>
        </w:rPr>
        <w:instrText xml:space="preserve"> SEQ Table \* ARABIC </w:instrText>
      </w:r>
      <w:r w:rsidR="0023508C">
        <w:rPr>
          <w:noProof/>
        </w:rPr>
        <w:fldChar w:fldCharType="separate"/>
      </w:r>
      <w:r w:rsidR="006D52C2">
        <w:rPr>
          <w:noProof/>
        </w:rPr>
        <w:t>2</w:t>
      </w:r>
      <w:r w:rsidR="0023508C">
        <w:rPr>
          <w:noProof/>
        </w:rPr>
        <w:fldChar w:fldCharType="end"/>
      </w:r>
      <w:bookmarkEnd w:id="84"/>
      <w:r w:rsidR="00590835">
        <w:rPr>
          <w:noProof/>
        </w:rPr>
        <w:t>. Diffusion parameters of the synthetic data, initial guess</w:t>
      </w:r>
      <w:r w:rsidR="00977EA2">
        <w:rPr>
          <w:noProof/>
        </w:rPr>
        <w:t>,</w:t>
      </w:r>
      <w:r w:rsidR="00590835">
        <w:rPr>
          <w:noProof/>
        </w:rPr>
        <w:t xml:space="preserve"> and model prediction</w:t>
      </w:r>
      <w:bookmarkEnd w:id="85"/>
    </w:p>
    <w:tbl>
      <w:tblPr>
        <w:tblStyle w:val="TableGrid"/>
        <w:tblW w:w="8275" w:type="dxa"/>
        <w:jc w:val="center"/>
        <w:tblLook w:val="04A0" w:firstRow="1" w:lastRow="0" w:firstColumn="1" w:lastColumn="0" w:noHBand="0" w:noVBand="1"/>
      </w:tblPr>
      <w:tblGrid>
        <w:gridCol w:w="3870"/>
        <w:gridCol w:w="1705"/>
        <w:gridCol w:w="1440"/>
        <w:gridCol w:w="1260"/>
      </w:tblGrid>
      <w:tr w:rsidR="00C90CD3" w14:paraId="5491F5E4" w14:textId="77777777" w:rsidTr="00977EA2">
        <w:trPr>
          <w:jc w:val="center"/>
        </w:trPr>
        <w:tc>
          <w:tcPr>
            <w:tcW w:w="3870" w:type="dxa"/>
          </w:tcPr>
          <w:p w14:paraId="4866EB87" w14:textId="77777777" w:rsidR="00C90CD3" w:rsidRDefault="00C90CD3" w:rsidP="008F56CB">
            <w:pPr>
              <w:spacing w:line="240" w:lineRule="auto"/>
              <w:ind w:firstLine="0"/>
              <w:rPr>
                <w:rFonts w:eastAsia="Times New Roman" w:cs="Times New Roman"/>
                <w:szCs w:val="24"/>
              </w:rPr>
            </w:pPr>
          </w:p>
        </w:tc>
        <w:tc>
          <w:tcPr>
            <w:tcW w:w="1705" w:type="dxa"/>
          </w:tcPr>
          <w:p w14:paraId="2F667083" w14:textId="49F3509E" w:rsidR="00C90CD3" w:rsidRDefault="00C90CD3" w:rsidP="00C90CD3">
            <w:pPr>
              <w:spacing w:line="240" w:lineRule="auto"/>
              <w:ind w:firstLine="0"/>
              <w:rPr>
                <w:rFonts w:eastAsia="Times New Roman" w:cs="Times New Roman"/>
                <w:szCs w:val="24"/>
              </w:rPr>
            </w:pPr>
            <w:r>
              <w:rPr>
                <w:rFonts w:eastAsia="Times New Roman" w:cs="Times New Roman"/>
                <w:szCs w:val="24"/>
              </w:rPr>
              <w:t>Synthetic Data</w:t>
            </w:r>
          </w:p>
        </w:tc>
        <w:tc>
          <w:tcPr>
            <w:tcW w:w="1440" w:type="dxa"/>
          </w:tcPr>
          <w:p w14:paraId="07F71C99" w14:textId="0F40B7A3" w:rsidR="00C90CD3" w:rsidRDefault="00C90CD3" w:rsidP="008F56CB">
            <w:pPr>
              <w:spacing w:line="240" w:lineRule="auto"/>
              <w:ind w:firstLine="0"/>
              <w:rPr>
                <w:rFonts w:eastAsia="Times New Roman" w:cs="Times New Roman"/>
                <w:szCs w:val="24"/>
              </w:rPr>
            </w:pPr>
            <w:r>
              <w:rPr>
                <w:rFonts w:eastAsia="Times New Roman" w:cs="Times New Roman"/>
                <w:szCs w:val="24"/>
              </w:rPr>
              <w:t>Initial Guess</w:t>
            </w:r>
          </w:p>
        </w:tc>
        <w:tc>
          <w:tcPr>
            <w:tcW w:w="1260" w:type="dxa"/>
          </w:tcPr>
          <w:p w14:paraId="2E10C63E" w14:textId="319E811B" w:rsidR="00C90CD3" w:rsidRDefault="00C90CD3" w:rsidP="008F56CB">
            <w:pPr>
              <w:spacing w:line="240" w:lineRule="auto"/>
              <w:ind w:firstLine="0"/>
              <w:rPr>
                <w:rFonts w:eastAsia="Times New Roman" w:cs="Times New Roman"/>
                <w:szCs w:val="24"/>
              </w:rPr>
            </w:pPr>
            <w:r>
              <w:rPr>
                <w:rFonts w:eastAsia="Times New Roman" w:cs="Times New Roman"/>
                <w:szCs w:val="24"/>
              </w:rPr>
              <w:t>Recovered</w:t>
            </w:r>
          </w:p>
        </w:tc>
      </w:tr>
      <w:tr w:rsidR="00C90CD3" w14:paraId="7CC45A8B" w14:textId="77777777" w:rsidTr="00977EA2">
        <w:trPr>
          <w:jc w:val="center"/>
        </w:trPr>
        <w:tc>
          <w:tcPr>
            <w:tcW w:w="3870" w:type="dxa"/>
          </w:tcPr>
          <w:p w14:paraId="7E92FC99" w14:textId="54A01C56"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Through-the-thickness </w:t>
            </w:r>
            <w:r w:rsidR="00977EA2">
              <w:rPr>
                <w:rFonts w:eastAsia="Times New Roman" w:cs="Times New Roman"/>
                <w:szCs w:val="24"/>
              </w:rPr>
              <w:br/>
            </w:r>
            <w:r>
              <w:rPr>
                <w:rFonts w:eastAsia="Times New Roman" w:cs="Times New Roman"/>
                <w:szCs w:val="24"/>
              </w:rPr>
              <w:t>Diffusion Coefficient,</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oMath>
          </w:p>
        </w:tc>
        <w:tc>
          <w:tcPr>
            <w:tcW w:w="1705" w:type="dxa"/>
          </w:tcPr>
          <w:p w14:paraId="67F17270" w14:textId="33043C78"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7.00 </w:t>
            </w:r>
            <w:r w:rsidRPr="00EC6E5C">
              <w:rPr>
                <w:rFonts w:eastAsia="Times New Roman" w:cs="Times New Roman"/>
                <w:szCs w:val="24"/>
              </w:rPr>
              <w:t>×</w:t>
            </w:r>
            <w:r>
              <w:rPr>
                <w:rFonts w:eastAsia="Times New Roman" w:cs="Times New Roman"/>
                <w:szCs w:val="24"/>
              </w:rPr>
              <w:t xml:space="preserve"> 10</w:t>
            </w:r>
            <w:r w:rsidRPr="00EC6E5C">
              <w:rPr>
                <w:rFonts w:eastAsia="Times New Roman" w:cs="Times New Roman"/>
                <w:szCs w:val="24"/>
                <w:vertAlign w:val="superscript"/>
              </w:rPr>
              <w:t>-4</w:t>
            </w:r>
          </w:p>
        </w:tc>
        <w:tc>
          <w:tcPr>
            <w:tcW w:w="1440" w:type="dxa"/>
          </w:tcPr>
          <w:p w14:paraId="34C03271" w14:textId="0FF1AB2E"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1.00 </w:t>
            </w:r>
            <w:r w:rsidRPr="00EC6E5C">
              <w:rPr>
                <w:rFonts w:eastAsia="Times New Roman" w:cs="Times New Roman"/>
                <w:szCs w:val="24"/>
              </w:rPr>
              <w:t>×</w:t>
            </w:r>
            <w:r>
              <w:rPr>
                <w:rFonts w:eastAsia="Times New Roman" w:cs="Times New Roman"/>
                <w:szCs w:val="24"/>
              </w:rPr>
              <w:t xml:space="preserve"> 10</w:t>
            </w:r>
            <w:r w:rsidRPr="00EC6E5C">
              <w:rPr>
                <w:rFonts w:eastAsia="Times New Roman" w:cs="Times New Roman"/>
                <w:szCs w:val="24"/>
                <w:vertAlign w:val="superscript"/>
              </w:rPr>
              <w:t>-4</w:t>
            </w:r>
          </w:p>
        </w:tc>
        <w:tc>
          <w:tcPr>
            <w:tcW w:w="1260" w:type="dxa"/>
          </w:tcPr>
          <w:p w14:paraId="4C5BE747" w14:textId="64237068"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6.86 </w:t>
            </w:r>
            <w:r w:rsidRPr="00EC6E5C">
              <w:rPr>
                <w:rFonts w:eastAsia="Times New Roman" w:cs="Times New Roman"/>
                <w:szCs w:val="24"/>
              </w:rPr>
              <w:t>×</w:t>
            </w:r>
            <w:r>
              <w:rPr>
                <w:rFonts w:eastAsia="Times New Roman" w:cs="Times New Roman"/>
                <w:szCs w:val="24"/>
              </w:rPr>
              <w:t xml:space="preserve"> 10</w:t>
            </w:r>
            <w:r w:rsidRPr="00EC6E5C">
              <w:rPr>
                <w:rFonts w:eastAsia="Times New Roman" w:cs="Times New Roman"/>
                <w:szCs w:val="24"/>
                <w:vertAlign w:val="superscript"/>
              </w:rPr>
              <w:t>-4</w:t>
            </w:r>
          </w:p>
        </w:tc>
      </w:tr>
      <w:tr w:rsidR="00C90CD3" w14:paraId="4DB869B9" w14:textId="77777777" w:rsidTr="00977EA2">
        <w:trPr>
          <w:jc w:val="center"/>
        </w:trPr>
        <w:tc>
          <w:tcPr>
            <w:tcW w:w="3870" w:type="dxa"/>
          </w:tcPr>
          <w:p w14:paraId="0E3371C5" w14:textId="77777777" w:rsidR="00C90CD3" w:rsidRDefault="00C90CD3" w:rsidP="00C90CD3">
            <w:pPr>
              <w:spacing w:line="240" w:lineRule="auto"/>
              <w:ind w:firstLine="0"/>
              <w:rPr>
                <w:rFonts w:eastAsia="Times New Roman" w:cs="Times New Roman"/>
                <w:szCs w:val="24"/>
              </w:rPr>
            </w:pPr>
            <w:r>
              <w:rPr>
                <w:rFonts w:eastAsia="Times New Roman" w:cs="Times New Roman"/>
                <w:szCs w:val="24"/>
              </w:rPr>
              <w:t>Bound</w:t>
            </w:r>
            <w:r w:rsidRPr="00EC6E5C">
              <w:rPr>
                <w:rFonts w:eastAsia="Times New Roman" w:cs="Times New Roman"/>
                <w:szCs w:val="24"/>
              </w:rPr>
              <w:sym w:font="Wingdings" w:char="F0E0"/>
            </w:r>
            <w:r>
              <w:rPr>
                <w:rFonts w:eastAsia="Times New Roman" w:cs="Times New Roman"/>
                <w:szCs w:val="24"/>
              </w:rPr>
              <w:t xml:space="preserve">Unbound, </w:t>
            </w:r>
            <m:oMath>
              <m:r>
                <w:rPr>
                  <w:rFonts w:ascii="Cambria Math" w:eastAsia="Times New Roman" w:hAnsi="Cambria Math" w:cs="Times New Roman"/>
                  <w:szCs w:val="24"/>
                </w:rPr>
                <m:t>β</m:t>
              </m:r>
            </m:oMath>
          </w:p>
        </w:tc>
        <w:tc>
          <w:tcPr>
            <w:tcW w:w="1705" w:type="dxa"/>
          </w:tcPr>
          <w:p w14:paraId="66A048F6" w14:textId="2B0BC555"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1.00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-3</w:t>
            </w:r>
          </w:p>
        </w:tc>
        <w:tc>
          <w:tcPr>
            <w:tcW w:w="1440" w:type="dxa"/>
          </w:tcPr>
          <w:p w14:paraId="2E1C00A0" w14:textId="60220E33"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4.00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-3</w:t>
            </w:r>
          </w:p>
        </w:tc>
        <w:tc>
          <w:tcPr>
            <w:tcW w:w="1260" w:type="dxa"/>
          </w:tcPr>
          <w:p w14:paraId="0350CC40" w14:textId="7D23FFE2"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9.72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-4</w:t>
            </w:r>
          </w:p>
        </w:tc>
      </w:tr>
      <w:tr w:rsidR="00C90CD3" w14:paraId="0D6E552D" w14:textId="77777777" w:rsidTr="00977EA2">
        <w:trPr>
          <w:jc w:val="center"/>
        </w:trPr>
        <w:tc>
          <w:tcPr>
            <w:tcW w:w="3870" w:type="dxa"/>
          </w:tcPr>
          <w:p w14:paraId="36BCBA13" w14:textId="77777777" w:rsidR="00C90CD3" w:rsidRDefault="00C90CD3" w:rsidP="00C90CD3">
            <w:pPr>
              <w:spacing w:line="240" w:lineRule="auto"/>
              <w:ind w:firstLine="0"/>
              <w:rPr>
                <w:rFonts w:eastAsia="Times New Roman" w:cs="Times New Roman"/>
                <w:szCs w:val="24"/>
              </w:rPr>
            </w:pPr>
            <w:r>
              <w:rPr>
                <w:rFonts w:eastAsia="Times New Roman" w:cs="Times New Roman"/>
                <w:szCs w:val="24"/>
              </w:rPr>
              <w:t>Unbound</w:t>
            </w:r>
            <w:r w:rsidRPr="00EC6E5C">
              <w:rPr>
                <w:rFonts w:eastAsia="Times New Roman" w:cs="Times New Roman"/>
                <w:szCs w:val="24"/>
              </w:rPr>
              <w:sym w:font="Wingdings" w:char="F0E0"/>
            </w:r>
            <w:r>
              <w:rPr>
                <w:rFonts w:eastAsia="Times New Roman" w:cs="Times New Roman"/>
                <w:szCs w:val="24"/>
              </w:rPr>
              <w:t xml:space="preserve">Bound, </w:t>
            </w:r>
            <m:oMath>
              <m:r>
                <w:rPr>
                  <w:rFonts w:ascii="Cambria Math" w:eastAsia="Times New Roman" w:hAnsi="Cambria Math" w:cs="Times New Roman"/>
                  <w:szCs w:val="24"/>
                </w:rPr>
                <m:t>γ</m:t>
              </m:r>
            </m:oMath>
          </w:p>
        </w:tc>
        <w:tc>
          <w:tcPr>
            <w:tcW w:w="1705" w:type="dxa"/>
          </w:tcPr>
          <w:p w14:paraId="013B298C" w14:textId="078078A6"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4.00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-4</w:t>
            </w:r>
          </w:p>
        </w:tc>
        <w:tc>
          <w:tcPr>
            <w:tcW w:w="1440" w:type="dxa"/>
          </w:tcPr>
          <w:p w14:paraId="55B58DA4" w14:textId="11C8D87B"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1.00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-4</w:t>
            </w:r>
          </w:p>
        </w:tc>
        <w:tc>
          <w:tcPr>
            <w:tcW w:w="1260" w:type="dxa"/>
          </w:tcPr>
          <w:p w14:paraId="3107A5BF" w14:textId="04EA070D"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3.82 </w:t>
            </w:r>
            <w:r w:rsidRPr="00EC6E5C">
              <w:rPr>
                <w:rFonts w:eastAsia="Times New Roman" w:cs="Times New Roman"/>
                <w:szCs w:val="24"/>
              </w:rPr>
              <w:t>×</w:t>
            </w:r>
            <w:r>
              <w:rPr>
                <w:rFonts w:eastAsia="Times New Roman" w:cs="Times New Roman"/>
                <w:szCs w:val="24"/>
              </w:rPr>
              <w:t xml:space="preserve"> 10</w:t>
            </w:r>
            <w:r>
              <w:rPr>
                <w:rFonts w:eastAsia="Times New Roman" w:cs="Times New Roman"/>
                <w:szCs w:val="24"/>
                <w:vertAlign w:val="superscript"/>
              </w:rPr>
              <w:t>-4</w:t>
            </w:r>
          </w:p>
        </w:tc>
      </w:tr>
      <w:tr w:rsidR="00C90CD3" w14:paraId="57C373FD" w14:textId="77777777" w:rsidTr="00977EA2">
        <w:trPr>
          <w:jc w:val="center"/>
        </w:trPr>
        <w:tc>
          <w:tcPr>
            <w:tcW w:w="3870" w:type="dxa"/>
          </w:tcPr>
          <w:p w14:paraId="5CC64915" w14:textId="77777777" w:rsidR="00C90CD3" w:rsidRDefault="00C90CD3" w:rsidP="00C90CD3">
            <w:pPr>
              <w:spacing w:line="240" w:lineRule="auto"/>
              <w:ind w:firstLine="0"/>
              <w:rPr>
                <w:rFonts w:eastAsia="Times New Roman" w:cs="Times New Roman"/>
                <w:szCs w:val="24"/>
              </w:rPr>
            </w:pPr>
            <w:r>
              <w:rPr>
                <w:rFonts w:eastAsia="Times New Roman" w:cs="Times New Roman"/>
                <w:szCs w:val="24"/>
              </w:rPr>
              <w:t xml:space="preserve">Maximum Moisture Content, </w:t>
            </w:r>
            <m:oMath>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oMath>
          </w:p>
        </w:tc>
        <w:tc>
          <w:tcPr>
            <w:tcW w:w="1705" w:type="dxa"/>
          </w:tcPr>
          <w:p w14:paraId="3DEE8B23" w14:textId="4A7011D5" w:rsidR="00C90CD3" w:rsidRDefault="00C90CD3" w:rsidP="00C90CD3">
            <w:pPr>
              <w:spacing w:line="240" w:lineRule="auto"/>
              <w:ind w:firstLine="0"/>
              <w:rPr>
                <w:rFonts w:eastAsia="Times New Roman" w:cs="Times New Roman"/>
                <w:szCs w:val="24"/>
              </w:rPr>
            </w:pPr>
            <w:r>
              <w:rPr>
                <w:rFonts w:eastAsia="Times New Roman" w:cs="Times New Roman"/>
                <w:szCs w:val="24"/>
              </w:rPr>
              <w:t>2.00</w:t>
            </w:r>
          </w:p>
        </w:tc>
        <w:tc>
          <w:tcPr>
            <w:tcW w:w="1440" w:type="dxa"/>
          </w:tcPr>
          <w:p w14:paraId="035C95C2" w14:textId="7C8EF1EE" w:rsidR="00C90CD3" w:rsidRDefault="00C90CD3" w:rsidP="00C90CD3">
            <w:pPr>
              <w:spacing w:line="240" w:lineRule="auto"/>
              <w:ind w:firstLine="0"/>
              <w:rPr>
                <w:rFonts w:eastAsia="Times New Roman" w:cs="Times New Roman"/>
                <w:szCs w:val="24"/>
              </w:rPr>
            </w:pPr>
            <w:r>
              <w:rPr>
                <w:rFonts w:eastAsia="Times New Roman" w:cs="Times New Roman"/>
                <w:szCs w:val="24"/>
              </w:rPr>
              <w:t>3.00</w:t>
            </w:r>
          </w:p>
        </w:tc>
        <w:tc>
          <w:tcPr>
            <w:tcW w:w="1260" w:type="dxa"/>
          </w:tcPr>
          <w:p w14:paraId="11E9F75D" w14:textId="57540064" w:rsidR="00C90CD3" w:rsidRDefault="00C90CD3" w:rsidP="00C90CD3">
            <w:pPr>
              <w:spacing w:line="240" w:lineRule="auto"/>
              <w:ind w:firstLine="0"/>
              <w:rPr>
                <w:rFonts w:eastAsia="Times New Roman" w:cs="Times New Roman"/>
                <w:szCs w:val="24"/>
              </w:rPr>
            </w:pPr>
            <w:r>
              <w:rPr>
                <w:rFonts w:eastAsia="Times New Roman" w:cs="Times New Roman"/>
                <w:szCs w:val="24"/>
              </w:rPr>
              <w:t>2.00</w:t>
            </w:r>
          </w:p>
        </w:tc>
      </w:tr>
    </w:tbl>
    <w:p w14:paraId="0EA4192F" w14:textId="77777777" w:rsidR="00C90CD3" w:rsidRDefault="00C90CD3" w:rsidP="004A4DD1">
      <w:pPr>
        <w:rPr>
          <w:noProof/>
          <w:szCs w:val="24"/>
        </w:rPr>
      </w:pPr>
    </w:p>
    <w:p w14:paraId="02C8EDDE" w14:textId="1D6BFE4A" w:rsidR="007118DD" w:rsidRDefault="001422F3" w:rsidP="004A4DD1">
      <w:pPr>
        <w:rPr>
          <w:noProof/>
          <w:szCs w:val="24"/>
        </w:rPr>
      </w:pPr>
      <w:r>
        <w:rPr>
          <w:noProof/>
          <w:szCs w:val="24"/>
        </w:rPr>
        <w:t xml:space="preserve">The recovery starts with the initial guesses given in </w:t>
      </w:r>
      <w:r w:rsidR="008E1336">
        <w:rPr>
          <w:noProof/>
          <w:szCs w:val="24"/>
        </w:rPr>
        <w:fldChar w:fldCharType="begin"/>
      </w:r>
      <w:r w:rsidR="008E1336">
        <w:rPr>
          <w:noProof/>
          <w:szCs w:val="24"/>
        </w:rPr>
        <w:instrText xml:space="preserve"> REF _Ref521416453 \h </w:instrText>
      </w:r>
      <w:r w:rsidR="008E1336">
        <w:rPr>
          <w:noProof/>
          <w:szCs w:val="24"/>
        </w:rPr>
      </w:r>
      <w:r w:rsidR="008E1336">
        <w:rPr>
          <w:noProof/>
          <w:szCs w:val="24"/>
        </w:rPr>
        <w:fldChar w:fldCharType="separate"/>
      </w:r>
      <w:r w:rsidR="006D52C2">
        <w:t xml:space="preserve">Table </w:t>
      </w:r>
      <w:r w:rsidR="006D52C2">
        <w:rPr>
          <w:noProof/>
        </w:rPr>
        <w:t>2</w:t>
      </w:r>
      <w:r w:rsidR="008E1336">
        <w:rPr>
          <w:noProof/>
          <w:szCs w:val="24"/>
        </w:rPr>
        <w:fldChar w:fldCharType="end"/>
      </w:r>
      <w:r w:rsidR="008E1336">
        <w:rPr>
          <w:noProof/>
          <w:szCs w:val="24"/>
        </w:rPr>
        <w:t xml:space="preserve"> </w:t>
      </w:r>
      <w:r>
        <w:rPr>
          <w:noProof/>
          <w:szCs w:val="24"/>
        </w:rPr>
        <w:t>and continues until the least square error between the model prediction and generated data is minimized. To show how the reco</w:t>
      </w:r>
      <w:r w:rsidR="00AD2E2C">
        <w:rPr>
          <w:noProof/>
          <w:szCs w:val="24"/>
        </w:rPr>
        <w:t>very method minimizes the error,</w:t>
      </w:r>
      <w:r>
        <w:rPr>
          <w:noProof/>
          <w:szCs w:val="24"/>
        </w:rPr>
        <w:t xml:space="preserve"> synthetic mass gain data, initial guess, 100</w:t>
      </w:r>
      <w:r w:rsidRPr="001422F3">
        <w:rPr>
          <w:noProof/>
          <w:szCs w:val="24"/>
          <w:vertAlign w:val="superscript"/>
        </w:rPr>
        <w:t>th</w:t>
      </w:r>
      <w:r>
        <w:rPr>
          <w:noProof/>
          <w:szCs w:val="24"/>
        </w:rPr>
        <w:t>, 250</w:t>
      </w:r>
      <w:r w:rsidRPr="001422F3">
        <w:rPr>
          <w:noProof/>
          <w:szCs w:val="24"/>
          <w:vertAlign w:val="superscript"/>
        </w:rPr>
        <w:t>th</w:t>
      </w:r>
      <w:r>
        <w:rPr>
          <w:noProof/>
          <w:szCs w:val="24"/>
        </w:rPr>
        <w:t>, 500</w:t>
      </w:r>
      <w:r w:rsidRPr="001422F3">
        <w:rPr>
          <w:noProof/>
          <w:szCs w:val="24"/>
          <w:vertAlign w:val="superscript"/>
        </w:rPr>
        <w:t>th</w:t>
      </w:r>
      <w:r w:rsidR="00977EA2">
        <w:rPr>
          <w:noProof/>
          <w:szCs w:val="24"/>
        </w:rPr>
        <w:t>,</w:t>
      </w:r>
      <w:r>
        <w:rPr>
          <w:noProof/>
          <w:szCs w:val="24"/>
        </w:rPr>
        <w:t xml:space="preserve"> and 750</w:t>
      </w:r>
      <w:r w:rsidRPr="001422F3">
        <w:rPr>
          <w:noProof/>
          <w:szCs w:val="24"/>
          <w:vertAlign w:val="superscript"/>
        </w:rPr>
        <w:t>th</w:t>
      </w:r>
      <w:r>
        <w:rPr>
          <w:noProof/>
          <w:szCs w:val="24"/>
        </w:rPr>
        <w:t xml:space="preserve"> </w:t>
      </w:r>
      <w:r w:rsidR="00427B07">
        <w:rPr>
          <w:noProof/>
          <w:szCs w:val="24"/>
        </w:rPr>
        <w:t>ite</w:t>
      </w:r>
      <w:r>
        <w:rPr>
          <w:noProof/>
          <w:szCs w:val="24"/>
        </w:rPr>
        <w:t>ration prediction</w:t>
      </w:r>
      <w:r w:rsidR="00427B07">
        <w:rPr>
          <w:noProof/>
          <w:szCs w:val="24"/>
        </w:rPr>
        <w:t>s</w:t>
      </w:r>
      <w:r w:rsidR="00AC6003">
        <w:rPr>
          <w:noProof/>
          <w:szCs w:val="24"/>
        </w:rPr>
        <w:t>,</w:t>
      </w:r>
      <w:r>
        <w:rPr>
          <w:noProof/>
          <w:szCs w:val="24"/>
        </w:rPr>
        <w:t xml:space="preserve"> and final prediction is illustrated in</w:t>
      </w:r>
      <w:r w:rsidR="00E95B4D">
        <w:rPr>
          <w:noProof/>
          <w:szCs w:val="24"/>
        </w:rPr>
        <w:t xml:space="preserve"> </w:t>
      </w:r>
      <w:r w:rsidR="00E95B4D">
        <w:rPr>
          <w:noProof/>
          <w:szCs w:val="24"/>
        </w:rPr>
        <w:lastRenderedPageBreak/>
        <w:fldChar w:fldCharType="begin"/>
      </w:r>
      <w:r w:rsidR="00E95B4D">
        <w:rPr>
          <w:noProof/>
          <w:szCs w:val="24"/>
        </w:rPr>
        <w:instrText xml:space="preserve"> REF _Ref521416150 \h </w:instrText>
      </w:r>
      <w:r w:rsidR="00E95B4D">
        <w:rPr>
          <w:noProof/>
          <w:szCs w:val="24"/>
        </w:rPr>
      </w:r>
      <w:r w:rsidR="00E95B4D">
        <w:rPr>
          <w:noProof/>
          <w:szCs w:val="24"/>
        </w:rPr>
        <w:fldChar w:fldCharType="separate"/>
      </w:r>
      <w:r w:rsidR="006D52C2">
        <w:t xml:space="preserve">Figure </w:t>
      </w:r>
      <w:r w:rsidR="006D52C2">
        <w:rPr>
          <w:noProof/>
        </w:rPr>
        <w:t>14</w:t>
      </w:r>
      <w:r w:rsidR="00E95B4D">
        <w:rPr>
          <w:noProof/>
          <w:szCs w:val="24"/>
        </w:rPr>
        <w:fldChar w:fldCharType="end"/>
      </w:r>
      <w:r>
        <w:rPr>
          <w:noProof/>
          <w:szCs w:val="24"/>
        </w:rPr>
        <w:t>.</w:t>
      </w:r>
      <w:r w:rsidR="00427B07">
        <w:rPr>
          <w:noProof/>
          <w:szCs w:val="24"/>
        </w:rPr>
        <w:t xml:space="preserve"> The initial guess has completely different absorption kinetics th</w:t>
      </w:r>
      <w:r w:rsidR="00AC6003">
        <w:rPr>
          <w:noProof/>
          <w:szCs w:val="24"/>
        </w:rPr>
        <w:t>a</w:t>
      </w:r>
      <w:r w:rsidR="00427B07">
        <w:rPr>
          <w:noProof/>
          <w:szCs w:val="24"/>
        </w:rPr>
        <w:t xml:space="preserve">n the generated data. </w:t>
      </w:r>
      <w:r w:rsidR="00E95B4D">
        <w:rPr>
          <w:noProof/>
          <w:szCs w:val="24"/>
        </w:rPr>
        <w:fldChar w:fldCharType="begin"/>
      </w:r>
      <w:r w:rsidR="00E95B4D">
        <w:rPr>
          <w:noProof/>
          <w:szCs w:val="24"/>
        </w:rPr>
        <w:instrText xml:space="preserve"> REF _Ref521416150 \h </w:instrText>
      </w:r>
      <w:r w:rsidR="00E95B4D">
        <w:rPr>
          <w:noProof/>
          <w:szCs w:val="24"/>
        </w:rPr>
      </w:r>
      <w:r w:rsidR="00E95B4D">
        <w:rPr>
          <w:noProof/>
          <w:szCs w:val="24"/>
        </w:rPr>
        <w:fldChar w:fldCharType="separate"/>
      </w:r>
      <w:r w:rsidR="006D52C2">
        <w:t xml:space="preserve">Figure </w:t>
      </w:r>
      <w:r w:rsidR="006D52C2">
        <w:rPr>
          <w:noProof/>
        </w:rPr>
        <w:t>14</w:t>
      </w:r>
      <w:r w:rsidR="00E95B4D">
        <w:rPr>
          <w:noProof/>
          <w:szCs w:val="24"/>
        </w:rPr>
        <w:fldChar w:fldCharType="end"/>
      </w:r>
      <w:r w:rsidR="00E95B4D">
        <w:rPr>
          <w:noProof/>
          <w:szCs w:val="24"/>
        </w:rPr>
        <w:t xml:space="preserve"> </w:t>
      </w:r>
      <w:r w:rsidR="00427B07">
        <w:rPr>
          <w:noProof/>
          <w:szCs w:val="24"/>
        </w:rPr>
        <w:t xml:space="preserve">shows that the model prediction quickly approaches to the synthetic data and slows down to fine-tune the absorption parameters. </w:t>
      </w:r>
    </w:p>
    <w:p w14:paraId="2819403B" w14:textId="4E10DDAC" w:rsidR="007118DD" w:rsidRDefault="008422B1" w:rsidP="00554848">
      <w:pPr>
        <w:pStyle w:val="NoSpacing"/>
      </w:pPr>
      <w:r>
        <w:rPr>
          <w:noProof/>
          <w:lang w:bidi="ar-SA"/>
        </w:rPr>
        <w:drawing>
          <wp:inline distT="0" distB="0" distL="0" distR="0" wp14:anchorId="39EC34DB" wp14:editId="5BE34983">
            <wp:extent cx="5021421" cy="3657600"/>
            <wp:effectExtent l="0" t="0" r="8255" b="0"/>
            <wp:docPr id="216" name="Picture 216" descr="C:\Users\Administrator\Desktop\proje\PhD Dissertation\Recovery Fictional\recove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C:\Users\Administrator\Desktop\proje\PhD Dissertation\Recovery Fictional\recovery.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1421" cy="3657600"/>
                    </a:xfrm>
                    <a:prstGeom prst="rect">
                      <a:avLst/>
                    </a:prstGeom>
                    <a:noFill/>
                    <a:ln>
                      <a:noFill/>
                    </a:ln>
                  </pic:spPr>
                </pic:pic>
              </a:graphicData>
            </a:graphic>
          </wp:inline>
        </w:drawing>
      </w:r>
    </w:p>
    <w:p w14:paraId="6BC1CE81" w14:textId="5F3F5A38" w:rsidR="007118DD" w:rsidRDefault="005B3DBB" w:rsidP="0069708C">
      <w:pPr>
        <w:pStyle w:val="Caption"/>
      </w:pPr>
      <w:bookmarkStart w:id="86" w:name="_Ref521416150"/>
      <w:bookmarkStart w:id="87" w:name="_Toc530997370"/>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14</w:t>
      </w:r>
      <w:r w:rsidR="0023508C">
        <w:rPr>
          <w:noProof/>
        </w:rPr>
        <w:fldChar w:fldCharType="end"/>
      </w:r>
      <w:bookmarkEnd w:id="86"/>
      <w:r w:rsidR="007118DD">
        <w:t>. Absorption parameter recovery from thermo-gravimetric synthetic data.</w:t>
      </w:r>
      <w:bookmarkEnd w:id="87"/>
    </w:p>
    <w:p w14:paraId="67B0ABA4" w14:textId="77777777" w:rsidR="007118DD" w:rsidRPr="007118DD" w:rsidRDefault="007118DD" w:rsidP="007118DD"/>
    <w:p w14:paraId="4B9F787C" w14:textId="1A2C53F6" w:rsidR="00C26B41" w:rsidRDefault="00023822" w:rsidP="007118DD">
      <w:r>
        <w:rPr>
          <w:noProof/>
          <w:szCs w:val="24"/>
        </w:rPr>
        <w:fldChar w:fldCharType="begin"/>
      </w:r>
      <w:r>
        <w:rPr>
          <w:noProof/>
          <w:szCs w:val="24"/>
        </w:rPr>
        <w:instrText xml:space="preserve"> REF _Ref521416186 \h </w:instrText>
      </w:r>
      <w:r>
        <w:rPr>
          <w:noProof/>
          <w:szCs w:val="24"/>
        </w:rPr>
      </w:r>
      <w:r>
        <w:rPr>
          <w:noProof/>
          <w:szCs w:val="24"/>
        </w:rPr>
        <w:fldChar w:fldCharType="separate"/>
      </w:r>
      <w:r w:rsidR="006D52C2">
        <w:t xml:space="preserve">Figure </w:t>
      </w:r>
      <w:r w:rsidR="006D52C2">
        <w:rPr>
          <w:noProof/>
        </w:rPr>
        <w:t>15</w:t>
      </w:r>
      <w:r>
        <w:rPr>
          <w:noProof/>
          <w:szCs w:val="24"/>
        </w:rPr>
        <w:fldChar w:fldCharType="end"/>
      </w:r>
      <w:r>
        <w:rPr>
          <w:noProof/>
          <w:szCs w:val="24"/>
        </w:rPr>
        <w:t xml:space="preserve"> </w:t>
      </w:r>
      <w:r w:rsidR="00427B07">
        <w:rPr>
          <w:noProof/>
          <w:szCs w:val="24"/>
        </w:rPr>
        <w:t xml:space="preserve">illustrates how the least square error </w:t>
      </w:r>
      <w:r w:rsidR="00B44603">
        <w:rPr>
          <w:noProof/>
          <w:szCs w:val="24"/>
        </w:rPr>
        <w:t>per data point changes during the recovery mechanism. The error between the model prediction and the data q</w:t>
      </w:r>
      <w:r w:rsidR="00316E53">
        <w:rPr>
          <w:noProof/>
          <w:szCs w:val="24"/>
        </w:rPr>
        <w:t>u</w:t>
      </w:r>
      <w:r w:rsidR="00ED0597">
        <w:rPr>
          <w:noProof/>
          <w:szCs w:val="24"/>
        </w:rPr>
        <w:t xml:space="preserve">ickly decreases. Once </w:t>
      </w:r>
      <w:r w:rsidR="00AC6003">
        <w:rPr>
          <w:noProof/>
          <w:szCs w:val="24"/>
        </w:rPr>
        <w:t xml:space="preserve">the </w:t>
      </w:r>
      <w:r w:rsidR="00ED0597">
        <w:rPr>
          <w:noProof/>
          <w:szCs w:val="24"/>
        </w:rPr>
        <w:t>model prediction</w:t>
      </w:r>
      <w:r w:rsidR="007118DD">
        <w:rPr>
          <w:noProof/>
          <w:szCs w:val="24"/>
        </w:rPr>
        <w:t xml:space="preserve"> and the mass gain data</w:t>
      </w:r>
      <w:r w:rsidR="00ED0597">
        <w:rPr>
          <w:noProof/>
          <w:szCs w:val="24"/>
        </w:rPr>
        <w:t xml:space="preserve"> </w:t>
      </w:r>
      <w:r w:rsidR="007118DD">
        <w:rPr>
          <w:noProof/>
          <w:szCs w:val="24"/>
        </w:rPr>
        <w:t>start to overlap</w:t>
      </w:r>
      <w:r w:rsidR="00ED0597">
        <w:rPr>
          <w:noProof/>
          <w:szCs w:val="24"/>
        </w:rPr>
        <w:t>, the error starts oscillating. Even though the direction of the error gradient is towards to</w:t>
      </w:r>
      <w:r w:rsidR="002C020A">
        <w:rPr>
          <w:noProof/>
          <w:szCs w:val="24"/>
        </w:rPr>
        <w:t xml:space="preserve"> a</w:t>
      </w:r>
      <w:r w:rsidR="00ED0597">
        <w:rPr>
          <w:noProof/>
          <w:szCs w:val="24"/>
        </w:rPr>
        <w:t xml:space="preserve"> local maximum, high local error gradient of an absorption parameter may lead to overshoo</w:t>
      </w:r>
      <w:r w:rsidR="00AC6003">
        <w:rPr>
          <w:noProof/>
          <w:szCs w:val="24"/>
        </w:rPr>
        <w:t>ting the absorption parameter in</w:t>
      </w:r>
      <w:r w:rsidR="00ED0597">
        <w:rPr>
          <w:noProof/>
          <w:szCs w:val="24"/>
        </w:rPr>
        <w:t xml:space="preserve"> the next iteration. Thus, once the error is low, it starts oscillating towards to local minima. Moreover, two separate plateau</w:t>
      </w:r>
      <w:r w:rsidR="002C020A">
        <w:rPr>
          <w:noProof/>
          <w:szCs w:val="24"/>
        </w:rPr>
        <w:t>s</w:t>
      </w:r>
      <w:r w:rsidR="00ED0597">
        <w:rPr>
          <w:noProof/>
          <w:szCs w:val="24"/>
        </w:rPr>
        <w:t xml:space="preserve"> can be observed in </w:t>
      </w:r>
      <w:r>
        <w:rPr>
          <w:noProof/>
          <w:szCs w:val="24"/>
        </w:rPr>
        <w:fldChar w:fldCharType="begin"/>
      </w:r>
      <w:r>
        <w:rPr>
          <w:noProof/>
          <w:szCs w:val="24"/>
        </w:rPr>
        <w:instrText xml:space="preserve"> REF _Ref521416186 \h </w:instrText>
      </w:r>
      <w:r>
        <w:rPr>
          <w:noProof/>
          <w:szCs w:val="24"/>
        </w:rPr>
      </w:r>
      <w:r>
        <w:rPr>
          <w:noProof/>
          <w:szCs w:val="24"/>
        </w:rPr>
        <w:fldChar w:fldCharType="separate"/>
      </w:r>
      <w:r w:rsidR="006D52C2">
        <w:t xml:space="preserve">Figure </w:t>
      </w:r>
      <w:r w:rsidR="006D52C2">
        <w:rPr>
          <w:noProof/>
        </w:rPr>
        <w:t>15</w:t>
      </w:r>
      <w:r>
        <w:rPr>
          <w:noProof/>
          <w:szCs w:val="24"/>
        </w:rPr>
        <w:fldChar w:fldCharType="end"/>
      </w:r>
      <w:r>
        <w:rPr>
          <w:noProof/>
          <w:szCs w:val="24"/>
        </w:rPr>
        <w:t xml:space="preserve"> </w:t>
      </w:r>
      <w:r w:rsidR="00ED0597">
        <w:rPr>
          <w:noProof/>
          <w:szCs w:val="24"/>
        </w:rPr>
        <w:t>around iteration number ~300 and ~800. These two plateau</w:t>
      </w:r>
      <w:r w:rsidR="002C020A">
        <w:rPr>
          <w:noProof/>
          <w:szCs w:val="24"/>
        </w:rPr>
        <w:t>s</w:t>
      </w:r>
      <w:r w:rsidR="00ED0597">
        <w:rPr>
          <w:noProof/>
          <w:szCs w:val="24"/>
        </w:rPr>
        <w:t xml:space="preserve"> are due to the error </w:t>
      </w:r>
      <w:r w:rsidR="00ED0597">
        <w:rPr>
          <w:noProof/>
          <w:szCs w:val="24"/>
        </w:rPr>
        <w:lastRenderedPageBreak/>
        <w:t xml:space="preserve">gradient domination. </w:t>
      </w:r>
      <w:r w:rsidR="00827268">
        <w:rPr>
          <w:noProof/>
          <w:szCs w:val="24"/>
        </w:rPr>
        <w:t xml:space="preserve">Right after the first plateau, error gradient of </w:t>
      </w:r>
      <m:oMath>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oMath>
      <w:r w:rsidR="00827268">
        <w:rPr>
          <w:noProof/>
          <w:szCs w:val="24"/>
        </w:rPr>
        <w:t xml:space="preserve"> and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oMath>
      <w:r w:rsidR="00827268">
        <w:rPr>
          <w:noProof/>
          <w:szCs w:val="24"/>
        </w:rPr>
        <w:t xml:space="preserve"> becomes the prevailing force to minimize the error. In </w:t>
      </w:r>
      <w:r w:rsidR="007118DD">
        <w:rPr>
          <w:noProof/>
          <w:szCs w:val="24"/>
        </w:rPr>
        <w:t xml:space="preserve">the beginning of the </w:t>
      </w:r>
      <w:r w:rsidR="00827268">
        <w:rPr>
          <w:noProof/>
          <w:szCs w:val="24"/>
        </w:rPr>
        <w:t>second plateau,</w:t>
      </w:r>
      <w:r w:rsidR="007118DD">
        <w:rPr>
          <w:noProof/>
          <w:szCs w:val="24"/>
        </w:rPr>
        <w:t xml:space="preserve"> the recovery method already found</w:t>
      </w:r>
      <w:r w:rsidR="00827268">
        <w:rPr>
          <w:noProof/>
          <w:szCs w:val="24"/>
        </w:rPr>
        <w:t xml:space="preserve"> </w:t>
      </w:r>
      <w:r w:rsidR="007118DD">
        <w:rPr>
          <w:noProof/>
          <w:szCs w:val="24"/>
        </w:rPr>
        <w:t>the maximum moisture content of the synthetic data.</w:t>
      </w:r>
      <w:r w:rsidR="00827268" w:rsidRPr="00827268">
        <w:rPr>
          <w:noProof/>
          <w:szCs w:val="24"/>
        </w:rPr>
        <w:t xml:space="preserve"> </w:t>
      </w:r>
      <w:r w:rsidR="00827268">
        <w:rPr>
          <w:noProof/>
          <w:szCs w:val="24"/>
        </w:rPr>
        <w:t xml:space="preserve">The error gradient of </w:t>
      </w:r>
      <m:oMath>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oMath>
      <w:proofErr w:type="gramStart"/>
      <w:r w:rsidR="00827268">
        <w:rPr>
          <w:noProof/>
          <w:szCs w:val="24"/>
        </w:rPr>
        <w:t xml:space="preserve">, </w:t>
      </w:r>
      <m:oMath>
        <m:f>
          <m:fPr>
            <m:ctrlPr>
              <w:rPr>
                <w:rFonts w:ascii="Cambria Math" w:hAnsi="Cambria Math" w:cs="Times New Roman"/>
                <w:i/>
                <w:szCs w:val="24"/>
              </w:rPr>
            </m:ctrlPr>
          </m:fPr>
          <m:num>
            <m:r>
              <w:rPr>
                <w:rFonts w:ascii="Cambria Math" w:hAnsi="Cambria Math" w:cs="Times New Roman"/>
                <w:szCs w:val="24"/>
              </w:rPr>
              <m:t>∂E</m:t>
            </m:r>
          </m:num>
          <m:den>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m:t>
                </m:r>
              </m:sub>
            </m:sSub>
          </m:den>
        </m:f>
      </m:oMath>
      <w:r w:rsidR="00827268">
        <w:rPr>
          <w:noProof/>
          <w:szCs w:val="24"/>
        </w:rPr>
        <w:t>,</w:t>
      </w:r>
      <w:proofErr w:type="gramEnd"/>
      <w:r w:rsidR="00827268">
        <w:rPr>
          <w:noProof/>
          <w:szCs w:val="24"/>
        </w:rPr>
        <w:t xml:space="preserve"> is no longer contributing to the recovery method as much as before. After 800 iteration, error gradient of </w:t>
      </w:r>
      <m:oMath>
        <m:r>
          <w:rPr>
            <w:rFonts w:ascii="Cambria Math" w:hAnsi="Cambria Math"/>
            <w:noProof/>
            <w:szCs w:val="24"/>
          </w:rPr>
          <m:t>γ</m:t>
        </m:r>
      </m:oMath>
      <w:r w:rsidR="00827268">
        <w:rPr>
          <w:noProof/>
          <w:szCs w:val="24"/>
        </w:rPr>
        <w:t xml:space="preserve">, </w:t>
      </w:r>
      <m:oMath>
        <m:r>
          <w:rPr>
            <w:rFonts w:ascii="Cambria Math" w:hAnsi="Cambria Math"/>
            <w:noProof/>
            <w:szCs w:val="24"/>
          </w:rPr>
          <m:t>β,</m:t>
        </m:r>
      </m:oMath>
      <w:r w:rsidR="00827268">
        <w:rPr>
          <w:noProof/>
          <w:szCs w:val="24"/>
        </w:rPr>
        <w:t xml:space="preserve"> and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oMath>
      <w:r w:rsidR="00827268">
        <w:rPr>
          <w:noProof/>
          <w:szCs w:val="24"/>
        </w:rPr>
        <w:t xml:space="preserve"> </w:t>
      </w:r>
      <w:r w:rsidR="00AD2E2C">
        <w:rPr>
          <w:noProof/>
          <w:szCs w:val="24"/>
        </w:rPr>
        <w:t>drives</w:t>
      </w:r>
      <w:r w:rsidR="00827268">
        <w:rPr>
          <w:noProof/>
          <w:szCs w:val="24"/>
        </w:rPr>
        <w:t xml:space="preserve"> the recovery. It should be noted here that dominance of the error gradient of a constituent depend</w:t>
      </w:r>
      <w:r w:rsidR="007118DD">
        <w:rPr>
          <w:noProof/>
          <w:szCs w:val="24"/>
        </w:rPr>
        <w:t>s</w:t>
      </w:r>
      <w:r w:rsidR="00827268">
        <w:rPr>
          <w:noProof/>
          <w:szCs w:val="24"/>
        </w:rPr>
        <w:t xml:space="preserve"> on the initial guesses and chosen vector parameters.</w:t>
      </w:r>
    </w:p>
    <w:p w14:paraId="223A9D3A" w14:textId="52FCE9BA" w:rsidR="00C26B41" w:rsidRDefault="00C26B41" w:rsidP="00554848">
      <w:pPr>
        <w:pStyle w:val="NoSpacing"/>
      </w:pPr>
      <w:r>
        <w:rPr>
          <w:noProof/>
          <w:lang w:bidi="ar-SA"/>
        </w:rPr>
        <w:drawing>
          <wp:inline distT="0" distB="0" distL="0" distR="0" wp14:anchorId="1115C190" wp14:editId="289C6BA8">
            <wp:extent cx="5029348" cy="3657600"/>
            <wp:effectExtent l="0" t="0" r="0" b="0"/>
            <wp:docPr id="30" name="Picture 30" descr="C:\Users\Administrator\Desktop\proje\PhD Dissertation\Recovery Fictional\err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proje\PhD Dissertation\Recovery Fictional\error.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348" cy="3657600"/>
                    </a:xfrm>
                    <a:prstGeom prst="rect">
                      <a:avLst/>
                    </a:prstGeom>
                    <a:noFill/>
                    <a:ln>
                      <a:noFill/>
                    </a:ln>
                  </pic:spPr>
                </pic:pic>
              </a:graphicData>
            </a:graphic>
          </wp:inline>
        </w:drawing>
      </w:r>
    </w:p>
    <w:p w14:paraId="5738D050" w14:textId="5FA9183E" w:rsidR="00976B81" w:rsidRDefault="005B3DBB" w:rsidP="0069708C">
      <w:pPr>
        <w:pStyle w:val="Caption"/>
      </w:pPr>
      <w:bookmarkStart w:id="88" w:name="_Ref521416186"/>
      <w:bookmarkStart w:id="89" w:name="_Toc530997371"/>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15</w:t>
      </w:r>
      <w:r w:rsidR="0023508C">
        <w:rPr>
          <w:noProof/>
        </w:rPr>
        <w:fldChar w:fldCharType="end"/>
      </w:r>
      <w:bookmarkEnd w:id="88"/>
      <w:r w:rsidR="00D90218">
        <w:t>. Variation in the least square error per data point during absorption parameter recovery</w:t>
      </w:r>
      <w:bookmarkEnd w:id="89"/>
    </w:p>
    <w:p w14:paraId="2ABEF225" w14:textId="7D7DAB0F" w:rsidR="007D3A7E" w:rsidRDefault="007D3A7E" w:rsidP="00C26B41">
      <w:pPr>
        <w:pStyle w:val="ListParagraph"/>
        <w:ind w:left="1080" w:firstLine="0"/>
        <w:jc w:val="center"/>
      </w:pPr>
      <w:r>
        <w:br w:type="page"/>
      </w:r>
    </w:p>
    <w:p w14:paraId="31E20CDE" w14:textId="561E7194" w:rsidR="000C2D31" w:rsidRDefault="006D2C83" w:rsidP="00BB2C1B">
      <w:pPr>
        <w:pStyle w:val="Heading2"/>
      </w:pPr>
      <w:bookmarkStart w:id="90" w:name="_Toc531943753"/>
      <w:r>
        <w:lastRenderedPageBreak/>
        <w:t>2.7.</w:t>
      </w:r>
      <w:r w:rsidR="007021F2">
        <w:t xml:space="preserve"> </w:t>
      </w:r>
      <w:r w:rsidR="000C2D31" w:rsidRPr="005A3E52">
        <w:t>Multilayer Hindered Diffusion Model</w:t>
      </w:r>
      <w:bookmarkEnd w:id="90"/>
    </w:p>
    <w:p w14:paraId="481474A5" w14:textId="52251E6B" w:rsidR="000C2D31" w:rsidRPr="005A3E52" w:rsidRDefault="000C2D31" w:rsidP="000C2D31">
      <w:pPr>
        <w:rPr>
          <w:rFonts w:cs="Times New Roman"/>
          <w:szCs w:val="24"/>
        </w:rPr>
      </w:pPr>
      <w:r>
        <w:rPr>
          <w:rFonts w:cs="Times New Roman"/>
          <w:szCs w:val="24"/>
        </w:rPr>
        <w:t xml:space="preserve">To improve quality and service life, many engineering polymers are subjected to various protective coatings and processes prior to use. Although three-dimensional hindered diffusion model can account for </w:t>
      </w:r>
      <w:r w:rsidRPr="005A3E52">
        <w:rPr>
          <w:rFonts w:cs="Times New Roman"/>
          <w:szCs w:val="24"/>
        </w:rPr>
        <w:t>material anisotropy,</w:t>
      </w:r>
      <w:r>
        <w:rPr>
          <w:rFonts w:cs="Times New Roman"/>
          <w:szCs w:val="24"/>
        </w:rPr>
        <w:t xml:space="preserve"> edge effects</w:t>
      </w:r>
      <w:r w:rsidR="00AD2E2C">
        <w:rPr>
          <w:rFonts w:cs="Times New Roman"/>
          <w:szCs w:val="24"/>
        </w:rPr>
        <w:t>,</w:t>
      </w:r>
      <w:r>
        <w:rPr>
          <w:rFonts w:cs="Times New Roman"/>
          <w:szCs w:val="24"/>
        </w:rPr>
        <w:t xml:space="preserve"> and</w:t>
      </w:r>
      <w:r w:rsidRPr="005A3E52">
        <w:rPr>
          <w:rFonts w:cs="Times New Roman"/>
          <w:szCs w:val="24"/>
        </w:rPr>
        <w:t xml:space="preserve"> </w:t>
      </w:r>
      <w:r>
        <w:rPr>
          <w:rFonts w:cs="Times New Roman"/>
          <w:szCs w:val="24"/>
        </w:rPr>
        <w:t xml:space="preserve">non-Fickian behavior, it cannot predict the multilayer effects on absorption behavior. Thus, </w:t>
      </w:r>
      <w:r w:rsidR="00AD2E2C">
        <w:rPr>
          <w:rFonts w:cs="Times New Roman"/>
          <w:szCs w:val="24"/>
        </w:rPr>
        <w:t>3D HDM</w:t>
      </w:r>
      <w:r>
        <w:rPr>
          <w:rFonts w:cs="Times New Roman"/>
          <w:szCs w:val="24"/>
        </w:rPr>
        <w:t xml:space="preserve"> is modified to consider a continuous absorption with the discrete changes in material properties. </w:t>
      </w:r>
      <w:r w:rsidRPr="005A3E52">
        <w:rPr>
          <w:rFonts w:cs="Times New Roman"/>
          <w:szCs w:val="24"/>
        </w:rPr>
        <w:t>This modification yields the following governing equations for multilayer, three-dimensional</w:t>
      </w:r>
      <w:r w:rsidR="00977EA2">
        <w:rPr>
          <w:rFonts w:cs="Times New Roman"/>
          <w:szCs w:val="24"/>
        </w:rPr>
        <w:t>,</w:t>
      </w:r>
      <w:r w:rsidRPr="005A3E52">
        <w:rPr>
          <w:rFonts w:cs="Times New Roman"/>
          <w:szCs w:val="24"/>
        </w:rPr>
        <w:t xml:space="preserve"> and anisotropic hindered diffusion model: </w:t>
      </w:r>
    </w:p>
    <w:p w14:paraId="53CBA92B" w14:textId="77777777" w:rsidR="000C2D31" w:rsidRPr="005A3E52" w:rsidRDefault="000C2D31" w:rsidP="000C2D31">
      <w:pPr>
        <w:rPr>
          <w:rFonts w:cs="Times New Roman"/>
          <w:szCs w:val="24"/>
        </w:rPr>
      </w:pPr>
    </w:p>
    <w:tbl>
      <w:tblPr>
        <w:tblW w:w="8550" w:type="dxa"/>
        <w:tblLook w:val="04A0" w:firstRow="1" w:lastRow="0" w:firstColumn="1" w:lastColumn="0" w:noHBand="0" w:noVBand="1"/>
      </w:tblPr>
      <w:tblGrid>
        <w:gridCol w:w="7202"/>
        <w:gridCol w:w="1348"/>
      </w:tblGrid>
      <w:tr w:rsidR="000C2D31" w:rsidRPr="005A3E52" w14:paraId="7772FAF7" w14:textId="77777777" w:rsidTr="007D7AB8">
        <w:trPr>
          <w:trHeight w:val="526"/>
        </w:trPr>
        <w:tc>
          <w:tcPr>
            <w:tcW w:w="7202" w:type="dxa"/>
            <w:vAlign w:val="center"/>
          </w:tcPr>
          <w:p w14:paraId="4725BE8C" w14:textId="77777777" w:rsidR="000C2D31" w:rsidRPr="005A3E52" w:rsidRDefault="007B3686" w:rsidP="000C2D31">
            <w:pPr>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y</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z</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∂t</m:t>
                    </m:r>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∂t</m:t>
                    </m:r>
                  </m:den>
                </m:f>
              </m:oMath>
            </m:oMathPara>
          </w:p>
        </w:tc>
        <w:tc>
          <w:tcPr>
            <w:tcW w:w="1348" w:type="dxa"/>
            <w:vAlign w:val="center"/>
          </w:tcPr>
          <w:p w14:paraId="0E0BD83B" w14:textId="77777777" w:rsidR="000C2D31" w:rsidRPr="005A3E52" w:rsidRDefault="000C2D31" w:rsidP="007D7AB8">
            <w:pPr>
              <w:jc w:val="right"/>
              <w:rPr>
                <w:rFonts w:cs="Times New Roman"/>
                <w:szCs w:val="24"/>
              </w:rPr>
            </w:pPr>
            <w:r>
              <w:rPr>
                <w:rFonts w:cs="Times New Roman"/>
                <w:szCs w:val="24"/>
              </w:rPr>
              <w:t>(42</w:t>
            </w:r>
            <w:r w:rsidRPr="005A3E52">
              <w:rPr>
                <w:rFonts w:cs="Times New Roman"/>
                <w:szCs w:val="24"/>
              </w:rPr>
              <w:t>a)</w:t>
            </w:r>
          </w:p>
        </w:tc>
      </w:tr>
      <w:tr w:rsidR="000C2D31" w:rsidRPr="005A3E52" w14:paraId="7A241CA8" w14:textId="77777777" w:rsidTr="007D7AB8">
        <w:trPr>
          <w:trHeight w:val="643"/>
        </w:trPr>
        <w:tc>
          <w:tcPr>
            <w:tcW w:w="7202" w:type="dxa"/>
            <w:vAlign w:val="center"/>
          </w:tcPr>
          <w:p w14:paraId="1112C407" w14:textId="77777777" w:rsidR="000C2D31" w:rsidRPr="005A3E52" w:rsidRDefault="007B3686" w:rsidP="000C2D31">
            <w:pPr>
              <w:rPr>
                <w:rFonts w:cs="Times New Roman"/>
                <w:szCs w:val="24"/>
              </w:rPr>
            </w:pPr>
            <m:oMathPara>
              <m:oMath>
                <m:f>
                  <m:fPr>
                    <m:ctrlPr>
                      <w:rPr>
                        <w:rFonts w:ascii="Cambria Math" w:hAnsi="Cambria Math" w:cs="Times New Roman"/>
                        <w:szCs w:val="24"/>
                      </w:rPr>
                    </m:ctrlPr>
                  </m:fPr>
                  <m:num>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∂t</m:t>
                    </m:r>
                  </m:den>
                </m:f>
                <m:r>
                  <m:rPr>
                    <m:sty m:val="p"/>
                  </m:rPr>
                  <w:rPr>
                    <w:rFonts w:ascii="Cambria Math" w:hAnsi="Cambria Math" w:cs="Times New Roman"/>
                    <w:szCs w:val="24"/>
                  </w:rPr>
                  <m:t>=</m:t>
                </m:r>
                <m:r>
                  <w:rPr>
                    <w:rFonts w:ascii="Cambria Math" w:hAnsi="Cambria Math" w:cs="Times New Roman"/>
                    <w:szCs w:val="24"/>
                  </w:rPr>
                  <m:t>γ</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r>
                  <m:rPr>
                    <m:sty m:val="p"/>
                  </m:rPr>
                  <w:rPr>
                    <w:rFonts w:ascii="Cambria Math" w:hAnsi="Cambria Math" w:cs="Times New Roman"/>
                    <w:szCs w:val="24"/>
                  </w:rPr>
                  <m:t>-</m:t>
                </m:r>
                <m:r>
                  <w:rPr>
                    <w:rFonts w:ascii="Cambria Math" w:hAnsi="Cambria Math" w:cs="Times New Roman"/>
                    <w:szCs w:val="24"/>
                  </w:rPr>
                  <m:t>β</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oMath>
            </m:oMathPara>
          </w:p>
        </w:tc>
        <w:tc>
          <w:tcPr>
            <w:tcW w:w="1348" w:type="dxa"/>
            <w:vAlign w:val="center"/>
          </w:tcPr>
          <w:p w14:paraId="17F70268" w14:textId="77777777" w:rsidR="000C2D31" w:rsidRPr="005A3E52" w:rsidRDefault="000C2D31" w:rsidP="007D7AB8">
            <w:pPr>
              <w:jc w:val="right"/>
              <w:rPr>
                <w:rFonts w:cs="Times New Roman"/>
                <w:szCs w:val="24"/>
              </w:rPr>
            </w:pPr>
            <w:r>
              <w:rPr>
                <w:rFonts w:cs="Times New Roman"/>
                <w:szCs w:val="24"/>
              </w:rPr>
              <w:t>(42</w:t>
            </w:r>
            <w:r w:rsidRPr="005A3E52">
              <w:rPr>
                <w:rFonts w:cs="Times New Roman"/>
                <w:szCs w:val="24"/>
              </w:rPr>
              <w:t>b)</w:t>
            </w:r>
          </w:p>
        </w:tc>
      </w:tr>
    </w:tbl>
    <w:p w14:paraId="566C40CE" w14:textId="42F19D0F" w:rsidR="000C2D31" w:rsidRDefault="000C2D31" w:rsidP="000C2D31">
      <w:pPr>
        <w:rPr>
          <w:rFonts w:cs="Times New Roman"/>
          <w:szCs w:val="24"/>
        </w:rPr>
      </w:pPr>
      <w:r w:rsidRPr="005A3E52">
        <w:rPr>
          <w:rFonts w:cs="Times New Roman"/>
          <w:szCs w:val="24"/>
        </w:rPr>
        <w:t>The analytical solution of the differe</w:t>
      </w:r>
      <w:r>
        <w:rPr>
          <w:rFonts w:cs="Times New Roman"/>
          <w:szCs w:val="24"/>
        </w:rPr>
        <w:t xml:space="preserve">ntial equations shown in Eqs. </w:t>
      </w:r>
      <w:r w:rsidR="009B05F7">
        <w:rPr>
          <w:rFonts w:cs="Times New Roman"/>
          <w:szCs w:val="24"/>
        </w:rPr>
        <w:t>(</w:t>
      </w:r>
      <w:r>
        <w:rPr>
          <w:rFonts w:cs="Times New Roman"/>
          <w:szCs w:val="24"/>
        </w:rPr>
        <w:t>42a-b</w:t>
      </w:r>
      <w:r w:rsidR="009B05F7">
        <w:rPr>
          <w:rFonts w:cs="Times New Roman"/>
          <w:szCs w:val="24"/>
        </w:rPr>
        <w:t>)</w:t>
      </w:r>
      <w:r w:rsidRPr="005A3E52">
        <w:rPr>
          <w:rFonts w:cs="Times New Roman"/>
          <w:szCs w:val="24"/>
        </w:rPr>
        <w:t xml:space="preserve"> yields the concentration of the bound</w:t>
      </w:r>
      <w:proofErr w:type="gramStart"/>
      <w:r w:rsidRPr="005A3E52">
        <w:rPr>
          <w:rFonts w:cs="Times New Roman"/>
          <w:szCs w:val="24"/>
        </w:rPr>
        <w:t xml:space="preserve">, </w:t>
      </w:r>
      <w:proofErr w:type="gramEnd"/>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oMath>
      <w:r w:rsidRPr="005A3E52">
        <w:rPr>
          <w:rFonts w:cs="Times New Roman"/>
          <w:szCs w:val="24"/>
        </w:rPr>
        <w:t xml:space="preserve">, and unbound,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i</m:t>
            </m:r>
          </m:sub>
        </m:sSub>
      </m:oMath>
      <w:r w:rsidRPr="005A3E52">
        <w:rPr>
          <w:rFonts w:cs="Times New Roman"/>
          <w:szCs w:val="24"/>
        </w:rPr>
        <w:t xml:space="preserve">, moisture molecules as a function of time and space, where the subscript, </w:t>
      </w:r>
      <m:oMath>
        <m:r>
          <w:rPr>
            <w:rFonts w:ascii="Cambria Math" w:hAnsi="Cambria Math" w:cs="Times New Roman"/>
            <w:szCs w:val="24"/>
          </w:rPr>
          <m:t>i</m:t>
        </m:r>
      </m:oMath>
      <w:r w:rsidRPr="005A3E52">
        <w:rPr>
          <w:rFonts w:cs="Times New Roman"/>
          <w:szCs w:val="24"/>
        </w:rPr>
        <w:t xml:space="preserve">, represents the number of layers. </w:t>
      </w:r>
    </w:p>
    <w:p w14:paraId="11FF0EB5" w14:textId="07224810" w:rsidR="000C2D31" w:rsidRPr="005A3E52" w:rsidRDefault="000C2D31" w:rsidP="000C2D31">
      <w:pPr>
        <w:rPr>
          <w:rFonts w:cs="Times New Roman"/>
          <w:szCs w:val="24"/>
        </w:rPr>
      </w:pPr>
      <w:r>
        <w:rPr>
          <w:rFonts w:cs="Times New Roman"/>
          <w:szCs w:val="24"/>
        </w:rPr>
        <w:t xml:space="preserve">An analytical solution of multilayer hindered diffusion model can be derived for any number of layers. However, the analytical solution of </w:t>
      </w:r>
      <w:r w:rsidR="00976B81">
        <w:rPr>
          <w:rFonts w:cs="Times New Roman"/>
          <w:szCs w:val="24"/>
        </w:rPr>
        <w:t>only two separate cases (</w:t>
      </w:r>
      <w:r w:rsidR="00023822">
        <w:rPr>
          <w:rFonts w:cs="Times New Roman"/>
          <w:szCs w:val="24"/>
        </w:rPr>
        <w:fldChar w:fldCharType="begin"/>
      </w:r>
      <w:r w:rsidR="00023822">
        <w:rPr>
          <w:rFonts w:cs="Times New Roman"/>
          <w:szCs w:val="24"/>
        </w:rPr>
        <w:instrText xml:space="preserve"> REF _Ref521416194 \h </w:instrText>
      </w:r>
      <w:r w:rsidR="00023822">
        <w:rPr>
          <w:rFonts w:cs="Times New Roman"/>
          <w:szCs w:val="24"/>
        </w:rPr>
      </w:r>
      <w:r w:rsidR="00023822">
        <w:rPr>
          <w:rFonts w:cs="Times New Roman"/>
          <w:szCs w:val="24"/>
        </w:rPr>
        <w:fldChar w:fldCharType="separate"/>
      </w:r>
      <w:r w:rsidR="006D52C2">
        <w:t xml:space="preserve">Figure </w:t>
      </w:r>
      <w:r w:rsidR="006D52C2">
        <w:rPr>
          <w:noProof/>
        </w:rPr>
        <w:t>16</w:t>
      </w:r>
      <w:r w:rsidR="00023822">
        <w:rPr>
          <w:rFonts w:cs="Times New Roman"/>
          <w:szCs w:val="24"/>
        </w:rPr>
        <w:fldChar w:fldCharType="end"/>
      </w:r>
      <w:r>
        <w:rPr>
          <w:rFonts w:cs="Times New Roman"/>
          <w:szCs w:val="24"/>
        </w:rPr>
        <w:t xml:space="preserve">a-b), will be derived. In first case, the substrate is coated </w:t>
      </w:r>
      <w:r w:rsidR="007352FD">
        <w:rPr>
          <w:rFonts w:cs="Times New Roman"/>
          <w:szCs w:val="24"/>
        </w:rPr>
        <w:t>by a single layer of thickness</w:t>
      </w:r>
      <w:proofErr w:type="gramStart"/>
      <w:r w:rsidR="007352FD">
        <w:rPr>
          <w:rFonts w:cs="Times New Roman"/>
          <w:szCs w:val="24"/>
        </w:rPr>
        <w:t xml:space="preserve">, </w:t>
      </w:r>
      <w:proofErr w:type="gramEnd"/>
      <m:oMath>
        <m:r>
          <w:rPr>
            <w:rFonts w:ascii="Cambria Math" w:hAnsi="Cambria Math"/>
          </w:rPr>
          <m:t>a</m:t>
        </m:r>
      </m:oMath>
      <w:r w:rsidR="007352FD">
        <w:rPr>
          <w:rFonts w:cs="Times New Roman"/>
        </w:rPr>
        <w:t>, on one surface (</w:t>
      </w:r>
      <w:r w:rsidR="00023822">
        <w:rPr>
          <w:rFonts w:cs="Times New Roman"/>
          <w:szCs w:val="24"/>
        </w:rPr>
        <w:fldChar w:fldCharType="begin"/>
      </w:r>
      <w:r w:rsidR="00023822">
        <w:rPr>
          <w:rFonts w:cs="Times New Roman"/>
          <w:szCs w:val="24"/>
        </w:rPr>
        <w:instrText xml:space="preserve"> REF _Ref521416194 \h </w:instrText>
      </w:r>
      <w:r w:rsidR="00023822">
        <w:rPr>
          <w:rFonts w:cs="Times New Roman"/>
          <w:szCs w:val="24"/>
        </w:rPr>
      </w:r>
      <w:r w:rsidR="00023822">
        <w:rPr>
          <w:rFonts w:cs="Times New Roman"/>
          <w:szCs w:val="24"/>
        </w:rPr>
        <w:fldChar w:fldCharType="separate"/>
      </w:r>
      <w:r w:rsidR="006D52C2">
        <w:t xml:space="preserve">Figure </w:t>
      </w:r>
      <w:r w:rsidR="006D52C2">
        <w:rPr>
          <w:noProof/>
        </w:rPr>
        <w:t>16</w:t>
      </w:r>
      <w:r w:rsidR="00023822">
        <w:rPr>
          <w:rFonts w:cs="Times New Roman"/>
          <w:szCs w:val="24"/>
        </w:rPr>
        <w:fldChar w:fldCharType="end"/>
      </w:r>
      <w:r w:rsidR="00023822">
        <w:rPr>
          <w:rFonts w:cs="Times New Roman"/>
          <w:szCs w:val="24"/>
        </w:rPr>
        <w:t>a</w:t>
      </w:r>
      <w:r w:rsidR="007352FD">
        <w:rPr>
          <w:rFonts w:cs="Times New Roman"/>
        </w:rPr>
        <w:t xml:space="preserve">). In the second case, </w:t>
      </w:r>
      <w:r w:rsidR="007352FD">
        <w:rPr>
          <w:rFonts w:cs="Times New Roman"/>
          <w:szCs w:val="24"/>
        </w:rPr>
        <w:t xml:space="preserve">the substrate is coated by a single </w:t>
      </w:r>
      <w:r>
        <w:rPr>
          <w:rFonts w:cs="Times New Roman"/>
          <w:szCs w:val="24"/>
        </w:rPr>
        <w:t>layer of thickness</w:t>
      </w:r>
      <w:proofErr w:type="gramStart"/>
      <w:r>
        <w:rPr>
          <w:rFonts w:cs="Times New Roman"/>
          <w:szCs w:val="24"/>
        </w:rPr>
        <w:t xml:space="preserve">, </w:t>
      </w:r>
      <w:proofErr w:type="gramEnd"/>
      <m:oMath>
        <m:r>
          <w:rPr>
            <w:rFonts w:ascii="Cambria Math" w:hAnsi="Cambria Math"/>
          </w:rPr>
          <m:t>a</m:t>
        </m:r>
      </m:oMath>
      <w:r w:rsidR="00976B81">
        <w:rPr>
          <w:rFonts w:cs="Times New Roman"/>
        </w:rPr>
        <w:t>, on both sides (</w:t>
      </w:r>
      <w:r w:rsidR="00023822">
        <w:rPr>
          <w:rFonts w:cs="Times New Roman"/>
          <w:szCs w:val="24"/>
        </w:rPr>
        <w:fldChar w:fldCharType="begin"/>
      </w:r>
      <w:r w:rsidR="00023822">
        <w:rPr>
          <w:rFonts w:cs="Times New Roman"/>
          <w:szCs w:val="24"/>
        </w:rPr>
        <w:instrText xml:space="preserve"> REF _Ref521416194 \h </w:instrText>
      </w:r>
      <w:r w:rsidR="00023822">
        <w:rPr>
          <w:rFonts w:cs="Times New Roman"/>
          <w:szCs w:val="24"/>
        </w:rPr>
      </w:r>
      <w:r w:rsidR="00023822">
        <w:rPr>
          <w:rFonts w:cs="Times New Roman"/>
          <w:szCs w:val="24"/>
        </w:rPr>
        <w:fldChar w:fldCharType="separate"/>
      </w:r>
      <w:r w:rsidR="006D52C2">
        <w:t xml:space="preserve">Figure </w:t>
      </w:r>
      <w:r w:rsidR="006D52C2">
        <w:rPr>
          <w:noProof/>
        </w:rPr>
        <w:t>16</w:t>
      </w:r>
      <w:r w:rsidR="00023822">
        <w:rPr>
          <w:rFonts w:cs="Times New Roman"/>
          <w:szCs w:val="24"/>
        </w:rPr>
        <w:fldChar w:fldCharType="end"/>
      </w:r>
      <w:r w:rsidR="00023822">
        <w:rPr>
          <w:rFonts w:cs="Times New Roman"/>
          <w:szCs w:val="24"/>
        </w:rPr>
        <w:t>b</w:t>
      </w:r>
      <w:r>
        <w:rPr>
          <w:rFonts w:cs="Times New Roman"/>
        </w:rPr>
        <w:t>).</w:t>
      </w:r>
      <w:r>
        <w:rPr>
          <w:rFonts w:cs="Times New Roman"/>
          <w:szCs w:val="24"/>
        </w:rPr>
        <w:t xml:space="preserve"> </w:t>
      </w:r>
      <w:r w:rsidRPr="005A3E52">
        <w:rPr>
          <w:rFonts w:cs="Times New Roman"/>
          <w:szCs w:val="24"/>
        </w:rPr>
        <w:t>The coupled system of partial differential equations given in</w:t>
      </w:r>
      <w:r>
        <w:rPr>
          <w:rFonts w:cs="Times New Roman"/>
          <w:szCs w:val="24"/>
        </w:rPr>
        <w:t xml:space="preserve"> Eqs. </w:t>
      </w:r>
      <w:r w:rsidR="009B05F7">
        <w:rPr>
          <w:rFonts w:cs="Times New Roman"/>
          <w:szCs w:val="24"/>
        </w:rPr>
        <w:t>(</w:t>
      </w:r>
      <w:r>
        <w:rPr>
          <w:rFonts w:cs="Times New Roman"/>
          <w:szCs w:val="24"/>
        </w:rPr>
        <w:t>42a-b</w:t>
      </w:r>
      <w:r w:rsidR="009B05F7">
        <w:rPr>
          <w:rFonts w:cs="Times New Roman"/>
          <w:szCs w:val="24"/>
        </w:rPr>
        <w:t>)</w:t>
      </w:r>
      <w:r w:rsidRPr="005A3E52">
        <w:rPr>
          <w:rFonts w:cs="Times New Roman"/>
          <w:szCs w:val="24"/>
        </w:rPr>
        <w:t xml:space="preserve"> are solved analytically by apply</w:t>
      </w:r>
      <w:r>
        <w:rPr>
          <w:rFonts w:cs="Times New Roman"/>
          <w:szCs w:val="24"/>
        </w:rPr>
        <w:t>ing the initial and boundary conditions</w:t>
      </w:r>
      <w:r w:rsidRPr="005A3E52">
        <w:rPr>
          <w:rFonts w:cs="Times New Roman"/>
          <w:szCs w:val="24"/>
        </w:rPr>
        <w:t xml:space="preserve"> </w:t>
      </w:r>
      <w:r>
        <w:rPr>
          <w:rFonts w:cs="Times New Roman"/>
          <w:szCs w:val="24"/>
        </w:rPr>
        <w:t xml:space="preserve">given in Eqs. </w:t>
      </w:r>
      <w:r w:rsidR="009B05F7">
        <w:rPr>
          <w:rFonts w:cs="Times New Roman"/>
          <w:szCs w:val="24"/>
        </w:rPr>
        <w:t>(</w:t>
      </w:r>
      <w:r>
        <w:rPr>
          <w:rFonts w:cs="Times New Roman"/>
          <w:szCs w:val="24"/>
        </w:rPr>
        <w:t>43a-d</w:t>
      </w:r>
      <w:r w:rsidR="009B05F7">
        <w:rPr>
          <w:rFonts w:cs="Times New Roman"/>
          <w:szCs w:val="24"/>
        </w:rPr>
        <w:t>)</w:t>
      </w:r>
      <w:r w:rsidRPr="005A3E52">
        <w:rPr>
          <w:rFonts w:cs="Times New Roman"/>
          <w:szCs w:val="24"/>
        </w:rPr>
        <w:t>.</w:t>
      </w:r>
    </w:p>
    <w:p w14:paraId="00E3F080" w14:textId="77777777" w:rsidR="000C2D31" w:rsidRDefault="000C2D31" w:rsidP="00554848">
      <w:pPr>
        <w:keepNext/>
        <w:spacing w:line="240" w:lineRule="auto"/>
        <w:ind w:firstLine="0"/>
        <w:jc w:val="center"/>
      </w:pPr>
      <w:r>
        <w:rPr>
          <w:rFonts w:cs="Times New Roman"/>
          <w:noProof/>
          <w:szCs w:val="24"/>
        </w:rPr>
        <w:lastRenderedPageBreak/>
        <w:drawing>
          <wp:inline distT="0" distB="0" distL="0" distR="0" wp14:anchorId="7991912D" wp14:editId="607B737E">
            <wp:extent cx="2351405" cy="1235075"/>
            <wp:effectExtent l="0" t="0" r="0" b="3175"/>
            <wp:docPr id="60" name="Picture 60" descr="C:\Users\GBGio\Desktop\proje\Thesis\Thesis Figure\new saves\multi g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3" descr="C:\Users\GBGio\Desktop\proje\Thesis\Thesis Figure\new saves\multi geo.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51405" cy="1235075"/>
                    </a:xfrm>
                    <a:prstGeom prst="rect">
                      <a:avLst/>
                    </a:prstGeom>
                    <a:noFill/>
                    <a:ln>
                      <a:noFill/>
                    </a:ln>
                  </pic:spPr>
                </pic:pic>
              </a:graphicData>
            </a:graphic>
          </wp:inline>
        </w:drawing>
      </w:r>
      <w:r>
        <w:rPr>
          <w:noProof/>
        </w:rPr>
        <w:drawing>
          <wp:inline distT="0" distB="0" distL="0" distR="0" wp14:anchorId="7B0A8442" wp14:editId="5D80CFDC">
            <wp:extent cx="2524125" cy="16764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4125" cy="1676400"/>
                    </a:xfrm>
                    <a:prstGeom prst="rect">
                      <a:avLst/>
                    </a:prstGeom>
                    <a:noFill/>
                    <a:ln>
                      <a:noFill/>
                    </a:ln>
                  </pic:spPr>
                </pic:pic>
              </a:graphicData>
            </a:graphic>
          </wp:inline>
        </w:drawing>
      </w:r>
    </w:p>
    <w:p w14:paraId="438E2190" w14:textId="0F01E15E" w:rsidR="000C2D31" w:rsidRPr="005F669A" w:rsidRDefault="000C2D31" w:rsidP="000C2D31">
      <w:pPr>
        <w:keepNext/>
        <w:ind w:firstLine="720"/>
        <w:jc w:val="center"/>
        <w:rPr>
          <w:b/>
        </w:rPr>
      </w:pPr>
      <w:r>
        <w:rPr>
          <w:b/>
        </w:rPr>
        <w:t>(</w:t>
      </w:r>
      <w:r w:rsidRPr="005F669A">
        <w:rPr>
          <w:b/>
        </w:rPr>
        <w:t>a)</w:t>
      </w:r>
      <w:r w:rsidRPr="005F669A">
        <w:rPr>
          <w:b/>
        </w:rPr>
        <w:tab/>
      </w:r>
      <w:r w:rsidRPr="005F669A">
        <w:rPr>
          <w:b/>
        </w:rPr>
        <w:tab/>
      </w:r>
      <w:r w:rsidRPr="005F669A">
        <w:rPr>
          <w:b/>
        </w:rPr>
        <w:tab/>
      </w:r>
      <w:r w:rsidRPr="005F669A">
        <w:rPr>
          <w:b/>
        </w:rPr>
        <w:tab/>
      </w:r>
      <w:r w:rsidRPr="005F669A">
        <w:rPr>
          <w:b/>
        </w:rPr>
        <w:tab/>
      </w:r>
      <w:r>
        <w:rPr>
          <w:b/>
        </w:rPr>
        <w:t>(</w:t>
      </w:r>
      <w:proofErr w:type="gramStart"/>
      <w:r w:rsidRPr="005F669A">
        <w:rPr>
          <w:b/>
        </w:rPr>
        <w:t>b</w:t>
      </w:r>
      <w:proofErr w:type="gramEnd"/>
      <w:r w:rsidRPr="005F669A">
        <w:rPr>
          <w:b/>
        </w:rPr>
        <w:t>)</w:t>
      </w:r>
    </w:p>
    <w:p w14:paraId="286250E3" w14:textId="124B4876" w:rsidR="000C2D31" w:rsidRDefault="005B3DBB" w:rsidP="00BB2C1B">
      <w:pPr>
        <w:pStyle w:val="Caption"/>
      </w:pPr>
      <w:bookmarkStart w:id="91" w:name="_Ref521416194"/>
      <w:bookmarkStart w:id="92" w:name="_Toc405036791"/>
      <w:bookmarkStart w:id="93" w:name="_Toc530997372"/>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16</w:t>
      </w:r>
      <w:r w:rsidR="0023508C">
        <w:rPr>
          <w:noProof/>
        </w:rPr>
        <w:fldChar w:fldCharType="end"/>
      </w:r>
      <w:bookmarkEnd w:id="91"/>
      <w:r w:rsidR="000C2D31">
        <w:rPr>
          <w:noProof/>
        </w:rPr>
        <w:t>.</w:t>
      </w:r>
      <w:r w:rsidR="000C2D31" w:rsidRPr="00ED670C">
        <w:t xml:space="preserve"> </w:t>
      </w:r>
      <w:r w:rsidR="000C2D31" w:rsidRPr="005A3E52">
        <w:t>The representation of the model geometry</w:t>
      </w:r>
      <w:r w:rsidR="000C2D31">
        <w:t xml:space="preserve"> (a)</w:t>
      </w:r>
      <w:r w:rsidR="000C2D31" w:rsidRPr="005A3E52">
        <w:t xml:space="preserve"> for a sin</w:t>
      </w:r>
      <w:r w:rsidR="000C2D31">
        <w:t xml:space="preserve">gle coating layer of </w:t>
      </w:r>
      <w:proofErr w:type="gramStart"/>
      <w:r w:rsidR="000C2D31">
        <w:t xml:space="preserve">thickness </w:t>
      </w:r>
      <w:proofErr w:type="gramEnd"/>
      <m:oMath>
        <m:r>
          <m:rPr>
            <m:sty m:val="bi"/>
          </m:rPr>
          <w:rPr>
            <w:rFonts w:ascii="Cambria Math" w:hAnsi="Cambria Math"/>
          </w:rPr>
          <m:t>a</m:t>
        </m:r>
      </m:oMath>
      <w:r w:rsidR="000C2D31" w:rsidRPr="005A3E52">
        <w:t xml:space="preserve">. The total sample thickness </w:t>
      </w:r>
      <w:proofErr w:type="gramStart"/>
      <w:r w:rsidR="000C2D31" w:rsidRPr="005A3E52">
        <w:t xml:space="preserve">is </w:t>
      </w:r>
      <w:proofErr w:type="gramEnd"/>
      <m:oMath>
        <m:r>
          <m:rPr>
            <m:sty m:val="bi"/>
          </m:rPr>
          <w:rPr>
            <w:rFonts w:ascii="Cambria Math" w:hAnsi="Cambria Math"/>
          </w:rPr>
          <m:t>b</m:t>
        </m:r>
      </m:oMath>
      <w:r w:rsidR="000C2D31" w:rsidRPr="005A3E52">
        <w:t>.</w:t>
      </w:r>
      <w:r w:rsidR="000C2D31">
        <w:t xml:space="preserve"> (b)</w:t>
      </w:r>
      <w:r w:rsidR="000C2D31" w:rsidRPr="00C93F5C">
        <w:t xml:space="preserve"> </w:t>
      </w:r>
      <w:proofErr w:type="gramStart"/>
      <w:r w:rsidR="000C2D31" w:rsidRPr="005A3E52">
        <w:t>for</w:t>
      </w:r>
      <w:proofErr w:type="gramEnd"/>
      <w:r w:rsidR="000C2D31" w:rsidRPr="005A3E52">
        <w:t xml:space="preserve"> a </w:t>
      </w:r>
      <w:r w:rsidR="000C2D31">
        <w:t xml:space="preserve">symmetric </w:t>
      </w:r>
      <w:r w:rsidR="000C2D31" w:rsidRPr="005A3E52">
        <w:t xml:space="preserve">coating layer of thickness a. The total sample thickness </w:t>
      </w:r>
      <w:proofErr w:type="gramStart"/>
      <w:r w:rsidR="000C2D31" w:rsidRPr="005A3E52">
        <w:t xml:space="preserve">is </w:t>
      </w:r>
      <w:proofErr w:type="gramEnd"/>
      <m:oMath>
        <m:r>
          <m:rPr>
            <m:sty m:val="bi"/>
          </m:rPr>
          <w:rPr>
            <w:rFonts w:ascii="Cambria Math" w:hAnsi="Cambria Math"/>
          </w:rPr>
          <m:t>2</m:t>
        </m:r>
        <m:r>
          <m:rPr>
            <m:sty m:val="bi"/>
          </m:rPr>
          <w:rPr>
            <w:rFonts w:ascii="Cambria Math" w:hAnsi="Cambria Math"/>
          </w:rPr>
          <m:t>b</m:t>
        </m:r>
      </m:oMath>
      <w:r w:rsidR="000C2D31" w:rsidRPr="005A3E52">
        <w:t>.</w:t>
      </w:r>
      <w:bookmarkEnd w:id="92"/>
      <w:bookmarkEnd w:id="93"/>
    </w:p>
    <w:p w14:paraId="18955B79" w14:textId="77777777" w:rsidR="00BB2C1B" w:rsidRPr="00BB2C1B" w:rsidRDefault="00BB2C1B" w:rsidP="00BB2C1B"/>
    <w:p w14:paraId="5EC5DBDF" w14:textId="77777777" w:rsidR="000C2D31" w:rsidRDefault="000C2D31" w:rsidP="00B63058">
      <w:pPr>
        <w:pStyle w:val="Heading3"/>
        <w:numPr>
          <w:ilvl w:val="0"/>
          <w:numId w:val="25"/>
        </w:numPr>
      </w:pPr>
      <w:bookmarkStart w:id="94" w:name="_Toc403980452"/>
      <w:bookmarkStart w:id="95" w:name="_Toc531943754"/>
      <w:r w:rsidRPr="005A3E52">
        <w:t>Initial and Boundary Conditions</w:t>
      </w:r>
      <w:bookmarkEnd w:id="94"/>
      <w:bookmarkEnd w:id="95"/>
    </w:p>
    <w:p w14:paraId="6790D7D2" w14:textId="77777777" w:rsidR="000C2D31" w:rsidRPr="005A3E52" w:rsidRDefault="000C2D31" w:rsidP="000C2D31">
      <w:pPr>
        <w:rPr>
          <w:rFonts w:cs="Times New Roman"/>
          <w:szCs w:val="24"/>
        </w:rPr>
      </w:pPr>
      <w:r w:rsidRPr="005A3E52">
        <w:rPr>
          <w:rFonts w:cs="Times New Roman"/>
          <w:szCs w:val="24"/>
        </w:rPr>
        <w:t>Initially, at time</w:t>
      </w:r>
      <w:proofErr w:type="gramStart"/>
      <w:r>
        <w:rPr>
          <w:rFonts w:cs="Times New Roman"/>
          <w:szCs w:val="24"/>
        </w:rPr>
        <w:t xml:space="preserve">, </w:t>
      </w:r>
      <w:proofErr w:type="gramEnd"/>
      <m:oMath>
        <m:r>
          <w:rPr>
            <w:rFonts w:ascii="Cambria Math" w:hAnsi="Cambria Math" w:cs="Times New Roman"/>
            <w:szCs w:val="24"/>
          </w:rPr>
          <m:t>t=0</m:t>
        </m:r>
      </m:oMath>
      <w:r w:rsidRPr="005A3E52">
        <w:rPr>
          <w:rFonts w:cs="Times New Roman"/>
          <w:szCs w:val="24"/>
        </w:rPr>
        <w:t>, the coating a</w:t>
      </w:r>
      <w:proofErr w:type="spellStart"/>
      <w:r w:rsidRPr="005A3E52">
        <w:rPr>
          <w:rFonts w:cs="Times New Roman"/>
          <w:szCs w:val="24"/>
        </w:rPr>
        <w:t>nd</w:t>
      </w:r>
      <w:proofErr w:type="spellEnd"/>
      <w:r w:rsidRPr="005A3E52">
        <w:rPr>
          <w:rFonts w:cs="Times New Roman"/>
          <w:szCs w:val="24"/>
        </w:rPr>
        <w:t xml:space="preserve"> the substrate are taken to be completely dry. </w:t>
      </w:r>
    </w:p>
    <w:tbl>
      <w:tblPr>
        <w:tblW w:w="0" w:type="auto"/>
        <w:tblLook w:val="04A0" w:firstRow="1" w:lastRow="0" w:firstColumn="1" w:lastColumn="0" w:noHBand="0" w:noVBand="1"/>
      </w:tblPr>
      <w:tblGrid>
        <w:gridCol w:w="7390"/>
        <w:gridCol w:w="1096"/>
      </w:tblGrid>
      <w:tr w:rsidR="007D7AB8" w:rsidRPr="005A3E52" w14:paraId="4DE599BB" w14:textId="77777777" w:rsidTr="007D7AB8">
        <w:tc>
          <w:tcPr>
            <w:tcW w:w="7390" w:type="dxa"/>
            <w:vAlign w:val="center"/>
          </w:tcPr>
          <w:p w14:paraId="49C213E3" w14:textId="77777777" w:rsidR="007D7AB8" w:rsidRPr="005A3E52" w:rsidRDefault="007B3686" w:rsidP="00BB2C1B">
            <w:pPr>
              <w:rPr>
                <w:rFonts w:cs="Times New Roman"/>
                <w:szCs w:val="24"/>
              </w:rPr>
            </w:pPr>
            <m:oMathPara>
              <m:oMathParaPr>
                <m:jc m:val="left"/>
              </m:oMathParaP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,0</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,0</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,0</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,0</m:t>
                    </m:r>
                  </m:e>
                </m:d>
              </m:oMath>
            </m:oMathPara>
          </w:p>
        </w:tc>
        <w:tc>
          <w:tcPr>
            <w:tcW w:w="1096" w:type="dxa"/>
            <w:vAlign w:val="center"/>
          </w:tcPr>
          <w:p w14:paraId="3581C169" w14:textId="77777777" w:rsidR="007D7AB8" w:rsidRPr="005A3E52" w:rsidRDefault="007D7AB8" w:rsidP="00BB2C1B">
            <w:pPr>
              <w:rPr>
                <w:rFonts w:cs="Times New Roman"/>
                <w:szCs w:val="24"/>
              </w:rPr>
            </w:pPr>
            <w:r>
              <w:rPr>
                <w:rFonts w:cs="Times New Roman"/>
                <w:szCs w:val="24"/>
              </w:rPr>
              <w:t>(43</w:t>
            </w:r>
            <w:r w:rsidRPr="005A3E52">
              <w:rPr>
                <w:rFonts w:cs="Times New Roman"/>
                <w:szCs w:val="24"/>
              </w:rPr>
              <w:t>a)</w:t>
            </w:r>
          </w:p>
        </w:tc>
      </w:tr>
    </w:tbl>
    <w:p w14:paraId="2A60FCFE" w14:textId="77777777" w:rsidR="007D7AB8" w:rsidRDefault="007D7AB8" w:rsidP="007D7AB8">
      <w:pPr>
        <w:rPr>
          <w:rFonts w:cs="Times New Roman"/>
          <w:szCs w:val="24"/>
        </w:rPr>
      </w:pPr>
    </w:p>
    <w:p w14:paraId="2D057AEE" w14:textId="77777777" w:rsidR="007D7AB8" w:rsidRDefault="007D7AB8" w:rsidP="007D7AB8">
      <w:pPr>
        <w:rPr>
          <w:rFonts w:cs="Times New Roman"/>
          <w:szCs w:val="24"/>
        </w:rPr>
      </w:pPr>
      <w:r>
        <w:rPr>
          <w:rFonts w:cs="Times New Roman"/>
          <w:szCs w:val="24"/>
        </w:rPr>
        <w:t>The coating is designated by subscript 1 and substrate is designated by subscript 2</w:t>
      </w:r>
      <w:r w:rsidRPr="005A3E52">
        <w:rPr>
          <w:rFonts w:cs="Times New Roman"/>
          <w:szCs w:val="24"/>
        </w:rPr>
        <w:t>.</w:t>
      </w:r>
    </w:p>
    <w:p w14:paraId="2C11415E" w14:textId="319DB320" w:rsidR="007D7AB8" w:rsidRDefault="007D7AB8" w:rsidP="007D7AB8">
      <w:pPr>
        <w:rPr>
          <w:rFonts w:cs="Times New Roman"/>
          <w:szCs w:val="24"/>
        </w:rPr>
      </w:pPr>
      <w:r>
        <w:rPr>
          <w:rFonts w:cs="Times New Roman"/>
          <w:szCs w:val="24"/>
        </w:rPr>
        <w:t>The solution is derived for a fully immersed slab</w:t>
      </w:r>
      <w:r w:rsidRPr="005A3E52">
        <w:rPr>
          <w:rFonts w:cs="Times New Roman"/>
          <w:szCs w:val="24"/>
        </w:rPr>
        <w:t>. For the three-dimensional sample</w:t>
      </w:r>
      <w:r>
        <w:rPr>
          <w:rFonts w:cs="Times New Roman"/>
          <w:szCs w:val="24"/>
        </w:rPr>
        <w:t>s</w:t>
      </w:r>
      <w:r w:rsidRPr="005A3E52">
        <w:rPr>
          <w:rFonts w:cs="Times New Roman"/>
          <w:szCs w:val="24"/>
        </w:rPr>
        <w:t xml:space="preserve"> </w:t>
      </w:r>
      <w:r>
        <w:rPr>
          <w:rFonts w:cs="Times New Roman"/>
          <w:szCs w:val="24"/>
        </w:rPr>
        <w:t xml:space="preserve">shown in </w:t>
      </w:r>
      <w:r>
        <w:rPr>
          <w:rFonts w:cs="Times New Roman"/>
          <w:szCs w:val="24"/>
        </w:rPr>
        <w:fldChar w:fldCharType="begin"/>
      </w:r>
      <w:r>
        <w:rPr>
          <w:rFonts w:cs="Times New Roman"/>
          <w:szCs w:val="24"/>
        </w:rPr>
        <w:instrText xml:space="preserve"> REF _Ref521416194 \h </w:instrText>
      </w:r>
      <w:r>
        <w:rPr>
          <w:rFonts w:cs="Times New Roman"/>
          <w:szCs w:val="24"/>
        </w:rPr>
      </w:r>
      <w:r>
        <w:rPr>
          <w:rFonts w:cs="Times New Roman"/>
          <w:szCs w:val="24"/>
        </w:rPr>
        <w:fldChar w:fldCharType="separate"/>
      </w:r>
      <w:r w:rsidR="006D52C2">
        <w:t xml:space="preserve">Figure </w:t>
      </w:r>
      <w:r w:rsidR="006D52C2">
        <w:rPr>
          <w:noProof/>
        </w:rPr>
        <w:t>16</w:t>
      </w:r>
      <w:r>
        <w:rPr>
          <w:rFonts w:cs="Times New Roman"/>
          <w:szCs w:val="24"/>
        </w:rPr>
        <w:fldChar w:fldCharType="end"/>
      </w:r>
      <w:r>
        <w:rPr>
          <w:rFonts w:cs="Times New Roman"/>
          <w:szCs w:val="24"/>
        </w:rPr>
        <w:t>a-b common</w:t>
      </w:r>
      <w:r w:rsidRPr="005A3E52">
        <w:rPr>
          <w:rFonts w:cs="Times New Roman"/>
          <w:szCs w:val="24"/>
        </w:rPr>
        <w:t xml:space="preserve"> boundary conditions become:</w:t>
      </w:r>
    </w:p>
    <w:tbl>
      <w:tblPr>
        <w:tblW w:w="0" w:type="auto"/>
        <w:tblLook w:val="04A0" w:firstRow="1" w:lastRow="0" w:firstColumn="1" w:lastColumn="0" w:noHBand="0" w:noVBand="1"/>
      </w:tblPr>
      <w:tblGrid>
        <w:gridCol w:w="7390"/>
        <w:gridCol w:w="1096"/>
      </w:tblGrid>
      <w:tr w:rsidR="007D7AB8" w:rsidRPr="005A3E52" w14:paraId="57D9ED56" w14:textId="77777777" w:rsidTr="007D7AB8">
        <w:trPr>
          <w:trHeight w:val="1340"/>
        </w:trPr>
        <w:tc>
          <w:tcPr>
            <w:tcW w:w="7390" w:type="dxa"/>
            <w:vAlign w:val="center"/>
          </w:tcPr>
          <w:p w14:paraId="6F3ACA2E" w14:textId="77777777" w:rsidR="007D7AB8" w:rsidRPr="005A3E52" w:rsidRDefault="007B3686" w:rsidP="00BB2C1B">
            <w:pPr>
              <w:rPr>
                <w:rFonts w:cs="Times New Roman"/>
                <w:szCs w:val="24"/>
              </w:rPr>
            </w:pPr>
            <m:oMathPara>
              <m:oMathParaPr>
                <m:jc m:val="left"/>
              </m:oMathParaP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m:rPr>
                        <m:sty m:val="p"/>
                      </m:rPr>
                      <w:rPr>
                        <w:rFonts w:ascii="Cambria Math" w:hAnsi="Cambria Math" w:cs="Times New Roman"/>
                        <w:szCs w:val="24"/>
                      </w:rPr>
                      <m:t>0,</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,0,</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aln/>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,0,</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d>
                  <m:dPr>
                    <m:ctrlPr>
                      <w:rPr>
                        <w:rFonts w:ascii="Cambria Math" w:hAnsi="Cambria Math" w:cs="Times New Roman"/>
                        <w:szCs w:val="24"/>
                      </w:rPr>
                    </m:ctrlPr>
                  </m:dPr>
                  <m:e>
                    <m:r>
                      <w:rPr>
                        <w:rFonts w:ascii="Cambria Math" w:hAnsi="Cambria Math" w:cs="Times New Roman"/>
                        <w:szCs w:val="24"/>
                      </w:rPr>
                      <m:t>L</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brk/>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w</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f>
                      <m:fPr>
                        <m:ctrlPr>
                          <w:rPr>
                            <w:rFonts w:ascii="Cambria Math" w:hAnsi="Cambria Math" w:cs="Times New Roman"/>
                            <w:szCs w:val="24"/>
                          </w:rPr>
                        </m:ctrlPr>
                      </m:fPr>
                      <m:num>
                        <m:r>
                          <w:rPr>
                            <w:rFonts w:ascii="Cambria Math" w:hAnsi="Cambria Math" w:cs="Times New Roman"/>
                            <w:szCs w:val="24"/>
                          </w:rPr>
                          <m:t>β</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r>
                      <w:rPr>
                        <w:rFonts w:ascii="Cambria Math" w:hAnsi="Cambria Math" w:cs="Times New Roman"/>
                        <w:szCs w:val="24"/>
                      </w:rPr>
                      <m:t>C</m:t>
                    </m:r>
                  </m:e>
                  <m:sub>
                    <m:r>
                      <m:rPr>
                        <m:sty m:val="p"/>
                      </m:rP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m:t>
                    </m:r>
                  </m:sub>
                </m:sSub>
              </m:oMath>
            </m:oMathPara>
          </w:p>
        </w:tc>
        <w:tc>
          <w:tcPr>
            <w:tcW w:w="1096" w:type="dxa"/>
            <w:vAlign w:val="center"/>
          </w:tcPr>
          <w:p w14:paraId="3D6B48F0" w14:textId="77777777" w:rsidR="007D7AB8" w:rsidRPr="005A3E52" w:rsidRDefault="007D7AB8" w:rsidP="00BB2C1B">
            <w:pPr>
              <w:rPr>
                <w:rFonts w:cs="Times New Roman"/>
                <w:szCs w:val="24"/>
              </w:rPr>
            </w:pPr>
            <w:r>
              <w:rPr>
                <w:rFonts w:cs="Times New Roman"/>
                <w:szCs w:val="24"/>
              </w:rPr>
              <w:t>(43</w:t>
            </w:r>
            <w:r w:rsidRPr="005A3E52">
              <w:rPr>
                <w:rFonts w:cs="Times New Roman"/>
                <w:szCs w:val="24"/>
              </w:rPr>
              <w:t>b)</w:t>
            </w:r>
          </w:p>
        </w:tc>
      </w:tr>
      <w:tr w:rsidR="007D7AB8" w:rsidRPr="005A3E52" w14:paraId="2FF9E2B1" w14:textId="77777777" w:rsidTr="007D7AB8">
        <w:trPr>
          <w:trHeight w:val="152"/>
        </w:trPr>
        <w:tc>
          <w:tcPr>
            <w:tcW w:w="7390" w:type="dxa"/>
            <w:vAlign w:val="center"/>
          </w:tcPr>
          <w:p w14:paraId="0E5259DB" w14:textId="77777777" w:rsidR="007D7AB8" w:rsidRPr="007D7AB8" w:rsidRDefault="007D7AB8" w:rsidP="00BB2C1B">
            <w:pPr>
              <w:rPr>
                <w:rFonts w:eastAsia="Times New Roman" w:cs="Times New Roman"/>
                <w:sz w:val="8"/>
                <w:szCs w:val="8"/>
              </w:rPr>
            </w:pPr>
          </w:p>
        </w:tc>
        <w:tc>
          <w:tcPr>
            <w:tcW w:w="1096" w:type="dxa"/>
            <w:vAlign w:val="center"/>
          </w:tcPr>
          <w:p w14:paraId="084DE940" w14:textId="77777777" w:rsidR="007D7AB8" w:rsidRPr="007D7AB8" w:rsidRDefault="007D7AB8" w:rsidP="00BB2C1B">
            <w:pPr>
              <w:rPr>
                <w:rFonts w:cs="Times New Roman"/>
                <w:sz w:val="8"/>
                <w:szCs w:val="8"/>
              </w:rPr>
            </w:pPr>
          </w:p>
        </w:tc>
      </w:tr>
      <w:tr w:rsidR="007D7AB8" w:rsidRPr="005A3E52" w14:paraId="6A40B11A" w14:textId="77777777" w:rsidTr="007D7AB8">
        <w:tc>
          <w:tcPr>
            <w:tcW w:w="7390" w:type="dxa"/>
            <w:vAlign w:val="center"/>
          </w:tcPr>
          <w:p w14:paraId="5E72E763" w14:textId="77777777" w:rsidR="007D7AB8" w:rsidRPr="005A3E52" w:rsidRDefault="007B3686" w:rsidP="00BB2C1B">
            <w:pPr>
              <w:rPr>
                <w:rFonts w:cs="Times New Roman"/>
                <w:szCs w:val="24"/>
              </w:rPr>
            </w:pPr>
            <m:oMathPara>
              <m:oMathParaPr>
                <m:jc m:val="left"/>
              </m:oMathParaP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m:rPr>
                        <m:sty m:val="p"/>
                      </m:rPr>
                      <w:rPr>
                        <w:rFonts w:ascii="Cambria Math" w:hAnsi="Cambria Math" w:cs="Times New Roman"/>
                        <w:szCs w:val="24"/>
                      </w:rPr>
                      <m:t>0,</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,0,</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,0,</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d>
                  <m:dPr>
                    <m:ctrlPr>
                      <w:rPr>
                        <w:rFonts w:ascii="Cambria Math" w:hAnsi="Cambria Math" w:cs="Times New Roman"/>
                        <w:szCs w:val="24"/>
                      </w:rPr>
                    </m:ctrlPr>
                  </m:dPr>
                  <m:e>
                    <m:r>
                      <w:rPr>
                        <w:rFonts w:ascii="Cambria Math" w:hAnsi="Cambria Math" w:cs="Times New Roman"/>
                        <w:szCs w:val="24"/>
                      </w:rPr>
                      <m:t>L</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brk/>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w</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γ</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sSub>
                  <m:sSubPr>
                    <m:ctrlPr>
                      <w:rPr>
                        <w:rFonts w:ascii="Cambria Math" w:hAnsi="Cambria Math" w:cs="Times New Roman"/>
                        <w:szCs w:val="24"/>
                      </w:rPr>
                    </m:ctrlPr>
                  </m:sSubPr>
                  <m:e>
                    <m:r>
                      <w:rPr>
                        <w:rFonts w:ascii="Cambria Math" w:hAnsi="Cambria Math" w:cs="Times New Roman"/>
                        <w:szCs w:val="24"/>
                      </w:rPr>
                      <m:t>C</m:t>
                    </m:r>
                  </m:e>
                  <m:sub>
                    <m:r>
                      <m:rPr>
                        <m:sty m:val="p"/>
                      </m:rP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m:t>
                    </m:r>
                  </m:sub>
                </m:sSub>
              </m:oMath>
            </m:oMathPara>
          </w:p>
        </w:tc>
        <w:tc>
          <w:tcPr>
            <w:tcW w:w="1096" w:type="dxa"/>
            <w:vAlign w:val="center"/>
          </w:tcPr>
          <w:p w14:paraId="7923B76C" w14:textId="77777777" w:rsidR="007D7AB8" w:rsidRPr="005A3E52" w:rsidRDefault="007D7AB8" w:rsidP="00BB2C1B">
            <w:pPr>
              <w:rPr>
                <w:rFonts w:cs="Times New Roman"/>
                <w:szCs w:val="24"/>
              </w:rPr>
            </w:pPr>
            <w:r>
              <w:rPr>
                <w:rFonts w:cs="Times New Roman"/>
                <w:szCs w:val="24"/>
              </w:rPr>
              <w:t>(43</w:t>
            </w:r>
            <w:r w:rsidRPr="005A3E52">
              <w:rPr>
                <w:rFonts w:cs="Times New Roman"/>
                <w:szCs w:val="24"/>
              </w:rPr>
              <w:t>c)</w:t>
            </w:r>
          </w:p>
        </w:tc>
      </w:tr>
    </w:tbl>
    <w:p w14:paraId="40B47466" w14:textId="77777777" w:rsidR="007D7AB8" w:rsidRPr="005A3E52" w:rsidRDefault="007D7AB8" w:rsidP="007D7AB8">
      <w:pPr>
        <w:rPr>
          <w:rFonts w:cs="Times New Roman"/>
          <w:szCs w:val="24"/>
        </w:rPr>
      </w:pPr>
      <w:r w:rsidRPr="005A3E52">
        <w:rPr>
          <w:rFonts w:cs="Times New Roman"/>
          <w:szCs w:val="24"/>
        </w:rPr>
        <w:t xml:space="preserve">The total moisture concentration is the summation of bound and unbound moisture and is equal to </w:t>
      </w:r>
      <m:oMath>
        <m:sSub>
          <m:sSubPr>
            <m:ctrlPr>
              <w:rPr>
                <w:rFonts w:ascii="Cambria Math" w:hAnsi="Cambria Math" w:cs="Times New Roman"/>
                <w:szCs w:val="24"/>
              </w:rPr>
            </m:ctrlPr>
          </m:sSubPr>
          <m:e>
            <m:r>
              <w:rPr>
                <w:rFonts w:ascii="Cambria Math" w:hAnsi="Cambria Math" w:cs="Times New Roman"/>
                <w:szCs w:val="24"/>
              </w:rPr>
              <m:t>C</m:t>
            </m:r>
          </m:e>
          <m:sub>
            <m:r>
              <m:rPr>
                <m:sty m:val="p"/>
              </m:rPr>
              <w:rPr>
                <w:rFonts w:ascii="Cambria Math" w:hAnsi="Cambria Math" w:cs="Times New Roman"/>
                <w:szCs w:val="24"/>
              </w:rPr>
              <m:t>0</m:t>
            </m:r>
          </m:sub>
        </m:sSub>
      </m:oMath>
      <w:r>
        <w:rPr>
          <w:rFonts w:cs="Times New Roman"/>
          <w:szCs w:val="24"/>
        </w:rPr>
        <w:t xml:space="preserve"> in equilibrium.</w:t>
      </w:r>
    </w:p>
    <w:p w14:paraId="6B6AEE2D" w14:textId="004035FA" w:rsidR="007D7AB8" w:rsidRDefault="007D7AB8" w:rsidP="000C2D31">
      <w:pPr>
        <w:rPr>
          <w:rFonts w:cs="Times New Roman"/>
          <w:szCs w:val="24"/>
        </w:rPr>
      </w:pPr>
      <w:r w:rsidRPr="005A3E52">
        <w:rPr>
          <w:rFonts w:cs="Times New Roman"/>
          <w:szCs w:val="24"/>
        </w:rPr>
        <w:t>Interface conditions between the coating and t</w:t>
      </w:r>
      <w:r>
        <w:rPr>
          <w:rFonts w:cs="Times New Roman"/>
          <w:szCs w:val="24"/>
        </w:rPr>
        <w:t>he substrate can be written as:</w:t>
      </w:r>
    </w:p>
    <w:tbl>
      <w:tblPr>
        <w:tblW w:w="0" w:type="auto"/>
        <w:tblLook w:val="04A0" w:firstRow="1" w:lastRow="0" w:firstColumn="1" w:lastColumn="0" w:noHBand="0" w:noVBand="1"/>
      </w:tblPr>
      <w:tblGrid>
        <w:gridCol w:w="7375"/>
        <w:gridCol w:w="1111"/>
      </w:tblGrid>
      <w:tr w:rsidR="007D7AB8" w:rsidRPr="007D7AB8" w14:paraId="7701B4D9" w14:textId="4EFF7738" w:rsidTr="007D7AB8">
        <w:tc>
          <w:tcPr>
            <w:tcW w:w="7375" w:type="dxa"/>
            <w:vAlign w:val="center"/>
          </w:tcPr>
          <w:p w14:paraId="302E305A" w14:textId="77777777" w:rsidR="007D7AB8" w:rsidRPr="007D7AB8" w:rsidRDefault="007B3686" w:rsidP="00BB2C1B">
            <w:pPr>
              <w:ind w:firstLine="0"/>
              <w:jc w:val="center"/>
              <w:rPr>
                <w:rFonts w:cs="Times New Roman"/>
                <w:szCs w:val="24"/>
              </w:rPr>
            </w:pPr>
            <m:oMathPara>
              <m:oMathParaPr>
                <m:jc m:val="center"/>
              </m:oMathParaPr>
              <m:oMath>
                <m:sSub>
                  <m:sSubPr>
                    <m:ctrlPr>
                      <w:rPr>
                        <w:rFonts w:ascii="Cambria Math" w:hAnsi="Cambria Math" w:cs="Times New Roman"/>
                        <w:szCs w:val="24"/>
                      </w:rPr>
                    </m:ctrlPr>
                  </m:sSubPr>
                  <m:e>
                    <m:r>
                      <w:rPr>
                        <w:rFonts w:ascii="Cambria Math" w:hAnsi="Cambria Math" w:cs="Times New Roman"/>
                        <w:szCs w:val="24"/>
                      </w:rPr>
                      <m:t>D</m:t>
                    </m:r>
                  </m:e>
                  <m:sub>
                    <m:r>
                      <m:rPr>
                        <m:sty m:val="p"/>
                      </m:rPr>
                      <w:rPr>
                        <w:rFonts w:ascii="Cambria Math" w:hAnsi="Cambria Math" w:cs="Times New Roman"/>
                        <w:szCs w:val="24"/>
                      </w:rPr>
                      <m:t>1</m:t>
                    </m:r>
                  </m:sub>
                </m:sSub>
                <m:f>
                  <m:fPr>
                    <m:ctrlPr>
                      <w:rPr>
                        <w:rFonts w:ascii="Cambria Math" w:hAnsi="Cambria Math" w:cs="Times New Roman"/>
                        <w:szCs w:val="24"/>
                      </w:rPr>
                    </m:ctrlPr>
                  </m:fPr>
                  <m:num>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num>
                  <m:den>
                    <m:r>
                      <w:rPr>
                        <w:rFonts w:ascii="Cambria Math" w:hAnsi="Cambria Math" w:cs="Times New Roman"/>
                        <w:szCs w:val="24"/>
                      </w:rPr>
                      <m:t>∂z</m:t>
                    </m:r>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m:rPr>
                        <m:sty m:val="p"/>
                      </m:rPr>
                      <w:rPr>
                        <w:rFonts w:ascii="Cambria Math" w:hAnsi="Cambria Math" w:cs="Times New Roman"/>
                        <w:szCs w:val="24"/>
                      </w:rPr>
                      <m:t>2</m:t>
                    </m:r>
                  </m:sub>
                </m:sSub>
                <m:f>
                  <m:fPr>
                    <m:ctrlPr>
                      <w:rPr>
                        <w:rFonts w:ascii="Cambria Math" w:hAnsi="Cambria Math" w:cs="Times New Roman"/>
                        <w:szCs w:val="24"/>
                      </w:rPr>
                    </m:ctrlPr>
                  </m:fPr>
                  <m:num>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num>
                  <m:den>
                    <m:r>
                      <w:rPr>
                        <w:rFonts w:ascii="Cambria Math" w:hAnsi="Cambria Math" w:cs="Times New Roman"/>
                        <w:szCs w:val="24"/>
                      </w:rPr>
                      <m:t>∂z</m:t>
                    </m:r>
                  </m:den>
                </m:f>
              </m:oMath>
            </m:oMathPara>
          </w:p>
        </w:tc>
        <w:tc>
          <w:tcPr>
            <w:tcW w:w="1111" w:type="dxa"/>
            <w:vMerge w:val="restart"/>
            <w:vAlign w:val="center"/>
          </w:tcPr>
          <w:p w14:paraId="398D822D" w14:textId="57A2C3E4" w:rsidR="007D7AB8" w:rsidRDefault="007D7AB8" w:rsidP="007D7AB8">
            <w:pPr>
              <w:ind w:firstLine="0"/>
              <w:jc w:val="right"/>
              <w:rPr>
                <w:rFonts w:eastAsia="Times New Roman" w:cs="Times New Roman"/>
                <w:szCs w:val="24"/>
              </w:rPr>
            </w:pPr>
            <w:r>
              <w:rPr>
                <w:rFonts w:cs="Times New Roman"/>
                <w:szCs w:val="24"/>
              </w:rPr>
              <w:t>(43</w:t>
            </w:r>
            <w:r w:rsidRPr="005A3E52">
              <w:rPr>
                <w:rFonts w:cs="Times New Roman"/>
                <w:szCs w:val="24"/>
              </w:rPr>
              <w:t>d)</w:t>
            </w:r>
          </w:p>
        </w:tc>
      </w:tr>
      <w:tr w:rsidR="007D7AB8" w14:paraId="3A19F565" w14:textId="04C7C23B" w:rsidTr="007D7AB8">
        <w:tc>
          <w:tcPr>
            <w:tcW w:w="7375" w:type="dxa"/>
            <w:vAlign w:val="center"/>
          </w:tcPr>
          <w:p w14:paraId="1783E5F7" w14:textId="77777777" w:rsidR="007D7AB8" w:rsidRDefault="007B3686" w:rsidP="00BB2C1B">
            <w:pPr>
              <w:rPr>
                <w:rFonts w:eastAsia="Times New Roman"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oMath>
            </m:oMathPara>
          </w:p>
        </w:tc>
        <w:tc>
          <w:tcPr>
            <w:tcW w:w="1111" w:type="dxa"/>
            <w:vMerge/>
          </w:tcPr>
          <w:p w14:paraId="7E7308A7" w14:textId="77777777" w:rsidR="007D7AB8" w:rsidRDefault="007D7AB8" w:rsidP="00BB2C1B">
            <w:pPr>
              <w:rPr>
                <w:rFonts w:eastAsia="Times New Roman" w:cs="Times New Roman"/>
                <w:szCs w:val="24"/>
              </w:rPr>
            </w:pPr>
          </w:p>
        </w:tc>
      </w:tr>
      <w:tr w:rsidR="007D7AB8" w:rsidRPr="005A3E52" w14:paraId="2D8ECC3F" w14:textId="1E1FE9DA" w:rsidTr="007D7AB8">
        <w:tc>
          <w:tcPr>
            <w:tcW w:w="7375" w:type="dxa"/>
            <w:vAlign w:val="center"/>
          </w:tcPr>
          <w:p w14:paraId="10E7F42B" w14:textId="77777777" w:rsidR="007D7AB8" w:rsidRPr="005A3E52" w:rsidRDefault="007B3686" w:rsidP="00BB2C1B">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oMath>
            </m:oMathPara>
          </w:p>
        </w:tc>
        <w:tc>
          <w:tcPr>
            <w:tcW w:w="1111" w:type="dxa"/>
            <w:vMerge/>
          </w:tcPr>
          <w:p w14:paraId="495B1B59" w14:textId="77777777" w:rsidR="007D7AB8" w:rsidRDefault="007D7AB8" w:rsidP="00BB2C1B">
            <w:pPr>
              <w:ind w:firstLine="0"/>
              <w:rPr>
                <w:rFonts w:eastAsia="Times New Roman" w:cs="Times New Roman"/>
                <w:szCs w:val="24"/>
              </w:rPr>
            </w:pPr>
          </w:p>
        </w:tc>
      </w:tr>
    </w:tbl>
    <w:p w14:paraId="65D6730A" w14:textId="77777777" w:rsidR="007D7AB8" w:rsidRDefault="007D7AB8" w:rsidP="000C2D31">
      <w:pPr>
        <w:rPr>
          <w:rFonts w:cs="Times New Roman"/>
          <w:szCs w:val="24"/>
        </w:rPr>
      </w:pPr>
    </w:p>
    <w:p w14:paraId="454BB6AF" w14:textId="42939B2C" w:rsidR="000C2D31" w:rsidRDefault="000C2D31" w:rsidP="000C2D31">
      <w:pPr>
        <w:rPr>
          <w:rFonts w:cs="Times New Roman"/>
          <w:szCs w:val="24"/>
        </w:rPr>
      </w:pPr>
      <w:r>
        <w:rPr>
          <w:rFonts w:cs="Times New Roman"/>
          <w:szCs w:val="24"/>
        </w:rPr>
        <w:t xml:space="preserve">At an ideal interface, </w:t>
      </w:r>
      <w:r w:rsidRPr="005A3E52">
        <w:rPr>
          <w:rFonts w:cs="Times New Roman"/>
          <w:szCs w:val="24"/>
        </w:rPr>
        <w:t>the flux from the substrate to coating is equal to the flux from the coating to substrate. Moreover, the moisture concentration at the interface between the coating and the substrate must be equal. Eq</w:t>
      </w:r>
      <w:r>
        <w:rPr>
          <w:rFonts w:cs="Times New Roman"/>
          <w:szCs w:val="24"/>
        </w:rPr>
        <w:t xml:space="preserve">. </w:t>
      </w:r>
      <w:r w:rsidR="009B05F7">
        <w:rPr>
          <w:rFonts w:cs="Times New Roman"/>
          <w:szCs w:val="24"/>
        </w:rPr>
        <w:t>(</w:t>
      </w:r>
      <w:r>
        <w:rPr>
          <w:rFonts w:cs="Times New Roman"/>
          <w:szCs w:val="24"/>
        </w:rPr>
        <w:t>43</w:t>
      </w:r>
      <w:r w:rsidRPr="005A3E52">
        <w:rPr>
          <w:rFonts w:cs="Times New Roman"/>
          <w:szCs w:val="24"/>
        </w:rPr>
        <w:t>d</w:t>
      </w:r>
      <w:r w:rsidR="009B05F7">
        <w:rPr>
          <w:rFonts w:cs="Times New Roman"/>
          <w:szCs w:val="24"/>
        </w:rPr>
        <w:t>)</w:t>
      </w:r>
      <w:r w:rsidRPr="005A3E52">
        <w:rPr>
          <w:rFonts w:cs="Times New Roman"/>
          <w:szCs w:val="24"/>
        </w:rPr>
        <w:t xml:space="preserve"> represents idealized interface conditions which indicate a perfect contact without interfacial resistance or delamination which may behave a</w:t>
      </w:r>
      <w:r>
        <w:rPr>
          <w:rFonts w:cs="Times New Roman"/>
          <w:szCs w:val="24"/>
        </w:rPr>
        <w:t>s a moisture accumulation site.</w:t>
      </w:r>
    </w:p>
    <w:tbl>
      <w:tblPr>
        <w:tblW w:w="0" w:type="auto"/>
        <w:tblLook w:val="04A0" w:firstRow="1" w:lastRow="0" w:firstColumn="1" w:lastColumn="0" w:noHBand="0" w:noVBand="1"/>
      </w:tblPr>
      <w:tblGrid>
        <w:gridCol w:w="3700"/>
        <w:gridCol w:w="3700"/>
        <w:gridCol w:w="1096"/>
      </w:tblGrid>
      <w:tr w:rsidR="000C2D31" w:rsidRPr="005A3E52" w14:paraId="40BA4BA1" w14:textId="77777777" w:rsidTr="000C2D31">
        <w:tc>
          <w:tcPr>
            <w:tcW w:w="3700" w:type="dxa"/>
            <w:vAlign w:val="center"/>
          </w:tcPr>
          <w:p w14:paraId="04AC408D" w14:textId="77777777" w:rsidR="000C2D31" w:rsidRPr="0027372D" w:rsidRDefault="007B3686" w:rsidP="000C2D31">
            <w:pPr>
              <w:rPr>
                <w:szCs w:val="24"/>
              </w:rPr>
            </w:pPr>
            <m:oMathPara>
              <m:oMath>
                <m:sSub>
                  <m:sSubPr>
                    <m:ctrlPr>
                      <w:rPr>
                        <w:rFonts w:ascii="Cambria Math" w:hAnsi="Cambria Math" w:cs="Times New Roman"/>
                        <w:szCs w:val="24"/>
                      </w:rPr>
                    </m:ctrlPr>
                  </m:sSubPr>
                  <m:e>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b</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β</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r>
                      <w:rPr>
                        <w:rFonts w:ascii="Cambria Math" w:hAnsi="Cambria Math" w:cs="Times New Roman"/>
                        <w:szCs w:val="24"/>
                      </w:rPr>
                      <m:t>C</m:t>
                    </m:r>
                  </m:e>
                  <m:sub>
                    <m:r>
                      <m:rPr>
                        <m:sty m:val="p"/>
                      </m:rPr>
                      <w:rPr>
                        <w:rFonts w:ascii="Cambria Math" w:hAnsi="Cambria Math" w:cs="Times New Roman"/>
                        <w:szCs w:val="24"/>
                      </w:rPr>
                      <m:t>0</m:t>
                    </m:r>
                  </m:sub>
                </m:sSub>
              </m:oMath>
            </m:oMathPara>
          </w:p>
        </w:tc>
        <w:tc>
          <w:tcPr>
            <w:tcW w:w="3700" w:type="dxa"/>
            <w:vAlign w:val="center"/>
          </w:tcPr>
          <w:p w14:paraId="5F35270E" w14:textId="77777777" w:rsidR="000C2D31" w:rsidRPr="0027372D"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b</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γ</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sSub>
                  <m:sSubPr>
                    <m:ctrlPr>
                      <w:rPr>
                        <w:rFonts w:ascii="Cambria Math" w:hAnsi="Cambria Math" w:cs="Times New Roman"/>
                        <w:szCs w:val="24"/>
                      </w:rPr>
                    </m:ctrlPr>
                  </m:sSubPr>
                  <m:e>
                    <m:r>
                      <w:rPr>
                        <w:rFonts w:ascii="Cambria Math" w:hAnsi="Cambria Math" w:cs="Times New Roman"/>
                        <w:szCs w:val="24"/>
                      </w:rPr>
                      <m:t>C</m:t>
                    </m:r>
                  </m:e>
                  <m:sub>
                    <m:r>
                      <m:rPr>
                        <m:sty m:val="p"/>
                      </m:rPr>
                      <w:rPr>
                        <w:rFonts w:ascii="Cambria Math" w:hAnsi="Cambria Math" w:cs="Times New Roman"/>
                        <w:szCs w:val="24"/>
                      </w:rPr>
                      <m:t>0</m:t>
                    </m:r>
                  </m:sub>
                </m:sSub>
              </m:oMath>
            </m:oMathPara>
          </w:p>
        </w:tc>
        <w:tc>
          <w:tcPr>
            <w:tcW w:w="1096" w:type="dxa"/>
            <w:vAlign w:val="center"/>
          </w:tcPr>
          <w:p w14:paraId="15282904" w14:textId="77777777" w:rsidR="000C2D31" w:rsidRPr="005A3E52" w:rsidRDefault="000C2D31" w:rsidP="000C2D31">
            <w:pPr>
              <w:rPr>
                <w:rFonts w:cs="Times New Roman"/>
                <w:szCs w:val="24"/>
              </w:rPr>
            </w:pPr>
            <w:r>
              <w:rPr>
                <w:rFonts w:cs="Times New Roman"/>
                <w:szCs w:val="24"/>
              </w:rPr>
              <w:t>(43e</w:t>
            </w:r>
            <w:r w:rsidRPr="005A3E52">
              <w:rPr>
                <w:rFonts w:cs="Times New Roman"/>
                <w:szCs w:val="24"/>
              </w:rPr>
              <w:t>)</w:t>
            </w:r>
          </w:p>
        </w:tc>
      </w:tr>
    </w:tbl>
    <w:p w14:paraId="45CC573D" w14:textId="3733DD63" w:rsidR="000C2D31" w:rsidRDefault="000C2D31" w:rsidP="000C2D31">
      <w:pPr>
        <w:rPr>
          <w:rFonts w:cs="Times New Roman"/>
          <w:szCs w:val="24"/>
        </w:rPr>
      </w:pPr>
      <w:r>
        <w:rPr>
          <w:rFonts w:cs="Times New Roman"/>
          <w:szCs w:val="24"/>
        </w:rPr>
        <w:t xml:space="preserve">Eq. </w:t>
      </w:r>
      <w:r w:rsidR="009B05F7">
        <w:rPr>
          <w:rFonts w:cs="Times New Roman"/>
          <w:szCs w:val="24"/>
        </w:rPr>
        <w:t>(</w:t>
      </w:r>
      <w:r>
        <w:rPr>
          <w:rFonts w:cs="Times New Roman"/>
          <w:szCs w:val="24"/>
        </w:rPr>
        <w:t>43e</w:t>
      </w:r>
      <w:r w:rsidR="009B05F7">
        <w:rPr>
          <w:rFonts w:cs="Times New Roman"/>
          <w:szCs w:val="24"/>
        </w:rPr>
        <w:t>)</w:t>
      </w:r>
      <w:r>
        <w:rPr>
          <w:rFonts w:cs="Times New Roman"/>
          <w:szCs w:val="24"/>
        </w:rPr>
        <w:t xml:space="preserve"> shows boundary conditions specific to the o</w:t>
      </w:r>
      <w:r w:rsidR="00976B81">
        <w:rPr>
          <w:rFonts w:cs="Times New Roman"/>
          <w:szCs w:val="24"/>
        </w:rPr>
        <w:t xml:space="preserve">ne layer coating shown in </w:t>
      </w:r>
      <w:r w:rsidR="00023822">
        <w:rPr>
          <w:rFonts w:cs="Times New Roman"/>
          <w:szCs w:val="24"/>
        </w:rPr>
        <w:fldChar w:fldCharType="begin"/>
      </w:r>
      <w:r w:rsidR="00023822">
        <w:rPr>
          <w:rFonts w:cs="Times New Roman"/>
          <w:szCs w:val="24"/>
        </w:rPr>
        <w:instrText xml:space="preserve"> REF _Ref521416194 \h </w:instrText>
      </w:r>
      <w:r w:rsidR="00023822">
        <w:rPr>
          <w:rFonts w:cs="Times New Roman"/>
          <w:szCs w:val="24"/>
        </w:rPr>
      </w:r>
      <w:r w:rsidR="00023822">
        <w:rPr>
          <w:rFonts w:cs="Times New Roman"/>
          <w:szCs w:val="24"/>
        </w:rPr>
        <w:fldChar w:fldCharType="separate"/>
      </w:r>
      <w:r w:rsidR="006D52C2">
        <w:t xml:space="preserve">Figure </w:t>
      </w:r>
      <w:r w:rsidR="006D52C2">
        <w:rPr>
          <w:noProof/>
        </w:rPr>
        <w:t>16</w:t>
      </w:r>
      <w:r w:rsidR="00023822">
        <w:rPr>
          <w:rFonts w:cs="Times New Roman"/>
          <w:szCs w:val="24"/>
        </w:rPr>
        <w:fldChar w:fldCharType="end"/>
      </w:r>
      <w:r w:rsidR="00023822">
        <w:rPr>
          <w:rFonts w:cs="Times New Roman"/>
          <w:szCs w:val="24"/>
        </w:rPr>
        <w:t>a</w:t>
      </w:r>
      <w:r>
        <w:rPr>
          <w:rFonts w:cs="Times New Roman"/>
          <w:szCs w:val="24"/>
        </w:rPr>
        <w:t>. The boundary conditions represents the unbound,</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oMath>
      <w:proofErr w:type="gramStart"/>
      <w:r>
        <w:rPr>
          <w:rFonts w:cs="Times New Roman"/>
          <w:szCs w:val="24"/>
        </w:rPr>
        <w:t>,</w:t>
      </w:r>
      <w:proofErr w:type="gramEnd"/>
      <w:r>
        <w:rPr>
          <w:rFonts w:cs="Times New Roman"/>
          <w:szCs w:val="24"/>
        </w:rPr>
        <w:t xml:space="preserve"> and bound, </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2</m:t>
            </m:r>
          </m:sub>
        </m:sSub>
      </m:oMath>
      <w:r>
        <w:rPr>
          <w:rFonts w:cs="Times New Roman"/>
          <w:szCs w:val="24"/>
        </w:rPr>
        <w:t xml:space="preserve">, maximum moisture content at the free edge of </w:t>
      </w:r>
      <m:oMath>
        <m:r>
          <w:rPr>
            <w:rFonts w:ascii="Cambria Math" w:hAnsi="Cambria Math" w:cs="Times New Roman"/>
            <w:szCs w:val="24"/>
          </w:rPr>
          <m:t>b</m:t>
        </m:r>
      </m:oMath>
      <w:r>
        <w:rPr>
          <w:rFonts w:cs="Times New Roman"/>
          <w:szCs w:val="24"/>
        </w:rPr>
        <w:t xml:space="preserve"> that the material can absorb.</w:t>
      </w:r>
    </w:p>
    <w:tbl>
      <w:tblPr>
        <w:tblW w:w="0" w:type="auto"/>
        <w:tblLook w:val="04A0" w:firstRow="1" w:lastRow="0" w:firstColumn="1" w:lastColumn="0" w:noHBand="0" w:noVBand="1"/>
      </w:tblPr>
      <w:tblGrid>
        <w:gridCol w:w="7800"/>
        <w:gridCol w:w="696"/>
      </w:tblGrid>
      <w:tr w:rsidR="000C2D31" w14:paraId="652E9B3F" w14:textId="77777777" w:rsidTr="000C2D31">
        <w:trPr>
          <w:trHeight w:val="728"/>
        </w:trPr>
        <w:tc>
          <w:tcPr>
            <w:tcW w:w="7800" w:type="dxa"/>
          </w:tcPr>
          <w:p w14:paraId="4B3B9ACC" w14:textId="77777777" w:rsidR="000C2D31" w:rsidRPr="0027372D"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m:rPr>
                        <m:sty m:val="p"/>
                      </m:rPr>
                      <w:rPr>
                        <w:rFonts w:ascii="Cambria Math" w:hAnsi="Cambria Math" w:cs="Times New Roman"/>
                        <w:szCs w:val="24"/>
                      </w:rPr>
                      <m:t>1</m:t>
                    </m:r>
                  </m:sub>
                </m:sSub>
                <m:f>
                  <m:fPr>
                    <m:ctrlPr>
                      <w:rPr>
                        <w:rFonts w:ascii="Cambria Math" w:hAnsi="Cambria Math" w:cs="Times New Roman"/>
                        <w:szCs w:val="24"/>
                      </w:rPr>
                    </m:ctrlPr>
                  </m:fPr>
                  <m:num>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b</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num>
                  <m:den>
                    <m:r>
                      <w:rPr>
                        <w:rFonts w:ascii="Cambria Math" w:hAnsi="Cambria Math" w:cs="Times New Roman"/>
                        <w:szCs w:val="24"/>
                      </w:rPr>
                      <m:t>∂z</m:t>
                    </m:r>
                  </m:den>
                </m:f>
                <m:r>
                  <w:rPr>
                    <w:rFonts w:ascii="Cambria Math" w:hAnsi="Cambria Math" w:cs="Times New Roman"/>
                    <w:szCs w:val="24"/>
                  </w:rPr>
                  <m:t>=0</m:t>
                </m:r>
              </m:oMath>
            </m:oMathPara>
          </w:p>
        </w:tc>
        <w:tc>
          <w:tcPr>
            <w:tcW w:w="696" w:type="dxa"/>
          </w:tcPr>
          <w:p w14:paraId="48AE6391" w14:textId="77777777" w:rsidR="000C2D31" w:rsidRDefault="000C2D31" w:rsidP="000C2D31">
            <w:pPr>
              <w:ind w:firstLine="0"/>
              <w:rPr>
                <w:rFonts w:cs="Times New Roman"/>
                <w:szCs w:val="24"/>
              </w:rPr>
            </w:pPr>
            <w:r>
              <w:rPr>
                <w:rFonts w:cs="Times New Roman"/>
                <w:szCs w:val="24"/>
              </w:rPr>
              <w:t>(43f)</w:t>
            </w:r>
          </w:p>
        </w:tc>
      </w:tr>
    </w:tbl>
    <w:p w14:paraId="4806BD77" w14:textId="7A384E5A" w:rsidR="000C2D31" w:rsidRDefault="000C2D31" w:rsidP="000C2D31">
      <w:pPr>
        <w:rPr>
          <w:rFonts w:cs="Times New Roman"/>
          <w:szCs w:val="24"/>
        </w:rPr>
      </w:pPr>
      <w:r>
        <w:rPr>
          <w:rFonts w:cs="Times New Roman"/>
          <w:szCs w:val="24"/>
        </w:rPr>
        <w:t xml:space="preserve">Eq. </w:t>
      </w:r>
      <w:r w:rsidR="009B05F7">
        <w:rPr>
          <w:rFonts w:cs="Times New Roman"/>
          <w:szCs w:val="24"/>
        </w:rPr>
        <w:t>(</w:t>
      </w:r>
      <w:r>
        <w:rPr>
          <w:rFonts w:cs="Times New Roman"/>
          <w:szCs w:val="24"/>
        </w:rPr>
        <w:t>43f</w:t>
      </w:r>
      <w:r w:rsidR="009B05F7">
        <w:rPr>
          <w:rFonts w:cs="Times New Roman"/>
          <w:szCs w:val="24"/>
        </w:rPr>
        <w:t>)</w:t>
      </w:r>
      <w:r>
        <w:rPr>
          <w:rFonts w:cs="Times New Roman"/>
          <w:szCs w:val="24"/>
        </w:rPr>
        <w:t xml:space="preserve"> shows boundary conditions specific to the both layer s</w:t>
      </w:r>
      <w:r w:rsidR="00023822">
        <w:rPr>
          <w:rFonts w:cs="Times New Roman"/>
          <w:szCs w:val="24"/>
        </w:rPr>
        <w:t xml:space="preserve">ymmetric coating shown in </w:t>
      </w:r>
      <w:r w:rsidR="00023822">
        <w:rPr>
          <w:rFonts w:cs="Times New Roman"/>
          <w:szCs w:val="24"/>
        </w:rPr>
        <w:fldChar w:fldCharType="begin"/>
      </w:r>
      <w:r w:rsidR="00023822">
        <w:rPr>
          <w:rFonts w:cs="Times New Roman"/>
          <w:szCs w:val="24"/>
        </w:rPr>
        <w:instrText xml:space="preserve"> REF _Ref521416194 \h </w:instrText>
      </w:r>
      <w:r w:rsidR="00023822">
        <w:rPr>
          <w:rFonts w:cs="Times New Roman"/>
          <w:szCs w:val="24"/>
        </w:rPr>
      </w:r>
      <w:r w:rsidR="00023822">
        <w:rPr>
          <w:rFonts w:cs="Times New Roman"/>
          <w:szCs w:val="24"/>
        </w:rPr>
        <w:fldChar w:fldCharType="separate"/>
      </w:r>
      <w:r w:rsidR="006D52C2">
        <w:t xml:space="preserve">Figure </w:t>
      </w:r>
      <w:r w:rsidR="006D52C2">
        <w:rPr>
          <w:noProof/>
        </w:rPr>
        <w:t>16</w:t>
      </w:r>
      <w:r w:rsidR="00023822">
        <w:rPr>
          <w:rFonts w:cs="Times New Roman"/>
          <w:szCs w:val="24"/>
        </w:rPr>
        <w:fldChar w:fldCharType="end"/>
      </w:r>
      <w:r>
        <w:rPr>
          <w:rFonts w:cs="Times New Roman"/>
          <w:szCs w:val="24"/>
        </w:rPr>
        <w:t xml:space="preserve">b. Eq. </w:t>
      </w:r>
      <w:r w:rsidR="009B05F7">
        <w:rPr>
          <w:rFonts w:cs="Times New Roman"/>
          <w:szCs w:val="24"/>
        </w:rPr>
        <w:t>(</w:t>
      </w:r>
      <w:r>
        <w:rPr>
          <w:rFonts w:cs="Times New Roman"/>
          <w:szCs w:val="24"/>
        </w:rPr>
        <w:t>43f</w:t>
      </w:r>
      <w:r w:rsidR="009B05F7">
        <w:rPr>
          <w:rFonts w:cs="Times New Roman"/>
          <w:szCs w:val="24"/>
        </w:rPr>
        <w:t>)</w:t>
      </w:r>
      <w:r>
        <w:rPr>
          <w:rFonts w:cs="Times New Roman"/>
          <w:szCs w:val="24"/>
        </w:rPr>
        <w:t xml:space="preserve"> expresses that moisture flux</w:t>
      </w:r>
      <w:r w:rsidRPr="00BC2358">
        <w:rPr>
          <w:rFonts w:cs="Times New Roman"/>
          <w:szCs w:val="24"/>
        </w:rPr>
        <w:t xml:space="preserve"> </w:t>
      </w:r>
      <w:r>
        <w:rPr>
          <w:rFonts w:cs="Times New Roman"/>
          <w:szCs w:val="24"/>
        </w:rPr>
        <w:t>is zero at the centerline,</w:t>
      </w:r>
      <m:oMath>
        <m:r>
          <w:rPr>
            <w:rFonts w:ascii="Cambria Math" w:hAnsi="Cambria Math" w:cs="Times New Roman"/>
            <w:szCs w:val="24"/>
          </w:rPr>
          <m:t xml:space="preserve"> b,</m:t>
        </m:r>
      </m:oMath>
      <w:r w:rsidR="0084615F">
        <w:rPr>
          <w:rFonts w:cs="Times New Roman"/>
          <w:szCs w:val="24"/>
        </w:rPr>
        <w:t xml:space="preserve"> </w:t>
      </w:r>
      <w:r>
        <w:rPr>
          <w:rFonts w:cs="Times New Roman"/>
          <w:szCs w:val="24"/>
        </w:rPr>
        <w:t>of the both layer symmetric coated sample. The centerline is also the symmetry line and the boundary, interface conditions</w:t>
      </w:r>
      <w:r w:rsidR="007352FD">
        <w:rPr>
          <w:rFonts w:cs="Times New Roman"/>
          <w:szCs w:val="24"/>
        </w:rPr>
        <w:t>,</w:t>
      </w:r>
      <w:r>
        <w:rPr>
          <w:rFonts w:cs="Times New Roman"/>
          <w:szCs w:val="24"/>
        </w:rPr>
        <w:t xml:space="preserve"> and moisture concentrations are also symmetric around the symmetry axis. </w:t>
      </w:r>
    </w:p>
    <w:p w14:paraId="459F688E" w14:textId="77777777" w:rsidR="000C2D31" w:rsidRDefault="000C2D31" w:rsidP="000C2D31">
      <w:pPr>
        <w:rPr>
          <w:rFonts w:cs="Times New Roman"/>
          <w:szCs w:val="24"/>
        </w:rPr>
      </w:pPr>
    </w:p>
    <w:p w14:paraId="0F7ADFC3" w14:textId="77777777" w:rsidR="000C2D31" w:rsidRDefault="000C2D31" w:rsidP="00B63058">
      <w:pPr>
        <w:pStyle w:val="Heading3"/>
      </w:pPr>
      <w:bookmarkStart w:id="96" w:name="_Toc403980453"/>
      <w:bookmarkStart w:id="97" w:name="_Toc531943755"/>
      <w:r>
        <w:lastRenderedPageBreak/>
        <w:t>Analytical Solution Procedure</w:t>
      </w:r>
      <w:bookmarkEnd w:id="96"/>
      <w:r>
        <w:t xml:space="preserve"> of Quadruple PDE of Multilayer Hindered Diffusion Model</w:t>
      </w:r>
      <w:bookmarkEnd w:id="97"/>
    </w:p>
    <w:p w14:paraId="77E6FCF3" w14:textId="7695E27A" w:rsidR="000C2D31" w:rsidRDefault="000C2D31" w:rsidP="000C2D31">
      <w:pPr>
        <w:rPr>
          <w:szCs w:val="24"/>
        </w:rPr>
      </w:pPr>
      <w:r>
        <w:t xml:space="preserve">Separation of variables technique is applied to Eq. </w:t>
      </w:r>
      <w:r w:rsidR="009B05F7">
        <w:t>(</w:t>
      </w:r>
      <w:r>
        <w:t>42a</w:t>
      </w:r>
      <w:r w:rsidR="009B05F7">
        <w:t>)</w:t>
      </w:r>
      <w:r w:rsidR="007352FD">
        <w:t xml:space="preserve"> by assuming</w:t>
      </w:r>
      <w:r>
        <w:t xml:space="preserve"> that the variables </w:t>
      </w:r>
      <m:oMath>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 xml:space="preserve"> and </m:t>
        </m:r>
        <m:r>
          <w:rPr>
            <w:rFonts w:ascii="Cambria Math" w:hAnsi="Cambria Math" w:cs="Times New Roman"/>
            <w:szCs w:val="24"/>
          </w:rPr>
          <m:t>t</m:t>
        </m:r>
      </m:oMath>
      <w:r>
        <w:t xml:space="preserve"> in </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oMath>
      <w:r>
        <w:rPr>
          <w:szCs w:val="24"/>
        </w:rPr>
        <w:t xml:space="preserve"> and </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r>
          <m:rPr>
            <m:sty m:val="p"/>
          </m:rPr>
          <w:rPr>
            <w:rFonts w:ascii="Cambria Math" w:hAnsi="Cambria Math" w:cs="Times New Roman"/>
            <w:szCs w:val="24"/>
          </w:rPr>
          <m:t>(</m:t>
        </m:r>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r>
          <m:rPr>
            <m:sty m:val="p"/>
          </m:rPr>
          <w:rPr>
            <w:rFonts w:ascii="Cambria Math" w:hAnsi="Cambria Math" w:cs="Times New Roman"/>
            <w:szCs w:val="24"/>
          </w:rPr>
          <m:t>)</m:t>
        </m:r>
      </m:oMath>
      <w:r>
        <w:rPr>
          <w:szCs w:val="24"/>
        </w:rPr>
        <w:t xml:space="preserve"> are independent</w:t>
      </w:r>
      <w:r w:rsidR="007352FD">
        <w:rPr>
          <w:szCs w:val="24"/>
        </w:rPr>
        <w:t>.</w:t>
      </w:r>
      <w:r>
        <w:rPr>
          <w:szCs w:val="24"/>
        </w:rPr>
        <w:t xml:space="preserve"> </w:t>
      </w:r>
      <w:r w:rsidR="007352FD">
        <w:rPr>
          <w:szCs w:val="24"/>
        </w:rPr>
        <w:t>H</w:t>
      </w:r>
      <w:r>
        <w:rPr>
          <w:szCs w:val="24"/>
        </w:rPr>
        <w:t xml:space="preserve">ence the solution for </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oMath>
      <w:r>
        <w:rPr>
          <w:szCs w:val="24"/>
        </w:rPr>
        <w:t xml:space="preserve"> and </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oMath>
      <w:r>
        <w:rPr>
          <w:szCs w:val="24"/>
        </w:rPr>
        <w:t xml:space="preserve"> can be expressed as:</w:t>
      </w:r>
    </w:p>
    <w:tbl>
      <w:tblPr>
        <w:tblW w:w="0" w:type="auto"/>
        <w:tblLook w:val="04A0" w:firstRow="1" w:lastRow="0" w:firstColumn="1" w:lastColumn="0" w:noHBand="0" w:noVBand="1"/>
      </w:tblPr>
      <w:tblGrid>
        <w:gridCol w:w="7880"/>
        <w:gridCol w:w="616"/>
      </w:tblGrid>
      <w:tr w:rsidR="000C2D31" w14:paraId="7CAB3528" w14:textId="77777777" w:rsidTr="000C2D31">
        <w:tc>
          <w:tcPr>
            <w:tcW w:w="7880" w:type="dxa"/>
          </w:tcPr>
          <w:p w14:paraId="7382F08F" w14:textId="77777777" w:rsidR="000C2D31"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oMath>
            </m:oMathPara>
          </w:p>
        </w:tc>
        <w:tc>
          <w:tcPr>
            <w:tcW w:w="616" w:type="dxa"/>
            <w:vMerge w:val="restart"/>
            <w:vAlign w:val="center"/>
          </w:tcPr>
          <w:p w14:paraId="01538894" w14:textId="77777777" w:rsidR="000C2D31" w:rsidRDefault="000C2D31" w:rsidP="000C2D31">
            <w:pPr>
              <w:ind w:firstLine="0"/>
              <w:jc w:val="right"/>
              <w:rPr>
                <w:szCs w:val="24"/>
              </w:rPr>
            </w:pPr>
            <w:r>
              <w:rPr>
                <w:szCs w:val="24"/>
              </w:rPr>
              <w:t>(44)</w:t>
            </w:r>
          </w:p>
        </w:tc>
      </w:tr>
      <w:tr w:rsidR="000C2D31" w14:paraId="6AAECF8D" w14:textId="77777777" w:rsidTr="000C2D31">
        <w:tc>
          <w:tcPr>
            <w:tcW w:w="7880" w:type="dxa"/>
          </w:tcPr>
          <w:p w14:paraId="4F2343DB" w14:textId="77777777" w:rsidR="000C2D31"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r>
                  <w:rPr>
                    <w:rFonts w:ascii="Cambria Math" w:hAnsi="Cambria Math" w:cs="Times New Roman"/>
                    <w:szCs w:val="24"/>
                  </w:rPr>
                  <m:t>ρ</m:t>
                </m:r>
                <m:d>
                  <m:dPr>
                    <m:ctrlPr>
                      <w:rPr>
                        <w:rFonts w:ascii="Cambria Math" w:hAnsi="Cambria Math" w:cs="Times New Roman"/>
                        <w:i/>
                        <w:szCs w:val="24"/>
                      </w:rPr>
                    </m:ctrlPr>
                  </m:dPr>
                  <m:e>
                    <m:r>
                      <w:rPr>
                        <w:rFonts w:ascii="Cambria Math" w:hAnsi="Cambria Math" w:cs="Times New Roman"/>
                        <w:szCs w:val="24"/>
                      </w:rPr>
                      <m:t>t</m:t>
                    </m:r>
                  </m:e>
                </m:d>
              </m:oMath>
            </m:oMathPara>
          </w:p>
        </w:tc>
        <w:tc>
          <w:tcPr>
            <w:tcW w:w="616" w:type="dxa"/>
            <w:vMerge/>
          </w:tcPr>
          <w:p w14:paraId="16EF0566" w14:textId="77777777" w:rsidR="000C2D31" w:rsidRDefault="000C2D31" w:rsidP="000C2D31">
            <w:pPr>
              <w:ind w:firstLine="0"/>
              <w:rPr>
                <w:szCs w:val="24"/>
              </w:rPr>
            </w:pPr>
          </w:p>
        </w:tc>
      </w:tr>
    </w:tbl>
    <w:p w14:paraId="4F5D4896" w14:textId="6CB33312" w:rsidR="000C2D31" w:rsidRDefault="000C2D31" w:rsidP="000C2D31">
      <w:pPr>
        <w:ind w:firstLine="0"/>
        <w:rPr>
          <w:szCs w:val="24"/>
        </w:rPr>
      </w:pPr>
      <w:r>
        <w:rPr>
          <w:szCs w:val="24"/>
        </w:rPr>
        <w:t xml:space="preserve">Applying Eq. </w:t>
      </w:r>
      <w:r w:rsidR="009B05F7">
        <w:rPr>
          <w:szCs w:val="24"/>
        </w:rPr>
        <w:t>(</w:t>
      </w:r>
      <w:r>
        <w:rPr>
          <w:szCs w:val="24"/>
        </w:rPr>
        <w:t>44</w:t>
      </w:r>
      <w:r w:rsidR="009B05F7">
        <w:rPr>
          <w:szCs w:val="24"/>
        </w:rPr>
        <w:t>)</w:t>
      </w:r>
      <w:r>
        <w:rPr>
          <w:szCs w:val="24"/>
        </w:rPr>
        <w:t xml:space="preserve"> to Eq</w:t>
      </w:r>
      <w:r w:rsidR="009B05F7">
        <w:rPr>
          <w:szCs w:val="24"/>
        </w:rPr>
        <w:t>s</w:t>
      </w:r>
      <w:r>
        <w:rPr>
          <w:szCs w:val="24"/>
        </w:rPr>
        <w:t xml:space="preserve">. </w:t>
      </w:r>
      <w:r w:rsidR="009B05F7">
        <w:rPr>
          <w:szCs w:val="24"/>
        </w:rPr>
        <w:t>(42a-</w:t>
      </w:r>
      <w:r>
        <w:rPr>
          <w:szCs w:val="24"/>
        </w:rPr>
        <w:t>b</w:t>
      </w:r>
      <w:r w:rsidR="009B05F7">
        <w:rPr>
          <w:szCs w:val="24"/>
        </w:rPr>
        <w:t>)</w:t>
      </w:r>
      <w:r>
        <w:rPr>
          <w:szCs w:val="24"/>
        </w:rPr>
        <w:t xml:space="preserve"> and simplifying result in,</w:t>
      </w:r>
    </w:p>
    <w:tbl>
      <w:tblPr>
        <w:tblW w:w="0" w:type="auto"/>
        <w:tblLook w:val="04A0" w:firstRow="1" w:lastRow="0" w:firstColumn="1" w:lastColumn="0" w:noHBand="0" w:noVBand="1"/>
      </w:tblPr>
      <w:tblGrid>
        <w:gridCol w:w="7760"/>
        <w:gridCol w:w="736"/>
      </w:tblGrid>
      <w:tr w:rsidR="000C2D31" w14:paraId="75B289B0" w14:textId="77777777" w:rsidTr="000C2D31">
        <w:tc>
          <w:tcPr>
            <w:tcW w:w="7760" w:type="dxa"/>
          </w:tcPr>
          <w:p w14:paraId="48B67FB4" w14:textId="77777777" w:rsidR="000C2D31"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i/>
                        <w:szCs w:val="24"/>
                      </w:rPr>
                    </m:ctrlPr>
                  </m:fPr>
                  <m:num>
                    <m:r>
                      <w:rPr>
                        <w:rFonts w:ascii="Cambria Math" w:hAnsi="Cambria Math" w:cs="Times New Roman"/>
                        <w:szCs w:val="24"/>
                      </w:rPr>
                      <m:t>1</m:t>
                    </m:r>
                  </m:num>
                  <m:den>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den>
                </m:f>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i/>
                        <w:szCs w:val="24"/>
                      </w:rPr>
                    </m:ctrlPr>
                  </m:fPr>
                  <m:num>
                    <m:r>
                      <w:rPr>
                        <w:rFonts w:ascii="Cambria Math" w:hAnsi="Cambria Math" w:cs="Times New Roman"/>
                        <w:szCs w:val="24"/>
                      </w:rPr>
                      <m:t>1</m:t>
                    </m:r>
                  </m:num>
                  <m:den>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den>
                </m:f>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y</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i/>
                        <w:szCs w:val="24"/>
                      </w:rPr>
                    </m:ctrlPr>
                  </m:fPr>
                  <m:num>
                    <m:r>
                      <w:rPr>
                        <w:rFonts w:ascii="Cambria Math" w:hAnsi="Cambria Math" w:cs="Times New Roman"/>
                        <w:szCs w:val="24"/>
                      </w:rPr>
                      <m:t>1</m:t>
                    </m:r>
                  </m:num>
                  <m:den>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den>
                </m:f>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z</m:t>
                        </m:r>
                      </m:e>
                      <m:sup>
                        <m:r>
                          <m:rPr>
                            <m:sty m:val="p"/>
                          </m:rPr>
                          <w:rPr>
                            <w:rFonts w:ascii="Cambria Math" w:hAnsi="Cambria Math" w:cs="Times New Roman"/>
                            <w:szCs w:val="24"/>
                          </w:rPr>
                          <m:t>2</m:t>
                        </m:r>
                      </m:sup>
                    </m:sSup>
                  </m:den>
                </m:f>
                <m:r>
                  <m:rPr>
                    <m:sty m:val="p"/>
                  </m:rP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den>
                </m:f>
                <m:f>
                  <m:fPr>
                    <m:ctrlPr>
                      <w:rPr>
                        <w:rFonts w:ascii="Cambria Math" w:hAnsi="Cambria Math" w:cs="Times New Roman"/>
                        <w:szCs w:val="24"/>
                      </w:rPr>
                    </m:ctrlPr>
                  </m:fPr>
                  <m:num>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m:rPr>
                    <m:sty m:val="p"/>
                  </m:rP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den>
                </m:f>
                <m:f>
                  <m:fPr>
                    <m:ctrlPr>
                      <w:rPr>
                        <w:rFonts w:ascii="Cambria Math" w:hAnsi="Cambria Math" w:cs="Times New Roman"/>
                        <w:szCs w:val="24"/>
                      </w:rPr>
                    </m:ctrlPr>
                  </m:fPr>
                  <m:num>
                    <m:r>
                      <w:rPr>
                        <w:rFonts w:ascii="Cambria Math" w:hAnsi="Cambria Math" w:cs="Times New Roman"/>
                        <w:szCs w:val="24"/>
                      </w:rPr>
                      <m:t>∂ρ</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2</m:t>
                    </m:r>
                  </m:sup>
                </m:sSup>
              </m:oMath>
            </m:oMathPara>
          </w:p>
        </w:tc>
        <w:tc>
          <w:tcPr>
            <w:tcW w:w="736" w:type="dxa"/>
            <w:vAlign w:val="center"/>
          </w:tcPr>
          <w:p w14:paraId="1C4DF4BC" w14:textId="77777777" w:rsidR="000C2D31" w:rsidRDefault="000C2D31" w:rsidP="000C2D31">
            <w:pPr>
              <w:ind w:firstLine="0"/>
              <w:jc w:val="right"/>
              <w:rPr>
                <w:szCs w:val="24"/>
              </w:rPr>
            </w:pPr>
            <w:r>
              <w:rPr>
                <w:szCs w:val="24"/>
              </w:rPr>
              <w:t>(45a)</w:t>
            </w:r>
          </w:p>
        </w:tc>
      </w:tr>
      <w:tr w:rsidR="000C2D31" w14:paraId="025E1E5C" w14:textId="77777777" w:rsidTr="000C2D31">
        <w:tc>
          <w:tcPr>
            <w:tcW w:w="7760" w:type="dxa"/>
          </w:tcPr>
          <w:p w14:paraId="5D592A62" w14:textId="77777777" w:rsidR="000C2D31" w:rsidRDefault="007B3686" w:rsidP="000C2D31">
            <w:pPr>
              <w:rPr>
                <w:szCs w:val="24"/>
              </w:rPr>
            </w:pPr>
            <m:oMathPara>
              <m:oMath>
                <m:f>
                  <m:fPr>
                    <m:ctrlPr>
                      <w:rPr>
                        <w:rFonts w:ascii="Cambria Math" w:hAnsi="Cambria Math" w:cs="Times New Roman"/>
                        <w:i/>
                        <w:szCs w:val="24"/>
                      </w:rPr>
                    </m:ctrlPr>
                  </m:fPr>
                  <m:num>
                    <m:r>
                      <w:rPr>
                        <w:rFonts w:ascii="Cambria Math" w:hAnsi="Cambria Math" w:cs="Times New Roman"/>
                        <w:szCs w:val="24"/>
                      </w:rPr>
                      <m:t>∂ρ</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w:rPr>
                    <w:rFonts w:ascii="Cambria Math" w:hAnsi="Cambria Math" w:cs="Times New Roman"/>
                    <w:szCs w:val="24"/>
                  </w:rPr>
                  <m:t>=γτ</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-βρ</m:t>
                </m:r>
                <m:d>
                  <m:dPr>
                    <m:ctrlPr>
                      <w:rPr>
                        <w:rFonts w:ascii="Cambria Math" w:hAnsi="Cambria Math" w:cs="Times New Roman"/>
                        <w:i/>
                        <w:szCs w:val="24"/>
                      </w:rPr>
                    </m:ctrlPr>
                  </m:dPr>
                  <m:e>
                    <m:r>
                      <w:rPr>
                        <w:rFonts w:ascii="Cambria Math" w:hAnsi="Cambria Math" w:cs="Times New Roman"/>
                        <w:szCs w:val="24"/>
                      </w:rPr>
                      <m:t>t</m:t>
                    </m:r>
                  </m:e>
                </m:d>
              </m:oMath>
            </m:oMathPara>
          </w:p>
        </w:tc>
        <w:tc>
          <w:tcPr>
            <w:tcW w:w="736" w:type="dxa"/>
            <w:vAlign w:val="center"/>
          </w:tcPr>
          <w:p w14:paraId="40BBDEC6" w14:textId="77777777" w:rsidR="000C2D31" w:rsidRDefault="000C2D31" w:rsidP="000C2D31">
            <w:pPr>
              <w:ind w:firstLine="0"/>
              <w:jc w:val="right"/>
              <w:rPr>
                <w:szCs w:val="24"/>
              </w:rPr>
            </w:pPr>
            <w:r>
              <w:rPr>
                <w:szCs w:val="24"/>
              </w:rPr>
              <w:t>(45b)</w:t>
            </w:r>
          </w:p>
        </w:tc>
      </w:tr>
    </w:tbl>
    <w:p w14:paraId="6FBF6D63" w14:textId="77777777" w:rsidR="000C2D31" w:rsidRDefault="000C2D31" w:rsidP="000C2D31">
      <w:pPr>
        <w:ind w:firstLine="0"/>
        <w:rPr>
          <w:szCs w:val="24"/>
        </w:rPr>
      </w:pPr>
      <w:proofErr w:type="gramStart"/>
      <w:r>
        <w:rPr>
          <w:szCs w:val="24"/>
        </w:rPr>
        <w:t>where</w:t>
      </w:r>
      <w:proofErr w:type="gramEnd"/>
    </w:p>
    <w:tbl>
      <w:tblPr>
        <w:tblW w:w="0" w:type="auto"/>
        <w:tblLook w:val="04A0" w:firstRow="1" w:lastRow="0" w:firstColumn="1" w:lastColumn="0" w:noHBand="0" w:noVBand="1"/>
      </w:tblPr>
      <w:tblGrid>
        <w:gridCol w:w="7915"/>
        <w:gridCol w:w="571"/>
      </w:tblGrid>
      <w:tr w:rsidR="000C2D31" w14:paraId="26F10EA6" w14:textId="77777777" w:rsidTr="000C2D31">
        <w:tc>
          <w:tcPr>
            <w:tcW w:w="7915" w:type="dxa"/>
            <w:vAlign w:val="center"/>
          </w:tcPr>
          <w:p w14:paraId="1DD45120" w14:textId="77777777" w:rsidR="000C2D31" w:rsidRDefault="000C2D31" w:rsidP="000C2D31">
            <w:pPr>
              <w:spacing w:before="120" w:after="120" w:line="240" w:lineRule="auto"/>
              <w:ind w:firstLine="0"/>
              <w:jc w:val="center"/>
              <w:rPr>
                <w:szCs w:val="24"/>
              </w:rPr>
            </w:pPr>
            <m:oMathPara>
              <m:oMath>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acc>
                      <m:accPr>
                        <m:chr m:val="̅"/>
                        <m:ctrlPr>
                          <w:rPr>
                            <w:rFonts w:ascii="Cambria Math" w:hAnsi="Cambria Math" w:cs="Times New Roman"/>
                            <w:i/>
                            <w:szCs w:val="24"/>
                          </w:rPr>
                        </m:ctrlPr>
                      </m:accPr>
                      <m:e>
                        <m:r>
                          <w:rPr>
                            <w:rFonts w:ascii="Cambria Math" w:hAnsi="Cambria Math" w:cs="Times New Roman"/>
                            <w:szCs w:val="24"/>
                          </w:rPr>
                          <m:t>X</m:t>
                        </m:r>
                      </m:e>
                    </m:acc>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acc>
                      <m:accPr>
                        <m:chr m:val="̅"/>
                        <m:ctrlPr>
                          <w:rPr>
                            <w:rFonts w:ascii="Cambria Math" w:hAnsi="Cambria Math" w:cs="Times New Roman"/>
                            <w:i/>
                            <w:szCs w:val="24"/>
                          </w:rPr>
                        </m:ctrlPr>
                      </m:accPr>
                      <m:e>
                        <m:r>
                          <w:rPr>
                            <w:rFonts w:ascii="Cambria Math" w:hAnsi="Cambria Math" w:cs="Times New Roman"/>
                            <w:szCs w:val="24"/>
                          </w:rPr>
                          <m:t>Y</m:t>
                        </m:r>
                      </m:e>
                    </m:acc>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acc>
                      <m:accPr>
                        <m:chr m:val="̅"/>
                        <m:ctrlPr>
                          <w:rPr>
                            <w:rFonts w:ascii="Cambria Math" w:hAnsi="Cambria Math" w:cs="Times New Roman"/>
                            <w:i/>
                            <w:szCs w:val="24"/>
                          </w:rPr>
                        </m:ctrlPr>
                      </m:accPr>
                      <m:e>
                        <m:r>
                          <w:rPr>
                            <w:rFonts w:ascii="Cambria Math" w:hAnsi="Cambria Math" w:cs="Times New Roman"/>
                            <w:szCs w:val="24"/>
                          </w:rPr>
                          <m:t>Z</m:t>
                        </m:r>
                      </m:e>
                    </m:acc>
                  </m:e>
                  <m:sup>
                    <m:r>
                      <w:rPr>
                        <w:rFonts w:ascii="Cambria Math" w:hAnsi="Cambria Math" w:cs="Times New Roman"/>
                        <w:szCs w:val="24"/>
                      </w:rPr>
                      <m:t>2</m:t>
                    </m:r>
                  </m:sup>
                </m:sSup>
              </m:oMath>
            </m:oMathPara>
          </w:p>
        </w:tc>
        <w:tc>
          <w:tcPr>
            <w:tcW w:w="571" w:type="dxa"/>
            <w:vAlign w:val="center"/>
          </w:tcPr>
          <w:p w14:paraId="7539013A" w14:textId="77777777" w:rsidR="000C2D31" w:rsidRDefault="000C2D31" w:rsidP="000C2D31">
            <w:pPr>
              <w:ind w:firstLine="0"/>
              <w:jc w:val="right"/>
              <w:rPr>
                <w:szCs w:val="24"/>
              </w:rPr>
            </w:pPr>
          </w:p>
        </w:tc>
      </w:tr>
    </w:tbl>
    <w:p w14:paraId="0C3C814B" w14:textId="75B18AA1" w:rsidR="000C2D31" w:rsidRDefault="000C2D31" w:rsidP="000C2D31">
      <w:pPr>
        <w:ind w:firstLine="0"/>
        <w:rPr>
          <w:szCs w:val="24"/>
        </w:rPr>
      </w:pPr>
      <w:r>
        <w:rPr>
          <w:szCs w:val="24"/>
        </w:rPr>
        <w:t xml:space="preserve">Eq. </w:t>
      </w:r>
      <w:r w:rsidR="009B05F7">
        <w:rPr>
          <w:szCs w:val="24"/>
        </w:rPr>
        <w:t>(</w:t>
      </w:r>
      <w:r>
        <w:rPr>
          <w:szCs w:val="24"/>
        </w:rPr>
        <w:t>45a</w:t>
      </w:r>
      <w:r w:rsidR="009B05F7">
        <w:rPr>
          <w:szCs w:val="24"/>
        </w:rPr>
        <w:t>)</w:t>
      </w:r>
      <w:r>
        <w:rPr>
          <w:szCs w:val="24"/>
        </w:rPr>
        <w:t xml:space="preserve"> can also be written as follows,</w:t>
      </w:r>
    </w:p>
    <w:tbl>
      <w:tblPr>
        <w:tblW w:w="0" w:type="auto"/>
        <w:tblLook w:val="04A0" w:firstRow="1" w:lastRow="0" w:firstColumn="1" w:lastColumn="0" w:noHBand="0" w:noVBand="1"/>
      </w:tblPr>
      <w:tblGrid>
        <w:gridCol w:w="7735"/>
        <w:gridCol w:w="751"/>
      </w:tblGrid>
      <w:tr w:rsidR="000C2D31" w14:paraId="5494E257" w14:textId="77777777" w:rsidTr="000C2D31">
        <w:tc>
          <w:tcPr>
            <w:tcW w:w="7735" w:type="dxa"/>
          </w:tcPr>
          <w:p w14:paraId="0838C3FC" w14:textId="77777777" w:rsidR="000C2D31"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m:rPr>
                            <m:sty m:val="p"/>
                          </m:rPr>
                          <w:rPr>
                            <w:rFonts w:ascii="Cambria Math" w:hAnsi="Cambria Math" w:cs="Times New Roman"/>
                            <w:szCs w:val="24"/>
                          </w:rPr>
                          <m:t>2</m:t>
                        </m:r>
                      </m:sup>
                    </m:sSup>
                  </m:den>
                </m:f>
                <m:r>
                  <w:rPr>
                    <w:rFonts w:ascii="Cambria Math" w:hAnsi="Cambria Math" w:cs="Times New Roman"/>
                    <w:szCs w:val="24"/>
                  </w:rPr>
                  <m:t>=-</m:t>
                </m:r>
                <m:sSup>
                  <m:sSupPr>
                    <m:ctrlPr>
                      <w:rPr>
                        <w:rFonts w:ascii="Cambria Math" w:hAnsi="Cambria Math" w:cs="Times New Roman"/>
                        <w:i/>
                        <w:szCs w:val="24"/>
                      </w:rPr>
                    </m:ctrlPr>
                  </m:sSupPr>
                  <m:e>
                    <m:acc>
                      <m:accPr>
                        <m:chr m:val="̅"/>
                        <m:ctrlPr>
                          <w:rPr>
                            <w:rFonts w:ascii="Cambria Math" w:hAnsi="Cambria Math" w:cs="Times New Roman"/>
                            <w:i/>
                            <w:szCs w:val="24"/>
                          </w:rPr>
                        </m:ctrlPr>
                      </m:accPr>
                      <m:e>
                        <m:r>
                          <w:rPr>
                            <w:rFonts w:ascii="Cambria Math" w:hAnsi="Cambria Math" w:cs="Times New Roman"/>
                            <w:szCs w:val="24"/>
                          </w:rPr>
                          <m:t>X</m:t>
                        </m:r>
                      </m:e>
                    </m:acc>
                  </m:e>
                  <m:sup>
                    <m: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oMath>
            </m:oMathPara>
          </w:p>
        </w:tc>
        <w:tc>
          <w:tcPr>
            <w:tcW w:w="751" w:type="dxa"/>
            <w:vAlign w:val="center"/>
          </w:tcPr>
          <w:p w14:paraId="04C354B2" w14:textId="77777777" w:rsidR="000C2D31" w:rsidRDefault="000C2D31" w:rsidP="000C2D31">
            <w:pPr>
              <w:ind w:firstLine="0"/>
              <w:jc w:val="right"/>
              <w:rPr>
                <w:szCs w:val="24"/>
              </w:rPr>
            </w:pPr>
            <w:r>
              <w:rPr>
                <w:szCs w:val="24"/>
              </w:rPr>
              <w:t>(46a)</w:t>
            </w:r>
          </w:p>
        </w:tc>
      </w:tr>
      <w:tr w:rsidR="000C2D31" w14:paraId="39D64B83" w14:textId="77777777" w:rsidTr="000C2D31">
        <w:tc>
          <w:tcPr>
            <w:tcW w:w="7735" w:type="dxa"/>
          </w:tcPr>
          <w:p w14:paraId="6EBC0DDA" w14:textId="77777777" w:rsidR="000C2D31"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y</m:t>
                        </m:r>
                      </m:e>
                      <m:sup>
                        <m:r>
                          <m:rPr>
                            <m:sty m:val="p"/>
                          </m:rPr>
                          <w:rPr>
                            <w:rFonts w:ascii="Cambria Math" w:hAnsi="Cambria Math" w:cs="Times New Roman"/>
                            <w:szCs w:val="24"/>
                          </w:rPr>
                          <m:t>2</m:t>
                        </m:r>
                      </m:sup>
                    </m:sSup>
                  </m:den>
                </m:f>
                <m:r>
                  <m:rPr>
                    <m:sty m:val="p"/>
                  </m:rP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m:t>
                    </m:r>
                    <m:sSup>
                      <m:sSupPr>
                        <m:ctrlPr>
                          <w:rPr>
                            <w:rFonts w:ascii="Cambria Math" w:hAnsi="Cambria Math" w:cs="Times New Roman"/>
                            <w:i/>
                            <w:szCs w:val="24"/>
                          </w:rPr>
                        </m:ctrlPr>
                      </m:sSupPr>
                      <m:e>
                        <m:acc>
                          <m:accPr>
                            <m:chr m:val="̅"/>
                            <m:ctrlPr>
                              <w:rPr>
                                <w:rFonts w:ascii="Cambria Math" w:hAnsi="Cambria Math" w:cs="Times New Roman"/>
                                <w:i/>
                                <w:szCs w:val="24"/>
                              </w:rPr>
                            </m:ctrlPr>
                          </m:accPr>
                          <m:e>
                            <m:r>
                              <w:rPr>
                                <w:rFonts w:ascii="Cambria Math" w:hAnsi="Cambria Math" w:cs="Times New Roman"/>
                                <w:szCs w:val="24"/>
                              </w:rPr>
                              <m:t>Y</m:t>
                            </m:r>
                          </m:e>
                        </m:acc>
                      </m:e>
                      <m:sup>
                        <m:r>
                          <w:rPr>
                            <w:rFonts w:ascii="Cambria Math" w:hAnsi="Cambria Math" w:cs="Times New Roman"/>
                            <w:szCs w:val="24"/>
                          </w:rPr>
                          <m:t>2</m:t>
                        </m:r>
                      </m:sup>
                    </m:sSup>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oMath>
            </m:oMathPara>
          </w:p>
        </w:tc>
        <w:tc>
          <w:tcPr>
            <w:tcW w:w="751" w:type="dxa"/>
            <w:vAlign w:val="center"/>
          </w:tcPr>
          <w:p w14:paraId="3F6C53C4" w14:textId="77777777" w:rsidR="000C2D31" w:rsidRDefault="000C2D31" w:rsidP="000C2D31">
            <w:pPr>
              <w:ind w:firstLine="0"/>
              <w:jc w:val="right"/>
              <w:rPr>
                <w:szCs w:val="24"/>
              </w:rPr>
            </w:pPr>
            <w:r>
              <w:rPr>
                <w:szCs w:val="24"/>
              </w:rPr>
              <w:t>(46b)</w:t>
            </w:r>
          </w:p>
        </w:tc>
      </w:tr>
      <w:tr w:rsidR="000C2D31" w14:paraId="17C8DC56" w14:textId="77777777" w:rsidTr="000C2D31">
        <w:tc>
          <w:tcPr>
            <w:tcW w:w="7735" w:type="dxa"/>
          </w:tcPr>
          <w:p w14:paraId="6D1BBB1A" w14:textId="77777777" w:rsidR="000C2D31" w:rsidRDefault="007B3686" w:rsidP="000C2D31">
            <w:pPr>
              <w:rPr>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i</m:t>
                    </m:r>
                  </m:sub>
                </m:sSub>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m:t>
                        </m:r>
                      </m:e>
                      <m:sup>
                        <m:r>
                          <m:rPr>
                            <m:sty m:val="p"/>
                          </m:rP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num>
                  <m:den>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z</m:t>
                        </m:r>
                      </m:e>
                      <m:sup>
                        <m:r>
                          <m:rPr>
                            <m:sty m:val="p"/>
                          </m:rPr>
                          <w:rPr>
                            <w:rFonts w:ascii="Cambria Math" w:hAnsi="Cambria Math" w:cs="Times New Roman"/>
                            <w:szCs w:val="24"/>
                          </w:rPr>
                          <m:t>2</m:t>
                        </m:r>
                      </m:sup>
                    </m:sSup>
                  </m:den>
                </m:f>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m:t>
                    </m:r>
                    <m:sSup>
                      <m:sSupPr>
                        <m:ctrlPr>
                          <w:rPr>
                            <w:rFonts w:ascii="Cambria Math" w:hAnsi="Cambria Math" w:cs="Times New Roman"/>
                            <w:i/>
                            <w:szCs w:val="24"/>
                          </w:rPr>
                        </m:ctrlPr>
                      </m:sSupPr>
                      <m:e>
                        <m:acc>
                          <m:accPr>
                            <m:chr m:val="̅"/>
                            <m:ctrlPr>
                              <w:rPr>
                                <w:rFonts w:ascii="Cambria Math" w:hAnsi="Cambria Math" w:cs="Times New Roman"/>
                                <w:i/>
                                <w:szCs w:val="24"/>
                              </w:rPr>
                            </m:ctrlPr>
                          </m:accPr>
                          <m:e>
                            <m:r>
                              <w:rPr>
                                <w:rFonts w:ascii="Cambria Math" w:hAnsi="Cambria Math" w:cs="Times New Roman"/>
                                <w:szCs w:val="24"/>
                              </w:rPr>
                              <m:t>Z</m:t>
                            </m:r>
                          </m:e>
                        </m:acc>
                      </m:e>
                      <m:sup>
                        <m:r>
                          <w:rPr>
                            <w:rFonts w:ascii="Cambria Math" w:hAnsi="Cambria Math" w:cs="Times New Roman"/>
                            <w:szCs w:val="24"/>
                          </w:rPr>
                          <m:t>2</m:t>
                        </m:r>
                      </m:sup>
                    </m:sSup>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oMath>
            </m:oMathPara>
          </w:p>
        </w:tc>
        <w:tc>
          <w:tcPr>
            <w:tcW w:w="751" w:type="dxa"/>
            <w:vAlign w:val="center"/>
          </w:tcPr>
          <w:p w14:paraId="5BE5BE78" w14:textId="77777777" w:rsidR="000C2D31" w:rsidRDefault="000C2D31" w:rsidP="000C2D31">
            <w:pPr>
              <w:ind w:firstLine="0"/>
              <w:jc w:val="right"/>
              <w:rPr>
                <w:szCs w:val="24"/>
              </w:rPr>
            </w:pPr>
            <w:r>
              <w:rPr>
                <w:szCs w:val="24"/>
              </w:rPr>
              <w:t>(46c)</w:t>
            </w:r>
          </w:p>
        </w:tc>
      </w:tr>
      <w:tr w:rsidR="000C2D31" w14:paraId="7098FF33" w14:textId="77777777" w:rsidTr="000C2D31">
        <w:tc>
          <w:tcPr>
            <w:tcW w:w="7735" w:type="dxa"/>
          </w:tcPr>
          <w:p w14:paraId="0FB98173" w14:textId="77777777" w:rsidR="000C2D31" w:rsidRDefault="007B3686" w:rsidP="000C2D31">
            <w:pPr>
              <w:rPr>
                <w:szCs w:val="24"/>
              </w:rPr>
            </w:pPr>
            <m:oMathPara>
              <m:oMath>
                <m:f>
                  <m:fPr>
                    <m:ctrlPr>
                      <w:rPr>
                        <w:rFonts w:ascii="Cambria Math" w:hAnsi="Cambria Math" w:cs="Times New Roman"/>
                        <w:szCs w:val="24"/>
                      </w:rPr>
                    </m:ctrlPr>
                  </m:fPr>
                  <m:num>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∂ρ</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2</m:t>
                    </m:r>
                  </m:sup>
                </m:sSup>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oMath>
            </m:oMathPara>
          </w:p>
        </w:tc>
        <w:tc>
          <w:tcPr>
            <w:tcW w:w="751" w:type="dxa"/>
            <w:vAlign w:val="center"/>
          </w:tcPr>
          <w:p w14:paraId="5AA7C0B6" w14:textId="77777777" w:rsidR="000C2D31" w:rsidRDefault="000C2D31" w:rsidP="000C2D31">
            <w:pPr>
              <w:ind w:firstLine="0"/>
              <w:jc w:val="right"/>
              <w:rPr>
                <w:szCs w:val="24"/>
              </w:rPr>
            </w:pPr>
            <w:r>
              <w:rPr>
                <w:szCs w:val="24"/>
              </w:rPr>
              <w:t>(46d)</w:t>
            </w:r>
          </w:p>
        </w:tc>
      </w:tr>
    </w:tbl>
    <w:p w14:paraId="388335BF" w14:textId="77777777" w:rsidR="000C2D31" w:rsidRDefault="000C2D31" w:rsidP="000C2D31">
      <w:pPr>
        <w:ind w:firstLine="0"/>
        <w:rPr>
          <w:szCs w:val="24"/>
        </w:rPr>
      </w:pPr>
    </w:p>
    <w:p w14:paraId="1CB1C1B9" w14:textId="04DBA911" w:rsidR="000C2D31" w:rsidRDefault="000C2D31" w:rsidP="000C2D31">
      <w:pPr>
        <w:ind w:firstLine="0"/>
        <w:rPr>
          <w:szCs w:val="24"/>
        </w:rPr>
      </w:pPr>
      <w:r>
        <w:rPr>
          <w:szCs w:val="24"/>
        </w:rPr>
        <w:lastRenderedPageBreak/>
        <w:t xml:space="preserve">Inserting Eq. </w:t>
      </w:r>
      <w:r w:rsidR="009B05F7">
        <w:rPr>
          <w:szCs w:val="24"/>
        </w:rPr>
        <w:t>(</w:t>
      </w:r>
      <w:r>
        <w:rPr>
          <w:szCs w:val="24"/>
        </w:rPr>
        <w:t>45b</w:t>
      </w:r>
      <w:r w:rsidR="009B05F7">
        <w:rPr>
          <w:szCs w:val="24"/>
        </w:rPr>
        <w:t>)</w:t>
      </w:r>
      <w:r>
        <w:rPr>
          <w:szCs w:val="24"/>
        </w:rPr>
        <w:t xml:space="preserve"> into Eq. </w:t>
      </w:r>
      <w:r w:rsidR="009B05F7">
        <w:rPr>
          <w:szCs w:val="24"/>
        </w:rPr>
        <w:t>(</w:t>
      </w:r>
      <w:r>
        <w:rPr>
          <w:szCs w:val="24"/>
        </w:rPr>
        <w:t>46d</w:t>
      </w:r>
      <w:r w:rsidR="009B05F7">
        <w:rPr>
          <w:szCs w:val="24"/>
        </w:rPr>
        <w:t>)</w:t>
      </w:r>
      <w:r>
        <w:rPr>
          <w:szCs w:val="24"/>
        </w:rPr>
        <w:t xml:space="preserve"> yields,</w:t>
      </w:r>
    </w:p>
    <w:tbl>
      <w:tblPr>
        <w:tblW w:w="0" w:type="auto"/>
        <w:tblLook w:val="04A0" w:firstRow="1" w:lastRow="0" w:firstColumn="1" w:lastColumn="0" w:noHBand="0" w:noVBand="1"/>
      </w:tblPr>
      <w:tblGrid>
        <w:gridCol w:w="7735"/>
        <w:gridCol w:w="751"/>
      </w:tblGrid>
      <w:tr w:rsidR="000C2D31" w14:paraId="3EC08303" w14:textId="77777777" w:rsidTr="000C2D31">
        <w:tc>
          <w:tcPr>
            <w:tcW w:w="7735" w:type="dxa"/>
          </w:tcPr>
          <w:p w14:paraId="6A6187CF" w14:textId="77777777" w:rsidR="000C2D31" w:rsidRDefault="007B3686" w:rsidP="000C2D31">
            <w:pPr>
              <w:rPr>
                <w:szCs w:val="24"/>
              </w:rPr>
            </w:pPr>
            <m:oMathPara>
              <m:oMath>
                <m:f>
                  <m:fPr>
                    <m:ctrlPr>
                      <w:rPr>
                        <w:rFonts w:ascii="Cambria Math" w:hAnsi="Cambria Math" w:cs="Times New Roman"/>
                        <w:szCs w:val="24"/>
                      </w:rPr>
                    </m:ctrlPr>
                  </m:fPr>
                  <m:num>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m:rPr>
                    <m:sty m:val="p"/>
                  </m:rPr>
                  <w:rPr>
                    <w:rFonts w:ascii="Cambria Math" w:hAnsi="Cambria Math" w:cs="Times New Roman"/>
                    <w:szCs w:val="24"/>
                  </w:rPr>
                  <m:t>+</m:t>
                </m:r>
                <m:r>
                  <w:rPr>
                    <w:rFonts w:ascii="Cambria Math" w:hAnsi="Cambria Math" w:cs="Times New Roman"/>
                    <w:szCs w:val="24"/>
                  </w:rPr>
                  <m:t>γτ</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-βρ</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2</m:t>
                    </m:r>
                  </m:sup>
                </m:sSup>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oMath>
            </m:oMathPara>
          </w:p>
        </w:tc>
        <w:tc>
          <w:tcPr>
            <w:tcW w:w="751" w:type="dxa"/>
            <w:vAlign w:val="center"/>
          </w:tcPr>
          <w:p w14:paraId="3AA3F37B" w14:textId="77777777" w:rsidR="000C2D31" w:rsidRDefault="000C2D31" w:rsidP="000C2D31">
            <w:pPr>
              <w:ind w:firstLine="0"/>
              <w:jc w:val="right"/>
              <w:rPr>
                <w:szCs w:val="24"/>
              </w:rPr>
            </w:pPr>
            <w:r>
              <w:rPr>
                <w:szCs w:val="24"/>
              </w:rPr>
              <w:t>(47)</w:t>
            </w:r>
          </w:p>
        </w:tc>
      </w:tr>
    </w:tbl>
    <w:p w14:paraId="7A6ECEF2" w14:textId="45DC1120" w:rsidR="000C2D31" w:rsidRDefault="000C2D31" w:rsidP="000C2D31">
      <w:pPr>
        <w:rPr>
          <w:szCs w:val="24"/>
        </w:rPr>
      </w:pPr>
      <w:r>
        <w:rPr>
          <w:szCs w:val="24"/>
        </w:rPr>
        <w:t xml:space="preserve">There needs to be a correlation between </w:t>
      </w:r>
      <m:oMath>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oMath>
      <w:r>
        <w:rPr>
          <w:szCs w:val="24"/>
        </w:rPr>
        <w:t xml:space="preserve"> and</w:t>
      </w:r>
      <m:oMath>
        <m:r>
          <w:rPr>
            <w:rFonts w:ascii="Cambria Math" w:hAnsi="Cambria Math" w:cs="Times New Roman"/>
            <w:szCs w:val="24"/>
          </w:rPr>
          <m:t xml:space="preserve"> ρ</m:t>
        </m:r>
        <m:d>
          <m:dPr>
            <m:ctrlPr>
              <w:rPr>
                <w:rFonts w:ascii="Cambria Math" w:hAnsi="Cambria Math" w:cs="Times New Roman"/>
                <w:i/>
                <w:szCs w:val="24"/>
              </w:rPr>
            </m:ctrlPr>
          </m:dPr>
          <m:e>
            <m:r>
              <w:rPr>
                <w:rFonts w:ascii="Cambria Math" w:hAnsi="Cambria Math" w:cs="Times New Roman"/>
                <w:szCs w:val="24"/>
              </w:rPr>
              <m:t>t</m:t>
            </m:r>
          </m:e>
        </m:d>
      </m:oMath>
      <w:r>
        <w:rPr>
          <w:szCs w:val="24"/>
        </w:rPr>
        <w:t xml:space="preserve"> in order to solve the system of equations. The correlation can be found by Laplace transformation of Eq. </w:t>
      </w:r>
      <w:r w:rsidR="009B05F7">
        <w:rPr>
          <w:szCs w:val="24"/>
        </w:rPr>
        <w:t>(</w:t>
      </w:r>
      <w:r>
        <w:rPr>
          <w:szCs w:val="24"/>
        </w:rPr>
        <w:t>45b</w:t>
      </w:r>
      <w:r w:rsidR="009B05F7">
        <w:rPr>
          <w:szCs w:val="24"/>
        </w:rPr>
        <w:t>)</w:t>
      </w:r>
      <w:r>
        <w:rPr>
          <w:szCs w:val="24"/>
        </w:rPr>
        <w:t xml:space="preserve">. </w:t>
      </w:r>
    </w:p>
    <w:tbl>
      <w:tblPr>
        <w:tblW w:w="0" w:type="auto"/>
        <w:tblLook w:val="04A0" w:firstRow="1" w:lastRow="0" w:firstColumn="1" w:lastColumn="0" w:noHBand="0" w:noVBand="1"/>
      </w:tblPr>
      <w:tblGrid>
        <w:gridCol w:w="7825"/>
        <w:gridCol w:w="661"/>
      </w:tblGrid>
      <w:tr w:rsidR="000C2D31" w14:paraId="4621A637" w14:textId="77777777" w:rsidTr="000C2D31">
        <w:tc>
          <w:tcPr>
            <w:tcW w:w="7825" w:type="dxa"/>
          </w:tcPr>
          <w:p w14:paraId="08061759" w14:textId="77777777" w:rsidR="000C2D31" w:rsidRDefault="000C2D31" w:rsidP="000C2D31">
            <w:pPr>
              <w:ind w:firstLine="0"/>
              <w:rPr>
                <w:szCs w:val="24"/>
              </w:rPr>
            </w:pPr>
            <m:oMathPara>
              <m:oMath>
                <m:r>
                  <m:rPr>
                    <m:scr m:val="script"/>
                    <m:sty m:val="p"/>
                  </m:rPr>
                  <w:rPr>
                    <w:rFonts w:ascii="Cambria Math" w:hAnsi="Cambria Math"/>
                    <w:sz w:val="23"/>
                    <w:szCs w:val="23"/>
                  </w:rPr>
                  <m:t>L</m:t>
                </m:r>
                <m:d>
                  <m:dPr>
                    <m:begChr m:val="{"/>
                    <m:endChr m:val="}"/>
                    <m:ctrlPr>
                      <w:rPr>
                        <w:rFonts w:ascii="Cambria Math" w:hAnsi="Cambria Math"/>
                        <w:sz w:val="23"/>
                        <w:szCs w:val="23"/>
                      </w:rPr>
                    </m:ctrlPr>
                  </m:dPr>
                  <m:e>
                    <m:f>
                      <m:fPr>
                        <m:ctrlPr>
                          <w:rPr>
                            <w:rFonts w:ascii="Cambria Math" w:hAnsi="Cambria Math" w:cs="Times New Roman"/>
                            <w:i/>
                            <w:szCs w:val="24"/>
                          </w:rPr>
                        </m:ctrlPr>
                      </m:fPr>
                      <m:num>
                        <m:r>
                          <w:rPr>
                            <w:rFonts w:ascii="Cambria Math" w:hAnsi="Cambria Math" w:cs="Times New Roman"/>
                            <w:szCs w:val="24"/>
                          </w:rPr>
                          <m:t>∂ρ</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e>
                </m:d>
                <m:r>
                  <w:rPr>
                    <w:rFonts w:ascii="Cambria Math" w:hAnsi="Cambria Math" w:cs="Times New Roman"/>
                    <w:szCs w:val="24"/>
                  </w:rPr>
                  <m:t>=</m:t>
                </m:r>
                <m:r>
                  <m:rPr>
                    <m:scr m:val="script"/>
                    <m:sty m:val="p"/>
                  </m:rPr>
                  <w:rPr>
                    <w:rFonts w:ascii="Cambria Math" w:hAnsi="Cambria Math"/>
                    <w:sz w:val="23"/>
                    <w:szCs w:val="23"/>
                  </w:rPr>
                  <m:t>L</m:t>
                </m:r>
                <m:d>
                  <m:dPr>
                    <m:begChr m:val="{"/>
                    <m:endChr m:val="}"/>
                    <m:ctrlPr>
                      <w:rPr>
                        <w:rFonts w:ascii="Cambria Math" w:hAnsi="Cambria Math"/>
                        <w:sz w:val="23"/>
                        <w:szCs w:val="23"/>
                      </w:rPr>
                    </m:ctrlPr>
                  </m:dPr>
                  <m:e>
                    <m:r>
                      <w:rPr>
                        <w:rFonts w:ascii="Cambria Math" w:hAnsi="Cambria Math" w:cs="Times New Roman"/>
                        <w:szCs w:val="24"/>
                      </w:rPr>
                      <m:t>γτ</m:t>
                    </m:r>
                    <m:d>
                      <m:dPr>
                        <m:ctrlPr>
                          <w:rPr>
                            <w:rFonts w:ascii="Cambria Math" w:hAnsi="Cambria Math" w:cs="Times New Roman"/>
                            <w:i/>
                            <w:szCs w:val="24"/>
                          </w:rPr>
                        </m:ctrlPr>
                      </m:dPr>
                      <m:e>
                        <m:r>
                          <w:rPr>
                            <w:rFonts w:ascii="Cambria Math" w:hAnsi="Cambria Math" w:cs="Times New Roman"/>
                            <w:szCs w:val="24"/>
                          </w:rPr>
                          <m:t>t</m:t>
                        </m:r>
                      </m:e>
                    </m:d>
                  </m:e>
                </m:d>
                <m:r>
                  <w:rPr>
                    <w:rFonts w:ascii="Cambria Math" w:hAnsi="Cambria Math" w:cs="Times New Roman"/>
                    <w:szCs w:val="24"/>
                  </w:rPr>
                  <m:t>-</m:t>
                </m:r>
                <m:r>
                  <m:rPr>
                    <m:scr m:val="script"/>
                    <m:sty m:val="p"/>
                  </m:rPr>
                  <w:rPr>
                    <w:rFonts w:ascii="Cambria Math" w:hAnsi="Cambria Math"/>
                    <w:sz w:val="23"/>
                    <w:szCs w:val="23"/>
                  </w:rPr>
                  <m:t>L</m:t>
                </m:r>
                <m:d>
                  <m:dPr>
                    <m:begChr m:val="{"/>
                    <m:endChr m:val="}"/>
                    <m:ctrlPr>
                      <w:rPr>
                        <w:rFonts w:ascii="Cambria Math" w:hAnsi="Cambria Math"/>
                        <w:sz w:val="23"/>
                        <w:szCs w:val="23"/>
                      </w:rPr>
                    </m:ctrlPr>
                  </m:dPr>
                  <m:e>
                    <m:r>
                      <w:rPr>
                        <w:rFonts w:ascii="Cambria Math" w:hAnsi="Cambria Math" w:cs="Times New Roman"/>
                        <w:szCs w:val="24"/>
                      </w:rPr>
                      <m:t>βρ</m:t>
                    </m:r>
                    <m:d>
                      <m:dPr>
                        <m:ctrlPr>
                          <w:rPr>
                            <w:rFonts w:ascii="Cambria Math" w:hAnsi="Cambria Math" w:cs="Times New Roman"/>
                            <w:i/>
                            <w:szCs w:val="24"/>
                          </w:rPr>
                        </m:ctrlPr>
                      </m:dPr>
                      <m:e>
                        <m:r>
                          <w:rPr>
                            <w:rFonts w:ascii="Cambria Math" w:hAnsi="Cambria Math" w:cs="Times New Roman"/>
                            <w:szCs w:val="24"/>
                          </w:rPr>
                          <m:t>t</m:t>
                        </m:r>
                      </m:e>
                    </m:d>
                  </m:e>
                </m:d>
              </m:oMath>
            </m:oMathPara>
          </w:p>
        </w:tc>
        <w:tc>
          <w:tcPr>
            <w:tcW w:w="661" w:type="dxa"/>
            <w:vAlign w:val="center"/>
          </w:tcPr>
          <w:p w14:paraId="6CBA6781" w14:textId="77777777" w:rsidR="000C2D31" w:rsidRDefault="000C2D31" w:rsidP="000C2D31">
            <w:pPr>
              <w:ind w:firstLine="0"/>
              <w:jc w:val="right"/>
              <w:rPr>
                <w:szCs w:val="24"/>
              </w:rPr>
            </w:pPr>
            <w:r>
              <w:rPr>
                <w:szCs w:val="24"/>
              </w:rPr>
              <w:t>(48)</w:t>
            </w:r>
          </w:p>
        </w:tc>
      </w:tr>
    </w:tbl>
    <w:p w14:paraId="13F26A9E" w14:textId="1028333C" w:rsidR="000C2D31" w:rsidRDefault="000C2D31" w:rsidP="000C2D31">
      <w:pPr>
        <w:ind w:firstLine="0"/>
        <w:rPr>
          <w:sz w:val="23"/>
          <w:szCs w:val="23"/>
        </w:rPr>
      </w:pPr>
      <w:r>
        <w:rPr>
          <w:sz w:val="23"/>
          <w:szCs w:val="23"/>
        </w:rPr>
        <w:t xml:space="preserve">Eq. </w:t>
      </w:r>
      <w:r w:rsidR="009B05F7">
        <w:rPr>
          <w:sz w:val="23"/>
          <w:szCs w:val="23"/>
        </w:rPr>
        <w:t>(</w:t>
      </w:r>
      <w:r>
        <w:rPr>
          <w:sz w:val="23"/>
          <w:szCs w:val="23"/>
        </w:rPr>
        <w:t>48</w:t>
      </w:r>
      <w:r w:rsidR="009B05F7">
        <w:rPr>
          <w:sz w:val="23"/>
          <w:szCs w:val="23"/>
        </w:rPr>
        <w:t>)</w:t>
      </w:r>
      <w:r>
        <w:rPr>
          <w:sz w:val="23"/>
          <w:szCs w:val="23"/>
        </w:rPr>
        <w:t xml:space="preserve"> gives,</w:t>
      </w:r>
    </w:p>
    <w:tbl>
      <w:tblPr>
        <w:tblW w:w="0" w:type="auto"/>
        <w:tblLook w:val="04A0" w:firstRow="1" w:lastRow="0" w:firstColumn="1" w:lastColumn="0" w:noHBand="0" w:noVBand="1"/>
      </w:tblPr>
      <w:tblGrid>
        <w:gridCol w:w="7773"/>
        <w:gridCol w:w="723"/>
      </w:tblGrid>
      <w:tr w:rsidR="000C2D31" w14:paraId="309F55AE" w14:textId="77777777" w:rsidTr="000C2D31">
        <w:tc>
          <w:tcPr>
            <w:tcW w:w="7825" w:type="dxa"/>
          </w:tcPr>
          <w:p w14:paraId="55F0F2AF" w14:textId="77777777" w:rsidR="000C2D31" w:rsidRPr="00A55E90" w:rsidRDefault="000C2D31" w:rsidP="000C2D31">
            <w:pPr>
              <w:jc w:val="center"/>
              <w:rPr>
                <w:szCs w:val="24"/>
              </w:rPr>
            </w:pPr>
            <m:oMathPara>
              <m:oMath>
                <m:r>
                  <w:rPr>
                    <w:rFonts w:ascii="Cambria Math" w:hAnsi="Cambria Math"/>
                    <w:sz w:val="23"/>
                    <w:szCs w:val="23"/>
                  </w:rPr>
                  <m:t>-s</m:t>
                </m:r>
                <m:r>
                  <w:rPr>
                    <w:rFonts w:ascii="Cambria Math" w:hAnsi="Cambria Math" w:cs="Times New Roman"/>
                    <w:szCs w:val="24"/>
                  </w:rPr>
                  <m:t xml:space="preserve"> </m:t>
                </m:r>
                <m:acc>
                  <m:accPr>
                    <m:chr m:val="̅"/>
                    <m:ctrlPr>
                      <w:rPr>
                        <w:rFonts w:ascii="Cambria Math" w:hAnsi="Cambria Math" w:cs="Times New Roman"/>
                        <w:i/>
                        <w:szCs w:val="24"/>
                      </w:rPr>
                    </m:ctrlPr>
                  </m:accPr>
                  <m:e>
                    <m:r>
                      <w:rPr>
                        <w:rFonts w:ascii="Cambria Math" w:hAnsi="Cambria Math" w:cs="Times New Roman"/>
                        <w:szCs w:val="24"/>
                      </w:rPr>
                      <m:t>ρ</m:t>
                    </m:r>
                  </m:e>
                </m:acc>
                <m:d>
                  <m:dPr>
                    <m:ctrlPr>
                      <w:rPr>
                        <w:rFonts w:ascii="Cambria Math" w:hAnsi="Cambria Math" w:cs="Times New Roman"/>
                        <w:i/>
                        <w:szCs w:val="24"/>
                      </w:rPr>
                    </m:ctrlPr>
                  </m:dPr>
                  <m:e>
                    <m:r>
                      <w:rPr>
                        <w:rFonts w:ascii="Cambria Math" w:hAnsi="Cambria Math" w:cs="Times New Roman"/>
                        <w:szCs w:val="24"/>
                      </w:rPr>
                      <m:t>s</m:t>
                    </m:r>
                  </m:e>
                </m:d>
                <m:r>
                  <w:rPr>
                    <w:rFonts w:ascii="Cambria Math" w:hAnsi="Cambria Math" w:cs="Times New Roman"/>
                    <w:szCs w:val="24"/>
                  </w:rPr>
                  <m:t>= γ</m:t>
                </m:r>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i/>
                        <w:szCs w:val="24"/>
                      </w:rPr>
                    </m:ctrlPr>
                  </m:dPr>
                  <m:e>
                    <m:r>
                      <w:rPr>
                        <w:rFonts w:ascii="Cambria Math" w:hAnsi="Cambria Math" w:cs="Times New Roman"/>
                        <w:szCs w:val="24"/>
                      </w:rPr>
                      <m:t>s</m:t>
                    </m:r>
                  </m:e>
                </m:d>
                <m:r>
                  <w:rPr>
                    <w:rFonts w:ascii="Cambria Math" w:hAnsi="Cambria Math" w:cs="Times New Roman"/>
                    <w:szCs w:val="24"/>
                  </w:rPr>
                  <m:t>- β</m:t>
                </m:r>
                <m:acc>
                  <m:accPr>
                    <m:chr m:val="̅"/>
                    <m:ctrlPr>
                      <w:rPr>
                        <w:rFonts w:ascii="Cambria Math" w:hAnsi="Cambria Math" w:cs="Times New Roman"/>
                        <w:szCs w:val="24"/>
                      </w:rPr>
                    </m:ctrlPr>
                  </m:accPr>
                  <m:e>
                    <m:r>
                      <w:rPr>
                        <w:rFonts w:ascii="Cambria Math" w:hAnsi="Cambria Math" w:cs="Times New Roman"/>
                        <w:szCs w:val="24"/>
                      </w:rPr>
                      <m:t>ρ</m:t>
                    </m:r>
                  </m:e>
                </m:acc>
                <m:d>
                  <m:dPr>
                    <m:ctrlPr>
                      <w:rPr>
                        <w:rFonts w:ascii="Cambria Math" w:hAnsi="Cambria Math" w:cs="Times New Roman"/>
                        <w:i/>
                        <w:szCs w:val="24"/>
                      </w:rPr>
                    </m:ctrlPr>
                  </m:dPr>
                  <m:e>
                    <m:r>
                      <w:rPr>
                        <w:rFonts w:ascii="Cambria Math" w:hAnsi="Cambria Math" w:cs="Times New Roman"/>
                        <w:szCs w:val="24"/>
                      </w:rPr>
                      <m:t>s</m:t>
                    </m:r>
                  </m:e>
                </m:d>
              </m:oMath>
            </m:oMathPara>
          </w:p>
        </w:tc>
        <w:tc>
          <w:tcPr>
            <w:tcW w:w="661" w:type="dxa"/>
            <w:vAlign w:val="center"/>
          </w:tcPr>
          <w:p w14:paraId="179B01C3" w14:textId="77777777" w:rsidR="000C2D31" w:rsidRDefault="000C2D31" w:rsidP="000C2D31">
            <w:pPr>
              <w:ind w:firstLine="0"/>
              <w:jc w:val="right"/>
              <w:rPr>
                <w:sz w:val="23"/>
                <w:szCs w:val="23"/>
              </w:rPr>
            </w:pPr>
            <w:r>
              <w:rPr>
                <w:szCs w:val="24"/>
              </w:rPr>
              <w:t>(49a)</w:t>
            </w:r>
          </w:p>
        </w:tc>
      </w:tr>
    </w:tbl>
    <w:p w14:paraId="77D72A6E" w14:textId="1402AC47" w:rsidR="000C2D31" w:rsidRDefault="000C2D31" w:rsidP="000C2D31">
      <w:pPr>
        <w:ind w:firstLine="0"/>
        <w:jc w:val="left"/>
        <w:rPr>
          <w:szCs w:val="24"/>
        </w:rPr>
      </w:pPr>
      <w:r>
        <w:rPr>
          <w:szCs w:val="24"/>
        </w:rPr>
        <w:t xml:space="preserve">Reorganizing and inverse Laplace transformation of Eq. </w:t>
      </w:r>
      <w:r w:rsidR="009B05F7">
        <w:rPr>
          <w:szCs w:val="24"/>
        </w:rPr>
        <w:t>(</w:t>
      </w:r>
      <w:r>
        <w:rPr>
          <w:szCs w:val="24"/>
        </w:rPr>
        <w:t>49a</w:t>
      </w:r>
      <w:r w:rsidR="009B05F7">
        <w:rPr>
          <w:szCs w:val="24"/>
        </w:rPr>
        <w:t>)</w:t>
      </w:r>
      <w:r>
        <w:rPr>
          <w:szCs w:val="24"/>
        </w:rPr>
        <w:t xml:space="preserve"> results,</w:t>
      </w:r>
    </w:p>
    <w:tbl>
      <w:tblPr>
        <w:tblW w:w="0" w:type="auto"/>
        <w:tblLook w:val="04A0" w:firstRow="1" w:lastRow="0" w:firstColumn="1" w:lastColumn="0" w:noHBand="0" w:noVBand="1"/>
      </w:tblPr>
      <w:tblGrid>
        <w:gridCol w:w="7760"/>
        <w:gridCol w:w="736"/>
      </w:tblGrid>
      <w:tr w:rsidR="000C2D31" w14:paraId="47312435" w14:textId="77777777" w:rsidTr="000C2D31">
        <w:tc>
          <w:tcPr>
            <w:tcW w:w="7825" w:type="dxa"/>
          </w:tcPr>
          <w:p w14:paraId="1483A3CB" w14:textId="77777777" w:rsidR="000C2D31" w:rsidRPr="00A0693A" w:rsidRDefault="000C2D31" w:rsidP="000C2D31">
            <w:pPr>
              <w:ind w:firstLine="0"/>
              <w:jc w:val="left"/>
              <w:rPr>
                <w:sz w:val="23"/>
                <w:szCs w:val="23"/>
              </w:rPr>
            </w:pPr>
            <m:oMathPara>
              <m:oMath>
                <m:r>
                  <w:rPr>
                    <w:rFonts w:ascii="Cambria Math" w:hAnsi="Cambria Math" w:cs="Times New Roman"/>
                    <w:szCs w:val="24"/>
                  </w:rPr>
                  <m:t>ρ</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p>
                  <m:sSupPr>
                    <m:ctrlPr>
                      <w:rPr>
                        <w:rFonts w:ascii="Cambria Math" w:hAnsi="Cambria Math"/>
                        <w:sz w:val="23"/>
                        <w:szCs w:val="23"/>
                      </w:rPr>
                    </m:ctrlPr>
                  </m:sSupPr>
                  <m:e>
                    <m:r>
                      <m:rPr>
                        <m:scr m:val="script"/>
                        <m:sty m:val="p"/>
                      </m:rPr>
                      <w:rPr>
                        <w:rFonts w:ascii="Cambria Math" w:hAnsi="Cambria Math"/>
                        <w:sz w:val="23"/>
                        <w:szCs w:val="23"/>
                      </w:rPr>
                      <m:t>L</m:t>
                    </m:r>
                  </m:e>
                  <m:sup>
                    <m:r>
                      <w:rPr>
                        <w:rFonts w:ascii="Cambria Math" w:hAnsi="Cambria Math"/>
                        <w:sz w:val="23"/>
                        <w:szCs w:val="23"/>
                      </w:rPr>
                      <m:t>-1</m:t>
                    </m:r>
                  </m:sup>
                </m:sSup>
                <m:d>
                  <m:dPr>
                    <m:begChr m:val="{"/>
                    <m:endChr m:val="}"/>
                    <m:ctrlPr>
                      <w:rPr>
                        <w:rFonts w:ascii="Cambria Math" w:hAnsi="Cambria Math"/>
                        <w:i/>
                        <w:sz w:val="23"/>
                        <w:szCs w:val="23"/>
                      </w:rPr>
                    </m:ctrlPr>
                  </m:dPr>
                  <m:e>
                    <m:f>
                      <m:fPr>
                        <m:ctrlPr>
                          <w:rPr>
                            <w:rFonts w:ascii="Cambria Math" w:hAnsi="Cambria Math" w:cs="Times New Roman"/>
                            <w:i/>
                            <w:szCs w:val="24"/>
                          </w:rPr>
                        </m:ctrlPr>
                      </m:fPr>
                      <m:num>
                        <m:r>
                          <w:rPr>
                            <w:rFonts w:ascii="Cambria Math" w:hAnsi="Cambria Math" w:cs="Times New Roman"/>
                            <w:szCs w:val="24"/>
                          </w:rPr>
                          <m:t>γ</m:t>
                        </m:r>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i/>
                                <w:szCs w:val="24"/>
                              </w:rPr>
                            </m:ctrlPr>
                          </m:dPr>
                          <m:e>
                            <m:r>
                              <w:rPr>
                                <w:rFonts w:ascii="Cambria Math" w:hAnsi="Cambria Math" w:cs="Times New Roman"/>
                                <w:szCs w:val="24"/>
                              </w:rPr>
                              <m:t>s</m:t>
                            </m:r>
                          </m:e>
                        </m:d>
                      </m:num>
                      <m:den>
                        <m:r>
                          <w:rPr>
                            <w:rFonts w:ascii="Cambria Math" w:hAnsi="Cambria Math" w:cs="Times New Roman"/>
                            <w:szCs w:val="24"/>
                          </w:rPr>
                          <m:t>β-s</m:t>
                        </m:r>
                      </m:den>
                    </m:f>
                  </m:e>
                </m:d>
                <m:r>
                  <w:rPr>
                    <w:rFonts w:ascii="Cambria Math" w:hAnsi="Cambria Math"/>
                    <w:sz w:val="23"/>
                    <w:szCs w:val="23"/>
                  </w:rPr>
                  <m:t>=</m:t>
                </m:r>
                <m:f>
                  <m:fPr>
                    <m:ctrlPr>
                      <w:rPr>
                        <w:rFonts w:ascii="Cambria Math" w:hAnsi="Cambria Math"/>
                        <w:i/>
                        <w:sz w:val="23"/>
                        <w:szCs w:val="23"/>
                      </w:rPr>
                    </m:ctrlPr>
                  </m:fPr>
                  <m:num>
                    <m:r>
                      <w:rPr>
                        <w:rFonts w:ascii="Cambria Math" w:hAnsi="Cambria Math"/>
                        <w:sz w:val="23"/>
                        <w:szCs w:val="23"/>
                      </w:rPr>
                      <m:t>1</m:t>
                    </m:r>
                  </m:num>
                  <m:den>
                    <m:r>
                      <w:rPr>
                        <w:rFonts w:ascii="Cambria Math" w:hAnsi="Cambria Math"/>
                        <w:sz w:val="23"/>
                        <w:szCs w:val="23"/>
                      </w:rPr>
                      <m:t>2πi</m:t>
                    </m:r>
                  </m:den>
                </m:f>
                <m:nary>
                  <m:naryPr>
                    <m:limLoc m:val="subSup"/>
                    <m:ctrlPr>
                      <w:rPr>
                        <w:rFonts w:ascii="Cambria Math" w:hAnsi="Cambria Math"/>
                        <w:i/>
                        <w:sz w:val="23"/>
                        <w:szCs w:val="23"/>
                      </w:rPr>
                    </m:ctrlPr>
                  </m:naryPr>
                  <m:sub>
                    <m:acc>
                      <m:accPr>
                        <m:chr m:val="̅"/>
                        <m:ctrlPr>
                          <w:rPr>
                            <w:rFonts w:ascii="Cambria Math" w:hAnsi="Cambria Math"/>
                            <w:i/>
                            <w:sz w:val="23"/>
                            <w:szCs w:val="23"/>
                          </w:rPr>
                        </m:ctrlPr>
                      </m:accPr>
                      <m:e>
                        <m:r>
                          <w:rPr>
                            <w:rFonts w:ascii="Cambria Math" w:hAnsi="Cambria Math"/>
                            <w:sz w:val="23"/>
                            <w:szCs w:val="23"/>
                          </w:rPr>
                          <m:t>γ</m:t>
                        </m:r>
                      </m:e>
                    </m:acc>
                    <m:r>
                      <w:rPr>
                        <w:rFonts w:ascii="Cambria Math" w:hAnsi="Cambria Math"/>
                        <w:sz w:val="23"/>
                        <w:szCs w:val="23"/>
                      </w:rPr>
                      <m:t>-i∞</m:t>
                    </m:r>
                  </m:sub>
                  <m:sup>
                    <m:acc>
                      <m:accPr>
                        <m:chr m:val="̅"/>
                        <m:ctrlPr>
                          <w:rPr>
                            <w:rFonts w:ascii="Cambria Math" w:hAnsi="Cambria Math"/>
                            <w:i/>
                            <w:sz w:val="23"/>
                            <w:szCs w:val="23"/>
                          </w:rPr>
                        </m:ctrlPr>
                      </m:accPr>
                      <m:e>
                        <m:r>
                          <w:rPr>
                            <w:rFonts w:ascii="Cambria Math" w:hAnsi="Cambria Math"/>
                            <w:sz w:val="23"/>
                            <w:szCs w:val="23"/>
                          </w:rPr>
                          <m:t>γ</m:t>
                        </m:r>
                      </m:e>
                    </m:acc>
                    <m:r>
                      <w:rPr>
                        <w:rFonts w:ascii="Cambria Math" w:hAnsi="Cambria Math"/>
                        <w:sz w:val="23"/>
                        <w:szCs w:val="23"/>
                      </w:rPr>
                      <m:t>+i∞</m:t>
                    </m:r>
                  </m:sup>
                  <m:e>
                    <m:f>
                      <m:fPr>
                        <m:ctrlPr>
                          <w:rPr>
                            <w:rFonts w:ascii="Cambria Math" w:hAnsi="Cambria Math" w:cs="Times New Roman"/>
                            <w:i/>
                            <w:szCs w:val="24"/>
                          </w:rPr>
                        </m:ctrlPr>
                      </m:fPr>
                      <m:num>
                        <m:r>
                          <w:rPr>
                            <w:rFonts w:ascii="Cambria Math" w:hAnsi="Cambria Math" w:cs="Times New Roman"/>
                            <w:szCs w:val="24"/>
                          </w:rPr>
                          <m:t>γ</m:t>
                        </m:r>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i/>
                                <w:szCs w:val="24"/>
                              </w:rPr>
                            </m:ctrlPr>
                          </m:dPr>
                          <m:e>
                            <m:r>
                              <w:rPr>
                                <w:rFonts w:ascii="Cambria Math" w:hAnsi="Cambria Math" w:cs="Times New Roman"/>
                                <w:szCs w:val="24"/>
                              </w:rPr>
                              <m:t>s</m:t>
                            </m:r>
                          </m:e>
                        </m:d>
                      </m:num>
                      <m:den>
                        <m:r>
                          <w:rPr>
                            <w:rFonts w:ascii="Cambria Math" w:hAnsi="Cambria Math" w:cs="Times New Roman"/>
                            <w:szCs w:val="24"/>
                          </w:rPr>
                          <m:t>β-s</m:t>
                        </m:r>
                      </m:den>
                    </m:f>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st</m:t>
                        </m:r>
                      </m:sup>
                    </m:sSup>
                    <m:r>
                      <w:rPr>
                        <w:rFonts w:ascii="Cambria Math" w:hAnsi="Cambria Math" w:cs="Times New Roman"/>
                        <w:szCs w:val="24"/>
                      </w:rPr>
                      <m:t>ds</m:t>
                    </m:r>
                  </m:e>
                </m:nary>
              </m:oMath>
            </m:oMathPara>
          </w:p>
        </w:tc>
        <w:tc>
          <w:tcPr>
            <w:tcW w:w="661" w:type="dxa"/>
            <w:vAlign w:val="center"/>
          </w:tcPr>
          <w:p w14:paraId="192F5088" w14:textId="77777777" w:rsidR="000C2D31" w:rsidRDefault="000C2D31" w:rsidP="000C2D31">
            <w:pPr>
              <w:ind w:firstLine="0"/>
              <w:jc w:val="right"/>
              <w:rPr>
                <w:sz w:val="23"/>
                <w:szCs w:val="23"/>
              </w:rPr>
            </w:pPr>
            <w:r>
              <w:rPr>
                <w:szCs w:val="24"/>
              </w:rPr>
              <w:t>(49b)</w:t>
            </w:r>
          </w:p>
        </w:tc>
      </w:tr>
    </w:tbl>
    <w:p w14:paraId="11C9A34E" w14:textId="77777777" w:rsidR="000C2D31" w:rsidRDefault="000C2D31" w:rsidP="000C2D31">
      <w:pPr>
        <w:ind w:firstLine="0"/>
        <w:jc w:val="left"/>
        <w:rPr>
          <w:sz w:val="23"/>
          <w:szCs w:val="23"/>
        </w:rPr>
      </w:pPr>
      <w:proofErr w:type="gramStart"/>
      <w:r>
        <w:rPr>
          <w:sz w:val="23"/>
          <w:szCs w:val="23"/>
        </w:rPr>
        <w:t>where</w:t>
      </w:r>
      <w:proofErr w:type="gramEnd"/>
      <w:r>
        <w:rPr>
          <w:sz w:val="23"/>
          <w:szCs w:val="23"/>
        </w:rPr>
        <w:t xml:space="preserve"> </w:t>
      </w:r>
      <m:oMath>
        <m:acc>
          <m:accPr>
            <m:chr m:val="̅"/>
            <m:ctrlPr>
              <w:rPr>
                <w:rFonts w:ascii="Cambria Math" w:hAnsi="Cambria Math"/>
                <w:i/>
                <w:sz w:val="23"/>
                <w:szCs w:val="23"/>
              </w:rPr>
            </m:ctrlPr>
          </m:accPr>
          <m:e>
            <m:r>
              <w:rPr>
                <w:rFonts w:ascii="Cambria Math" w:hAnsi="Cambria Math"/>
                <w:sz w:val="23"/>
                <w:szCs w:val="23"/>
              </w:rPr>
              <m:t>γ</m:t>
            </m:r>
          </m:e>
        </m:acc>
      </m:oMath>
      <w:r>
        <w:rPr>
          <w:sz w:val="23"/>
          <w:szCs w:val="23"/>
        </w:rPr>
        <w:t xml:space="preserve"> is </w:t>
      </w:r>
      <w:r w:rsidRPr="004902AA">
        <w:rPr>
          <w:sz w:val="23"/>
          <w:szCs w:val="23"/>
        </w:rPr>
        <w:t>a vertical contour in the complex</w:t>
      </w:r>
      <w:r>
        <w:rPr>
          <w:color w:val="FFFFFF" w:themeColor="background1"/>
          <w:sz w:val="23"/>
          <w:szCs w:val="23"/>
        </w:rPr>
        <w:t xml:space="preserve"> </w:t>
      </w:r>
      <w:r w:rsidRPr="004902AA">
        <w:rPr>
          <w:sz w:val="23"/>
          <w:szCs w:val="23"/>
        </w:rPr>
        <w:t xml:space="preserve">plane chosen so that all singularities of </w:t>
      </w:r>
      <m:oMath>
        <m:f>
          <m:fPr>
            <m:ctrlPr>
              <w:rPr>
                <w:rFonts w:ascii="Cambria Math" w:hAnsi="Cambria Math" w:cs="Times New Roman"/>
                <w:i/>
                <w:szCs w:val="24"/>
              </w:rPr>
            </m:ctrlPr>
          </m:fPr>
          <m:num>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β-s</m:t>
            </m:r>
          </m:den>
        </m:f>
      </m:oMath>
      <w:r>
        <w:rPr>
          <w:szCs w:val="24"/>
        </w:rPr>
        <w:t xml:space="preserve"> </w:t>
      </w:r>
      <w:r w:rsidRPr="004902AA">
        <w:rPr>
          <w:sz w:val="23"/>
          <w:szCs w:val="23"/>
        </w:rPr>
        <w:t>are to the left of it</w:t>
      </w:r>
      <w:r>
        <w:rPr>
          <w:sz w:val="23"/>
          <w:szCs w:val="23"/>
        </w:rPr>
        <w:t>.</w:t>
      </w:r>
    </w:p>
    <w:p w14:paraId="7F8AB230" w14:textId="6E3A3C98" w:rsidR="000C2D31" w:rsidRDefault="000C2D31" w:rsidP="000C2D31">
      <w:pPr>
        <w:ind w:firstLine="0"/>
        <w:jc w:val="left"/>
        <w:rPr>
          <w:szCs w:val="24"/>
        </w:rPr>
      </w:pPr>
      <w:r>
        <w:rPr>
          <w:szCs w:val="24"/>
        </w:rPr>
        <w:t xml:space="preserve">Eq. </w:t>
      </w:r>
      <w:r w:rsidR="009B05F7">
        <w:rPr>
          <w:szCs w:val="24"/>
        </w:rPr>
        <w:t>(</w:t>
      </w:r>
      <w:r>
        <w:rPr>
          <w:szCs w:val="24"/>
        </w:rPr>
        <w:t>47</w:t>
      </w:r>
      <w:r w:rsidR="009B05F7">
        <w:rPr>
          <w:szCs w:val="24"/>
        </w:rPr>
        <w:t>)</w:t>
      </w:r>
      <w:r>
        <w:rPr>
          <w:szCs w:val="24"/>
        </w:rPr>
        <w:t xml:space="preserve"> becomes,</w:t>
      </w:r>
    </w:p>
    <w:tbl>
      <w:tblPr>
        <w:tblW w:w="0" w:type="auto"/>
        <w:tblLook w:val="04A0" w:firstRow="1" w:lastRow="0" w:firstColumn="1" w:lastColumn="0" w:noHBand="0" w:noVBand="1"/>
      </w:tblPr>
      <w:tblGrid>
        <w:gridCol w:w="7870"/>
        <w:gridCol w:w="616"/>
      </w:tblGrid>
      <w:tr w:rsidR="000C2D31" w14:paraId="7B4C40AA" w14:textId="77777777" w:rsidTr="000C2D31">
        <w:tc>
          <w:tcPr>
            <w:tcW w:w="7870" w:type="dxa"/>
          </w:tcPr>
          <w:p w14:paraId="06E2C6E3" w14:textId="77777777" w:rsidR="000C2D31" w:rsidRDefault="007B3686" w:rsidP="000C2D31">
            <w:pPr>
              <w:rPr>
                <w:szCs w:val="24"/>
              </w:rPr>
            </w:pPr>
            <m:oMathPara>
              <m:oMath>
                <m:f>
                  <m:fPr>
                    <m:ctrlPr>
                      <w:rPr>
                        <w:rFonts w:ascii="Cambria Math" w:hAnsi="Cambria Math" w:cs="Times New Roman"/>
                        <w:szCs w:val="24"/>
                      </w:rPr>
                    </m:ctrlPr>
                  </m:fPr>
                  <m:num>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num>
                  <m:den>
                    <m:r>
                      <w:rPr>
                        <w:rFonts w:ascii="Cambria Math" w:hAnsi="Cambria Math" w:cs="Times New Roman"/>
                        <w:szCs w:val="24"/>
                      </w:rPr>
                      <m:t>∂t</m:t>
                    </m:r>
                  </m:den>
                </m:f>
                <m:r>
                  <m:rPr>
                    <m:sty m:val="p"/>
                  </m:rPr>
                  <w:rPr>
                    <w:rFonts w:ascii="Cambria Math" w:hAnsi="Cambria Math" w:cs="Times New Roman"/>
                    <w:szCs w:val="24"/>
                  </w:rPr>
                  <m:t>+</m:t>
                </m:r>
                <m:r>
                  <w:rPr>
                    <w:rFonts w:ascii="Cambria Math" w:hAnsi="Cambria Math" w:cs="Times New Roman"/>
                    <w:szCs w:val="24"/>
                  </w:rPr>
                  <m:t>γτ</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f>
                  <m:fPr>
                    <m:ctrlPr>
                      <w:rPr>
                        <w:rFonts w:ascii="Cambria Math" w:hAnsi="Cambria Math"/>
                        <w:i/>
                        <w:sz w:val="23"/>
                        <w:szCs w:val="23"/>
                      </w:rPr>
                    </m:ctrlPr>
                  </m:fPr>
                  <m:num>
                    <m:r>
                      <w:rPr>
                        <w:rFonts w:ascii="Cambria Math" w:hAnsi="Cambria Math" w:cs="Times New Roman"/>
                        <w:szCs w:val="24"/>
                      </w:rPr>
                      <m:t>βγ</m:t>
                    </m:r>
                  </m:num>
                  <m:den>
                    <m:r>
                      <w:rPr>
                        <w:rFonts w:ascii="Cambria Math" w:hAnsi="Cambria Math"/>
                        <w:sz w:val="23"/>
                        <w:szCs w:val="23"/>
                      </w:rPr>
                      <m:t>2πi</m:t>
                    </m:r>
                  </m:den>
                </m:f>
                <m:nary>
                  <m:naryPr>
                    <m:limLoc m:val="subSup"/>
                    <m:ctrlPr>
                      <w:rPr>
                        <w:rFonts w:ascii="Cambria Math" w:hAnsi="Cambria Math"/>
                        <w:i/>
                        <w:sz w:val="23"/>
                        <w:szCs w:val="23"/>
                      </w:rPr>
                    </m:ctrlPr>
                  </m:naryPr>
                  <m:sub>
                    <m:acc>
                      <m:accPr>
                        <m:chr m:val="̅"/>
                        <m:ctrlPr>
                          <w:rPr>
                            <w:rFonts w:ascii="Cambria Math" w:hAnsi="Cambria Math"/>
                            <w:i/>
                            <w:sz w:val="23"/>
                            <w:szCs w:val="23"/>
                          </w:rPr>
                        </m:ctrlPr>
                      </m:accPr>
                      <m:e>
                        <m:r>
                          <w:rPr>
                            <w:rFonts w:ascii="Cambria Math" w:hAnsi="Cambria Math"/>
                            <w:sz w:val="23"/>
                            <w:szCs w:val="23"/>
                          </w:rPr>
                          <m:t>γ</m:t>
                        </m:r>
                      </m:e>
                    </m:acc>
                    <m:r>
                      <w:rPr>
                        <w:rFonts w:ascii="Cambria Math" w:hAnsi="Cambria Math"/>
                        <w:sz w:val="23"/>
                        <w:szCs w:val="23"/>
                      </w:rPr>
                      <m:t>-i∞</m:t>
                    </m:r>
                  </m:sub>
                  <m:sup>
                    <m:acc>
                      <m:accPr>
                        <m:chr m:val="̅"/>
                        <m:ctrlPr>
                          <w:rPr>
                            <w:rFonts w:ascii="Cambria Math" w:hAnsi="Cambria Math"/>
                            <w:i/>
                            <w:sz w:val="23"/>
                            <w:szCs w:val="23"/>
                          </w:rPr>
                        </m:ctrlPr>
                      </m:accPr>
                      <m:e>
                        <m:r>
                          <w:rPr>
                            <w:rFonts w:ascii="Cambria Math" w:hAnsi="Cambria Math"/>
                            <w:sz w:val="23"/>
                            <w:szCs w:val="23"/>
                          </w:rPr>
                          <m:t>γ</m:t>
                        </m:r>
                      </m:e>
                    </m:acc>
                    <m:r>
                      <w:rPr>
                        <w:rFonts w:ascii="Cambria Math" w:hAnsi="Cambria Math"/>
                        <w:sz w:val="23"/>
                        <w:szCs w:val="23"/>
                      </w:rPr>
                      <m:t>+i∞</m:t>
                    </m:r>
                  </m:sup>
                  <m:e>
                    <m:f>
                      <m:fPr>
                        <m:ctrlPr>
                          <w:rPr>
                            <w:rFonts w:ascii="Cambria Math" w:hAnsi="Cambria Math" w:cs="Times New Roman"/>
                            <w:i/>
                            <w:szCs w:val="24"/>
                          </w:rPr>
                        </m:ctrlPr>
                      </m:fPr>
                      <m:num>
                        <m:acc>
                          <m:accPr>
                            <m:chr m:val="̅"/>
                            <m:ctrlPr>
                              <w:rPr>
                                <w:rFonts w:ascii="Cambria Math" w:hAnsi="Cambria Math" w:cs="Times New Roman"/>
                                <w:szCs w:val="24"/>
                              </w:rPr>
                            </m:ctrlPr>
                          </m:accPr>
                          <m:e>
                            <m:r>
                              <w:rPr>
                                <w:rFonts w:ascii="Cambria Math" w:hAnsi="Cambria Math" w:cs="Times New Roman"/>
                                <w:szCs w:val="24"/>
                              </w:rPr>
                              <m:t>τ</m:t>
                            </m:r>
                          </m:e>
                        </m:acc>
                        <m:d>
                          <m:dPr>
                            <m:ctrlPr>
                              <w:rPr>
                                <w:rFonts w:ascii="Cambria Math" w:hAnsi="Cambria Math" w:cs="Times New Roman"/>
                                <w:i/>
                                <w:szCs w:val="24"/>
                              </w:rPr>
                            </m:ctrlPr>
                          </m:dPr>
                          <m:e>
                            <m:r>
                              <w:rPr>
                                <w:rFonts w:ascii="Cambria Math" w:hAnsi="Cambria Math" w:cs="Times New Roman"/>
                                <w:szCs w:val="24"/>
                              </w:rPr>
                              <m:t>s</m:t>
                            </m:r>
                          </m:e>
                        </m:d>
                      </m:num>
                      <m:den>
                        <m:r>
                          <w:rPr>
                            <w:rFonts w:ascii="Cambria Math" w:hAnsi="Cambria Math" w:cs="Times New Roman"/>
                            <w:szCs w:val="24"/>
                          </w:rPr>
                          <m:t>β-s</m:t>
                        </m:r>
                      </m:den>
                    </m:f>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st</m:t>
                        </m:r>
                      </m:sup>
                    </m:sSup>
                    <m:r>
                      <w:rPr>
                        <w:rFonts w:ascii="Cambria Math" w:hAnsi="Cambria Math" w:cs="Times New Roman"/>
                        <w:szCs w:val="24"/>
                      </w:rPr>
                      <m:t>ds</m:t>
                    </m:r>
                  </m:e>
                </m:nary>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2</m:t>
                    </m:r>
                  </m:sup>
                </m:sSup>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oMath>
            </m:oMathPara>
          </w:p>
        </w:tc>
        <w:tc>
          <w:tcPr>
            <w:tcW w:w="616" w:type="dxa"/>
            <w:vAlign w:val="center"/>
          </w:tcPr>
          <w:p w14:paraId="44F4B839" w14:textId="77777777" w:rsidR="000C2D31" w:rsidRDefault="000C2D31" w:rsidP="000C2D31">
            <w:pPr>
              <w:ind w:firstLine="0"/>
              <w:jc w:val="right"/>
              <w:rPr>
                <w:szCs w:val="24"/>
              </w:rPr>
            </w:pPr>
            <w:r>
              <w:rPr>
                <w:szCs w:val="24"/>
              </w:rPr>
              <w:t>(50)</w:t>
            </w:r>
          </w:p>
        </w:tc>
      </w:tr>
    </w:tbl>
    <w:p w14:paraId="06F832DC" w14:textId="152FA209" w:rsidR="000C2D31" w:rsidRDefault="000C2D31" w:rsidP="000C2D31">
      <w:pPr>
        <w:ind w:firstLine="0"/>
        <w:rPr>
          <w:szCs w:val="24"/>
        </w:rPr>
      </w:pPr>
      <w:r>
        <w:rPr>
          <w:szCs w:val="24"/>
        </w:rPr>
        <w:t xml:space="preserve">Eq. </w:t>
      </w:r>
      <w:r w:rsidR="009B05F7">
        <w:rPr>
          <w:szCs w:val="24"/>
        </w:rPr>
        <w:t>(</w:t>
      </w:r>
      <w:r>
        <w:rPr>
          <w:szCs w:val="24"/>
        </w:rPr>
        <w:t>50</w:t>
      </w:r>
      <w:r w:rsidR="009B05F7">
        <w:rPr>
          <w:szCs w:val="24"/>
        </w:rPr>
        <w:t>)</w:t>
      </w:r>
      <w:r>
        <w:rPr>
          <w:szCs w:val="24"/>
        </w:rPr>
        <w:t xml:space="preserve"> becomes only the function </w:t>
      </w:r>
      <w:proofErr w:type="gramStart"/>
      <w:r>
        <w:rPr>
          <w:szCs w:val="24"/>
        </w:rPr>
        <w:t xml:space="preserve">of </w:t>
      </w:r>
      <w:proofErr w:type="gramEnd"/>
      <m:oMath>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oMath>
      <w:r>
        <w:rPr>
          <w:szCs w:val="24"/>
        </w:rPr>
        <w:t xml:space="preserve">. The inverse Laplace transformation is solved by using Residue Theorem. </w:t>
      </w:r>
    </w:p>
    <w:p w14:paraId="7AC3E55B" w14:textId="04C79D0F" w:rsidR="000C2D31" w:rsidRDefault="000C2D31" w:rsidP="000C2D31">
      <w:pPr>
        <w:rPr>
          <w:szCs w:val="24"/>
        </w:rPr>
      </w:pPr>
      <w:r>
        <w:rPr>
          <w:szCs w:val="24"/>
        </w:rPr>
        <w:t xml:space="preserve">Eqs. </w:t>
      </w:r>
      <w:r w:rsidR="009B05F7">
        <w:rPr>
          <w:szCs w:val="24"/>
        </w:rPr>
        <w:t>(</w:t>
      </w:r>
      <w:r>
        <w:rPr>
          <w:szCs w:val="24"/>
        </w:rPr>
        <w:t>46a-b</w:t>
      </w:r>
      <w:r w:rsidR="009B05F7">
        <w:rPr>
          <w:szCs w:val="24"/>
        </w:rPr>
        <w:t>)</w:t>
      </w:r>
      <w:r>
        <w:rPr>
          <w:szCs w:val="24"/>
        </w:rPr>
        <w:t xml:space="preserve"> are second order ordinary differential equations which can be solved easily. However, Eq. </w:t>
      </w:r>
      <w:r w:rsidR="009B05F7">
        <w:rPr>
          <w:szCs w:val="24"/>
        </w:rPr>
        <w:t>(</w:t>
      </w:r>
      <w:r>
        <w:rPr>
          <w:szCs w:val="24"/>
        </w:rPr>
        <w:t>46c</w:t>
      </w:r>
      <w:r w:rsidR="009B05F7">
        <w:rPr>
          <w:szCs w:val="24"/>
        </w:rPr>
        <w:t>)</w:t>
      </w:r>
      <w:r>
        <w:rPr>
          <w:szCs w:val="24"/>
        </w:rPr>
        <w:t xml:space="preserve"> is solved using Orthogonal Expansion Technique because there is a discreet property change in </w:t>
      </w:r>
      <m:oMath>
        <m:r>
          <w:rPr>
            <w:rFonts w:ascii="Cambria Math" w:hAnsi="Cambria Math"/>
            <w:szCs w:val="24"/>
          </w:rPr>
          <m:t>x</m:t>
        </m:r>
      </m:oMath>
      <w:r>
        <w:rPr>
          <w:szCs w:val="24"/>
        </w:rPr>
        <w:t xml:space="preserve"> direction. The boundary conditions are regenerated according to the new functions. The solution is found for homogenous boundary conditions, and then the non-homogenous boundary conditions are introduced.</w:t>
      </w:r>
    </w:p>
    <w:tbl>
      <w:tblPr>
        <w:tblW w:w="0" w:type="auto"/>
        <w:tblLook w:val="04A0" w:firstRow="1" w:lastRow="0" w:firstColumn="1" w:lastColumn="0" w:noHBand="0" w:noVBand="1"/>
      </w:tblPr>
      <w:tblGrid>
        <w:gridCol w:w="7645"/>
        <w:gridCol w:w="841"/>
      </w:tblGrid>
      <w:tr w:rsidR="000C2D31" w14:paraId="06EB2C76" w14:textId="77777777" w:rsidTr="000C2D31">
        <w:tc>
          <w:tcPr>
            <w:tcW w:w="7645" w:type="dxa"/>
          </w:tcPr>
          <w:p w14:paraId="43D382BF" w14:textId="77777777" w:rsidR="000C2D31" w:rsidRDefault="007B3686" w:rsidP="000C2D31">
            <w:pPr>
              <w:ind w:firstLine="0"/>
              <w:rPr>
                <w:szCs w:val="24"/>
              </w:rPr>
            </w:pPr>
            <m:oMathPara>
              <m:oMath>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1n</m:t>
                    </m:r>
                  </m:sub>
                </m:sSub>
                <m:d>
                  <m:dPr>
                    <m:ctrlPr>
                      <w:rPr>
                        <w:rFonts w:ascii="Cambria Math" w:hAnsi="Cambria Math" w:cs="Times New Roman"/>
                        <w:i/>
                        <w:szCs w:val="24"/>
                      </w:rPr>
                    </m:ctrlPr>
                  </m:dPr>
                  <m:e>
                    <m:r>
                      <w:rPr>
                        <w:rFonts w:ascii="Cambria Math" w:hAnsi="Cambria Math" w:cs="Times New Roman"/>
                        <w:szCs w:val="24"/>
                      </w:rPr>
                      <m:t>0</m:t>
                    </m:r>
                  </m:e>
                </m:d>
                <m:r>
                  <w:rPr>
                    <w:rFonts w:ascii="Cambria Math" w:hAnsi="Cambria Math"/>
                    <w:szCs w:val="24"/>
                  </w:rPr>
                  <m:t>=0</m:t>
                </m:r>
              </m:oMath>
            </m:oMathPara>
          </w:p>
        </w:tc>
        <w:tc>
          <w:tcPr>
            <w:tcW w:w="841" w:type="dxa"/>
            <w:vAlign w:val="center"/>
          </w:tcPr>
          <w:p w14:paraId="244BB1A7" w14:textId="77777777" w:rsidR="000C2D31" w:rsidRDefault="000C2D31" w:rsidP="000C2D31">
            <w:pPr>
              <w:ind w:firstLine="0"/>
              <w:jc w:val="right"/>
              <w:rPr>
                <w:szCs w:val="24"/>
              </w:rPr>
            </w:pPr>
            <w:r>
              <w:rPr>
                <w:szCs w:val="24"/>
              </w:rPr>
              <w:t>(51a)</w:t>
            </w:r>
          </w:p>
        </w:tc>
      </w:tr>
      <w:tr w:rsidR="000C2D31" w14:paraId="204C4C4D" w14:textId="77777777" w:rsidTr="000C2D31">
        <w:tc>
          <w:tcPr>
            <w:tcW w:w="7645" w:type="dxa"/>
          </w:tcPr>
          <w:p w14:paraId="071567B6" w14:textId="77777777" w:rsidR="000C2D31" w:rsidRDefault="007B3686" w:rsidP="000C2D31">
            <w:pPr>
              <w:ind w:firstLine="0"/>
              <w:rPr>
                <w:szCs w:val="24"/>
              </w:rPr>
            </w:pPr>
            <m:oMathPara>
              <m:oMath>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1n</m:t>
                    </m:r>
                  </m:sub>
                </m:sSub>
                <m:d>
                  <m:dPr>
                    <m:ctrlPr>
                      <w:rPr>
                        <w:rFonts w:ascii="Cambria Math" w:hAnsi="Cambria Math" w:cs="Times New Roman"/>
                        <w:i/>
                        <w:szCs w:val="24"/>
                      </w:rPr>
                    </m:ctrlPr>
                  </m:dPr>
                  <m:e>
                    <m:r>
                      <w:rPr>
                        <w:rFonts w:ascii="Cambria Math" w:hAnsi="Cambria Math" w:cs="Times New Roman"/>
                        <w:szCs w:val="24"/>
                      </w:rPr>
                      <m:t>a</m:t>
                    </m:r>
                  </m:e>
                </m:d>
                <m:r>
                  <w:rPr>
                    <w:rFonts w:ascii="Cambria Math" w:hAnsi="Cambria Math"/>
                    <w:szCs w:val="24"/>
                  </w:rPr>
                  <m:t>=</m:t>
                </m:r>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2n</m:t>
                    </m:r>
                  </m:sub>
                </m:sSub>
                <m:d>
                  <m:dPr>
                    <m:ctrlPr>
                      <w:rPr>
                        <w:rFonts w:ascii="Cambria Math" w:hAnsi="Cambria Math" w:cs="Times New Roman"/>
                        <w:i/>
                        <w:szCs w:val="24"/>
                      </w:rPr>
                    </m:ctrlPr>
                  </m:dPr>
                  <m:e>
                    <m:r>
                      <w:rPr>
                        <w:rFonts w:ascii="Cambria Math" w:hAnsi="Cambria Math" w:cs="Times New Roman"/>
                        <w:szCs w:val="24"/>
                      </w:rPr>
                      <m:t>a</m:t>
                    </m:r>
                  </m:e>
                </m:d>
              </m:oMath>
            </m:oMathPara>
          </w:p>
        </w:tc>
        <w:tc>
          <w:tcPr>
            <w:tcW w:w="841" w:type="dxa"/>
            <w:vAlign w:val="center"/>
          </w:tcPr>
          <w:p w14:paraId="5B387779" w14:textId="77777777" w:rsidR="000C2D31" w:rsidRDefault="000C2D31" w:rsidP="000C2D31">
            <w:pPr>
              <w:ind w:firstLine="0"/>
              <w:jc w:val="right"/>
              <w:rPr>
                <w:szCs w:val="24"/>
              </w:rPr>
            </w:pPr>
            <w:r>
              <w:rPr>
                <w:szCs w:val="24"/>
              </w:rPr>
              <w:t>(51b)</w:t>
            </w:r>
          </w:p>
        </w:tc>
      </w:tr>
      <w:tr w:rsidR="000C2D31" w14:paraId="6F2B97C7" w14:textId="77777777" w:rsidTr="000C2D31">
        <w:tc>
          <w:tcPr>
            <w:tcW w:w="7645" w:type="dxa"/>
          </w:tcPr>
          <w:p w14:paraId="2A17FCAB" w14:textId="77777777" w:rsidR="000C2D31" w:rsidRDefault="007B3686" w:rsidP="000C2D31">
            <w:pPr>
              <w:ind w:firstLine="0"/>
              <w:rPr>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1</m:t>
                    </m:r>
                  </m:sub>
                </m:sSub>
                <m:f>
                  <m:fPr>
                    <m:ctrlPr>
                      <w:rPr>
                        <w:rFonts w:ascii="Cambria Math" w:hAnsi="Cambria Math" w:cs="Times New Roman"/>
                        <w:szCs w:val="24"/>
                      </w:rPr>
                    </m:ctrlPr>
                  </m:fPr>
                  <m:num>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1n</m:t>
                        </m:r>
                      </m:sub>
                    </m:sSub>
                    <m:d>
                      <m:dPr>
                        <m:ctrlPr>
                          <w:rPr>
                            <w:rFonts w:ascii="Cambria Math" w:hAnsi="Cambria Math" w:cs="Times New Roman"/>
                            <w:i/>
                            <w:szCs w:val="24"/>
                          </w:rPr>
                        </m:ctrlPr>
                      </m:dPr>
                      <m:e>
                        <m:r>
                          <w:rPr>
                            <w:rFonts w:ascii="Cambria Math" w:hAnsi="Cambria Math" w:cs="Times New Roman"/>
                            <w:szCs w:val="24"/>
                          </w:rPr>
                          <m:t>a</m:t>
                        </m:r>
                      </m:e>
                    </m:d>
                  </m:num>
                  <m:den>
                    <m:r>
                      <w:rPr>
                        <w:rFonts w:ascii="Cambria Math" w:hAnsi="Cambria Math" w:cs="Times New Roman"/>
                        <w:szCs w:val="24"/>
                      </w:rPr>
                      <m:t>∂</m:t>
                    </m:r>
                    <m:r>
                      <m:rPr>
                        <m:sty m:val="p"/>
                      </m:rPr>
                      <w:rPr>
                        <w:rFonts w:ascii="Cambria Math" w:hAnsi="Cambria Math" w:cs="Times New Roman"/>
                        <w:szCs w:val="24"/>
                      </w:rPr>
                      <m:t>x</m:t>
                    </m:r>
                  </m:den>
                </m:f>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2</m:t>
                    </m:r>
                  </m:sub>
                </m:sSub>
                <m:f>
                  <m:fPr>
                    <m:ctrlPr>
                      <w:rPr>
                        <w:rFonts w:ascii="Cambria Math" w:hAnsi="Cambria Math" w:cs="Times New Roman"/>
                        <w:szCs w:val="24"/>
                      </w:rPr>
                    </m:ctrlPr>
                  </m:fPr>
                  <m:num>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2n</m:t>
                        </m:r>
                      </m:sub>
                    </m:sSub>
                    <m:d>
                      <m:dPr>
                        <m:ctrlPr>
                          <w:rPr>
                            <w:rFonts w:ascii="Cambria Math" w:hAnsi="Cambria Math" w:cs="Times New Roman"/>
                            <w:i/>
                            <w:szCs w:val="24"/>
                          </w:rPr>
                        </m:ctrlPr>
                      </m:dPr>
                      <m:e>
                        <m:r>
                          <w:rPr>
                            <w:rFonts w:ascii="Cambria Math" w:hAnsi="Cambria Math" w:cs="Times New Roman"/>
                            <w:szCs w:val="24"/>
                          </w:rPr>
                          <m:t>a</m:t>
                        </m:r>
                      </m:e>
                    </m:d>
                  </m:num>
                  <m:den>
                    <m:r>
                      <w:rPr>
                        <w:rFonts w:ascii="Cambria Math" w:hAnsi="Cambria Math" w:cs="Times New Roman"/>
                        <w:szCs w:val="24"/>
                      </w:rPr>
                      <m:t>∂</m:t>
                    </m:r>
                    <m:r>
                      <m:rPr>
                        <m:sty m:val="p"/>
                      </m:rPr>
                      <w:rPr>
                        <w:rFonts w:ascii="Cambria Math" w:hAnsi="Cambria Math" w:cs="Times New Roman"/>
                        <w:szCs w:val="24"/>
                      </w:rPr>
                      <m:t>x</m:t>
                    </m:r>
                  </m:den>
                </m:f>
              </m:oMath>
            </m:oMathPara>
          </w:p>
        </w:tc>
        <w:tc>
          <w:tcPr>
            <w:tcW w:w="841" w:type="dxa"/>
            <w:vAlign w:val="center"/>
          </w:tcPr>
          <w:p w14:paraId="7544E5AA" w14:textId="77777777" w:rsidR="000C2D31" w:rsidRDefault="000C2D31" w:rsidP="000C2D31">
            <w:pPr>
              <w:ind w:firstLine="0"/>
              <w:jc w:val="right"/>
              <w:rPr>
                <w:szCs w:val="24"/>
              </w:rPr>
            </w:pPr>
            <w:r>
              <w:rPr>
                <w:szCs w:val="24"/>
              </w:rPr>
              <w:t>(51c)</w:t>
            </w:r>
          </w:p>
        </w:tc>
      </w:tr>
      <w:tr w:rsidR="000C2D31" w14:paraId="3252D856" w14:textId="77777777" w:rsidTr="000C2D31">
        <w:tc>
          <w:tcPr>
            <w:tcW w:w="7645" w:type="dxa"/>
          </w:tcPr>
          <w:p w14:paraId="766A9238" w14:textId="77777777" w:rsidR="000C2D31" w:rsidRDefault="007B3686" w:rsidP="000C2D31">
            <w:pPr>
              <w:ind w:firstLine="0"/>
              <w:rPr>
                <w:szCs w:val="24"/>
              </w:rPr>
            </w:pPr>
            <m:oMathPara>
              <m:oMath>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2n</m:t>
                    </m:r>
                  </m:sub>
                </m:sSub>
                <m:d>
                  <m:dPr>
                    <m:ctrlPr>
                      <w:rPr>
                        <w:rFonts w:ascii="Cambria Math" w:hAnsi="Cambria Math" w:cs="Times New Roman"/>
                        <w:i/>
                        <w:szCs w:val="24"/>
                      </w:rPr>
                    </m:ctrlPr>
                  </m:dPr>
                  <m:e>
                    <m:r>
                      <w:rPr>
                        <w:rFonts w:ascii="Cambria Math" w:hAnsi="Cambria Math" w:cs="Times New Roman"/>
                        <w:szCs w:val="24"/>
                      </w:rPr>
                      <m:t>b</m:t>
                    </m:r>
                  </m:e>
                </m:d>
                <m:r>
                  <w:rPr>
                    <w:rFonts w:ascii="Cambria Math" w:hAnsi="Cambria Math"/>
                    <w:szCs w:val="24"/>
                  </w:rPr>
                  <m:t>=0</m:t>
                </m:r>
              </m:oMath>
            </m:oMathPara>
          </w:p>
        </w:tc>
        <w:tc>
          <w:tcPr>
            <w:tcW w:w="841" w:type="dxa"/>
            <w:vAlign w:val="center"/>
          </w:tcPr>
          <w:p w14:paraId="717861F5" w14:textId="77777777" w:rsidR="000C2D31" w:rsidRDefault="000C2D31" w:rsidP="000C2D31">
            <w:pPr>
              <w:ind w:firstLine="0"/>
              <w:jc w:val="right"/>
              <w:rPr>
                <w:szCs w:val="24"/>
              </w:rPr>
            </w:pPr>
            <w:r>
              <w:rPr>
                <w:szCs w:val="24"/>
              </w:rPr>
              <w:t>(51d)</w:t>
            </w:r>
          </w:p>
        </w:tc>
      </w:tr>
      <w:tr w:rsidR="000C2D31" w14:paraId="07A6471A" w14:textId="77777777" w:rsidTr="000C2D31">
        <w:tc>
          <w:tcPr>
            <w:tcW w:w="7645" w:type="dxa"/>
          </w:tcPr>
          <w:p w14:paraId="2F42171C" w14:textId="77777777" w:rsidR="000C2D31" w:rsidRPr="00502D94" w:rsidRDefault="007B3686" w:rsidP="000C2D31">
            <w:pPr>
              <w:ind w:firstLine="0"/>
              <w:rPr>
                <w:rFonts w:eastAsia="Times New Roman"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2</m:t>
                    </m:r>
                  </m:sub>
                </m:sSub>
                <m:f>
                  <m:fPr>
                    <m:ctrlPr>
                      <w:rPr>
                        <w:rFonts w:ascii="Cambria Math" w:hAnsi="Cambria Math" w:cs="Times New Roman"/>
                        <w:szCs w:val="24"/>
                      </w:rPr>
                    </m:ctrlPr>
                  </m:fPr>
                  <m:num>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2n</m:t>
                        </m:r>
                      </m:sub>
                    </m:sSub>
                    <m:d>
                      <m:dPr>
                        <m:ctrlPr>
                          <w:rPr>
                            <w:rFonts w:ascii="Cambria Math" w:hAnsi="Cambria Math" w:cs="Times New Roman"/>
                            <w:i/>
                            <w:szCs w:val="24"/>
                          </w:rPr>
                        </m:ctrlPr>
                      </m:dPr>
                      <m:e>
                        <m:r>
                          <w:rPr>
                            <w:rFonts w:ascii="Cambria Math" w:hAnsi="Cambria Math" w:cs="Times New Roman"/>
                            <w:szCs w:val="24"/>
                          </w:rPr>
                          <m:t>b</m:t>
                        </m:r>
                      </m:e>
                    </m:d>
                  </m:num>
                  <m:den>
                    <m:r>
                      <w:rPr>
                        <w:rFonts w:ascii="Cambria Math" w:hAnsi="Cambria Math" w:cs="Times New Roman"/>
                        <w:szCs w:val="24"/>
                      </w:rPr>
                      <m:t>∂</m:t>
                    </m:r>
                    <m:r>
                      <m:rPr>
                        <m:sty m:val="p"/>
                      </m:rPr>
                      <w:rPr>
                        <w:rFonts w:ascii="Cambria Math" w:hAnsi="Cambria Math" w:cs="Times New Roman"/>
                        <w:szCs w:val="24"/>
                      </w:rPr>
                      <m:t>x</m:t>
                    </m:r>
                  </m:den>
                </m:f>
                <m:r>
                  <w:rPr>
                    <w:rFonts w:ascii="Cambria Math" w:hAnsi="Cambria Math" w:cs="Times New Roman"/>
                    <w:szCs w:val="24"/>
                  </w:rPr>
                  <m:t>=0</m:t>
                </m:r>
              </m:oMath>
            </m:oMathPara>
          </w:p>
        </w:tc>
        <w:tc>
          <w:tcPr>
            <w:tcW w:w="841" w:type="dxa"/>
            <w:vAlign w:val="center"/>
          </w:tcPr>
          <w:p w14:paraId="157D6C09" w14:textId="77777777" w:rsidR="000C2D31" w:rsidRDefault="000C2D31" w:rsidP="000C2D31">
            <w:pPr>
              <w:ind w:firstLine="0"/>
              <w:jc w:val="right"/>
              <w:rPr>
                <w:szCs w:val="24"/>
              </w:rPr>
            </w:pPr>
            <w:r>
              <w:rPr>
                <w:szCs w:val="24"/>
              </w:rPr>
              <w:t>(51e)</w:t>
            </w:r>
          </w:p>
        </w:tc>
      </w:tr>
    </w:tbl>
    <w:p w14:paraId="11025BE8" w14:textId="698F6BE1" w:rsidR="000C2D31" w:rsidRDefault="000C2D31" w:rsidP="000C2D31">
      <w:pPr>
        <w:ind w:firstLine="0"/>
        <w:rPr>
          <w:szCs w:val="24"/>
        </w:rPr>
      </w:pPr>
      <w:r>
        <w:rPr>
          <w:szCs w:val="24"/>
        </w:rPr>
        <w:t xml:space="preserve">The general solution for the Eq. </w:t>
      </w:r>
      <w:r w:rsidR="009B05F7">
        <w:rPr>
          <w:szCs w:val="24"/>
        </w:rPr>
        <w:t>(</w:t>
      </w:r>
      <w:r>
        <w:rPr>
          <w:szCs w:val="24"/>
        </w:rPr>
        <w:t>46c</w:t>
      </w:r>
      <w:r w:rsidR="009B05F7">
        <w:rPr>
          <w:szCs w:val="24"/>
        </w:rPr>
        <w:t>)</w:t>
      </w:r>
      <w:r>
        <w:rPr>
          <w:szCs w:val="24"/>
        </w:rPr>
        <w:t xml:space="preserve"> eigenvalue problem is,</w:t>
      </w:r>
    </w:p>
    <w:tbl>
      <w:tblPr>
        <w:tblW w:w="0" w:type="auto"/>
        <w:tblLook w:val="04A0" w:firstRow="1" w:lastRow="0" w:firstColumn="1" w:lastColumn="0" w:noHBand="0" w:noVBand="1"/>
      </w:tblPr>
      <w:tblGrid>
        <w:gridCol w:w="7645"/>
        <w:gridCol w:w="841"/>
      </w:tblGrid>
      <w:tr w:rsidR="000C2D31" w14:paraId="13E80984" w14:textId="77777777" w:rsidTr="000C2D31">
        <w:tc>
          <w:tcPr>
            <w:tcW w:w="7645" w:type="dxa"/>
          </w:tcPr>
          <w:p w14:paraId="228C943F" w14:textId="77777777" w:rsidR="000C2D31" w:rsidRDefault="007B3686" w:rsidP="000C2D31">
            <w:pPr>
              <w:rPr>
                <w:szCs w:val="24"/>
              </w:rPr>
            </w:pPr>
            <m:oMathPara>
              <m:oMath>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n=1</m:t>
                    </m:r>
                  </m:sub>
                  <m:sup>
                    <m:r>
                      <w:rPr>
                        <w:rFonts w:ascii="Cambria Math" w:hAnsi="Cambria Math" w:cs="Times New Roman"/>
                        <w:szCs w:val="24"/>
                      </w:rPr>
                      <m:t>∞</m:t>
                    </m:r>
                  </m:sup>
                  <m:e>
                    <m:sSub>
                      <m:sSubPr>
                        <m:ctrlPr>
                          <w:rPr>
                            <w:rFonts w:ascii="Cambria Math" w:hAnsi="Cambria Math" w:cs="Times New Roman"/>
                            <w:i/>
                            <w:szCs w:val="24"/>
                          </w:rPr>
                        </m:ctrlPr>
                      </m:sSubPr>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n</m:t>
                            </m:r>
                          </m:sub>
                        </m:sSub>
                        <m:r>
                          <w:rPr>
                            <w:rFonts w:ascii="Cambria Math" w:hAnsi="Cambria Math" w:cs="Times New Roman"/>
                            <w:szCs w:val="24"/>
                          </w:rPr>
                          <m:t>φ</m:t>
                        </m:r>
                      </m:e>
                      <m:sub>
                        <m:r>
                          <w:rPr>
                            <w:rFonts w:ascii="Cambria Math" w:hAnsi="Cambria Math" w:cs="Times New Roman"/>
                            <w:szCs w:val="24"/>
                          </w:rPr>
                          <m:t>in</m:t>
                        </m:r>
                      </m:sub>
                    </m:sSub>
                    <m:d>
                      <m:dPr>
                        <m:ctrlPr>
                          <w:rPr>
                            <w:rFonts w:ascii="Cambria Math" w:hAnsi="Cambria Math" w:cs="Times New Roman"/>
                            <w:i/>
                            <w:szCs w:val="24"/>
                          </w:rPr>
                        </m:ctrlPr>
                      </m:dPr>
                      <m:e>
                        <m:r>
                          <w:rPr>
                            <w:rFonts w:ascii="Cambria Math" w:hAnsi="Cambria Math" w:cs="Times New Roman"/>
                            <w:szCs w:val="24"/>
                          </w:rPr>
                          <m:t>x</m:t>
                        </m:r>
                      </m:e>
                    </m:d>
                  </m:e>
                </m:nary>
              </m:oMath>
            </m:oMathPara>
          </w:p>
        </w:tc>
        <w:tc>
          <w:tcPr>
            <w:tcW w:w="841" w:type="dxa"/>
            <w:vAlign w:val="center"/>
          </w:tcPr>
          <w:p w14:paraId="061FFAE0" w14:textId="77777777" w:rsidR="000C2D31" w:rsidRDefault="000C2D31" w:rsidP="000C2D31">
            <w:pPr>
              <w:ind w:firstLine="0"/>
              <w:jc w:val="right"/>
              <w:rPr>
                <w:szCs w:val="24"/>
              </w:rPr>
            </w:pPr>
            <w:r>
              <w:rPr>
                <w:szCs w:val="24"/>
              </w:rPr>
              <w:t>(52)</w:t>
            </w:r>
          </w:p>
        </w:tc>
      </w:tr>
    </w:tbl>
    <w:p w14:paraId="47C1D1E3" w14:textId="77777777" w:rsidR="000C2D31" w:rsidRDefault="000C2D31" w:rsidP="000C2D31">
      <w:pPr>
        <w:ind w:firstLine="0"/>
        <w:rPr>
          <w:szCs w:val="24"/>
        </w:rPr>
      </w:pPr>
      <w:proofErr w:type="gramStart"/>
      <w:r>
        <w:rPr>
          <w:szCs w:val="24"/>
        </w:rPr>
        <w:t>where</w:t>
      </w:r>
      <w:proofErr w:type="gramEnd"/>
    </w:p>
    <w:tbl>
      <w:tblPr>
        <w:tblW w:w="0" w:type="auto"/>
        <w:tblLook w:val="04A0" w:firstRow="1" w:lastRow="0" w:firstColumn="1" w:lastColumn="0" w:noHBand="0" w:noVBand="1"/>
      </w:tblPr>
      <w:tblGrid>
        <w:gridCol w:w="7645"/>
        <w:gridCol w:w="841"/>
      </w:tblGrid>
      <w:tr w:rsidR="000C2D31" w14:paraId="5E6AED24" w14:textId="77777777" w:rsidTr="000C2D31">
        <w:tc>
          <w:tcPr>
            <w:tcW w:w="7645" w:type="dxa"/>
          </w:tcPr>
          <w:p w14:paraId="719DCF7F" w14:textId="77777777" w:rsidR="000C2D31" w:rsidRDefault="007B3686" w:rsidP="000C2D31">
            <w:pPr>
              <w:rPr>
                <w:szCs w:val="24"/>
              </w:rPr>
            </w:pPr>
            <m:oMathPara>
              <m:oMath>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in</m:t>
                    </m:r>
                  </m:sub>
                </m:sSub>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in</m:t>
                    </m:r>
                  </m:sub>
                </m:sSub>
                <m:func>
                  <m:funcPr>
                    <m:ctrlPr>
                      <w:rPr>
                        <w:rFonts w:ascii="Cambria Math" w:hAnsi="Cambria Math" w:cs="Times New Roman"/>
                        <w:i/>
                        <w:szCs w:val="24"/>
                      </w:rPr>
                    </m:ctrlPr>
                  </m:funcPr>
                  <m:fName>
                    <m:r>
                      <m:rPr>
                        <m:sty m:val="p"/>
                      </m:rPr>
                      <w:rPr>
                        <w:rFonts w:ascii="Cambria Math" w:hAnsi="Cambria Math" w:cs="Times New Roman"/>
                        <w:szCs w:val="24"/>
                      </w:rPr>
                      <m:t>sin</m:t>
                    </m:r>
                  </m:fName>
                  <m:e>
                    <m:f>
                      <m:fPr>
                        <m:ctrlPr>
                          <w:rPr>
                            <w:rFonts w:ascii="Cambria Math" w:hAnsi="Cambria Math" w:cs="Times New Roman"/>
                            <w:i/>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i/>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in</m:t>
                                </m:r>
                              </m:sub>
                            </m:sSub>
                          </m:e>
                        </m:rad>
                      </m:den>
                    </m:f>
                  </m:e>
                </m:func>
                <m:r>
                  <w:rPr>
                    <w:rFonts w:ascii="Cambria Math" w:hAnsi="Cambria Math" w:cs="Times New Roman"/>
                    <w:szCs w:val="24"/>
                  </w:rPr>
                  <m:t>x+</m:t>
                </m:r>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in</m:t>
                    </m:r>
                  </m:sub>
                </m:sSub>
                <m:func>
                  <m:funcPr>
                    <m:ctrlPr>
                      <w:rPr>
                        <w:rFonts w:ascii="Cambria Math" w:hAnsi="Cambria Math" w:cs="Times New Roman"/>
                        <w:i/>
                        <w:szCs w:val="24"/>
                      </w:rPr>
                    </m:ctrlPr>
                  </m:funcPr>
                  <m:fName>
                    <m:r>
                      <m:rPr>
                        <m:sty m:val="p"/>
                      </m:rPr>
                      <w:rPr>
                        <w:rFonts w:ascii="Cambria Math" w:hAnsi="Cambria Math" w:cs="Times New Roman"/>
                        <w:szCs w:val="24"/>
                      </w:rPr>
                      <m:t>cos</m:t>
                    </m:r>
                  </m:fName>
                  <m:e>
                    <m:f>
                      <m:fPr>
                        <m:ctrlPr>
                          <w:rPr>
                            <w:rFonts w:ascii="Cambria Math" w:hAnsi="Cambria Math" w:cs="Times New Roman"/>
                            <w:i/>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i/>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in</m:t>
                                </m:r>
                              </m:sub>
                            </m:sSub>
                          </m:e>
                        </m:rad>
                      </m:den>
                    </m:f>
                  </m:e>
                </m:func>
                <m:r>
                  <w:rPr>
                    <w:rFonts w:ascii="Cambria Math" w:hAnsi="Cambria Math" w:cs="Times New Roman"/>
                    <w:szCs w:val="24"/>
                  </w:rPr>
                  <m:t>x</m:t>
                </m:r>
              </m:oMath>
            </m:oMathPara>
          </w:p>
        </w:tc>
        <w:tc>
          <w:tcPr>
            <w:tcW w:w="841" w:type="dxa"/>
            <w:vAlign w:val="center"/>
          </w:tcPr>
          <w:p w14:paraId="4E2E39C4" w14:textId="77777777" w:rsidR="000C2D31" w:rsidRDefault="000C2D31" w:rsidP="000C2D31">
            <w:pPr>
              <w:ind w:firstLine="0"/>
              <w:jc w:val="right"/>
              <w:rPr>
                <w:szCs w:val="24"/>
              </w:rPr>
            </w:pPr>
            <w:r>
              <w:rPr>
                <w:szCs w:val="24"/>
              </w:rPr>
              <w:t>(53)</w:t>
            </w:r>
          </w:p>
        </w:tc>
      </w:tr>
    </w:tbl>
    <w:p w14:paraId="0F6F9BD3" w14:textId="77777777" w:rsidR="000C2D31" w:rsidRPr="00B86411" w:rsidRDefault="000C2D31" w:rsidP="000C2D31">
      <w:pPr>
        <w:ind w:firstLine="0"/>
        <w:rPr>
          <w:szCs w:val="24"/>
        </w:rPr>
      </w:pPr>
      <w:proofErr w:type="gramStart"/>
      <w:r>
        <w:rPr>
          <w:szCs w:val="24"/>
        </w:rPr>
        <w:t>and</w:t>
      </w:r>
      <w:proofErr w:type="gramEnd"/>
      <w:r>
        <w:rPr>
          <w:szCs w:val="24"/>
        </w:rPr>
        <w:t xml:space="preserve">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n</m:t>
            </m:r>
          </m:sub>
        </m:sSub>
      </m:oMath>
      <w:r>
        <w:rPr>
          <w:szCs w:val="24"/>
        </w:rPr>
        <w:t xml:space="preserve"> is the coefficient and can be found by utilizing the orthogonality relation.</w:t>
      </w:r>
    </w:p>
    <w:p w14:paraId="47B9B762" w14:textId="0257F3F4" w:rsidR="000C2D31" w:rsidRPr="00B86411" w:rsidRDefault="000C2D31" w:rsidP="000C2D31">
      <w:pPr>
        <w:rPr>
          <w:szCs w:val="24"/>
        </w:rPr>
      </w:pPr>
      <w:r>
        <w:rPr>
          <w:szCs w:val="24"/>
        </w:rPr>
        <w:t xml:space="preserve">To determine the eigenvalues and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in</m:t>
            </m:r>
          </m:sub>
        </m:sSub>
      </m:oMath>
      <w:r>
        <w:rPr>
          <w:szCs w:val="24"/>
        </w:rPr>
        <w:t xml:space="preserve"> </w:t>
      </w:r>
      <w:proofErr w:type="gramStart"/>
      <w:r>
        <w:rPr>
          <w:szCs w:val="24"/>
        </w:rPr>
        <w:t xml:space="preserve">and </w:t>
      </w:r>
      <w:proofErr w:type="gramEnd"/>
      <m:oMath>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in</m:t>
            </m:r>
          </m:sub>
        </m:sSub>
      </m:oMath>
      <w:r>
        <w:rPr>
          <w:szCs w:val="24"/>
        </w:rPr>
        <w:t xml:space="preserve">, the boundary conditions are applied to Eq. </w:t>
      </w:r>
      <w:r w:rsidR="009B05F7">
        <w:rPr>
          <w:szCs w:val="24"/>
        </w:rPr>
        <w:t>(</w:t>
      </w:r>
      <w:r>
        <w:rPr>
          <w:szCs w:val="24"/>
        </w:rPr>
        <w:t>53</w:t>
      </w:r>
      <w:r w:rsidR="009B05F7">
        <w:rPr>
          <w:szCs w:val="24"/>
        </w:rPr>
        <w:t>)</w:t>
      </w:r>
      <w:r>
        <w:rPr>
          <w:szCs w:val="24"/>
        </w:rPr>
        <w:t>,</w:t>
      </w:r>
    </w:p>
    <w:p w14:paraId="3ABCFA40" w14:textId="77777777" w:rsidR="000C2D31" w:rsidRPr="005A3E52" w:rsidRDefault="000C2D31" w:rsidP="000C2D31">
      <w:pPr>
        <w:rPr>
          <w:rFonts w:cs="Times New Roman"/>
          <w:szCs w:val="24"/>
        </w:rPr>
      </w:pPr>
      <w:r>
        <w:rPr>
          <w:rFonts w:cs="Times New Roman"/>
          <w:szCs w:val="24"/>
        </w:rPr>
        <w:t>For one-layer coating;</w:t>
      </w:r>
    </w:p>
    <w:tbl>
      <w:tblPr>
        <w:tblW w:w="8460" w:type="dxa"/>
        <w:tblLook w:val="04A0" w:firstRow="1" w:lastRow="0" w:firstColumn="1" w:lastColumn="0" w:noHBand="0" w:noVBand="1"/>
      </w:tblPr>
      <w:tblGrid>
        <w:gridCol w:w="7215"/>
        <w:gridCol w:w="1245"/>
      </w:tblGrid>
      <w:tr w:rsidR="000C2D31" w:rsidRPr="005A3E52" w14:paraId="5BEEFE4E" w14:textId="77777777" w:rsidTr="000C2D31">
        <w:tc>
          <w:tcPr>
            <w:tcW w:w="7215" w:type="dxa"/>
            <w:vAlign w:val="center"/>
          </w:tcPr>
          <w:p w14:paraId="7ED9464F" w14:textId="379C9B99" w:rsidR="000C2D31" w:rsidRPr="005A3E52" w:rsidRDefault="007B3686" w:rsidP="000C2D31">
            <w:pPr>
              <w:rPr>
                <w:rFonts w:cs="Times New Roman"/>
                <w:szCs w:val="24"/>
              </w:rPr>
            </w:pPr>
            <m:oMathPara>
              <m:oMath>
                <m:d>
                  <m:dPr>
                    <m:begChr m:val="["/>
                    <m:endChr m:val="]"/>
                    <m:ctrlPr>
                      <w:rPr>
                        <w:rFonts w:ascii="Cambria Math" w:hAnsi="Cambria Math" w:cs="Times New Roman"/>
                        <w:i/>
                        <w:szCs w:val="24"/>
                      </w:rPr>
                    </m:ctrlPr>
                  </m:dPr>
                  <m:e>
                    <m:m>
                      <m:mPr>
                        <m:mcs>
                          <m:mc>
                            <m:mcPr>
                              <m:count m:val="3"/>
                              <m:mcJc m:val="center"/>
                            </m:mcPr>
                          </m:mc>
                        </m:mcs>
                        <m:ctrlPr>
                          <w:rPr>
                            <w:rFonts w:ascii="Cambria Math" w:hAnsi="Cambria Math" w:cs="Times New Roman"/>
                            <w:szCs w:val="24"/>
                          </w:rPr>
                        </m:ctrlPr>
                      </m:mPr>
                      <m:mr>
                        <m:e>
                          <m:r>
                            <w:rPr>
                              <w:rFonts w:ascii="Cambria Math" w:hAnsi="Cambria Math" w:cs="Times New Roman"/>
                              <w:szCs w:val="24"/>
                            </w:rPr>
                            <m:t>sin</m:t>
                          </m:r>
                          <m:d>
                            <m:dPr>
                              <m:ctrlPr>
                                <w:rPr>
                                  <w:rFonts w:ascii="Cambria Math" w:hAnsi="Cambria Math" w:cs="Times New Roman"/>
                                  <w:szCs w:val="24"/>
                                </w:rPr>
                              </m:ctrlPr>
                            </m:dPr>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e>
                          </m:d>
                        </m:e>
                        <m:e>
                          <m:r>
                            <m:rPr>
                              <m:sty m:val="p"/>
                            </m:rPr>
                            <w:rPr>
                              <w:rFonts w:ascii="Cambria Math" w:hAnsi="Cambria Math" w:cs="Times New Roman"/>
                              <w:szCs w:val="24"/>
                            </w:rPr>
                            <m:t>-</m:t>
                          </m:r>
                          <m:r>
                            <w:rPr>
                              <w:rFonts w:ascii="Cambria Math" w:hAnsi="Cambria Math" w:cs="Times New Roman"/>
                              <w:szCs w:val="24"/>
                            </w:rPr>
                            <m:t>sin</m:t>
                          </m:r>
                          <m:d>
                            <m:dPr>
                              <m:ctrlPr>
                                <w:rPr>
                                  <w:rFonts w:ascii="Cambria Math" w:hAnsi="Cambria Math" w:cs="Times New Roman"/>
                                  <w:szCs w:val="24"/>
                                </w:rPr>
                              </m:ctrlPr>
                            </m:dPr>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d>
                        </m:e>
                        <m:e>
                          <m:r>
                            <m:rPr>
                              <m:sty m:val="p"/>
                            </m:rPr>
                            <w:rPr>
                              <w:rFonts w:ascii="Cambria Math" w:hAnsi="Cambria Math" w:cs="Times New Roman"/>
                              <w:szCs w:val="24"/>
                            </w:rPr>
                            <m:t>-</m:t>
                          </m:r>
                          <m:r>
                            <w:rPr>
                              <w:rFonts w:ascii="Cambria Math" w:hAnsi="Cambria Math" w:cs="Times New Roman"/>
                              <w:szCs w:val="24"/>
                            </w:rPr>
                            <m:t>cos</m:t>
                          </m:r>
                          <m:d>
                            <m:dPr>
                              <m:ctrlPr>
                                <w:rPr>
                                  <w:rFonts w:ascii="Cambria Math" w:hAnsi="Cambria Math" w:cs="Times New Roman"/>
                                  <w:szCs w:val="24"/>
                                </w:rPr>
                              </m:ctrlPr>
                            </m:dPr>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d>
                        </m:e>
                      </m:mr>
                      <m:mr>
                        <m:e>
                          <m:d>
                            <m:dPr>
                              <m:ctrlPr>
                                <w:rPr>
                                  <w:rFonts w:ascii="Cambria Math" w:hAnsi="Cambria Math" w:cs="Times New Roman"/>
                                  <w:szCs w:val="24"/>
                                </w:rPr>
                              </m:ctrlPr>
                            </m:dPr>
                            <m:e>
                              <m:rad>
                                <m:radPr>
                                  <m:degHide m:val="1"/>
                                  <m:ctrlPr>
                                    <w:rPr>
                                      <w:rFonts w:ascii="Cambria Math" w:hAnsi="Cambria Math" w:cs="Times New Roman"/>
                                      <w:szCs w:val="24"/>
                                    </w:rPr>
                                  </m:ctrlPr>
                                </m:radPr>
                                <m:deg/>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den>
                                  </m:f>
                                </m:e>
                              </m:rad>
                            </m:e>
                          </m:d>
                          <m:r>
                            <w:rPr>
                              <w:rFonts w:ascii="Cambria Math" w:hAnsi="Cambria Math" w:cs="Times New Roman"/>
                              <w:szCs w:val="24"/>
                            </w:rPr>
                            <m:t>cos</m:t>
                          </m:r>
                          <m:d>
                            <m:dPr>
                              <m:ctrlPr>
                                <w:rPr>
                                  <w:rFonts w:ascii="Cambria Math" w:hAnsi="Cambria Math" w:cs="Times New Roman"/>
                                  <w:szCs w:val="24"/>
                                </w:rPr>
                              </m:ctrlPr>
                            </m:dPr>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e>
                          </m:d>
                        </m:e>
                        <m:e>
                          <m:r>
                            <w:rPr>
                              <w:rFonts w:ascii="Cambria Math" w:hAnsi="Cambria Math" w:cs="Times New Roman"/>
                              <w:szCs w:val="24"/>
                            </w:rPr>
                            <m:t>-cos</m:t>
                          </m:r>
                          <m:d>
                            <m:dPr>
                              <m:ctrlPr>
                                <w:rPr>
                                  <w:rFonts w:ascii="Cambria Math" w:hAnsi="Cambria Math" w:cs="Times New Roman"/>
                                  <w:szCs w:val="24"/>
                                </w:rPr>
                              </m:ctrlPr>
                            </m:dPr>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d>
                        </m:e>
                        <m:e>
                          <m:r>
                            <w:rPr>
                              <w:rFonts w:ascii="Cambria Math" w:hAnsi="Cambria Math" w:cs="Times New Roman"/>
                              <w:szCs w:val="24"/>
                            </w:rPr>
                            <m:t>sin</m:t>
                          </m:r>
                          <m:d>
                            <m:dPr>
                              <m:ctrlPr>
                                <w:rPr>
                                  <w:rFonts w:ascii="Cambria Math" w:hAnsi="Cambria Math" w:cs="Times New Roman"/>
                                  <w:szCs w:val="24"/>
                                </w:rPr>
                              </m:ctrlPr>
                            </m:dPr>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d>
                        </m:e>
                      </m:mr>
                      <m:mr>
                        <m:e>
                          <m:r>
                            <m:rPr>
                              <m:sty m:val="p"/>
                            </m:rPr>
                            <w:rPr>
                              <w:rFonts w:ascii="Cambria Math" w:hAnsi="Cambria Math" w:cs="Times New Roman"/>
                              <w:szCs w:val="24"/>
                            </w:rPr>
                            <m:t>0</m:t>
                          </m:r>
                        </m:e>
                        <m:e>
                          <m:r>
                            <w:rPr>
                              <w:rFonts w:ascii="Cambria Math" w:hAnsi="Cambria Math" w:cs="Times New Roman"/>
                              <w:szCs w:val="24"/>
                            </w:rPr>
                            <m:t>sin</m:t>
                          </m:r>
                          <m:d>
                            <m:dPr>
                              <m:ctrlPr>
                                <w:rPr>
                                  <w:rFonts w:ascii="Cambria Math" w:hAnsi="Cambria Math" w:cs="Times New Roman"/>
                                  <w:szCs w:val="24"/>
                                </w:rPr>
                              </m:ctrlPr>
                            </m:dPr>
                            <m:e>
                              <m:r>
                                <w:rPr>
                                  <w:rFonts w:ascii="Cambria Math" w:hAnsi="Cambria Math" w:cs="Times New Roman"/>
                                  <w:szCs w:val="24"/>
                                </w:rPr>
                                <m:t>b</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d>
                        </m:e>
                        <m:e>
                          <m:r>
                            <w:rPr>
                              <w:rFonts w:ascii="Cambria Math" w:hAnsi="Cambria Math" w:cs="Times New Roman"/>
                              <w:szCs w:val="24"/>
                            </w:rPr>
                            <m:t>cos</m:t>
                          </m:r>
                          <m:d>
                            <m:dPr>
                              <m:ctrlPr>
                                <w:rPr>
                                  <w:rFonts w:ascii="Cambria Math" w:hAnsi="Cambria Math" w:cs="Times New Roman"/>
                                  <w:szCs w:val="24"/>
                                </w:rPr>
                              </m:ctrlPr>
                            </m:dPr>
                            <m:e>
                              <m:r>
                                <w:rPr>
                                  <w:rFonts w:ascii="Cambria Math" w:hAnsi="Cambria Math" w:cs="Times New Roman"/>
                                  <w:szCs w:val="24"/>
                                </w:rPr>
                                <m:t>b</m:t>
                              </m:r>
                              <m:f>
                                <m:fPr>
                                  <m:ctrlPr>
                                    <w:rPr>
                                      <w:rFonts w:ascii="Cambria Math" w:hAnsi="Cambria Math" w:cs="Times New Roman"/>
                                      <w:szCs w:val="24"/>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d>
                        </m:e>
                      </m:mr>
                    </m:m>
                  </m:e>
                </m:d>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1</m:t>
                          </m:r>
                        </m:e>
                      </m:mr>
                      <m:m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2n</m:t>
                              </m:r>
                            </m:sub>
                          </m:sSub>
                        </m:e>
                      </m:mr>
                      <m:mr>
                        <m:e>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2n</m:t>
                              </m:r>
                            </m:sub>
                          </m:sSub>
                        </m:e>
                      </m:mr>
                    </m:m>
                  </m:e>
                </m:d>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0</m:t>
                          </m:r>
                        </m:e>
                      </m:mr>
                      <m:mr>
                        <m:e>
                          <m:r>
                            <w:rPr>
                              <w:rFonts w:ascii="Cambria Math" w:hAnsi="Cambria Math" w:cs="Times New Roman"/>
                              <w:szCs w:val="24"/>
                            </w:rPr>
                            <m:t>0</m:t>
                          </m:r>
                        </m:e>
                      </m:mr>
                      <m:mr>
                        <m:e>
                          <m:r>
                            <w:rPr>
                              <w:rFonts w:ascii="Cambria Math" w:hAnsi="Cambria Math" w:cs="Times New Roman"/>
                              <w:szCs w:val="24"/>
                            </w:rPr>
                            <m:t>0</m:t>
                          </m:r>
                        </m:e>
                      </m:mr>
                    </m:m>
                  </m:e>
                </m:d>
              </m:oMath>
            </m:oMathPara>
          </w:p>
        </w:tc>
        <w:tc>
          <w:tcPr>
            <w:tcW w:w="1245" w:type="dxa"/>
            <w:vAlign w:val="center"/>
          </w:tcPr>
          <w:p w14:paraId="706B3577" w14:textId="77777777" w:rsidR="000C2D31" w:rsidRPr="005A3E52" w:rsidRDefault="000C2D31" w:rsidP="000C2D31">
            <w:pPr>
              <w:jc w:val="right"/>
              <w:rPr>
                <w:rFonts w:cs="Times New Roman"/>
                <w:szCs w:val="24"/>
              </w:rPr>
            </w:pPr>
            <w:r w:rsidRPr="005A3E52">
              <w:rPr>
                <w:rFonts w:cs="Times New Roman"/>
                <w:szCs w:val="24"/>
              </w:rPr>
              <w:t>(</w:t>
            </w:r>
            <w:r>
              <w:rPr>
                <w:rFonts w:cs="Times New Roman"/>
                <w:szCs w:val="24"/>
              </w:rPr>
              <w:t>54a</w:t>
            </w:r>
            <w:r w:rsidRPr="005A3E52">
              <w:rPr>
                <w:rFonts w:cs="Times New Roman"/>
                <w:szCs w:val="24"/>
              </w:rPr>
              <w:t>)</w:t>
            </w:r>
          </w:p>
        </w:tc>
      </w:tr>
    </w:tbl>
    <w:p w14:paraId="4D0940DE" w14:textId="77777777" w:rsidR="007D7AB8" w:rsidRDefault="007D7AB8" w:rsidP="000C2D31">
      <w:pPr>
        <w:rPr>
          <w:rFonts w:cs="Times New Roman"/>
          <w:szCs w:val="24"/>
        </w:rPr>
      </w:pPr>
    </w:p>
    <w:p w14:paraId="7A9EDBB6" w14:textId="77777777" w:rsidR="000C2D31" w:rsidRDefault="000C2D31" w:rsidP="000C2D31">
      <w:pPr>
        <w:rPr>
          <w:rFonts w:cs="Times New Roman"/>
          <w:szCs w:val="24"/>
        </w:rPr>
      </w:pPr>
      <w:r>
        <w:rPr>
          <w:rFonts w:cs="Times New Roman"/>
          <w:szCs w:val="24"/>
        </w:rPr>
        <w:lastRenderedPageBreak/>
        <w:t>For symmetric two-layer coating;</w:t>
      </w:r>
    </w:p>
    <w:tbl>
      <w:tblPr>
        <w:tblW w:w="8460" w:type="dxa"/>
        <w:tblLook w:val="04A0" w:firstRow="1" w:lastRow="0" w:firstColumn="1" w:lastColumn="0" w:noHBand="0" w:noVBand="1"/>
      </w:tblPr>
      <w:tblGrid>
        <w:gridCol w:w="7202"/>
        <w:gridCol w:w="1258"/>
      </w:tblGrid>
      <w:tr w:rsidR="000C2D31" w:rsidRPr="005A3E52" w14:paraId="7AE9B3B4" w14:textId="77777777" w:rsidTr="000C2D31">
        <w:tc>
          <w:tcPr>
            <w:tcW w:w="7202" w:type="dxa"/>
            <w:vAlign w:val="center"/>
          </w:tcPr>
          <w:p w14:paraId="3B5FCC1B" w14:textId="5AE892FC" w:rsidR="000C2D31" w:rsidRPr="003A742C" w:rsidRDefault="007B3686" w:rsidP="000C2D31">
            <w:pPr>
              <w:spacing w:line="240" w:lineRule="auto"/>
            </w:pPr>
            <m:oMathPara>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sin</m:t>
                          </m:r>
                          <m:d>
                            <m:dPr>
                              <m:ctrlPr>
                                <w:rPr>
                                  <w:rFonts w:ascii="Cambria Math" w:hAnsi="Cambria Math"/>
                                  <w:i/>
                                </w:rPr>
                              </m:ctrlPr>
                            </m:dPr>
                            <m:e>
                              <m:r>
                                <w:rPr>
                                  <w:rFonts w:ascii="Cambria Math" w:hAnsi="Cambria Math"/>
                                </w:rPr>
                                <m:t>a</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z,1</m:t>
                                          </m:r>
                                        </m:sub>
                                      </m:sSub>
                                    </m:e>
                                  </m:rad>
                                </m:den>
                              </m:f>
                            </m:e>
                          </m:d>
                        </m:e>
                        <m:e>
                          <m:r>
                            <w:rPr>
                              <w:rFonts w:ascii="Cambria Math" w:hAnsi="Cambria Math"/>
                            </w:rPr>
                            <m:t>-sin</m:t>
                          </m:r>
                          <m:d>
                            <m:dPr>
                              <m:ctrlPr>
                                <w:rPr>
                                  <w:rFonts w:ascii="Cambria Math" w:hAnsi="Cambria Math"/>
                                  <w:i/>
                                </w:rPr>
                              </m:ctrlPr>
                            </m:dPr>
                            <m:e>
                              <m:r>
                                <w:rPr>
                                  <w:rFonts w:ascii="Cambria Math" w:hAnsi="Cambria Math"/>
                                </w:rPr>
                                <m:t>a</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z,2</m:t>
                                          </m:r>
                                        </m:sub>
                                      </m:sSub>
                                    </m:e>
                                  </m:rad>
                                </m:den>
                              </m:f>
                            </m:e>
                          </m:d>
                        </m:e>
                        <m:e>
                          <m:r>
                            <w:rPr>
                              <w:rFonts w:ascii="Cambria Math" w:hAnsi="Cambria Math"/>
                            </w:rPr>
                            <m:t>-cos</m:t>
                          </m:r>
                          <m:d>
                            <m:dPr>
                              <m:ctrlPr>
                                <w:rPr>
                                  <w:rFonts w:ascii="Cambria Math" w:hAnsi="Cambria Math"/>
                                  <w:i/>
                                </w:rPr>
                              </m:ctrlPr>
                            </m:dPr>
                            <m:e>
                              <m:r>
                                <w:rPr>
                                  <w:rFonts w:ascii="Cambria Math" w:hAnsi="Cambria Math"/>
                                </w:rPr>
                                <m:t>a</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z,2</m:t>
                                          </m:r>
                                        </m:sub>
                                      </m:sSub>
                                    </m:e>
                                  </m:rad>
                                </m:den>
                              </m:f>
                            </m:e>
                          </m:d>
                        </m:e>
                      </m:mr>
                      <m:mr>
                        <m:e>
                          <m:d>
                            <m:dPr>
                              <m:ctrlPr>
                                <w:rPr>
                                  <w:rFonts w:ascii="Cambria Math" w:hAnsi="Cambria Math"/>
                                  <w:i/>
                                </w:rPr>
                              </m:ctrlPr>
                            </m:dPr>
                            <m:e>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z,1</m:t>
                                          </m:r>
                                        </m:sub>
                                      </m:sSub>
                                    </m:num>
                                    <m:den>
                                      <m:sSub>
                                        <m:sSubPr>
                                          <m:ctrlPr>
                                            <w:rPr>
                                              <w:rFonts w:ascii="Cambria Math" w:hAnsi="Cambria Math"/>
                                              <w:i/>
                                            </w:rPr>
                                          </m:ctrlPr>
                                        </m:sSubPr>
                                        <m:e>
                                          <m:r>
                                            <w:rPr>
                                              <w:rFonts w:ascii="Cambria Math" w:hAnsi="Cambria Math"/>
                                            </w:rPr>
                                            <m:t>D</m:t>
                                          </m:r>
                                        </m:e>
                                        <m:sub>
                                          <m:r>
                                            <w:rPr>
                                              <w:rFonts w:ascii="Cambria Math" w:hAnsi="Cambria Math"/>
                                            </w:rPr>
                                            <m:t>z,2</m:t>
                                          </m:r>
                                        </m:sub>
                                      </m:sSub>
                                    </m:den>
                                  </m:f>
                                </m:e>
                              </m:rad>
                            </m:e>
                          </m:d>
                          <m:r>
                            <w:rPr>
                              <w:rFonts w:ascii="Cambria Math" w:hAnsi="Cambria Math"/>
                            </w:rPr>
                            <m:t>cos</m:t>
                          </m:r>
                          <m:d>
                            <m:dPr>
                              <m:ctrlPr>
                                <w:rPr>
                                  <w:rFonts w:ascii="Cambria Math" w:hAnsi="Cambria Math"/>
                                  <w:i/>
                                </w:rPr>
                              </m:ctrlPr>
                            </m:dPr>
                            <m:e>
                              <m:r>
                                <w:rPr>
                                  <w:rFonts w:ascii="Cambria Math" w:hAnsi="Cambria Math"/>
                                </w:rPr>
                                <m:t>a</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z,1</m:t>
                                          </m:r>
                                        </m:sub>
                                      </m:sSub>
                                    </m:e>
                                  </m:rad>
                                </m:den>
                              </m:f>
                            </m:e>
                          </m:d>
                        </m:e>
                        <m:e>
                          <m:r>
                            <w:rPr>
                              <w:rFonts w:ascii="Cambria Math" w:hAnsi="Cambria Math"/>
                            </w:rPr>
                            <m:t>-cos</m:t>
                          </m:r>
                          <m:d>
                            <m:dPr>
                              <m:ctrlPr>
                                <w:rPr>
                                  <w:rFonts w:ascii="Cambria Math" w:hAnsi="Cambria Math"/>
                                  <w:i/>
                                </w:rPr>
                              </m:ctrlPr>
                            </m:dPr>
                            <m:e>
                              <m:r>
                                <w:rPr>
                                  <w:rFonts w:ascii="Cambria Math" w:hAnsi="Cambria Math"/>
                                </w:rPr>
                                <m:t>a</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z,2</m:t>
                                          </m:r>
                                        </m:sub>
                                      </m:sSub>
                                    </m:e>
                                  </m:rad>
                                </m:den>
                              </m:f>
                            </m:e>
                          </m:d>
                        </m:e>
                        <m:e>
                          <m:r>
                            <w:rPr>
                              <w:rFonts w:ascii="Cambria Math" w:hAnsi="Cambria Math"/>
                            </w:rPr>
                            <m:t>sin</m:t>
                          </m:r>
                          <m:d>
                            <m:dPr>
                              <m:ctrlPr>
                                <w:rPr>
                                  <w:rFonts w:ascii="Cambria Math" w:hAnsi="Cambria Math"/>
                                  <w:i/>
                                </w:rPr>
                              </m:ctrlPr>
                            </m:dPr>
                            <m:e>
                              <m:r>
                                <w:rPr>
                                  <w:rFonts w:ascii="Cambria Math" w:hAnsi="Cambria Math"/>
                                </w:rPr>
                                <m:t>a</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z,2</m:t>
                                          </m:r>
                                        </m:sub>
                                      </m:sSub>
                                    </m:e>
                                  </m:rad>
                                </m:den>
                              </m:f>
                            </m:e>
                          </m:d>
                        </m:e>
                      </m:mr>
                      <m:mr>
                        <m:e>
                          <m:r>
                            <w:rPr>
                              <w:rFonts w:ascii="Cambria Math" w:hAnsi="Cambria Math"/>
                            </w:rPr>
                            <m:t>0</m:t>
                          </m:r>
                        </m:e>
                        <m:e>
                          <m:r>
                            <w:rPr>
                              <w:rFonts w:ascii="Cambria Math" w:hAnsi="Cambria Math"/>
                            </w:rPr>
                            <m:t>cos</m:t>
                          </m:r>
                          <m:d>
                            <m:dPr>
                              <m:ctrlPr>
                                <w:rPr>
                                  <w:rFonts w:ascii="Cambria Math" w:hAnsi="Cambria Math"/>
                                  <w:i/>
                                </w:rPr>
                              </m:ctrlPr>
                            </m:dPr>
                            <m:e>
                              <m:r>
                                <w:rPr>
                                  <w:rFonts w:ascii="Cambria Math" w:hAnsi="Cambria Math"/>
                                </w:rPr>
                                <m:t>b</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z,2</m:t>
                                          </m:r>
                                        </m:sub>
                                      </m:sSub>
                                    </m:e>
                                  </m:rad>
                                </m:den>
                              </m:f>
                            </m:e>
                          </m:d>
                        </m:e>
                        <m:e>
                          <m:r>
                            <w:rPr>
                              <w:rFonts w:ascii="Cambria Math" w:hAnsi="Cambria Math"/>
                            </w:rPr>
                            <m:t>-sin</m:t>
                          </m:r>
                          <m:d>
                            <m:dPr>
                              <m:ctrlPr>
                                <w:rPr>
                                  <w:rFonts w:ascii="Cambria Math" w:hAnsi="Cambria Math"/>
                                  <w:i/>
                                </w:rPr>
                              </m:ctrlPr>
                            </m:dPr>
                            <m:e>
                              <m:r>
                                <w:rPr>
                                  <w:rFonts w:ascii="Cambria Math" w:hAnsi="Cambria Math"/>
                                </w:rPr>
                                <m:t>b</m:t>
                              </m:r>
                              <m:f>
                                <m:fPr>
                                  <m:ctrlPr>
                                    <w:rPr>
                                      <w:rFonts w:ascii="Cambria Math" w:hAnsi="Cambria Math"/>
                                      <w:i/>
                                    </w:rPr>
                                  </m:ctrlPr>
                                </m:fPr>
                                <m:num>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z,2</m:t>
                                          </m:r>
                                        </m:sub>
                                      </m:sSub>
                                    </m:e>
                                  </m:rad>
                                </m:den>
                              </m:f>
                            </m:e>
                          </m:d>
                        </m:e>
                      </m:mr>
                    </m:m>
                  </m:e>
                </m:d>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1</m:t>
                          </m:r>
                        </m:e>
                      </m:mr>
                      <m:m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2n</m:t>
                              </m:r>
                            </m:sub>
                          </m:sSub>
                        </m:e>
                      </m:mr>
                      <m:mr>
                        <m:e>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2n</m:t>
                              </m:r>
                            </m:sub>
                          </m:sSub>
                        </m:e>
                      </m:mr>
                    </m:m>
                  </m:e>
                </m:d>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0</m:t>
                          </m:r>
                        </m:e>
                      </m:mr>
                      <m:mr>
                        <m:e>
                          <m:r>
                            <w:rPr>
                              <w:rFonts w:ascii="Cambria Math" w:hAnsi="Cambria Math" w:cs="Times New Roman"/>
                              <w:szCs w:val="24"/>
                            </w:rPr>
                            <m:t>0</m:t>
                          </m:r>
                        </m:e>
                      </m:mr>
                      <m:mr>
                        <m:e>
                          <m:r>
                            <w:rPr>
                              <w:rFonts w:ascii="Cambria Math" w:hAnsi="Cambria Math" w:cs="Times New Roman"/>
                              <w:szCs w:val="24"/>
                            </w:rPr>
                            <m:t>0</m:t>
                          </m:r>
                        </m:e>
                      </m:mr>
                    </m:m>
                  </m:e>
                </m:d>
              </m:oMath>
            </m:oMathPara>
          </w:p>
        </w:tc>
        <w:tc>
          <w:tcPr>
            <w:tcW w:w="1258" w:type="dxa"/>
            <w:vAlign w:val="center"/>
          </w:tcPr>
          <w:p w14:paraId="6525EC5E" w14:textId="77777777" w:rsidR="000C2D31" w:rsidRPr="005A3E52" w:rsidRDefault="000C2D31" w:rsidP="000C2D31">
            <w:pPr>
              <w:jc w:val="right"/>
              <w:rPr>
                <w:rFonts w:cs="Times New Roman"/>
                <w:szCs w:val="24"/>
              </w:rPr>
            </w:pPr>
            <w:r>
              <w:rPr>
                <w:rFonts w:cs="Times New Roman"/>
                <w:szCs w:val="24"/>
              </w:rPr>
              <w:t>(54b</w:t>
            </w:r>
            <w:r w:rsidRPr="005A3E52">
              <w:rPr>
                <w:rFonts w:cs="Times New Roman"/>
                <w:szCs w:val="24"/>
              </w:rPr>
              <w:t>)</w:t>
            </w:r>
          </w:p>
        </w:tc>
      </w:tr>
    </w:tbl>
    <w:p w14:paraId="729FED42" w14:textId="77777777" w:rsidR="000C2D31" w:rsidRDefault="000C2D31" w:rsidP="000C2D31">
      <w:pPr>
        <w:ind w:firstLine="0"/>
      </w:pPr>
    </w:p>
    <w:p w14:paraId="7C5DFA54" w14:textId="5C112BC4" w:rsidR="000C2D31" w:rsidRDefault="000C2D31" w:rsidP="000C2D31">
      <w:pPr>
        <w:rPr>
          <w:szCs w:val="24"/>
        </w:rPr>
      </w:pPr>
      <w:r w:rsidRPr="00A0693A">
        <w:rPr>
          <w:szCs w:val="24"/>
        </w:rPr>
        <w:t>Equating the deter</w:t>
      </w:r>
      <w:r>
        <w:rPr>
          <w:szCs w:val="24"/>
        </w:rPr>
        <w:t xml:space="preserve">minant of the matrix in Eq. </w:t>
      </w:r>
      <w:r w:rsidR="009B05F7">
        <w:rPr>
          <w:szCs w:val="24"/>
        </w:rPr>
        <w:t>(</w:t>
      </w:r>
      <w:r>
        <w:rPr>
          <w:szCs w:val="24"/>
        </w:rPr>
        <w:t>54</w:t>
      </w:r>
      <w:r w:rsidR="009B05F7">
        <w:rPr>
          <w:szCs w:val="24"/>
        </w:rPr>
        <w:t>)</w:t>
      </w:r>
      <w:r w:rsidRPr="00A0693A">
        <w:rPr>
          <w:szCs w:val="24"/>
        </w:rPr>
        <w:t xml:space="preserve"> to zero gives the eigenvalues,</w:t>
      </w:r>
      <m:oMath>
        <m:r>
          <w:rPr>
            <w:rFonts w:ascii="Cambria Math" w:hAnsi="Cambria Math" w:cs="Times New Roman"/>
            <w:szCs w:val="24"/>
          </w:rPr>
          <m:t xml:space="preserve"> </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n</m:t>
            </m:r>
          </m:sub>
        </m:sSub>
      </m:oMath>
      <w:proofErr w:type="gramStart"/>
      <w:r>
        <w:rPr>
          <w:szCs w:val="24"/>
        </w:rPr>
        <w:t>,</w:t>
      </w:r>
      <w:proofErr w:type="gramEnd"/>
      <w:r w:rsidRPr="00A0693A">
        <w:rPr>
          <w:szCs w:val="24"/>
        </w:rPr>
        <w:t xml:space="preserve"> for both cases.</w:t>
      </w:r>
    </w:p>
    <w:p w14:paraId="3C59645F" w14:textId="77777777" w:rsidR="000C2D31" w:rsidRDefault="000C2D31" w:rsidP="000C2D31">
      <w:pPr>
        <w:rPr>
          <w:szCs w:val="24"/>
        </w:rPr>
      </w:pPr>
      <w:r>
        <w:rPr>
          <w:szCs w:val="24"/>
        </w:rPr>
        <w:t xml:space="preserve">When the solutions of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y</m:t>
            </m:r>
          </m:e>
        </m:d>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φ</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z</m:t>
            </m:r>
          </m:e>
        </m:d>
      </m:oMath>
      <w:r>
        <w:rPr>
          <w:szCs w:val="24"/>
        </w:rPr>
        <w:t xml:space="preserve"> and </w:t>
      </w:r>
      <m:oMath>
        <m:r>
          <w:rPr>
            <w:rFonts w:ascii="Cambria Math" w:hAnsi="Cambria Math" w:cs="Times New Roman"/>
            <w:szCs w:val="24"/>
          </w:rPr>
          <m:t>τ</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 xml:space="preserve"> </m:t>
        </m:r>
      </m:oMath>
      <w:r>
        <w:rPr>
          <w:szCs w:val="24"/>
        </w:rPr>
        <w:t xml:space="preserve">and </w:t>
      </w:r>
      <m:oMath>
        <m:r>
          <w:rPr>
            <w:rFonts w:ascii="Cambria Math" w:hAnsi="Cambria Math"/>
            <w:szCs w:val="24"/>
          </w:rPr>
          <m:t>ρ</m:t>
        </m:r>
        <m:d>
          <m:dPr>
            <m:ctrlPr>
              <w:rPr>
                <w:rFonts w:ascii="Cambria Math" w:hAnsi="Cambria Math"/>
                <w:i/>
                <w:szCs w:val="24"/>
              </w:rPr>
            </m:ctrlPr>
          </m:dPr>
          <m:e>
            <m:r>
              <w:rPr>
                <w:rFonts w:ascii="Cambria Math" w:hAnsi="Cambria Math"/>
                <w:szCs w:val="24"/>
              </w:rPr>
              <m:t>t</m:t>
            </m:r>
          </m:e>
        </m:d>
      </m:oMath>
      <w:r>
        <w:rPr>
          <w:szCs w:val="24"/>
        </w:rPr>
        <w:t xml:space="preserve"> are combined, the result gives the analytical solution of the multi-layer hindered diffusion model.</w:t>
      </w:r>
    </w:p>
    <w:p w14:paraId="4C6C7417" w14:textId="77777777" w:rsidR="000C2D31" w:rsidRDefault="000C2D31" w:rsidP="000C2D31">
      <w:pPr>
        <w:ind w:firstLine="0"/>
        <w:rPr>
          <w:szCs w:val="24"/>
        </w:rPr>
      </w:pPr>
      <w:r>
        <w:t xml:space="preserve">The total moisture concentration </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oMath>
      <w:r>
        <w:rPr>
          <w:szCs w:val="24"/>
        </w:rPr>
        <w:t>+</w:t>
      </w:r>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w:rPr>
            <w:rFonts w:ascii="Cambria Math" w:hAnsi="Cambria Math" w:cs="Times New Roman"/>
            <w:szCs w:val="24"/>
          </w:rPr>
          <m:t xml:space="preserve"> </m:t>
        </m:r>
      </m:oMath>
      <w:r>
        <w:rPr>
          <w:szCs w:val="24"/>
        </w:rPr>
        <w:t>is</w:t>
      </w:r>
    </w:p>
    <w:tbl>
      <w:tblPr>
        <w:tblW w:w="0" w:type="auto"/>
        <w:tblLook w:val="04A0" w:firstRow="1" w:lastRow="0" w:firstColumn="1" w:lastColumn="0" w:noHBand="0" w:noVBand="1"/>
      </w:tblPr>
      <w:tblGrid>
        <w:gridCol w:w="7519"/>
        <w:gridCol w:w="977"/>
      </w:tblGrid>
      <w:tr w:rsidR="000C2D31" w14:paraId="145059CC" w14:textId="77777777" w:rsidTr="000C2D31">
        <w:tc>
          <w:tcPr>
            <w:tcW w:w="7519" w:type="dxa"/>
          </w:tcPr>
          <w:p w14:paraId="77AE7F8D" w14:textId="77777777" w:rsidR="000C2D31" w:rsidRPr="00B51624" w:rsidRDefault="007B3686" w:rsidP="000C2D31">
            <m:oMathPara>
              <m:oMath>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m:rPr>
                        <m:sty m:val="p"/>
                      </m:rPr>
                      <w:rPr>
                        <w:rFonts w:ascii="Cambria Math" w:hAnsi="Cambria Math" w:cs="Times New Roman"/>
                        <w:szCs w:val="24"/>
                      </w:rPr>
                      <m:t>i</m:t>
                    </m:r>
                  </m:sub>
                </m:sSub>
                <m:d>
                  <m:dPr>
                    <m:ctrlPr>
                      <w:rPr>
                        <w:rFonts w:ascii="Cambria Math" w:hAnsi="Cambria Math" w:cs="Times New Roman"/>
                        <w:szCs w:val="24"/>
                      </w:rPr>
                    </m:ctrlPr>
                  </m:dPr>
                  <m:e>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y</m:t>
                    </m:r>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r>
                  <w:rPr>
                    <w:rFonts w:ascii="Cambria Math" w:hAnsi="Cambria Math" w:cs="Times New Roman"/>
                    <w:szCs w:val="24"/>
                  </w:rPr>
                  <m:t>=</m:t>
                </m:r>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r>
                            <w:rPr>
                              <w:rFonts w:ascii="Cambria Math" w:hAnsi="Cambria Math" w:cs="Times New Roman"/>
                              <w:szCs w:val="24"/>
                            </w:rPr>
                            <m:t>1</m:t>
                          </m:r>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16</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odd</m:t>
                                  </m:r>
                                </m:e>
                              </m:d>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odd</m:t>
                                      </m:r>
                                    </m:e>
                                  </m:d>
                                </m:sup>
                                <m:e>
                                  <m:nary>
                                    <m:naryPr>
                                      <m:chr m:val="∑"/>
                                      <m:limLoc m:val="undOvr"/>
                                      <m:ctrlPr>
                                        <w:rPr>
                                          <w:rFonts w:ascii="Cambria Math" w:hAnsi="Cambria Math" w:cs="Times New Roman"/>
                                          <w:szCs w:val="24"/>
                                        </w:rPr>
                                      </m:ctrlPr>
                                    </m:naryPr>
                                    <m:sub>
                                      <m:r>
                                        <w:rPr>
                                          <w:rFonts w:ascii="Cambria Math" w:hAnsi="Cambria Math" w:cs="Times New Roman"/>
                                          <w:szCs w:val="24"/>
                                        </w:rPr>
                                        <m:t>m</m:t>
                                      </m:r>
                                      <m:r>
                                        <m:rPr>
                                          <m:sty m:val="p"/>
                                        </m:rPr>
                                        <w:rPr>
                                          <w:rFonts w:ascii="Cambria Math" w:hAnsi="Cambria Math" w:cs="Times New Roman"/>
                                          <w:szCs w:val="24"/>
                                        </w:rPr>
                                        <m:t>=1</m:t>
                                      </m:r>
                                    </m:sub>
                                    <m:sup>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odd</m:t>
                                          </m:r>
                                        </m:e>
                                      </m:d>
                                    </m:sup>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sSub>
                                            <m:sSubPr>
                                              <m:ctrlPr>
                                                <w:rPr>
                                                  <w:rFonts w:ascii="Cambria Math" w:hAnsi="Cambria Math" w:cs="Times New Roman"/>
                                                  <w:szCs w:val="24"/>
                                                </w:rPr>
                                              </m:ctrlPr>
                                            </m:sSubPr>
                                            <m:e>
                                              <m:r>
                                                <w:rPr>
                                                  <w:rFonts w:ascii="Cambria Math" w:hAnsi="Cambria Math" w:cs="Times New Roman"/>
                                                  <w:szCs w:val="24"/>
                                                </w:rPr>
                                                <m:t>Int</m:t>
                                              </m:r>
                                            </m:e>
                                            <m:sub>
                                              <m:r>
                                                <w:rPr>
                                                  <w:rFonts w:ascii="Cambria Math" w:hAnsi="Cambria Math" w:cs="Times New Roman"/>
                                                  <w:szCs w:val="24"/>
                                                </w:rPr>
                                                <m:t>m</m:t>
                                              </m:r>
                                            </m:sub>
                                          </m:sSub>
                                        </m:num>
                                        <m:den>
                                          <m:sSub>
                                            <m:sSubPr>
                                              <m:ctrlPr>
                                                <w:rPr>
                                                  <w:rFonts w:ascii="Cambria Math" w:hAnsi="Cambria Math" w:cs="Times New Roman"/>
                                                  <w:szCs w:val="24"/>
                                                </w:rPr>
                                              </m:ctrlPr>
                                            </m:sSubPr>
                                            <m:e>
                                              <m:r>
                                                <m:rPr>
                                                  <m:sty m:val="p"/>
                                                </m:rPr>
                                                <w:rPr>
                                                  <w:rFonts w:ascii="Cambria Math" w:hAnsi="Cambria Math" w:cs="Times New Roman"/>
                                                  <w:szCs w:val="24"/>
                                                </w:rPr>
                                                <m:t>ij</m:t>
                                              </m:r>
                                              <m:r>
                                                <w:rPr>
                                                  <w:rFonts w:ascii="Cambria Math" w:hAnsi="Cambria Math" w:cs="Times New Roman"/>
                                                  <w:szCs w:val="24"/>
                                                </w:rPr>
                                                <m:t>N</m:t>
                                              </m:r>
                                            </m:e>
                                            <m:sub>
                                              <m:r>
                                                <w:rPr>
                                                  <w:rFonts w:ascii="Cambria Math" w:hAnsi="Cambria Math" w:cs="Times New Roman"/>
                                                  <w:szCs w:val="24"/>
                                                </w:rPr>
                                                <m:t>m</m:t>
                                              </m:r>
                                            </m:sub>
                                          </m:sSub>
                                        </m:den>
                                      </m:f>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1</m:t>
                                          </m:r>
                                          <m:r>
                                            <w:rPr>
                                              <w:rFonts w:ascii="Cambria Math" w:hAnsi="Cambria Math" w:cs="Times New Roman"/>
                                              <w:szCs w:val="24"/>
                                            </w:rPr>
                                            <m:t>m</m:t>
                                          </m:r>
                                        </m:sub>
                                      </m:sSub>
                                      <m:d>
                                        <m:dPr>
                                          <m:ctrlPr>
                                            <w:rPr>
                                              <w:rFonts w:ascii="Cambria Math" w:hAnsi="Cambria Math" w:cs="Times New Roman"/>
                                              <w:szCs w:val="24"/>
                                            </w:rPr>
                                          </m:ctrlPr>
                                        </m:dPr>
                                        <m:e>
                                          <m:r>
                                            <w:rPr>
                                              <w:rFonts w:ascii="Cambria Math" w:hAnsi="Cambria Math" w:cs="Times New Roman"/>
                                              <w:szCs w:val="24"/>
                                            </w:rPr>
                                            <m:t>z</m:t>
                                          </m:r>
                                        </m:e>
                                      </m:d>
                                    </m:e>
                                  </m:nary>
                                </m:e>
                              </m:nary>
                            </m:e>
                          </m:nary>
                          <m:r>
                            <m:rPr>
                              <m:sty m:val="p"/>
                            </m:rPr>
                            <w:rPr>
                              <w:rFonts w:ascii="Cambria Math" w:hAnsi="Cambria Math" w:cs="Times New Roman"/>
                              <w:szCs w:val="24"/>
                            </w:rPr>
                            <m:t>sin⁡(</m:t>
                          </m:r>
                          <m:f>
                            <m:fPr>
                              <m:ctrlPr>
                                <w:rPr>
                                  <w:rFonts w:ascii="Cambria Math" w:hAnsi="Cambria Math" w:cs="Times New Roman"/>
                                  <w:szCs w:val="24"/>
                                </w:rPr>
                              </m:ctrlPr>
                            </m:fPr>
                            <m:num>
                              <m:r>
                                <w:rPr>
                                  <w:rFonts w:ascii="Cambria Math" w:hAnsi="Cambria Math" w:cs="Times New Roman"/>
                                  <w:szCs w:val="24"/>
                                </w:rPr>
                                <m:t>iπx</m:t>
                              </m:r>
                            </m:num>
                            <m:den>
                              <m:r>
                                <w:rPr>
                                  <w:rFonts w:ascii="Cambria Math" w:hAnsi="Cambria Math" w:cs="Times New Roman"/>
                                  <w:szCs w:val="24"/>
                                </w:rPr>
                                <m:t>L</m:t>
                              </m:r>
                            </m:den>
                          </m:f>
                          <m:r>
                            <m:rPr>
                              <m:sty m:val="p"/>
                            </m:rPr>
                            <w:rPr>
                              <w:rFonts w:ascii="Cambria Math" w:hAnsi="Cambria Math" w:cs="Times New Roman"/>
                              <w:szCs w:val="24"/>
                            </w:rPr>
                            <m:t>)sin⁡(</m:t>
                          </m:r>
                          <m:f>
                            <m:fPr>
                              <m:ctrlPr>
                                <w:rPr>
                                  <w:rFonts w:ascii="Cambria Math" w:hAnsi="Cambria Math" w:cs="Times New Roman"/>
                                  <w:szCs w:val="24"/>
                                </w:rPr>
                              </m:ctrlPr>
                            </m:fPr>
                            <m:num>
                              <m:r>
                                <w:rPr>
                                  <w:rFonts w:ascii="Cambria Math" w:hAnsi="Cambria Math" w:cs="Times New Roman"/>
                                  <w:szCs w:val="24"/>
                                </w:rPr>
                                <m:t>iπy</m:t>
                              </m:r>
                            </m:num>
                            <m:den>
                              <m:r>
                                <w:rPr>
                                  <w:rFonts w:ascii="Cambria Math" w:hAnsi="Cambria Math" w:cs="Times New Roman"/>
                                  <w:szCs w:val="24"/>
                                </w:rPr>
                                <m:t>w</m:t>
                              </m:r>
                            </m:den>
                          </m:f>
                          <m:r>
                            <m:rPr>
                              <m:sty m:val="p"/>
                            </m:rPr>
                            <w:rPr>
                              <w:rFonts w:ascii="Cambria Math" w:hAnsi="Cambria Math" w:cs="Times New Roman"/>
                              <w:szCs w:val="24"/>
                            </w:rPr>
                            <m:t>)+</m:t>
                          </m:r>
                        </m:e>
                      </m:mr>
                      <m:mr>
                        <m:e>
                          <m:f>
                            <m:fPr>
                              <m:ctrlPr>
                                <w:rPr>
                                  <w:rFonts w:ascii="Cambria Math" w:hAnsi="Cambria Math" w:cs="Times New Roman"/>
                                  <w:szCs w:val="24"/>
                                </w:rPr>
                              </m:ctrlPr>
                            </m:fPr>
                            <m:num>
                              <m:r>
                                <m:rPr>
                                  <m:sty m:val="p"/>
                                </m:rPr>
                                <w:rPr>
                                  <w:rFonts w:ascii="Cambria Math" w:hAnsi="Cambria Math" w:cs="Times New Roman"/>
                                  <w:szCs w:val="24"/>
                                </w:rPr>
                                <m:t>16</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m</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sSub>
                                            <m:sSubPr>
                                              <m:ctrlPr>
                                                <w:rPr>
                                                  <w:rFonts w:ascii="Cambria Math" w:hAnsi="Cambria Math" w:cs="Times New Roman"/>
                                                  <w:szCs w:val="24"/>
                                                </w:rPr>
                                              </m:ctrlPr>
                                            </m:sSubPr>
                                            <m:e>
                                              <m:r>
                                                <w:rPr>
                                                  <w:rFonts w:ascii="Cambria Math" w:hAnsi="Cambria Math" w:cs="Times New Roman"/>
                                                  <w:szCs w:val="24"/>
                                                </w:rPr>
                                                <m:t>Int</m:t>
                                              </m:r>
                                            </m:e>
                                            <m:sub>
                                              <m:r>
                                                <w:rPr>
                                                  <w:rFonts w:ascii="Cambria Math" w:hAnsi="Cambria Math" w:cs="Times New Roman"/>
                                                  <w:szCs w:val="24"/>
                                                </w:rPr>
                                                <m:t>m</m:t>
                                              </m:r>
                                            </m:sub>
                                          </m:sSub>
                                        </m:num>
                                        <m:den>
                                          <m:sSub>
                                            <m:sSubPr>
                                              <m:ctrlPr>
                                                <w:rPr>
                                                  <w:rFonts w:ascii="Cambria Math" w:hAnsi="Cambria Math" w:cs="Times New Roman"/>
                                                  <w:szCs w:val="24"/>
                                                </w:rPr>
                                              </m:ctrlPr>
                                            </m:sSubPr>
                                            <m:e>
                                              <m:r>
                                                <m:rPr>
                                                  <m:sty m:val="p"/>
                                                </m:rPr>
                                                <w:rPr>
                                                  <w:rFonts w:ascii="Cambria Math" w:hAnsi="Cambria Math" w:cs="Times New Roman"/>
                                                  <w:szCs w:val="24"/>
                                                </w:rPr>
                                                <m:t>ij</m:t>
                                              </m:r>
                                              <m:r>
                                                <w:rPr>
                                                  <w:rFonts w:ascii="Cambria Math" w:hAnsi="Cambria Math" w:cs="Times New Roman"/>
                                                  <w:szCs w:val="24"/>
                                                </w:rPr>
                                                <m:t>N</m:t>
                                              </m:r>
                                            </m:e>
                                            <m:sub>
                                              <m:r>
                                                <w:rPr>
                                                  <w:rFonts w:ascii="Cambria Math" w:hAnsi="Cambria Math" w:cs="Times New Roman"/>
                                                  <w:szCs w:val="24"/>
                                                </w:rPr>
                                                <m:t>m</m:t>
                                              </m:r>
                                            </m:sub>
                                          </m:sSub>
                                        </m:den>
                                      </m:f>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2</m:t>
                                          </m:r>
                                          <m:r>
                                            <w:rPr>
                                              <w:rFonts w:ascii="Cambria Math" w:hAnsi="Cambria Math" w:cs="Times New Roman"/>
                                              <w:szCs w:val="24"/>
                                            </w:rPr>
                                            <m:t>m</m:t>
                                          </m:r>
                                        </m:sub>
                                      </m:sSub>
                                      <m:d>
                                        <m:dPr>
                                          <m:ctrlPr>
                                            <w:rPr>
                                              <w:rFonts w:ascii="Cambria Math" w:hAnsi="Cambria Math" w:cs="Times New Roman"/>
                                              <w:szCs w:val="24"/>
                                            </w:rPr>
                                          </m:ctrlPr>
                                        </m:dPr>
                                        <m:e>
                                          <m:r>
                                            <w:rPr>
                                              <w:rFonts w:ascii="Cambria Math" w:hAnsi="Cambria Math" w:cs="Times New Roman"/>
                                              <w:szCs w:val="24"/>
                                            </w:rPr>
                                            <m:t>z</m:t>
                                          </m:r>
                                        </m:e>
                                      </m:d>
                                      <m:r>
                                        <m:rPr>
                                          <m:sty m:val="p"/>
                                        </m:rPr>
                                        <w:rPr>
                                          <w:rFonts w:ascii="Cambria Math" w:hAnsi="Cambria Math" w:cs="Times New Roman"/>
                                          <w:szCs w:val="24"/>
                                        </w:rPr>
                                        <m:t>sin⁡(</m:t>
                                      </m:r>
                                      <m:f>
                                        <m:fPr>
                                          <m:ctrlPr>
                                            <w:rPr>
                                              <w:rFonts w:ascii="Cambria Math" w:hAnsi="Cambria Math" w:cs="Times New Roman"/>
                                              <w:szCs w:val="24"/>
                                            </w:rPr>
                                          </m:ctrlPr>
                                        </m:fPr>
                                        <m:num>
                                          <m:r>
                                            <w:rPr>
                                              <w:rFonts w:ascii="Cambria Math" w:hAnsi="Cambria Math" w:cs="Times New Roman"/>
                                              <w:szCs w:val="24"/>
                                            </w:rPr>
                                            <m:t>iπx</m:t>
                                          </m:r>
                                        </m:num>
                                        <m:den>
                                          <m:r>
                                            <w:rPr>
                                              <w:rFonts w:ascii="Cambria Math" w:hAnsi="Cambria Math" w:cs="Times New Roman"/>
                                              <w:szCs w:val="24"/>
                                            </w:rPr>
                                            <m:t>L</m:t>
                                          </m:r>
                                        </m:den>
                                      </m:f>
                                      <m:r>
                                        <m:rPr>
                                          <m:sty m:val="p"/>
                                        </m:rPr>
                                        <w:rPr>
                                          <w:rFonts w:ascii="Cambria Math" w:hAnsi="Cambria Math" w:cs="Times New Roman"/>
                                          <w:szCs w:val="24"/>
                                        </w:rPr>
                                        <m:t>)sin⁡(</m:t>
                                      </m:r>
                                      <m:f>
                                        <m:fPr>
                                          <m:ctrlPr>
                                            <w:rPr>
                                              <w:rFonts w:ascii="Cambria Math" w:hAnsi="Cambria Math" w:cs="Times New Roman"/>
                                              <w:szCs w:val="24"/>
                                            </w:rPr>
                                          </m:ctrlPr>
                                        </m:fPr>
                                        <m:num>
                                          <m:r>
                                            <w:rPr>
                                              <w:rFonts w:ascii="Cambria Math" w:hAnsi="Cambria Math" w:cs="Times New Roman"/>
                                              <w:szCs w:val="24"/>
                                            </w:rPr>
                                            <m:t>iπy</m:t>
                                          </m:r>
                                        </m:num>
                                        <m:den>
                                          <m:r>
                                            <w:rPr>
                                              <w:rFonts w:ascii="Cambria Math" w:hAnsi="Cambria Math" w:cs="Times New Roman"/>
                                              <w:szCs w:val="24"/>
                                            </w:rPr>
                                            <m:t>w</m:t>
                                          </m:r>
                                        </m:den>
                                      </m:f>
                                      <m:r>
                                        <m:rPr>
                                          <m:sty m:val="p"/>
                                        </m:rPr>
                                        <w:rPr>
                                          <w:rFonts w:ascii="Cambria Math" w:hAnsi="Cambria Math" w:cs="Times New Roman"/>
                                          <w:szCs w:val="24"/>
                                        </w:rPr>
                                        <m:t>)</m:t>
                                      </m:r>
                                    </m:e>
                                  </m:nary>
                                </m:e>
                              </m:nary>
                            </m:e>
                          </m:nary>
                        </m:e>
                      </m:mr>
                    </m:m>
                  </m:e>
                </m:d>
              </m:oMath>
            </m:oMathPara>
          </w:p>
        </w:tc>
        <w:tc>
          <w:tcPr>
            <w:tcW w:w="977" w:type="dxa"/>
            <w:vAlign w:val="center"/>
          </w:tcPr>
          <w:p w14:paraId="7C604552" w14:textId="77777777" w:rsidR="000C2D31" w:rsidRDefault="000C2D31" w:rsidP="000C2D31">
            <w:pPr>
              <w:ind w:firstLine="0"/>
              <w:jc w:val="right"/>
              <w:rPr>
                <w:szCs w:val="24"/>
              </w:rPr>
            </w:pPr>
            <w:r>
              <w:rPr>
                <w:szCs w:val="24"/>
              </w:rPr>
              <w:t>(55)</w:t>
            </w:r>
          </w:p>
        </w:tc>
      </w:tr>
    </w:tbl>
    <w:p w14:paraId="69919616" w14:textId="77777777" w:rsidR="000C2D31" w:rsidRDefault="000C2D31" w:rsidP="000C2D31">
      <w:pPr>
        <w:rPr>
          <w:rFonts w:cs="Times New Roman"/>
          <w:szCs w:val="24"/>
        </w:rPr>
      </w:pPr>
    </w:p>
    <w:p w14:paraId="1137C5ED" w14:textId="491D6146" w:rsidR="000C2D31" w:rsidRDefault="000C2D31" w:rsidP="000C2D31">
      <w:pPr>
        <w:rPr>
          <w:rFonts w:cs="Times New Roman"/>
          <w:szCs w:val="24"/>
        </w:rPr>
      </w:pPr>
      <w:r w:rsidRPr="005A3E52">
        <w:rPr>
          <w:rFonts w:cs="Times New Roman"/>
          <w:szCs w:val="24"/>
        </w:rPr>
        <w:t>The total mass gain is determined by integration of the sum of bound and unbound moisture concentration over the total samp</w:t>
      </w:r>
      <w:r>
        <w:rPr>
          <w:rFonts w:cs="Times New Roman"/>
          <w:szCs w:val="24"/>
        </w:rPr>
        <w:t xml:space="preserve">le volume and is given in Eq. </w:t>
      </w:r>
      <w:r w:rsidR="009B05F7">
        <w:rPr>
          <w:rFonts w:cs="Times New Roman"/>
          <w:szCs w:val="24"/>
        </w:rPr>
        <w:t>(</w:t>
      </w:r>
      <w:r>
        <w:rPr>
          <w:rFonts w:cs="Times New Roman"/>
          <w:szCs w:val="24"/>
        </w:rPr>
        <w:t>56</w:t>
      </w:r>
      <w:r w:rsidR="009B05F7">
        <w:rPr>
          <w:rFonts w:cs="Times New Roman"/>
          <w:szCs w:val="24"/>
        </w:rPr>
        <w:t>)</w:t>
      </w:r>
      <w:r w:rsidRPr="005A3E52">
        <w:rPr>
          <w:rFonts w:cs="Times New Roman"/>
          <w:szCs w:val="24"/>
        </w:rPr>
        <w:t>.</w:t>
      </w:r>
    </w:p>
    <w:p w14:paraId="23B0D936" w14:textId="77777777" w:rsidR="000C2D31" w:rsidRPr="005A3E52" w:rsidRDefault="000C2D31" w:rsidP="000C2D31">
      <w:pPr>
        <w:rPr>
          <w:rFonts w:cs="Times New Roman"/>
          <w:szCs w:val="24"/>
        </w:rPr>
      </w:pPr>
    </w:p>
    <w:tbl>
      <w:tblPr>
        <w:tblW w:w="0" w:type="auto"/>
        <w:tblLook w:val="04A0" w:firstRow="1" w:lastRow="0" w:firstColumn="1" w:lastColumn="0" w:noHBand="0" w:noVBand="1"/>
      </w:tblPr>
      <w:tblGrid>
        <w:gridCol w:w="7516"/>
        <w:gridCol w:w="226"/>
        <w:gridCol w:w="754"/>
      </w:tblGrid>
      <w:tr w:rsidR="000C2D31" w:rsidRPr="005A3E52" w14:paraId="36AA8B7C" w14:textId="77777777" w:rsidTr="000C2D31">
        <w:tc>
          <w:tcPr>
            <w:tcW w:w="7520" w:type="dxa"/>
            <w:vAlign w:val="center"/>
          </w:tcPr>
          <w:p w14:paraId="5289A45D" w14:textId="77777777" w:rsidR="000C2D31" w:rsidRPr="005A3E52" w:rsidRDefault="000C2D31" w:rsidP="000C2D31">
            <w:pPr>
              <w:rPr>
                <w:rFonts w:cs="Times New Roman"/>
                <w:szCs w:val="24"/>
              </w:rPr>
            </w:pPr>
            <m:oMathPara>
              <m:oMath>
                <m:r>
                  <w:rPr>
                    <w:rFonts w:ascii="Cambria Math" w:hAnsi="Cambria Math" w:cs="Times New Roman"/>
                    <w:szCs w:val="24"/>
                  </w:rPr>
                  <w:lastRenderedPageBreak/>
                  <m:t>M</m:t>
                </m:r>
                <m:d>
                  <m:dPr>
                    <m:ctrlPr>
                      <w:rPr>
                        <w:rFonts w:ascii="Cambria Math" w:hAnsi="Cambria Math" w:cs="Times New Roman"/>
                        <w:szCs w:val="24"/>
                      </w:rPr>
                    </m:ctrlPr>
                  </m:dPr>
                  <m:e>
                    <m:r>
                      <w:rPr>
                        <w:rFonts w:ascii="Cambria Math" w:hAnsi="Cambria Math" w:cs="Times New Roman"/>
                        <w:szCs w:val="24"/>
                      </w:rPr>
                      <m:t>t</m:t>
                    </m:r>
                  </m:e>
                </m:d>
                <m:r>
                  <m:rPr>
                    <m:sty m:val="p"/>
                  </m:rPr>
                  <w:rPr>
                    <w:rFonts w:ascii="Cambria Math" w:hAnsi="Cambria Math" w:cs="Times New Roman"/>
                    <w:szCs w:val="24"/>
                  </w:rPr>
                  <m:t>=</m:t>
                </m:r>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1,∞</m:t>
                              </m:r>
                            </m:sub>
                          </m:sSub>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64</m:t>
                              </m:r>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1,∞</m:t>
                                  </m:r>
                                </m:sub>
                              </m:sSub>
                            </m:num>
                            <m:den>
                              <m:sSup>
                                <m:sSupPr>
                                  <m:ctrlPr>
                                    <w:rPr>
                                      <w:rFonts w:ascii="Cambria Math" w:hAnsi="Cambria Math" w:cs="Times New Roman"/>
                                      <w:szCs w:val="24"/>
                                    </w:rPr>
                                  </m:ctrlPr>
                                </m:sSupPr>
                                <m:e>
                                  <m:r>
                                    <w:rPr>
                                      <w:rFonts w:ascii="Cambria Math" w:hAnsi="Cambria Math" w:cs="Times New Roman"/>
                                      <w:szCs w:val="24"/>
                                    </w:rPr>
                                    <m:t>aπ</m:t>
                                  </m:r>
                                </m:e>
                                <m:sup>
                                  <m:r>
                                    <m:rPr>
                                      <m:sty m:val="p"/>
                                    </m:rPr>
                                    <w:rPr>
                                      <w:rFonts w:ascii="Cambria Math" w:hAnsi="Cambria Math" w:cs="Times New Roman"/>
                                      <w:szCs w:val="24"/>
                                    </w:rPr>
                                    <m:t>4</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m</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sSub>
                                            <m:sSubPr>
                                              <m:ctrlPr>
                                                <w:rPr>
                                                  <w:rFonts w:ascii="Cambria Math" w:hAnsi="Cambria Math" w:cs="Times New Roman"/>
                                                  <w:szCs w:val="24"/>
                                                </w:rPr>
                                              </m:ctrlPr>
                                            </m:sSubPr>
                                            <m:e>
                                              <m:r>
                                                <w:rPr>
                                                  <w:rFonts w:ascii="Cambria Math" w:hAnsi="Cambria Math" w:cs="Times New Roman"/>
                                                  <w:szCs w:val="24"/>
                                                </w:rPr>
                                                <m:t>Int</m:t>
                                              </m:r>
                                            </m:e>
                                            <m:sub>
                                              <m:r>
                                                <w:rPr>
                                                  <w:rFonts w:ascii="Cambria Math" w:hAnsi="Cambria Math" w:cs="Times New Roman"/>
                                                  <w:szCs w:val="24"/>
                                                </w:rPr>
                                                <m:t>m</m:t>
                                              </m:r>
                                            </m:sub>
                                          </m:sSub>
                                        </m:num>
                                        <m:den>
                                          <m:sSub>
                                            <m:sSubPr>
                                              <m:ctrlPr>
                                                <w:rPr>
                                                  <w:rFonts w:ascii="Cambria Math" w:hAnsi="Cambria Math" w:cs="Times New Roman"/>
                                                  <w:szCs w:val="24"/>
                                                </w:rPr>
                                              </m:ctrlPr>
                                            </m:sSubPr>
                                            <m:e>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r>
                                                <w:rPr>
                                                  <w:rFonts w:ascii="Cambria Math" w:hAnsi="Cambria Math" w:cs="Times New Roman"/>
                                                  <w:szCs w:val="24"/>
                                                </w:rPr>
                                                <m:t>N</m:t>
                                              </m:r>
                                            </m:e>
                                            <m:sub>
                                              <m:r>
                                                <w:rPr>
                                                  <w:rFonts w:ascii="Cambria Math" w:hAnsi="Cambria Math" w:cs="Times New Roman"/>
                                                  <w:szCs w:val="24"/>
                                                </w:rPr>
                                                <m:t>m</m:t>
                                              </m:r>
                                            </m:sub>
                                          </m:sSub>
                                        </m:den>
                                      </m:f>
                                      <m:nary>
                                        <m:naryPr>
                                          <m:limLoc m:val="subSup"/>
                                          <m:ctrlPr>
                                            <w:rPr>
                                              <w:rFonts w:ascii="Cambria Math" w:hAnsi="Cambria Math" w:cs="Times New Roman"/>
                                              <w:szCs w:val="24"/>
                                            </w:rPr>
                                          </m:ctrlPr>
                                        </m:naryPr>
                                        <m:sub>
                                          <m:r>
                                            <w:rPr>
                                              <w:rFonts w:ascii="Cambria Math" w:hAnsi="Cambria Math" w:cs="Times New Roman"/>
                                              <w:szCs w:val="24"/>
                                            </w:rPr>
                                            <m:t>z</m:t>
                                          </m:r>
                                          <m:r>
                                            <m:rPr>
                                              <m:sty m:val="p"/>
                                            </m:rPr>
                                            <w:rPr>
                                              <w:rFonts w:ascii="Cambria Math" w:hAnsi="Cambria Math" w:cs="Times New Roman"/>
                                              <w:szCs w:val="24"/>
                                            </w:rPr>
                                            <m:t>=0</m:t>
                                          </m:r>
                                        </m:sub>
                                        <m:sup>
                                          <m:r>
                                            <w:rPr>
                                              <w:rFonts w:ascii="Cambria Math" w:hAnsi="Cambria Math" w:cs="Times New Roman"/>
                                              <w:szCs w:val="24"/>
                                            </w:rPr>
                                            <m:t>a</m:t>
                                          </m:r>
                                        </m:sup>
                                        <m:e>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1</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e>
                                      </m:nary>
                                    </m:e>
                                  </m:nary>
                                </m:e>
                              </m:nary>
                            </m:e>
                          </m:nary>
                          <m:r>
                            <m:rPr>
                              <m:sty m:val="p"/>
                            </m:rPr>
                            <w:rPr>
                              <w:rFonts w:ascii="Cambria Math" w:hAnsi="Cambria Math" w:cs="Times New Roman"/>
                              <w:szCs w:val="24"/>
                            </w:rPr>
                            <m:t>+</m:t>
                          </m:r>
                        </m:e>
                      </m:mr>
                      <m:mr>
                        <m:e>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2,∞</m:t>
                              </m:r>
                            </m:sub>
                          </m:sSub>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64</m:t>
                              </m:r>
                              <m:sSub>
                                <m:sSubPr>
                                  <m:ctrlPr>
                                    <w:rPr>
                                      <w:rFonts w:ascii="Cambria Math" w:hAnsi="Cambria Math" w:cs="Times New Roman"/>
                                      <w:szCs w:val="24"/>
                                    </w:rPr>
                                  </m:ctrlPr>
                                </m:sSubPr>
                                <m:e>
                                  <m:r>
                                    <w:rPr>
                                      <w:rFonts w:ascii="Cambria Math" w:hAnsi="Cambria Math" w:cs="Times New Roman"/>
                                      <w:szCs w:val="24"/>
                                    </w:rPr>
                                    <m:t>M</m:t>
                                  </m:r>
                                </m:e>
                                <m:sub>
                                  <m:r>
                                    <m:rPr>
                                      <m:sty m:val="p"/>
                                    </m:rPr>
                                    <w:rPr>
                                      <w:rFonts w:ascii="Cambria Math" w:hAnsi="Cambria Math" w:cs="Times New Roman"/>
                                      <w:szCs w:val="24"/>
                                    </w:rPr>
                                    <m:t>2,∞</m:t>
                                  </m:r>
                                </m:sub>
                              </m:sSub>
                            </m:num>
                            <m:den>
                              <m:r>
                                <w:rPr>
                                  <w:rFonts w:ascii="Cambria Math" w:hAnsi="Cambria Math" w:cs="Times New Roman"/>
                                  <w:szCs w:val="24"/>
                                </w:rPr>
                                <m:t>b</m:t>
                              </m:r>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4</m:t>
                                  </m:r>
                                </m:sup>
                              </m:sSup>
                            </m:den>
                          </m:f>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j</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nary>
                                    <m:naryPr>
                                      <m:chr m:val="∑"/>
                                      <m:limLoc m:val="undOvr"/>
                                      <m:ctrlPr>
                                        <w:rPr>
                                          <w:rFonts w:ascii="Cambria Math" w:hAnsi="Cambria Math" w:cs="Times New Roman"/>
                                          <w:szCs w:val="24"/>
                                        </w:rPr>
                                      </m:ctrlPr>
                                    </m:naryPr>
                                    <m:sub>
                                      <m:r>
                                        <w:rPr>
                                          <w:rFonts w:ascii="Cambria Math" w:hAnsi="Cambria Math" w:cs="Times New Roman"/>
                                          <w:szCs w:val="24"/>
                                        </w:rPr>
                                        <m:t>m</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sSub>
                                            <m:sSubPr>
                                              <m:ctrlPr>
                                                <w:rPr>
                                                  <w:rFonts w:ascii="Cambria Math" w:hAnsi="Cambria Math" w:cs="Times New Roman"/>
                                                  <w:szCs w:val="24"/>
                                                </w:rPr>
                                              </m:ctrlPr>
                                            </m:sSubPr>
                                            <m:e>
                                              <m:r>
                                                <w:rPr>
                                                  <w:rFonts w:ascii="Cambria Math" w:hAnsi="Cambria Math" w:cs="Times New Roman"/>
                                                  <w:szCs w:val="24"/>
                                                </w:rPr>
                                                <m:t>Int</m:t>
                                              </m:r>
                                            </m:e>
                                            <m:sub>
                                              <m:r>
                                                <w:rPr>
                                                  <w:rFonts w:ascii="Cambria Math" w:hAnsi="Cambria Math" w:cs="Times New Roman"/>
                                                  <w:szCs w:val="24"/>
                                                </w:rPr>
                                                <m:t>m</m:t>
                                              </m:r>
                                            </m:sub>
                                          </m:sSub>
                                        </m:num>
                                        <m:den>
                                          <m:sSub>
                                            <m:sSubPr>
                                              <m:ctrlPr>
                                                <w:rPr>
                                                  <w:rFonts w:ascii="Cambria Math" w:hAnsi="Cambria Math" w:cs="Times New Roman"/>
                                                  <w:szCs w:val="24"/>
                                                </w:rPr>
                                              </m:ctrlPr>
                                            </m:sSubPr>
                                            <m:e>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r>
                                                <w:rPr>
                                                  <w:rFonts w:ascii="Cambria Math" w:hAnsi="Cambria Math" w:cs="Times New Roman"/>
                                                  <w:szCs w:val="24"/>
                                                </w:rPr>
                                                <m:t>N</m:t>
                                              </m:r>
                                            </m:e>
                                            <m:sub>
                                              <m:r>
                                                <w:rPr>
                                                  <w:rFonts w:ascii="Cambria Math" w:hAnsi="Cambria Math" w:cs="Times New Roman"/>
                                                  <w:szCs w:val="24"/>
                                                </w:rPr>
                                                <m:t>m</m:t>
                                              </m:r>
                                            </m:sub>
                                          </m:sSub>
                                        </m:den>
                                      </m:f>
                                      <m:nary>
                                        <m:naryPr>
                                          <m:limLoc m:val="subSup"/>
                                          <m:ctrlPr>
                                            <w:rPr>
                                              <w:rFonts w:ascii="Cambria Math" w:hAnsi="Cambria Math" w:cs="Times New Roman"/>
                                              <w:szCs w:val="24"/>
                                            </w:rPr>
                                          </m:ctrlPr>
                                        </m:naryPr>
                                        <m:sub>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a</m:t>
                                          </m:r>
                                        </m:sub>
                                        <m:sup>
                                          <m:r>
                                            <w:rPr>
                                              <w:rFonts w:ascii="Cambria Math" w:hAnsi="Cambria Math" w:cs="Times New Roman"/>
                                              <w:szCs w:val="24"/>
                                            </w:rPr>
                                            <m:t>b</m:t>
                                          </m:r>
                                        </m:sup>
                                        <m:e>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2</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m:t>
                                          </m:r>
                                        </m:e>
                                      </m:nary>
                                    </m:e>
                                  </m:nary>
                                </m:e>
                              </m:nary>
                            </m:e>
                          </m:nary>
                        </m:e>
                      </m:mr>
                    </m:m>
                  </m:e>
                </m:d>
              </m:oMath>
            </m:oMathPara>
          </w:p>
        </w:tc>
        <w:tc>
          <w:tcPr>
            <w:tcW w:w="976" w:type="dxa"/>
            <w:gridSpan w:val="2"/>
            <w:vAlign w:val="center"/>
          </w:tcPr>
          <w:p w14:paraId="05736306" w14:textId="77777777" w:rsidR="000C2D31" w:rsidRPr="005A3E52" w:rsidRDefault="000C2D31" w:rsidP="000C2D31">
            <w:pPr>
              <w:jc w:val="right"/>
              <w:rPr>
                <w:rFonts w:cs="Times New Roman"/>
                <w:szCs w:val="24"/>
              </w:rPr>
            </w:pPr>
            <w:r>
              <w:rPr>
                <w:rFonts w:cs="Times New Roman"/>
                <w:szCs w:val="24"/>
              </w:rPr>
              <w:t>(56</w:t>
            </w:r>
            <w:r w:rsidRPr="005A3E52">
              <w:rPr>
                <w:rFonts w:cs="Times New Roman"/>
                <w:szCs w:val="24"/>
              </w:rPr>
              <w:t>)</w:t>
            </w:r>
          </w:p>
        </w:tc>
      </w:tr>
      <w:tr w:rsidR="000C2D31" w:rsidRPr="005A3E52" w14:paraId="321F37FE" w14:textId="77777777" w:rsidTr="000C2D31">
        <w:tc>
          <w:tcPr>
            <w:tcW w:w="7735" w:type="dxa"/>
            <w:gridSpan w:val="2"/>
          </w:tcPr>
          <w:p w14:paraId="47B5F7A0" w14:textId="77777777" w:rsidR="000C2D31" w:rsidRPr="005A3E52" w:rsidRDefault="000C2D31" w:rsidP="000C2D31">
            <w:pPr>
              <w:ind w:firstLine="0"/>
              <w:rPr>
                <w:rFonts w:cs="Times New Roman"/>
                <w:szCs w:val="24"/>
              </w:rPr>
            </w:pPr>
            <w:r>
              <w:rPr>
                <w:rFonts w:cs="Times New Roman"/>
                <w:szCs w:val="24"/>
              </w:rPr>
              <w:t>where</w:t>
            </w:r>
          </w:p>
          <w:p w14:paraId="2AE99E53" w14:textId="77777777" w:rsidR="000C2D31" w:rsidRPr="005A3E52" w:rsidRDefault="007B3686" w:rsidP="000C2D31">
            <w:pPr>
              <w:ind w:firstLine="0"/>
              <w:rPr>
                <w:rFonts w:cs="Times New Roman"/>
                <w:szCs w:val="24"/>
              </w:rPr>
            </w:pPr>
            <m:oMathPara>
              <m:oMath>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2</m:t>
                    </m:r>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e>
                      <m:sup>
                        <m:r>
                          <m:rPr>
                            <m:sty m:val="p"/>
                          </m:rPr>
                          <w:rPr>
                            <w:rFonts w:ascii="Cambria Math" w:hAnsi="Cambria Math" w:cs="Times New Roman"/>
                            <w:szCs w:val="24"/>
                          </w:rPr>
                          <m:t>2</m:t>
                        </m:r>
                      </m:sup>
                    </m:sSup>
                    <m:r>
                      <m:rPr>
                        <m:sty m:val="p"/>
                      </m:rPr>
                      <w:rPr>
                        <w:rFonts w:ascii="Cambria Math" w:hAnsi="Cambria Math" w:cs="Times New Roman"/>
                        <w:szCs w:val="24"/>
                      </w:rPr>
                      <m:t>-4</m:t>
                    </m:r>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w:rPr>
                        <w:rFonts w:ascii="Cambria Math" w:hAnsi="Cambria Math" w:cs="Times New Roman"/>
                        <w:szCs w:val="24"/>
                      </w:rPr>
                      <m:t>β</m:t>
                    </m:r>
                  </m:e>
                </m:rad>
                <m:r>
                  <m:rPr>
                    <m:sty m:val="p"/>
                  </m:rPr>
                  <w:rPr>
                    <w:rFonts w:ascii="Cambria Math" w:hAnsi="Cambria Math" w:cs="Times New Roman"/>
                    <w:szCs w:val="24"/>
                  </w:rPr>
                  <m:t>]</m:t>
                </m:r>
              </m:oMath>
            </m:oMathPara>
          </w:p>
          <w:p w14:paraId="5F6BB0E4" w14:textId="77777777" w:rsidR="000C2D31" w:rsidRPr="005A3E52" w:rsidRDefault="000C2D31" w:rsidP="000C2D31">
            <w:pPr>
              <w:ind w:firstLine="0"/>
              <w:rPr>
                <w:rFonts w:cs="Times New Roman"/>
                <w:szCs w:val="24"/>
              </w:rPr>
            </w:pPr>
          </w:p>
        </w:tc>
        <w:tc>
          <w:tcPr>
            <w:tcW w:w="810" w:type="dxa"/>
            <w:vAlign w:val="center"/>
          </w:tcPr>
          <w:p w14:paraId="416DF365" w14:textId="77777777" w:rsidR="000C2D31" w:rsidRPr="005A3E52" w:rsidRDefault="000C2D31" w:rsidP="000C2D31">
            <w:pPr>
              <w:ind w:firstLine="0"/>
              <w:jc w:val="right"/>
              <w:rPr>
                <w:rFonts w:cs="Times New Roman"/>
                <w:szCs w:val="24"/>
              </w:rPr>
            </w:pPr>
          </w:p>
        </w:tc>
      </w:tr>
      <w:tr w:rsidR="000C2D31" w:rsidRPr="005A3E52" w14:paraId="4ABB8E1B" w14:textId="77777777" w:rsidTr="000C2D31">
        <w:tc>
          <w:tcPr>
            <w:tcW w:w="7735" w:type="dxa"/>
            <w:gridSpan w:val="2"/>
          </w:tcPr>
          <w:p w14:paraId="72B3DDFE" w14:textId="77777777" w:rsidR="000C2D31" w:rsidRPr="005A3E52" w:rsidRDefault="007B3686" w:rsidP="000C2D31">
            <w:pPr>
              <w:ind w:firstLine="0"/>
              <w:rPr>
                <w:rFonts w:cs="Times New Roman"/>
                <w:szCs w:val="24"/>
              </w:rPr>
            </w:pPr>
            <m:oMathPara>
              <m:oMath>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2</m:t>
                    </m:r>
                  </m:den>
                </m:f>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e>
                      <m:sup>
                        <m:r>
                          <m:rPr>
                            <m:sty m:val="p"/>
                          </m:rPr>
                          <w:rPr>
                            <w:rFonts w:ascii="Cambria Math" w:hAnsi="Cambria Math" w:cs="Times New Roman"/>
                            <w:szCs w:val="24"/>
                          </w:rPr>
                          <m:t>2</m:t>
                        </m:r>
                      </m:sup>
                    </m:sSup>
                    <m:r>
                      <m:rPr>
                        <m:sty m:val="p"/>
                      </m:rPr>
                      <w:rPr>
                        <w:rFonts w:ascii="Cambria Math" w:hAnsi="Cambria Math" w:cs="Times New Roman"/>
                        <w:szCs w:val="24"/>
                      </w:rPr>
                      <m:t>-4</m:t>
                    </m:r>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w:rPr>
                        <w:rFonts w:ascii="Cambria Math" w:hAnsi="Cambria Math" w:cs="Times New Roman"/>
                        <w:szCs w:val="24"/>
                      </w:rPr>
                      <m:t>β</m:t>
                    </m:r>
                  </m:e>
                </m:rad>
                <m:r>
                  <m:rPr>
                    <m:sty m:val="p"/>
                  </m:rPr>
                  <w:rPr>
                    <w:rFonts w:ascii="Cambria Math" w:hAnsi="Cambria Math" w:cs="Times New Roman"/>
                    <w:szCs w:val="24"/>
                  </w:rPr>
                  <m:t>]</m:t>
                </m:r>
              </m:oMath>
            </m:oMathPara>
          </w:p>
        </w:tc>
        <w:tc>
          <w:tcPr>
            <w:tcW w:w="810" w:type="dxa"/>
            <w:vAlign w:val="center"/>
          </w:tcPr>
          <w:p w14:paraId="7958477D" w14:textId="77777777" w:rsidR="000C2D31" w:rsidRPr="005A3E52" w:rsidRDefault="000C2D31" w:rsidP="000C2D31">
            <w:pPr>
              <w:ind w:firstLine="0"/>
              <w:jc w:val="right"/>
              <w:rPr>
                <w:rFonts w:cs="Times New Roman"/>
                <w:szCs w:val="24"/>
              </w:rPr>
            </w:pPr>
          </w:p>
        </w:tc>
      </w:tr>
      <w:tr w:rsidR="000C2D31" w:rsidRPr="005A3E52" w14:paraId="0AD6D0FB" w14:textId="77777777" w:rsidTr="000C2D31">
        <w:tc>
          <w:tcPr>
            <w:tcW w:w="7735" w:type="dxa"/>
            <w:gridSpan w:val="2"/>
          </w:tcPr>
          <w:p w14:paraId="184779DA"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µ</m:t>
                        </m:r>
                      </m:e>
                      <m:sub>
                        <m:r>
                          <m:rPr>
                            <m:sty m:val="p"/>
                          </m:rP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(µ</m:t>
                        </m:r>
                      </m:e>
                      <m:sub>
                        <m:r>
                          <m:rPr>
                            <m:sty m:val="p"/>
                          </m:rP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e>
                        </m:d>
                      </m:e>
                    </m:func>
                  </m:num>
                  <m:den>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den>
                </m:f>
              </m:oMath>
            </m:oMathPara>
          </w:p>
          <w:p w14:paraId="091A6416" w14:textId="77777777" w:rsidR="000C2D31" w:rsidRPr="005A3E52" w:rsidRDefault="000C2D31" w:rsidP="000C2D31">
            <w:pPr>
              <w:ind w:firstLine="0"/>
              <w:rPr>
                <w:rFonts w:cs="Times New Roman"/>
                <w:szCs w:val="24"/>
              </w:rPr>
            </w:pPr>
          </w:p>
        </w:tc>
        <w:tc>
          <w:tcPr>
            <w:tcW w:w="810" w:type="dxa"/>
            <w:vAlign w:val="center"/>
          </w:tcPr>
          <w:p w14:paraId="547E42D5" w14:textId="77777777" w:rsidR="000C2D31" w:rsidRPr="005A3E52" w:rsidRDefault="000C2D31" w:rsidP="000C2D31">
            <w:pPr>
              <w:ind w:firstLine="0"/>
              <w:jc w:val="right"/>
              <w:rPr>
                <w:rFonts w:cs="Times New Roman"/>
                <w:szCs w:val="24"/>
              </w:rPr>
            </w:pPr>
          </w:p>
        </w:tc>
      </w:tr>
      <w:tr w:rsidR="000C2D31" w:rsidRPr="005A3E52" w14:paraId="1A90F7E7" w14:textId="77777777" w:rsidTr="000C2D31">
        <w:tc>
          <w:tcPr>
            <w:tcW w:w="7735" w:type="dxa"/>
            <w:gridSpan w:val="2"/>
          </w:tcPr>
          <w:p w14:paraId="6E1BDA5D"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µ</m:t>
                        </m:r>
                      </m:e>
                      <m:sub>
                        <m:r>
                          <m:rPr>
                            <m:sty m:val="p"/>
                          </m:rP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(µ</m:t>
                        </m:r>
                      </m:e>
                      <m:sub>
                        <m:r>
                          <m:rPr>
                            <m:sty m:val="p"/>
                          </m:rP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w:rPr>
                                <w:rFonts w:ascii="Cambria Math" w:hAnsi="Cambria Math" w:cs="Times New Roman"/>
                                <w:szCs w:val="24"/>
                              </w:rPr>
                              <m:t>t</m:t>
                            </m:r>
                          </m:e>
                        </m:d>
                      </m:e>
                    </m:func>
                  </m:num>
                  <m:den>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up>
                        <m:r>
                          <m:rPr>
                            <m:sty m:val="p"/>
                          </m:rPr>
                          <w:rPr>
                            <w:rFonts w:ascii="Cambria Math" w:hAnsi="Cambria Math" w:cs="Times New Roman"/>
                            <w:szCs w:val="24"/>
                          </w:rPr>
                          <m:t>-</m:t>
                        </m:r>
                      </m:sup>
                    </m:sSubSup>
                    <m:r>
                      <m:rPr>
                        <m:sty m:val="p"/>
                      </m:rPr>
                      <w:rPr>
                        <w:rFonts w:ascii="Cambria Math" w:hAnsi="Cambria Math" w:cs="Times New Roman"/>
                        <w:szCs w:val="24"/>
                      </w:rPr>
                      <m:t>)</m:t>
                    </m:r>
                  </m:den>
                </m:f>
              </m:oMath>
            </m:oMathPara>
          </w:p>
        </w:tc>
        <w:tc>
          <w:tcPr>
            <w:tcW w:w="810" w:type="dxa"/>
            <w:vAlign w:val="center"/>
          </w:tcPr>
          <w:p w14:paraId="3D950FEE" w14:textId="77777777" w:rsidR="000C2D31" w:rsidRPr="005A3E52" w:rsidRDefault="000C2D31" w:rsidP="000C2D31">
            <w:pPr>
              <w:ind w:firstLine="0"/>
              <w:jc w:val="right"/>
              <w:rPr>
                <w:rFonts w:cs="Times New Roman"/>
                <w:szCs w:val="24"/>
              </w:rPr>
            </w:pPr>
          </w:p>
        </w:tc>
      </w:tr>
      <w:tr w:rsidR="000C2D31" w:rsidRPr="005A3E52" w14:paraId="270FB9BA" w14:textId="77777777" w:rsidTr="000C2D31">
        <w:tc>
          <w:tcPr>
            <w:tcW w:w="7735" w:type="dxa"/>
            <w:gridSpan w:val="2"/>
          </w:tcPr>
          <w:p w14:paraId="4683159C" w14:textId="77777777" w:rsidR="000C2D31" w:rsidRPr="005A3E52" w:rsidRDefault="000C2D31" w:rsidP="000C2D31">
            <w:pPr>
              <w:ind w:firstLine="0"/>
              <w:rPr>
                <w:rFonts w:cs="Times New Roman"/>
                <w:szCs w:val="24"/>
              </w:rPr>
            </w:pPr>
            <m:oMathPara>
              <m:oMath>
                <m:r>
                  <w:rPr>
                    <w:rFonts w:ascii="Cambria Math" w:hAnsi="Cambria Math" w:cs="Times New Roman"/>
                    <w:szCs w:val="24"/>
                  </w:rPr>
                  <m:t>U</m:t>
                </m:r>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num>
                  <m:den>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den>
                </m:f>
              </m:oMath>
            </m:oMathPara>
          </w:p>
        </w:tc>
        <w:tc>
          <w:tcPr>
            <w:tcW w:w="810" w:type="dxa"/>
            <w:vAlign w:val="center"/>
          </w:tcPr>
          <w:p w14:paraId="2DE0E075" w14:textId="77777777" w:rsidR="000C2D31" w:rsidRPr="005A3E52" w:rsidRDefault="000C2D31" w:rsidP="000C2D31">
            <w:pPr>
              <w:ind w:firstLine="0"/>
              <w:jc w:val="right"/>
              <w:rPr>
                <w:rFonts w:cs="Times New Roman"/>
                <w:szCs w:val="24"/>
              </w:rPr>
            </w:pPr>
          </w:p>
        </w:tc>
      </w:tr>
      <w:tr w:rsidR="000C2D31" w:rsidRPr="005A3E52" w14:paraId="3C90C000" w14:textId="77777777" w:rsidTr="000C2D31">
        <w:tc>
          <w:tcPr>
            <w:tcW w:w="7735" w:type="dxa"/>
            <w:gridSpan w:val="2"/>
          </w:tcPr>
          <w:p w14:paraId="2154EA84"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2</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U</m:t>
                </m:r>
                <m:r>
                  <m:rPr>
                    <m:sty m:val="p"/>
                  </m:rPr>
                  <w:rPr>
                    <w:rFonts w:ascii="Cambria Math" w:hAnsi="Cambria Math" w:cs="Times New Roman"/>
                    <w:szCs w:val="24"/>
                  </w:rPr>
                  <m:t>(-</m:t>
                </m:r>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e>
                </m:func>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func>
                <m:r>
                  <m:rPr>
                    <m:sty m:val="p"/>
                  </m:rPr>
                  <w:rPr>
                    <w:rFonts w:ascii="Cambria Math" w:hAnsi="Cambria Math" w:cs="Times New Roman"/>
                    <w:szCs w:val="24"/>
                  </w:rPr>
                  <m:t>-</m:t>
                </m:r>
                <m:rad>
                  <m:radPr>
                    <m:degHide m:val="1"/>
                    <m:ctrlPr>
                      <w:rPr>
                        <w:rFonts w:ascii="Cambria Math" w:hAnsi="Cambria Math" w:cs="Times New Roman"/>
                        <w:szCs w:val="24"/>
                      </w:rPr>
                    </m:ctrlPr>
                  </m:radPr>
                  <m:deg/>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den>
                    </m:f>
                  </m:e>
                </m:rad>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e>
                </m:func>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r>
                      <m:rPr>
                        <m:sty m:val="p"/>
                      </m:rPr>
                      <w:rPr>
                        <w:rFonts w:ascii="Cambria Math" w:hAnsi="Cambria Math" w:cs="Times New Roman"/>
                        <w:szCs w:val="24"/>
                      </w:rPr>
                      <m:t>)</m:t>
                    </m:r>
                  </m:e>
                </m:func>
              </m:oMath>
            </m:oMathPara>
          </w:p>
        </w:tc>
        <w:tc>
          <w:tcPr>
            <w:tcW w:w="810" w:type="dxa"/>
            <w:vAlign w:val="center"/>
          </w:tcPr>
          <w:p w14:paraId="51B58A8A" w14:textId="77777777" w:rsidR="000C2D31" w:rsidRPr="005A3E52" w:rsidRDefault="000C2D31" w:rsidP="000C2D31">
            <w:pPr>
              <w:ind w:firstLine="0"/>
              <w:jc w:val="right"/>
              <w:rPr>
                <w:rFonts w:cs="Times New Roman"/>
                <w:szCs w:val="24"/>
              </w:rPr>
            </w:pPr>
          </w:p>
        </w:tc>
      </w:tr>
      <w:tr w:rsidR="000C2D31" w:rsidRPr="005A3E52" w14:paraId="17AA3114" w14:textId="77777777" w:rsidTr="000C2D31">
        <w:tc>
          <w:tcPr>
            <w:tcW w:w="7735" w:type="dxa"/>
            <w:gridSpan w:val="2"/>
          </w:tcPr>
          <w:p w14:paraId="1822A11C"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B</m:t>
                    </m:r>
                  </m:e>
                  <m:sub>
                    <m:r>
                      <m:rPr>
                        <m:sty m:val="p"/>
                      </m:rPr>
                      <w:rPr>
                        <w:rFonts w:ascii="Cambria Math" w:hAnsi="Cambria Math" w:cs="Times New Roman"/>
                        <w:szCs w:val="24"/>
                      </w:rPr>
                      <m:t>2</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U</m:t>
                </m:r>
                <m:r>
                  <m:rPr>
                    <m:sty m:val="p"/>
                  </m:rPr>
                  <w:rPr>
                    <w:rFonts w:ascii="Cambria Math" w:hAnsi="Cambria Math" w:cs="Times New Roman"/>
                    <w:szCs w:val="24"/>
                  </w:rPr>
                  <m:t>(-</m:t>
                </m:r>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e>
                </m:func>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e>
                </m:func>
                <m:r>
                  <m:rPr>
                    <m:sty m:val="p"/>
                  </m:rPr>
                  <w:rPr>
                    <w:rFonts w:ascii="Cambria Math" w:hAnsi="Cambria Math" w:cs="Times New Roman"/>
                    <w:szCs w:val="24"/>
                  </w:rPr>
                  <m:t>+</m:t>
                </m:r>
                <m:rad>
                  <m:radPr>
                    <m:degHide m:val="1"/>
                    <m:ctrlPr>
                      <w:rPr>
                        <w:rFonts w:ascii="Cambria Math" w:hAnsi="Cambria Math" w:cs="Times New Roman"/>
                        <w:szCs w:val="24"/>
                      </w:rPr>
                    </m:ctrlPr>
                  </m:radPr>
                  <m:deg/>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den>
                    </m:f>
                  </m:e>
                </m:rad>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e>
                </m:func>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a</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r>
                      <m:rPr>
                        <m:sty m:val="p"/>
                      </m:rPr>
                      <w:rPr>
                        <w:rFonts w:ascii="Cambria Math" w:hAnsi="Cambria Math" w:cs="Times New Roman"/>
                        <w:szCs w:val="24"/>
                      </w:rPr>
                      <m:t>)</m:t>
                    </m:r>
                  </m:e>
                </m:func>
              </m:oMath>
            </m:oMathPara>
          </w:p>
        </w:tc>
        <w:tc>
          <w:tcPr>
            <w:tcW w:w="810" w:type="dxa"/>
            <w:vAlign w:val="center"/>
          </w:tcPr>
          <w:p w14:paraId="038B723D" w14:textId="77777777" w:rsidR="000C2D31" w:rsidRPr="005A3E52" w:rsidRDefault="000C2D31" w:rsidP="000C2D31">
            <w:pPr>
              <w:ind w:firstLine="0"/>
              <w:jc w:val="right"/>
              <w:rPr>
                <w:rFonts w:cs="Times New Roman"/>
                <w:szCs w:val="24"/>
              </w:rPr>
            </w:pPr>
          </w:p>
        </w:tc>
      </w:tr>
      <w:tr w:rsidR="000C2D31" w:rsidRPr="005A3E52" w14:paraId="343F9EF9" w14:textId="77777777" w:rsidTr="000C2D31">
        <w:tc>
          <w:tcPr>
            <w:tcW w:w="7735" w:type="dxa"/>
            <w:gridSpan w:val="2"/>
          </w:tcPr>
          <w:p w14:paraId="77299877"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m</m:t>
                    </m:r>
                  </m:sub>
                </m:sSub>
                <m:r>
                  <m:rPr>
                    <m:sty m:val="p"/>
                  </m:rPr>
                  <w:rPr>
                    <w:rFonts w:ascii="Cambria Math" w:hAnsi="Cambria Math" w:cs="Times New Roman"/>
                    <w:szCs w:val="24"/>
                  </w:rPr>
                  <m:t>=</m:t>
                </m:r>
                <m:nary>
                  <m:naryPr>
                    <m:limLoc m:val="undOvr"/>
                    <m:ctrlPr>
                      <w:rPr>
                        <w:rFonts w:ascii="Cambria Math" w:hAnsi="Cambria Math" w:cs="Times New Roman"/>
                        <w:szCs w:val="24"/>
                      </w:rPr>
                    </m:ctrlPr>
                  </m:naryPr>
                  <m:sub>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=0</m:t>
                    </m:r>
                  </m:sub>
                  <m:sup>
                    <m:r>
                      <w:rPr>
                        <w:rFonts w:ascii="Cambria Math" w:hAnsi="Cambria Math" w:cs="Times New Roman"/>
                        <w:szCs w:val="24"/>
                      </w:rPr>
                      <m:t>a</m:t>
                    </m:r>
                  </m:sup>
                  <m:e>
                    <m:sSubSup>
                      <m:sSubSupPr>
                        <m:ctrlPr>
                          <w:rPr>
                            <w:rFonts w:ascii="Cambria Math" w:hAnsi="Cambria Math" w:cs="Times New Roman"/>
                            <w:szCs w:val="24"/>
                          </w:rPr>
                        </m:ctrlPr>
                      </m:sSubSupPr>
                      <m:e>
                        <m:r>
                          <w:rPr>
                            <w:rFonts w:ascii="Cambria Math" w:hAnsi="Cambria Math" w:cs="Times New Roman"/>
                            <w:szCs w:val="24"/>
                          </w:rPr>
                          <m:t>φ</m:t>
                        </m:r>
                      </m:e>
                      <m:sub>
                        <m:r>
                          <m:rPr>
                            <m:sty m:val="p"/>
                          </m:rPr>
                          <w:rPr>
                            <w:rFonts w:ascii="Cambria Math" w:hAnsi="Cambria Math" w:cs="Times New Roman"/>
                            <w:szCs w:val="24"/>
                          </w:rPr>
                          <m:t>1</m:t>
                        </m:r>
                        <m:r>
                          <w:rPr>
                            <w:rFonts w:ascii="Cambria Math" w:hAnsi="Cambria Math" w:cs="Times New Roman"/>
                            <w:szCs w:val="24"/>
                          </w:rPr>
                          <m:t>m</m:t>
                        </m:r>
                      </m:sub>
                      <m:sup>
                        <m:r>
                          <m:rPr>
                            <m:sty m:val="p"/>
                          </m:rPr>
                          <w:rPr>
                            <w:rFonts w:ascii="Cambria Math" w:hAnsi="Cambria Math" w:cs="Times New Roman"/>
                            <w:szCs w:val="24"/>
                          </w:rPr>
                          <m:t>2</m:t>
                        </m:r>
                      </m:sup>
                    </m:sSubSup>
                    <m:d>
                      <m:dPr>
                        <m:ctrlPr>
                          <w:rPr>
                            <w:rFonts w:ascii="Cambria Math" w:hAnsi="Cambria Math" w:cs="Times New Roman"/>
                            <w:szCs w:val="24"/>
                          </w:rPr>
                        </m:ctrlPr>
                      </m:dPr>
                      <m:e>
                        <m:acc>
                          <m:accPr>
                            <m:chr m:val="́"/>
                            <m:ctrlPr>
                              <w:rPr>
                                <w:rFonts w:ascii="Cambria Math" w:hAnsi="Cambria Math" w:cs="Times New Roman"/>
                                <w:szCs w:val="24"/>
                              </w:rPr>
                            </m:ctrlPr>
                          </m:accPr>
                          <m:e>
                            <m:r>
                              <w:rPr>
                                <w:rFonts w:ascii="Cambria Math" w:hAnsi="Cambria Math" w:cs="Times New Roman"/>
                                <w:szCs w:val="24"/>
                              </w:rPr>
                              <m:t>z</m:t>
                            </m:r>
                          </m:e>
                        </m:acc>
                      </m:e>
                    </m:d>
                  </m:e>
                </m:nary>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d>
                  <m:dPr>
                    <m:ctrlPr>
                      <w:rPr>
                        <w:rFonts w:ascii="Cambria Math" w:hAnsi="Cambria Math" w:cs="Times New Roman"/>
                        <w:szCs w:val="24"/>
                      </w:rPr>
                    </m:ctrlPr>
                  </m:dPr>
                  <m:e>
                    <m:acc>
                      <m:accPr>
                        <m:chr m:val="́"/>
                        <m:ctrlPr>
                          <w:rPr>
                            <w:rFonts w:ascii="Cambria Math" w:hAnsi="Cambria Math" w:cs="Times New Roman"/>
                            <w:szCs w:val="24"/>
                          </w:rPr>
                        </m:ctrlPr>
                      </m:accPr>
                      <m:e>
                        <m:r>
                          <w:rPr>
                            <w:rFonts w:ascii="Cambria Math" w:hAnsi="Cambria Math" w:cs="Times New Roman"/>
                            <w:szCs w:val="24"/>
                          </w:rPr>
                          <m:t>z</m:t>
                        </m:r>
                      </m:e>
                    </m:acc>
                  </m:e>
                </m:d>
                <m:r>
                  <w:rPr>
                    <w:rFonts w:ascii="Cambria Math" w:hAnsi="Cambria Math" w:cs="Times New Roman"/>
                    <w:szCs w:val="24"/>
                  </w:rPr>
                  <m:t>d</m:t>
                </m:r>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nary>
                  <m:naryPr>
                    <m:limLoc m:val="undOvr"/>
                    <m:ctrlPr>
                      <w:rPr>
                        <w:rFonts w:ascii="Cambria Math" w:hAnsi="Cambria Math" w:cs="Times New Roman"/>
                        <w:szCs w:val="24"/>
                      </w:rPr>
                    </m:ctrlPr>
                  </m:naryPr>
                  <m:sub>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r>
                      <w:rPr>
                        <w:rFonts w:ascii="Cambria Math" w:hAnsi="Cambria Math" w:cs="Times New Roman"/>
                        <w:szCs w:val="24"/>
                      </w:rPr>
                      <m:t>a</m:t>
                    </m:r>
                  </m:sub>
                  <m:sup>
                    <m:r>
                      <w:rPr>
                        <w:rFonts w:ascii="Cambria Math" w:hAnsi="Cambria Math" w:cs="Times New Roman"/>
                        <w:szCs w:val="24"/>
                      </w:rPr>
                      <m:t>b</m:t>
                    </m:r>
                  </m:sup>
                  <m:e>
                    <m:sSubSup>
                      <m:sSubSupPr>
                        <m:ctrlPr>
                          <w:rPr>
                            <w:rFonts w:ascii="Cambria Math" w:hAnsi="Cambria Math" w:cs="Times New Roman"/>
                            <w:szCs w:val="24"/>
                          </w:rPr>
                        </m:ctrlPr>
                      </m:sSubSupPr>
                      <m:e>
                        <m:r>
                          <w:rPr>
                            <w:rFonts w:ascii="Cambria Math" w:hAnsi="Cambria Math" w:cs="Times New Roman"/>
                            <w:szCs w:val="24"/>
                          </w:rPr>
                          <m:t>φ</m:t>
                        </m:r>
                      </m:e>
                      <m:sub>
                        <m:r>
                          <m:rPr>
                            <m:sty m:val="p"/>
                          </m:rPr>
                          <w:rPr>
                            <w:rFonts w:ascii="Cambria Math" w:hAnsi="Cambria Math" w:cs="Times New Roman"/>
                            <w:szCs w:val="24"/>
                          </w:rPr>
                          <m:t>2</m:t>
                        </m:r>
                        <m:r>
                          <w:rPr>
                            <w:rFonts w:ascii="Cambria Math" w:hAnsi="Cambria Math" w:cs="Times New Roman"/>
                            <w:szCs w:val="24"/>
                          </w:rPr>
                          <m:t>m</m:t>
                        </m:r>
                      </m:sub>
                      <m:sup>
                        <m:r>
                          <m:rPr>
                            <m:sty m:val="p"/>
                          </m:rPr>
                          <w:rPr>
                            <w:rFonts w:ascii="Cambria Math" w:hAnsi="Cambria Math" w:cs="Times New Roman"/>
                            <w:szCs w:val="24"/>
                          </w:rPr>
                          <m:t>2</m:t>
                        </m:r>
                      </m:sup>
                    </m:sSubSup>
                    <m:r>
                      <m:rPr>
                        <m:sty m:val="p"/>
                      </m:rP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e>
                </m:nary>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r>
                  <w:rPr>
                    <w:rFonts w:ascii="Cambria Math" w:hAnsi="Cambria Math" w:cs="Times New Roman"/>
                    <w:szCs w:val="24"/>
                  </w:rPr>
                  <m:t>d</m:t>
                </m:r>
                <m:acc>
                  <m:accPr>
                    <m:chr m:val="́"/>
                    <m:ctrlPr>
                      <w:rPr>
                        <w:rFonts w:ascii="Cambria Math" w:hAnsi="Cambria Math" w:cs="Times New Roman"/>
                        <w:szCs w:val="24"/>
                      </w:rPr>
                    </m:ctrlPr>
                  </m:accPr>
                  <m:e>
                    <m:r>
                      <w:rPr>
                        <w:rFonts w:ascii="Cambria Math" w:hAnsi="Cambria Math" w:cs="Times New Roman"/>
                        <w:szCs w:val="24"/>
                      </w:rPr>
                      <m:t>z</m:t>
                    </m:r>
                  </m:e>
                </m:acc>
              </m:oMath>
            </m:oMathPara>
          </w:p>
        </w:tc>
        <w:tc>
          <w:tcPr>
            <w:tcW w:w="810" w:type="dxa"/>
            <w:vAlign w:val="center"/>
          </w:tcPr>
          <w:p w14:paraId="11CB0305" w14:textId="77777777" w:rsidR="000C2D31" w:rsidRPr="005A3E52" w:rsidRDefault="000C2D31" w:rsidP="000C2D31">
            <w:pPr>
              <w:ind w:firstLine="0"/>
              <w:jc w:val="right"/>
              <w:rPr>
                <w:rFonts w:cs="Times New Roman"/>
                <w:szCs w:val="24"/>
              </w:rPr>
            </w:pPr>
          </w:p>
        </w:tc>
      </w:tr>
      <w:tr w:rsidR="000C2D31" w:rsidRPr="005A3E52" w14:paraId="0D8CFF08" w14:textId="77777777" w:rsidTr="000C2D31">
        <w:tc>
          <w:tcPr>
            <w:tcW w:w="7735" w:type="dxa"/>
            <w:gridSpan w:val="2"/>
          </w:tcPr>
          <w:p w14:paraId="07C28D3A"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Int</m:t>
                    </m:r>
                  </m:e>
                  <m:sub>
                    <m:r>
                      <w:rPr>
                        <w:rFonts w:ascii="Cambria Math" w:hAnsi="Cambria Math" w:cs="Times New Roman"/>
                        <w:szCs w:val="24"/>
                      </w:rPr>
                      <m:t>m</m:t>
                    </m:r>
                  </m:sub>
                </m:sSub>
                <m:r>
                  <m:rPr>
                    <m:sty m:val="p"/>
                  </m:rPr>
                  <w:rPr>
                    <w:rFonts w:ascii="Cambria Math" w:hAnsi="Cambria Math" w:cs="Times New Roman"/>
                    <w:szCs w:val="24"/>
                  </w:rPr>
                  <m:t>=</m:t>
                </m:r>
                <m:nary>
                  <m:naryPr>
                    <m:limLoc m:val="undOvr"/>
                    <m:ctrlPr>
                      <w:rPr>
                        <w:rFonts w:ascii="Cambria Math" w:hAnsi="Cambria Math" w:cs="Times New Roman"/>
                        <w:szCs w:val="24"/>
                      </w:rPr>
                    </m:ctrlPr>
                  </m:naryPr>
                  <m:sub>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=0</m:t>
                    </m:r>
                  </m:sub>
                  <m:sup>
                    <m:r>
                      <w:rPr>
                        <w:rFonts w:ascii="Cambria Math" w:hAnsi="Cambria Math" w:cs="Times New Roman"/>
                        <w:szCs w:val="24"/>
                      </w:rPr>
                      <m:t>a</m:t>
                    </m:r>
                  </m:sup>
                  <m:e>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1</m:t>
                        </m:r>
                        <m:r>
                          <w:rPr>
                            <w:rFonts w:ascii="Cambria Math" w:hAnsi="Cambria Math" w:cs="Times New Roman"/>
                            <w:szCs w:val="24"/>
                          </w:rPr>
                          <m:t>m</m:t>
                        </m:r>
                      </m:sub>
                    </m:sSub>
                    <m:d>
                      <m:dPr>
                        <m:ctrlPr>
                          <w:rPr>
                            <w:rFonts w:ascii="Cambria Math" w:hAnsi="Cambria Math" w:cs="Times New Roman"/>
                            <w:szCs w:val="24"/>
                          </w:rPr>
                        </m:ctrlPr>
                      </m:dPr>
                      <m:e>
                        <m:acc>
                          <m:accPr>
                            <m:chr m:val="́"/>
                            <m:ctrlPr>
                              <w:rPr>
                                <w:rFonts w:ascii="Cambria Math" w:hAnsi="Cambria Math" w:cs="Times New Roman"/>
                                <w:szCs w:val="24"/>
                              </w:rPr>
                            </m:ctrlPr>
                          </m:accPr>
                          <m:e>
                            <m:r>
                              <w:rPr>
                                <w:rFonts w:ascii="Cambria Math" w:hAnsi="Cambria Math" w:cs="Times New Roman"/>
                                <w:szCs w:val="24"/>
                              </w:rPr>
                              <m:t>z</m:t>
                            </m:r>
                          </m:e>
                        </m:acc>
                      </m:e>
                    </m:d>
                  </m:e>
                </m:nary>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d>
                  <m:dPr>
                    <m:ctrlPr>
                      <w:rPr>
                        <w:rFonts w:ascii="Cambria Math" w:hAnsi="Cambria Math" w:cs="Times New Roman"/>
                        <w:szCs w:val="24"/>
                      </w:rPr>
                    </m:ctrlPr>
                  </m:dPr>
                  <m:e>
                    <m:acc>
                      <m:accPr>
                        <m:chr m:val="́"/>
                        <m:ctrlPr>
                          <w:rPr>
                            <w:rFonts w:ascii="Cambria Math" w:hAnsi="Cambria Math" w:cs="Times New Roman"/>
                            <w:szCs w:val="24"/>
                          </w:rPr>
                        </m:ctrlPr>
                      </m:accPr>
                      <m:e>
                        <m:r>
                          <w:rPr>
                            <w:rFonts w:ascii="Cambria Math" w:hAnsi="Cambria Math" w:cs="Times New Roman"/>
                            <w:szCs w:val="24"/>
                          </w:rPr>
                          <m:t>z</m:t>
                        </m:r>
                      </m:e>
                    </m:acc>
                  </m:e>
                </m:d>
                <m:r>
                  <w:rPr>
                    <w:rFonts w:ascii="Cambria Math" w:hAnsi="Cambria Math" w:cs="Times New Roman"/>
                    <w:szCs w:val="24"/>
                  </w:rPr>
                  <m:t>d</m:t>
                </m:r>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nary>
                  <m:naryPr>
                    <m:limLoc m:val="undOvr"/>
                    <m:ctrlPr>
                      <w:rPr>
                        <w:rFonts w:ascii="Cambria Math" w:hAnsi="Cambria Math" w:cs="Times New Roman"/>
                        <w:szCs w:val="24"/>
                      </w:rPr>
                    </m:ctrlPr>
                  </m:naryPr>
                  <m:sub>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r>
                      <w:rPr>
                        <w:rFonts w:ascii="Cambria Math" w:hAnsi="Cambria Math" w:cs="Times New Roman"/>
                        <w:szCs w:val="24"/>
                      </w:rPr>
                      <m:t>a</m:t>
                    </m:r>
                  </m:sub>
                  <m:sup>
                    <m:r>
                      <w:rPr>
                        <w:rFonts w:ascii="Cambria Math" w:hAnsi="Cambria Math" w:cs="Times New Roman"/>
                        <w:szCs w:val="24"/>
                      </w:rPr>
                      <m:t>b</m:t>
                    </m:r>
                  </m:sup>
                  <m:e>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2</m:t>
                        </m:r>
                        <m:r>
                          <w:rPr>
                            <w:rFonts w:ascii="Cambria Math" w:hAnsi="Cambria Math" w:cs="Times New Roman"/>
                            <w:szCs w:val="24"/>
                          </w:rPr>
                          <m:t>m</m:t>
                        </m:r>
                      </m:sub>
                    </m:sSub>
                    <m:r>
                      <m:rPr>
                        <m:sty m:val="p"/>
                      </m:rP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e>
                </m:nary>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z</m:t>
                    </m:r>
                  </m:e>
                </m:acc>
                <m:r>
                  <m:rPr>
                    <m:sty m:val="p"/>
                  </m:rPr>
                  <w:rPr>
                    <w:rFonts w:ascii="Cambria Math" w:hAnsi="Cambria Math" w:cs="Times New Roman"/>
                    <w:szCs w:val="24"/>
                  </w:rPr>
                  <m:t>)</m:t>
                </m:r>
                <m:r>
                  <w:rPr>
                    <w:rFonts w:ascii="Cambria Math" w:hAnsi="Cambria Math" w:cs="Times New Roman"/>
                    <w:szCs w:val="24"/>
                  </w:rPr>
                  <m:t>d</m:t>
                </m:r>
                <m:acc>
                  <m:accPr>
                    <m:chr m:val="́"/>
                    <m:ctrlPr>
                      <w:rPr>
                        <w:rFonts w:ascii="Cambria Math" w:hAnsi="Cambria Math" w:cs="Times New Roman"/>
                        <w:szCs w:val="24"/>
                      </w:rPr>
                    </m:ctrlPr>
                  </m:accPr>
                  <m:e>
                    <m:r>
                      <w:rPr>
                        <w:rFonts w:ascii="Cambria Math" w:hAnsi="Cambria Math" w:cs="Times New Roman"/>
                        <w:szCs w:val="24"/>
                      </w:rPr>
                      <m:t>z</m:t>
                    </m:r>
                  </m:e>
                </m:acc>
              </m:oMath>
            </m:oMathPara>
          </w:p>
        </w:tc>
        <w:tc>
          <w:tcPr>
            <w:tcW w:w="810" w:type="dxa"/>
            <w:vAlign w:val="center"/>
          </w:tcPr>
          <w:p w14:paraId="4DB0AA95" w14:textId="77777777" w:rsidR="000C2D31" w:rsidRPr="005A3E52" w:rsidRDefault="000C2D31" w:rsidP="000C2D31">
            <w:pPr>
              <w:ind w:firstLine="0"/>
              <w:jc w:val="right"/>
              <w:rPr>
                <w:rFonts w:cs="Times New Roman"/>
                <w:szCs w:val="24"/>
              </w:rPr>
            </w:pPr>
          </w:p>
        </w:tc>
      </w:tr>
      <w:tr w:rsidR="000C2D31" w:rsidRPr="005A3E52" w14:paraId="35BAA45A" w14:textId="77777777" w:rsidTr="000C2D31">
        <w:tc>
          <w:tcPr>
            <w:tcW w:w="7735" w:type="dxa"/>
            <w:gridSpan w:val="2"/>
          </w:tcPr>
          <w:p w14:paraId="752094C5"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=-1</m:t>
                </m:r>
              </m:oMath>
            </m:oMathPara>
          </w:p>
        </w:tc>
        <w:tc>
          <w:tcPr>
            <w:tcW w:w="810" w:type="dxa"/>
            <w:vAlign w:val="center"/>
          </w:tcPr>
          <w:p w14:paraId="7DF8329D" w14:textId="77777777" w:rsidR="000C2D31" w:rsidRPr="005A3E52" w:rsidRDefault="000C2D31" w:rsidP="000C2D31">
            <w:pPr>
              <w:ind w:firstLine="0"/>
              <w:jc w:val="right"/>
              <w:rPr>
                <w:rFonts w:cs="Times New Roman"/>
                <w:szCs w:val="24"/>
              </w:rPr>
            </w:pPr>
          </w:p>
        </w:tc>
      </w:tr>
      <w:tr w:rsidR="000C2D31" w:rsidRPr="005A3E52" w14:paraId="6591E0CE" w14:textId="77777777" w:rsidTr="000C2D31">
        <w:tc>
          <w:tcPr>
            <w:tcW w:w="7735" w:type="dxa"/>
            <w:gridSpan w:val="2"/>
          </w:tcPr>
          <w:p w14:paraId="543FD926"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1</m:t>
                    </m:r>
                    <m:r>
                      <w:rPr>
                        <w:rFonts w:ascii="Cambria Math" w:hAnsi="Cambria Math" w:cs="Times New Roman"/>
                        <w:szCs w:val="24"/>
                      </w:rPr>
                      <m:t>m</m:t>
                    </m:r>
                  </m:sub>
                </m:sSub>
                <m:r>
                  <m:rPr>
                    <m:sty m:val="p"/>
                  </m:rPr>
                  <w:rPr>
                    <w:rFonts w:ascii="Cambria Math" w:hAnsi="Cambria Math" w:cs="Times New Roman"/>
                    <w:szCs w:val="24"/>
                  </w:rPr>
                  <m:t>(</m:t>
                </m:r>
                <m:r>
                  <w:rPr>
                    <w:rFonts w:ascii="Cambria Math" w:hAnsi="Cambria Math" w:cs="Times New Roman"/>
                    <w:szCs w:val="24"/>
                  </w:rPr>
                  <m:t>z</m:t>
                </m:r>
                <m:r>
                  <m:rPr>
                    <m:sty m:val="p"/>
                  </m:rPr>
                  <w:rPr>
                    <w:rFonts w:ascii="Cambria Math" w:hAnsi="Cambria Math" w:cs="Times New Roman"/>
                    <w:szCs w:val="24"/>
                  </w:rPr>
                  <m:t>)=sin⁡</m:t>
                </m:r>
                <m:d>
                  <m:dPr>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,1</m:t>
                                </m:r>
                              </m:sub>
                            </m:sSub>
                          </m:e>
                        </m:rad>
                      </m:den>
                    </m:f>
                    <m:r>
                      <w:rPr>
                        <w:rFonts w:ascii="Cambria Math" w:hAnsi="Cambria Math" w:cs="Times New Roman"/>
                        <w:szCs w:val="24"/>
                      </w:rPr>
                      <m:t>z</m:t>
                    </m:r>
                  </m:e>
                </m:d>
              </m:oMath>
            </m:oMathPara>
          </w:p>
        </w:tc>
        <w:tc>
          <w:tcPr>
            <w:tcW w:w="810" w:type="dxa"/>
            <w:vAlign w:val="center"/>
          </w:tcPr>
          <w:p w14:paraId="307A7972" w14:textId="77777777" w:rsidR="000C2D31" w:rsidRPr="005A3E52" w:rsidRDefault="000C2D31" w:rsidP="000C2D31">
            <w:pPr>
              <w:ind w:firstLine="0"/>
              <w:jc w:val="right"/>
              <w:rPr>
                <w:rFonts w:cs="Times New Roman"/>
                <w:szCs w:val="24"/>
              </w:rPr>
            </w:pPr>
          </w:p>
        </w:tc>
      </w:tr>
      <w:tr w:rsidR="000C2D31" w:rsidRPr="005A3E52" w14:paraId="62360F8A" w14:textId="77777777" w:rsidTr="000C2D31">
        <w:tc>
          <w:tcPr>
            <w:tcW w:w="7735" w:type="dxa"/>
            <w:gridSpan w:val="2"/>
          </w:tcPr>
          <w:p w14:paraId="286A293C"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φ</m:t>
                    </m:r>
                  </m:e>
                  <m:sub>
                    <m:r>
                      <m:rPr>
                        <m:sty m:val="p"/>
                      </m:rPr>
                      <w:rPr>
                        <w:rFonts w:ascii="Cambria Math" w:hAnsi="Cambria Math" w:cs="Times New Roman"/>
                        <w:szCs w:val="24"/>
                      </w:rPr>
                      <m:t>2</m:t>
                    </m:r>
                    <m:r>
                      <w:rPr>
                        <w:rFonts w:ascii="Cambria Math" w:hAnsi="Cambria Math" w:cs="Times New Roman"/>
                        <w:szCs w:val="24"/>
                      </w:rPr>
                      <m:t>m</m:t>
                    </m:r>
                  </m:sub>
                </m:sSub>
                <m:d>
                  <m:dPr>
                    <m:ctrlPr>
                      <w:rPr>
                        <w:rFonts w:ascii="Cambria Math" w:hAnsi="Cambria Math" w:cs="Times New Roman"/>
                        <w:szCs w:val="24"/>
                      </w:rPr>
                    </m:ctrlPr>
                  </m:dPr>
                  <m:e>
                    <m:r>
                      <w:rPr>
                        <w:rFonts w:ascii="Cambria Math" w:hAnsi="Cambria Math" w:cs="Times New Roman"/>
                        <w:szCs w:val="24"/>
                      </w:rPr>
                      <m:t>z</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2</m:t>
                    </m:r>
                    <m:r>
                      <w:rPr>
                        <w:rFonts w:ascii="Cambria Math" w:hAnsi="Cambria Math" w:cs="Times New Roman"/>
                        <w:szCs w:val="24"/>
                      </w:rPr>
                      <m:t>m</m:t>
                    </m:r>
                  </m:sub>
                </m:sSub>
                <m:func>
                  <m:funcPr>
                    <m:ctrlPr>
                      <w:rPr>
                        <w:rFonts w:ascii="Cambria Math" w:hAnsi="Cambria Math" w:cs="Times New Roman"/>
                        <w:szCs w:val="24"/>
                      </w:rPr>
                    </m:ctrlPr>
                  </m:funcPr>
                  <m:fName>
                    <m:r>
                      <m:rPr>
                        <m:sty m:val="p"/>
                      </m:rPr>
                      <w:rPr>
                        <w:rFonts w:ascii="Cambria Math" w:hAnsi="Cambria Math" w:cs="Times New Roman"/>
                        <w:szCs w:val="24"/>
                      </w:rPr>
                      <m:t>sin</m:t>
                    </m:r>
                  </m:fName>
                  <m:e>
                    <m:d>
                      <m:dPr>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r>
                          <w:rPr>
                            <w:rFonts w:ascii="Cambria Math" w:hAnsi="Cambria Math" w:cs="Times New Roman"/>
                            <w:szCs w:val="24"/>
                          </w:rPr>
                          <m:t>z</m:t>
                        </m:r>
                      </m:e>
                    </m:d>
                  </m:e>
                </m:func>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B</m:t>
                    </m:r>
                  </m:e>
                  <m:sub>
                    <m:r>
                      <m:rPr>
                        <m:sty m:val="p"/>
                      </m:rPr>
                      <w:rPr>
                        <w:rFonts w:ascii="Cambria Math" w:hAnsi="Cambria Math" w:cs="Times New Roman"/>
                        <w:szCs w:val="24"/>
                      </w:rPr>
                      <m:t>2</m:t>
                    </m:r>
                    <m:r>
                      <w:rPr>
                        <w:rFonts w:ascii="Cambria Math" w:hAnsi="Cambria Math" w:cs="Times New Roman"/>
                        <w:szCs w:val="24"/>
                      </w:rPr>
                      <m:t>m</m:t>
                    </m:r>
                  </m:sub>
                </m:sSub>
                <m:func>
                  <m:funcPr>
                    <m:ctrlPr>
                      <w:rPr>
                        <w:rFonts w:ascii="Cambria Math" w:hAnsi="Cambria Math" w:cs="Times New Roman"/>
                        <w:szCs w:val="24"/>
                      </w:rPr>
                    </m:ctrlPr>
                  </m:funcPr>
                  <m:fName>
                    <m:r>
                      <m:rPr>
                        <m:sty m:val="p"/>
                      </m:rPr>
                      <w:rPr>
                        <w:rFonts w:ascii="Cambria Math" w:hAnsi="Cambria Math" w:cs="Times New Roman"/>
                        <w:szCs w:val="24"/>
                      </w:rPr>
                      <m:t>cos</m:t>
                    </m:r>
                  </m:fName>
                  <m:e>
                    <m:d>
                      <m:dPr>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num>
                          <m:den>
                            <m:rad>
                              <m:radPr>
                                <m:degHide m:val="1"/>
                                <m:ctrlPr>
                                  <w:rPr>
                                    <w:rFonts w:ascii="Cambria Math" w:hAnsi="Cambria Math" w:cs="Times New Roman"/>
                                    <w:szCs w:val="24"/>
                                  </w:rPr>
                                </m:ctrlPr>
                              </m:radPr>
                              <m:deg/>
                              <m:e>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r>
                                      <m:rPr>
                                        <m:sty m:val="p"/>
                                      </m:rPr>
                                      <w:rPr>
                                        <w:rFonts w:ascii="Cambria Math" w:hAnsi="Cambria Math" w:cs="Times New Roman"/>
                                        <w:szCs w:val="24"/>
                                      </w:rPr>
                                      <m:t>,2</m:t>
                                    </m:r>
                                  </m:sub>
                                </m:sSub>
                              </m:e>
                            </m:rad>
                          </m:den>
                        </m:f>
                        <m:r>
                          <w:rPr>
                            <w:rFonts w:ascii="Cambria Math" w:hAnsi="Cambria Math" w:cs="Times New Roman"/>
                            <w:szCs w:val="24"/>
                          </w:rPr>
                          <m:t>z</m:t>
                        </m:r>
                      </m:e>
                    </m:d>
                  </m:e>
                </m:func>
              </m:oMath>
            </m:oMathPara>
          </w:p>
        </w:tc>
        <w:tc>
          <w:tcPr>
            <w:tcW w:w="810" w:type="dxa"/>
            <w:vAlign w:val="center"/>
          </w:tcPr>
          <w:p w14:paraId="0BBCB9F1" w14:textId="77777777" w:rsidR="000C2D31" w:rsidRPr="005A3E52" w:rsidRDefault="000C2D31" w:rsidP="000C2D31">
            <w:pPr>
              <w:ind w:firstLine="0"/>
              <w:jc w:val="right"/>
              <w:rPr>
                <w:rFonts w:cs="Times New Roman"/>
                <w:szCs w:val="24"/>
              </w:rPr>
            </w:pPr>
          </w:p>
        </w:tc>
      </w:tr>
      <w:tr w:rsidR="000C2D31" w:rsidRPr="005A3E52" w14:paraId="64919B7C" w14:textId="77777777" w:rsidTr="000C2D31">
        <w:tc>
          <w:tcPr>
            <w:tcW w:w="7735" w:type="dxa"/>
            <w:gridSpan w:val="2"/>
          </w:tcPr>
          <w:p w14:paraId="4EFF1BCA" w14:textId="77777777"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1,</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r>
                          <m:rPr>
                            <m:sty m:val="p"/>
                          </m:rPr>
                          <w:rPr>
                            <w:rFonts w:ascii="Cambria Math" w:hAnsi="Cambria Math" w:cs="Times New Roman"/>
                            <w:szCs w:val="24"/>
                          </w:rPr>
                          <m:t>,1</m:t>
                        </m:r>
                      </m:sub>
                    </m:sSub>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r>
                          <m:rPr>
                            <m:sty m:val="p"/>
                          </m:rPr>
                          <w:rPr>
                            <w:rFonts w:ascii="Cambria Math" w:hAnsi="Cambria Math" w:cs="Times New Roman"/>
                            <w:szCs w:val="24"/>
                          </w:rPr>
                          <m:t>,1</m:t>
                        </m:r>
                      </m:sub>
                    </m:sSub>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oMath>
            </m:oMathPara>
          </w:p>
        </w:tc>
        <w:tc>
          <w:tcPr>
            <w:tcW w:w="810" w:type="dxa"/>
            <w:vAlign w:val="center"/>
          </w:tcPr>
          <w:p w14:paraId="2BD9FB7C" w14:textId="77777777" w:rsidR="000C2D31" w:rsidRPr="005A3E52" w:rsidRDefault="000C2D31" w:rsidP="000C2D31">
            <w:pPr>
              <w:ind w:firstLine="0"/>
              <w:jc w:val="right"/>
              <w:rPr>
                <w:rFonts w:cs="Times New Roman"/>
                <w:szCs w:val="24"/>
              </w:rPr>
            </w:pPr>
          </w:p>
        </w:tc>
      </w:tr>
      <w:tr w:rsidR="000C2D31" w:rsidRPr="005A3E52" w14:paraId="73819E36" w14:textId="77777777" w:rsidTr="000C2D31">
        <w:tc>
          <w:tcPr>
            <w:tcW w:w="7735" w:type="dxa"/>
            <w:gridSpan w:val="2"/>
          </w:tcPr>
          <w:p w14:paraId="4049DE9A" w14:textId="1833998F" w:rsidR="000C2D31" w:rsidRPr="005A3E52" w:rsidRDefault="007B3686" w:rsidP="000C2D31">
            <w:pPr>
              <w:ind w:firstLine="0"/>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K</m:t>
                    </m:r>
                  </m:e>
                  <m:sub>
                    <m:r>
                      <m:rPr>
                        <m:sty m:val="p"/>
                      </m:rPr>
                      <w:rPr>
                        <w:rFonts w:ascii="Cambria Math" w:hAnsi="Cambria Math" w:cs="Times New Roman"/>
                        <w:szCs w:val="24"/>
                      </w:rPr>
                      <m:t>2,</m:t>
                    </m:r>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m</m:t>
                    </m:r>
                  </m:sub>
                </m:sSub>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r>
                          <m:rPr>
                            <m:sty m:val="p"/>
                          </m:rPr>
                          <w:rPr>
                            <w:rFonts w:ascii="Cambria Math" w:hAnsi="Cambria Math" w:cs="Times New Roman"/>
                            <w:szCs w:val="24"/>
                          </w:rPr>
                          <m:t>,2</m:t>
                        </m:r>
                      </m:sub>
                    </m:sSub>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r>
                          <m:rPr>
                            <m:sty m:val="p"/>
                          </m:rPr>
                          <w:rPr>
                            <w:rFonts w:ascii="Cambria Math" w:hAnsi="Cambria Math" w:cs="Times New Roman"/>
                            <w:szCs w:val="24"/>
                          </w:rPr>
                          <m:t>,2</m:t>
                        </m:r>
                      </m:sub>
                    </m:sSub>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sSup>
                  <m:sSupPr>
                    <m:ctrlPr>
                      <w:rPr>
                        <w:rFonts w:ascii="Cambria Math" w:hAnsi="Cambria Math" w:cs="Times New Roman"/>
                        <w:szCs w:val="24"/>
                      </w:rPr>
                    </m:ctrlPr>
                  </m:sSupPr>
                  <m:e>
                    <m:r>
                      <w:rPr>
                        <w:rFonts w:ascii="Cambria Math" w:hAnsi="Cambria Math" w:cs="Times New Roman"/>
                        <w:szCs w:val="24"/>
                      </w:rPr>
                      <m:t>j</m:t>
                    </m:r>
                  </m:e>
                  <m:sup>
                    <m:r>
                      <m:rPr>
                        <m:sty m:val="p"/>
                      </m:rPr>
                      <w:rPr>
                        <w:rFonts w:ascii="Cambria Math" w:hAnsi="Cambria Math" w:cs="Times New Roman"/>
                        <w:szCs w:val="24"/>
                      </w:rPr>
                      <m:t>2</m:t>
                    </m:r>
                  </m:sup>
                </m:sSup>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m</m:t>
                    </m:r>
                  </m:sub>
                </m:sSub>
              </m:oMath>
            </m:oMathPara>
          </w:p>
        </w:tc>
        <w:tc>
          <w:tcPr>
            <w:tcW w:w="810" w:type="dxa"/>
            <w:vAlign w:val="center"/>
          </w:tcPr>
          <w:p w14:paraId="6CEDA28B" w14:textId="77777777" w:rsidR="000C2D31" w:rsidRPr="005A3E52" w:rsidRDefault="000C2D31" w:rsidP="000C2D31">
            <w:pPr>
              <w:ind w:firstLine="0"/>
              <w:jc w:val="right"/>
              <w:rPr>
                <w:rFonts w:cs="Times New Roman"/>
                <w:szCs w:val="24"/>
              </w:rPr>
            </w:pPr>
          </w:p>
        </w:tc>
      </w:tr>
    </w:tbl>
    <w:p w14:paraId="0E96B0BC" w14:textId="34E2EA34" w:rsidR="007D7AB8" w:rsidRDefault="000C2D31" w:rsidP="000C2D31">
      <w:pPr>
        <w:ind w:firstLine="0"/>
      </w:pPr>
      <w:r>
        <w:t>Applications and validation of multilayer hindered diffusion model will be further discussed in</w:t>
      </w:r>
      <w:r w:rsidR="00822542">
        <w:t xml:space="preserve"> </w:t>
      </w:r>
      <w:r w:rsidR="00822542">
        <w:fldChar w:fldCharType="begin"/>
      </w:r>
      <w:r w:rsidR="00822542">
        <w:instrText xml:space="preserve"> REF _Ref520894051 \r \h </w:instrText>
      </w:r>
      <w:r w:rsidR="00822542">
        <w:fldChar w:fldCharType="separate"/>
      </w:r>
      <w:r w:rsidR="006D52C2">
        <w:t>Chapter 3</w:t>
      </w:r>
      <w:r w:rsidR="00822542">
        <w:fldChar w:fldCharType="end"/>
      </w:r>
      <w:r>
        <w:t>.</w:t>
      </w:r>
    </w:p>
    <w:p w14:paraId="56ADBE6A" w14:textId="135D4BE7" w:rsidR="000C2D31" w:rsidRDefault="006D2C83" w:rsidP="00BB2C1B">
      <w:pPr>
        <w:pStyle w:val="Heading2"/>
      </w:pPr>
      <w:bookmarkStart w:id="98" w:name="_Toc531943756"/>
      <w:r>
        <w:t>2.8.</w:t>
      </w:r>
      <w:r w:rsidR="007021F2">
        <w:t xml:space="preserve"> </w:t>
      </w:r>
      <w:r w:rsidR="000C2D31">
        <w:t>Porous Media Diffusion Models</w:t>
      </w:r>
      <w:bookmarkEnd w:id="98"/>
    </w:p>
    <w:p w14:paraId="789E8043" w14:textId="750CDA64" w:rsidR="007D7AB8" w:rsidRDefault="000C2D31" w:rsidP="0072423B">
      <w:r>
        <w:t>Presence of voids in the polymer matrix may result in substantial reduction in mechanical, electrical</w:t>
      </w:r>
      <w:r w:rsidR="00977EA2">
        <w:t>,</w:t>
      </w:r>
      <w:r>
        <w:t xml:space="preserve"> and optical properties. </w:t>
      </w:r>
      <w:r w:rsidR="007352FD">
        <w:t>V</w:t>
      </w:r>
      <w:r>
        <w:t xml:space="preserve">oids may </w:t>
      </w:r>
      <w:r w:rsidR="007352FD">
        <w:t xml:space="preserve">also </w:t>
      </w:r>
      <w:r>
        <w:t>be pur</w:t>
      </w:r>
      <w:r w:rsidR="007352FD">
        <w:t>posefully introduced as pores</w:t>
      </w:r>
      <w:r>
        <w:t xml:space="preserve"> for application specific purposes. When porous foams are used in wet environment, they absorb excessive amount of moisture due to presence of voids acting as free space. </w:t>
      </w:r>
    </w:p>
    <w:p w14:paraId="51B798C0" w14:textId="73AB9302" w:rsidR="000C2D31" w:rsidRDefault="000C2D31" w:rsidP="0072423B">
      <w:proofErr w:type="spellStart"/>
      <w:r>
        <w:t>Gueribiz</w:t>
      </w:r>
      <w:proofErr w:type="spellEnd"/>
      <w:r>
        <w:t xml:space="preserve"> et al. </w:t>
      </w:r>
      <w:r>
        <w:fldChar w:fldCharType="begin" w:fldLock="1"/>
      </w:r>
      <w:r w:rsidR="00B274D5">
        <w:instrText>ADDIN CSL_CITATION {"citationItems":[{"id":"ITEM-1","itemData":{"DOI":"10.1177/0021998308104229","ISSN":"0021-9983","abstract":"In order to predict the long-term durability of polymer matrix composite materials submitted to humid environments, the moisture diffusion behavior has to be investigated. The knowledge of the effective diffusivity is actually required, for estimating the moisture content of polymer-based fiber-reinforced materials, even when a basic behavior such as Fick's law is assumed to occur. The original contribution of the present work is to provide new analytical solutions for the effective diffusivities from the solving of unit cell problems on representative volume elements by means of several multi-scale approaches. Composite materials with impermeable or permeable fibers are extensively investigated. The proposed approaches are extended to the practical case of composite materials containing realistic voids volume fractions.","author":[{"dropping-particle":"","family":"Gueribiz","given":"D","non-dropping-particle":"","parse-names":false,"suffix":""},{"dropping-particle":"","family":"Rahmani","given":"M","non-dropping-particle":"","parse-names":false,"suffix":""},{"dropping-particle":"","family":"Jacquemin","given":"F","non-dropping-particle":"","parse-names":false,"suffix":""},{"dropping-particle":"","family":"Fréour","given":"S","non-dropping-particle":"","parse-names":false,"suffix":""},{"dropping-particle":"","family":"Guillen","given":"R","non-dropping-particle":"","parse-names":false,"suffix":""},{"dropping-particle":"","family":"Loucif","given":"K","non-dropping-particle":"","parse-names":false,"suffix":""}],"container-title":"Journal of Composite Materials","id":"ITEM-1","issue":"12","issued":{"date-parts":[["2009","5","27"]]},"note":"doi: 10.1177/0021998308104229","page":"1391-1408","publisher":"SAGE Publications Ltd STM","title":"Homogenization of Moisture Diffusing Behavior of Composite Materials with Impermeable or Permeable Fibers — Application to Porous Composite Materials","type":"article-journal","volume":"43"},"uris":["http://www.mendeley.com/documents/?uuid=9ddb46d2-5052-4795-a77a-c511f2a19cf8"]}],"mendeley":{"formattedCitation":"[104]","plainTextFormattedCitation":"[104]","previouslyFormattedCitation":"[104]"},"properties":{"noteIndex":0},"schema":"https://github.com/citation-style-language/schema/raw/master/csl-citation.json"}</w:instrText>
      </w:r>
      <w:r>
        <w:fldChar w:fldCharType="separate"/>
      </w:r>
      <w:r w:rsidR="007021F2" w:rsidRPr="007021F2">
        <w:rPr>
          <w:noProof/>
        </w:rPr>
        <w:t>[104]</w:t>
      </w:r>
      <w:r>
        <w:fldChar w:fldCharType="end"/>
      </w:r>
      <w:r>
        <w:t xml:space="preserve"> investigated and modeled the change in diffusivity due to presence of voids. The researchers introduced a representative void into i</w:t>
      </w:r>
      <w:r w:rsidR="00023822">
        <w:t xml:space="preserve">nfinite matrix as seen in </w:t>
      </w:r>
      <w:r w:rsidR="00023822">
        <w:fldChar w:fldCharType="begin"/>
      </w:r>
      <w:r w:rsidR="00023822">
        <w:instrText xml:space="preserve"> REF _Ref521416219 \h </w:instrText>
      </w:r>
      <w:r w:rsidR="00023822">
        <w:fldChar w:fldCharType="separate"/>
      </w:r>
      <w:r w:rsidR="006D52C2">
        <w:t xml:space="preserve">Figure </w:t>
      </w:r>
      <w:r w:rsidR="006D52C2">
        <w:rPr>
          <w:noProof/>
        </w:rPr>
        <w:t>17</w:t>
      </w:r>
      <w:r w:rsidR="00023822">
        <w:fldChar w:fldCharType="end"/>
      </w:r>
      <w:r>
        <w:t>. They assumed the voids are diluted in the matrix.</w:t>
      </w:r>
    </w:p>
    <w:p w14:paraId="0B6BCCE1" w14:textId="77777777" w:rsidR="000C2D31" w:rsidRDefault="000C2D31" w:rsidP="00554848">
      <w:pPr>
        <w:pStyle w:val="NoSpacing"/>
      </w:pPr>
      <w:r>
        <w:rPr>
          <w:noProof/>
          <w:lang w:bidi="ar-SA"/>
        </w:rPr>
        <w:lastRenderedPageBreak/>
        <w:drawing>
          <wp:inline distT="0" distB="0" distL="0" distR="0" wp14:anchorId="31B31CBD" wp14:editId="3F625521">
            <wp:extent cx="2695575" cy="22383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95575" cy="2238375"/>
                    </a:xfrm>
                    <a:prstGeom prst="rect">
                      <a:avLst/>
                    </a:prstGeom>
                    <a:noFill/>
                    <a:ln>
                      <a:noFill/>
                    </a:ln>
                  </pic:spPr>
                </pic:pic>
              </a:graphicData>
            </a:graphic>
          </wp:inline>
        </w:drawing>
      </w:r>
    </w:p>
    <w:p w14:paraId="419F8005" w14:textId="762C12F1" w:rsidR="000C2D31" w:rsidRDefault="005B3DBB" w:rsidP="0069708C">
      <w:pPr>
        <w:pStyle w:val="Caption"/>
      </w:pPr>
      <w:bookmarkStart w:id="99" w:name="_Ref521416219"/>
      <w:bookmarkStart w:id="100" w:name="_Toc530997373"/>
      <w:r>
        <w:t xml:space="preserve">Figure </w:t>
      </w:r>
      <w:r w:rsidR="0023508C">
        <w:rPr>
          <w:noProof/>
        </w:rPr>
        <w:fldChar w:fldCharType="begin"/>
      </w:r>
      <w:r w:rsidR="0023508C">
        <w:rPr>
          <w:noProof/>
        </w:rPr>
        <w:instrText xml:space="preserve"> SEQ Figure \* ARABIC </w:instrText>
      </w:r>
      <w:r w:rsidR="0023508C">
        <w:rPr>
          <w:noProof/>
        </w:rPr>
        <w:fldChar w:fldCharType="separate"/>
      </w:r>
      <w:r w:rsidR="006D52C2">
        <w:rPr>
          <w:noProof/>
        </w:rPr>
        <w:t>17</w:t>
      </w:r>
      <w:r w:rsidR="0023508C">
        <w:rPr>
          <w:noProof/>
        </w:rPr>
        <w:fldChar w:fldCharType="end"/>
      </w:r>
      <w:bookmarkEnd w:id="99"/>
      <w:r w:rsidR="000C2D31">
        <w:t>. Representative volume element of porous media</w:t>
      </w:r>
      <w:bookmarkEnd w:id="100"/>
    </w:p>
    <w:p w14:paraId="1EFF2712" w14:textId="77777777" w:rsidR="000C2D31" w:rsidRDefault="000C2D31" w:rsidP="000C2D31"/>
    <w:p w14:paraId="3D8A9C8E" w14:textId="77777777" w:rsidR="000C2D31" w:rsidRDefault="000C2D31" w:rsidP="0072423B">
      <w:r w:rsidRPr="009012A4">
        <w:t>The moisture content field solution of the unit cell problem is</w:t>
      </w:r>
      <w:r>
        <w:t>:</w:t>
      </w:r>
    </w:p>
    <w:tbl>
      <w:tblPr>
        <w:tblW w:w="8455" w:type="dxa"/>
        <w:tblLook w:val="04A0" w:firstRow="1" w:lastRow="0" w:firstColumn="1" w:lastColumn="0" w:noHBand="0" w:noVBand="1"/>
      </w:tblPr>
      <w:tblGrid>
        <w:gridCol w:w="7202"/>
        <w:gridCol w:w="1253"/>
      </w:tblGrid>
      <w:tr w:rsidR="000C2D31" w:rsidRPr="005A3E52" w14:paraId="7D616FE7" w14:textId="77777777" w:rsidTr="000C2D31">
        <w:trPr>
          <w:trHeight w:val="526"/>
        </w:trPr>
        <w:tc>
          <w:tcPr>
            <w:tcW w:w="7202" w:type="dxa"/>
            <w:vAlign w:val="center"/>
          </w:tcPr>
          <w:p w14:paraId="09A4C436" w14:textId="77777777" w:rsidR="000C2D31" w:rsidRPr="005E7A6B" w:rsidRDefault="000C2D31" w:rsidP="000C2D31">
            <m:oMathPara>
              <m:oMath>
                <m:r>
                  <w:rPr>
                    <w:rFonts w:ascii="Cambria Math" w:hAnsi="Cambria Math"/>
                  </w:rPr>
                  <m:t>C</m:t>
                </m:r>
                <m:d>
                  <m:dPr>
                    <m:ctrlPr>
                      <w:rPr>
                        <w:rFonts w:ascii="Cambria Math" w:hAnsi="Cambria Math"/>
                        <w:i/>
                      </w:rPr>
                    </m:ctrlPr>
                  </m:dPr>
                  <m:e>
                    <m:r>
                      <w:rPr>
                        <w:rFonts w:ascii="Cambria Math" w:hAnsi="Cambria Math"/>
                      </w:rPr>
                      <m:t>rθ</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v</m:t>
                    </m:r>
                  </m:sub>
                </m:sSub>
                <m:r>
                  <w:rPr>
                    <w:rFonts w:ascii="Cambria Math" w:hAnsi="Cambria Math"/>
                  </w:rPr>
                  <m:t>rCosθ</m:t>
                </m:r>
              </m:oMath>
            </m:oMathPara>
          </w:p>
        </w:tc>
        <w:tc>
          <w:tcPr>
            <w:tcW w:w="1253" w:type="dxa"/>
            <w:vAlign w:val="center"/>
          </w:tcPr>
          <w:p w14:paraId="1108102E" w14:textId="77777777" w:rsidR="000C2D31" w:rsidRPr="005A3E52" w:rsidRDefault="000C2D31" w:rsidP="000C2D31">
            <w:pPr>
              <w:jc w:val="right"/>
              <w:rPr>
                <w:rFonts w:cs="Times New Roman"/>
                <w:szCs w:val="24"/>
              </w:rPr>
            </w:pPr>
            <w:r>
              <w:rPr>
                <w:rFonts w:cs="Times New Roman"/>
                <w:szCs w:val="24"/>
              </w:rPr>
              <w:t>(57</w:t>
            </w:r>
            <w:r w:rsidRPr="005A3E52">
              <w:rPr>
                <w:rFonts w:cs="Times New Roman"/>
                <w:szCs w:val="24"/>
              </w:rPr>
              <w:t>a)</w:t>
            </w:r>
          </w:p>
        </w:tc>
      </w:tr>
      <w:tr w:rsidR="000C2D31" w:rsidRPr="005A3E52" w14:paraId="55C0E94B" w14:textId="77777777" w:rsidTr="000C2D31">
        <w:trPr>
          <w:trHeight w:val="643"/>
        </w:trPr>
        <w:tc>
          <w:tcPr>
            <w:tcW w:w="7202" w:type="dxa"/>
            <w:vAlign w:val="center"/>
          </w:tcPr>
          <w:p w14:paraId="1E0EDDCB" w14:textId="77777777" w:rsidR="000C2D31" w:rsidRPr="005A3E52" w:rsidRDefault="000C2D31" w:rsidP="000C2D31">
            <w:pPr>
              <w:rPr>
                <w:rFonts w:cs="Times New Roman"/>
                <w:szCs w:val="24"/>
              </w:rPr>
            </w:pPr>
            <m:oMathPara>
              <m:oMath>
                <m:r>
                  <w:rPr>
                    <w:rFonts w:ascii="Cambria Math" w:hAnsi="Cambria Math"/>
                  </w:rPr>
                  <m:t>C</m:t>
                </m:r>
                <m:d>
                  <m:dPr>
                    <m:ctrlPr>
                      <w:rPr>
                        <w:rFonts w:ascii="Cambria Math" w:hAnsi="Cambria Math"/>
                        <w:i/>
                      </w:rPr>
                    </m:ctrlPr>
                  </m:dPr>
                  <m:e>
                    <m:r>
                      <w:rPr>
                        <w:rFonts w:ascii="Cambria Math" w:hAnsi="Cambria Math"/>
                      </w:rPr>
                      <m:t>rθ</m:t>
                    </m:r>
                  </m:e>
                </m:d>
                <m:r>
                  <w:rPr>
                    <w:rFonts w:ascii="Cambria Math" w:hAnsi="Cambria Math"/>
                  </w:rPr>
                  <m:t>=</m:t>
                </m:r>
                <m:d>
                  <m:dPr>
                    <m:ctrlPr>
                      <w:rPr>
                        <w:rFonts w:ascii="Cambria Math" w:hAnsi="Cambria Math"/>
                        <w:i/>
                      </w:rPr>
                    </m:ctrlPr>
                  </m:dPr>
                  <m:e>
                    <m:r>
                      <w:rPr>
                        <w:rFonts w:ascii="Cambria Math" w:hAnsi="Cambria Math"/>
                      </w:rPr>
                      <m:t>Gr+</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m</m:t>
                            </m:r>
                          </m:sub>
                        </m:sSub>
                      </m:num>
                      <m:den>
                        <m:r>
                          <w:rPr>
                            <w:rFonts w:ascii="Cambria Math" w:hAnsi="Cambria Math"/>
                          </w:rPr>
                          <m:t>r</m:t>
                        </m:r>
                      </m:den>
                    </m:f>
                  </m:e>
                </m:d>
                <m:r>
                  <w:rPr>
                    <w:rFonts w:ascii="Cambria Math" w:hAnsi="Cambria Math"/>
                  </w:rPr>
                  <m:t>Cosθ</m:t>
                </m:r>
              </m:oMath>
            </m:oMathPara>
          </w:p>
        </w:tc>
        <w:tc>
          <w:tcPr>
            <w:tcW w:w="1253" w:type="dxa"/>
            <w:vAlign w:val="center"/>
          </w:tcPr>
          <w:p w14:paraId="3B5F6560" w14:textId="77777777" w:rsidR="000C2D31" w:rsidRPr="005A3E52" w:rsidRDefault="000C2D31" w:rsidP="000C2D31">
            <w:pPr>
              <w:jc w:val="right"/>
              <w:rPr>
                <w:rFonts w:cs="Times New Roman"/>
                <w:szCs w:val="24"/>
              </w:rPr>
            </w:pPr>
            <w:r>
              <w:rPr>
                <w:rFonts w:cs="Times New Roman"/>
                <w:szCs w:val="24"/>
              </w:rPr>
              <w:t>(57</w:t>
            </w:r>
            <w:r w:rsidRPr="005A3E52">
              <w:rPr>
                <w:rFonts w:cs="Times New Roman"/>
                <w:szCs w:val="24"/>
              </w:rPr>
              <w:t>b)</w:t>
            </w:r>
          </w:p>
        </w:tc>
      </w:tr>
    </w:tbl>
    <w:p w14:paraId="64C2BEC8" w14:textId="77777777" w:rsidR="000C2D31" w:rsidRPr="009012A4" w:rsidRDefault="000C2D31" w:rsidP="000C2D31">
      <w:pPr>
        <w:ind w:firstLine="0"/>
      </w:pPr>
      <w:proofErr w:type="gramStart"/>
      <w:r>
        <w:t xml:space="preserve">where </w:t>
      </w:r>
      <w:proofErr w:type="gramEnd"/>
      <m:oMath>
        <m:sSub>
          <m:sSubPr>
            <m:ctrlPr>
              <w:rPr>
                <w:rFonts w:ascii="Cambria Math" w:hAnsi="Cambria Math"/>
                <w:i/>
              </w:rPr>
            </m:ctrlPr>
          </m:sSubPr>
          <m:e>
            <m:r>
              <w:rPr>
                <w:rFonts w:ascii="Cambria Math" w:hAnsi="Cambria Math"/>
              </w:rPr>
              <m:t>A</m:t>
            </m:r>
          </m:e>
          <m:sub>
            <m:r>
              <w:rPr>
                <w:rFonts w:ascii="Cambria Math" w:hAnsi="Cambria Math"/>
              </w:rPr>
              <m:t>v</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m</m:t>
            </m:r>
          </m:sub>
        </m:sSub>
      </m:oMath>
      <w:r>
        <w:t>, and G are unknown constants.</w:t>
      </w:r>
    </w:p>
    <w:p w14:paraId="1E1DE503" w14:textId="77777777" w:rsidR="000C2D31" w:rsidRDefault="000C2D31" w:rsidP="000C2D31">
      <w:r>
        <w:t>The homogeneous equivalent behavior is defined as follows:</w:t>
      </w:r>
    </w:p>
    <w:tbl>
      <w:tblPr>
        <w:tblW w:w="0" w:type="auto"/>
        <w:tblLook w:val="04A0" w:firstRow="1" w:lastRow="0" w:firstColumn="1" w:lastColumn="0" w:noHBand="0" w:noVBand="1"/>
      </w:tblPr>
      <w:tblGrid>
        <w:gridCol w:w="6750"/>
        <w:gridCol w:w="1746"/>
      </w:tblGrid>
      <w:tr w:rsidR="000C2D31" w:rsidRPr="005A3E52" w14:paraId="495AFFF1" w14:textId="77777777" w:rsidTr="000C2D31">
        <w:tc>
          <w:tcPr>
            <w:tcW w:w="6750" w:type="dxa"/>
            <w:vAlign w:val="center"/>
          </w:tcPr>
          <w:p w14:paraId="7BE75C35" w14:textId="77777777" w:rsidR="000C2D31" w:rsidRPr="005A3E52" w:rsidRDefault="007B3686" w:rsidP="000C2D31">
            <w:pPr>
              <w:rPr>
                <w:rFonts w:cs="Times New Roman"/>
                <w:szCs w:val="24"/>
              </w:rPr>
            </w:pPr>
            <m:oMathPara>
              <m:oMath>
                <m:sSubSup>
                  <m:sSubSupPr>
                    <m:ctrlPr>
                      <w:rPr>
                        <w:rFonts w:ascii="Cambria Math" w:hAnsi="Cambria Math"/>
                        <w:i/>
                      </w:rPr>
                    </m:ctrlPr>
                  </m:sSubSupPr>
                  <m:e>
                    <m:r>
                      <w:rPr>
                        <w:rFonts w:ascii="Cambria Math" w:hAnsi="Cambria Math"/>
                      </w:rPr>
                      <m:t>D</m:t>
                    </m:r>
                  </m:e>
                  <m:sub>
                    <m:r>
                      <w:rPr>
                        <w:rFonts w:ascii="Cambria Math" w:hAnsi="Cambria Math"/>
                      </w:rPr>
                      <m:t>eff</m:t>
                    </m:r>
                  </m:sub>
                  <m:sup>
                    <m:r>
                      <w:rPr>
                        <w:rFonts w:ascii="Cambria Math" w:hAnsi="Cambria Math"/>
                      </w:rPr>
                      <m:t>m</m:t>
                    </m:r>
                  </m:sup>
                </m:sSubSup>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v</m:t>
                    </m:r>
                  </m:sub>
                </m:sSub>
                <m:sSub>
                  <m:sSubPr>
                    <m:ctrlPr>
                      <w:rPr>
                        <w:rFonts w:ascii="Cambria Math" w:hAnsi="Cambria Math"/>
                        <w:i/>
                      </w:rPr>
                    </m:ctrlPr>
                  </m:sSubPr>
                  <m:e>
                    <m:r>
                      <w:rPr>
                        <w:rFonts w:ascii="Cambria Math" w:hAnsi="Cambria Math"/>
                      </w:rPr>
                      <m:t>D</m:t>
                    </m:r>
                  </m:e>
                  <m:sub>
                    <m:r>
                      <w:rPr>
                        <w:rFonts w:ascii="Cambria Math" w:hAnsi="Cambria Math"/>
                      </w:rPr>
                      <m:t>v</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sSub>
                      <m:sSubPr>
                        <m:ctrlPr>
                          <w:rPr>
                            <w:rFonts w:ascii="Cambria Math" w:hAnsi="Cambria Math"/>
                            <w:i/>
                          </w:rPr>
                        </m:ctrlPr>
                      </m:sSubPr>
                      <m:e>
                        <m:r>
                          <w:rPr>
                            <w:rFonts w:ascii="Cambria Math" w:hAnsi="Cambria Math"/>
                          </w:rPr>
                          <m:t>v</m:t>
                        </m:r>
                      </m:e>
                      <m:sub>
                        <m:r>
                          <w:rPr>
                            <w:rFonts w:ascii="Cambria Math" w:hAnsi="Cambria Math"/>
                          </w:rPr>
                          <m:t>v</m:t>
                        </m:r>
                      </m:sub>
                    </m:sSub>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m:t>
                    </m:r>
                  </m:sub>
                </m:sSub>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sSub>
                      <m:sSubPr>
                        <m:ctrlPr>
                          <w:rPr>
                            <w:rFonts w:ascii="Cambria Math" w:hAnsi="Cambria Math"/>
                            <w:i/>
                          </w:rPr>
                        </m:ctrlPr>
                      </m:sSubPr>
                      <m:e>
                        <m:r>
                          <w:rPr>
                            <w:rFonts w:ascii="Cambria Math" w:hAnsi="Cambria Math"/>
                          </w:rPr>
                          <m:t>v</m:t>
                        </m:r>
                      </m:e>
                      <m:sub>
                        <m:r>
                          <w:rPr>
                            <w:rFonts w:ascii="Cambria Math" w:hAnsi="Cambria Math"/>
                          </w:rPr>
                          <m:t>m</m:t>
                        </m:r>
                      </m:sub>
                    </m:sSub>
                  </m:sub>
                </m:sSub>
              </m:oMath>
            </m:oMathPara>
          </w:p>
        </w:tc>
        <w:tc>
          <w:tcPr>
            <w:tcW w:w="1746" w:type="dxa"/>
            <w:vAlign w:val="center"/>
          </w:tcPr>
          <w:p w14:paraId="75C95F54" w14:textId="77777777" w:rsidR="000C2D31" w:rsidRPr="005A3E52" w:rsidRDefault="000C2D31" w:rsidP="000C2D31">
            <w:pPr>
              <w:jc w:val="right"/>
              <w:rPr>
                <w:rFonts w:cs="Times New Roman"/>
                <w:szCs w:val="24"/>
              </w:rPr>
            </w:pPr>
            <w:r>
              <w:rPr>
                <w:rFonts w:cs="Times New Roman"/>
                <w:szCs w:val="24"/>
              </w:rPr>
              <w:t>(58</w:t>
            </w:r>
            <w:r w:rsidRPr="005A3E52">
              <w:rPr>
                <w:rFonts w:cs="Times New Roman"/>
                <w:szCs w:val="24"/>
              </w:rPr>
              <w:t>)</w:t>
            </w:r>
          </w:p>
        </w:tc>
      </w:tr>
    </w:tbl>
    <w:p w14:paraId="4319A614" w14:textId="09232146" w:rsidR="000C2D31" w:rsidRDefault="000C2D31" w:rsidP="000C2D31">
      <w:pPr>
        <w:ind w:firstLine="0"/>
      </w:pPr>
      <w:proofErr w:type="gramStart"/>
      <w:r>
        <w:t>where</w:t>
      </w:r>
      <w:proofErr w:type="gramEnd"/>
      <w:r>
        <w:t xml:space="preserve"> </w:t>
      </w:r>
      <m:oMath>
        <m:sSubSup>
          <m:sSubSupPr>
            <m:ctrlPr>
              <w:rPr>
                <w:rFonts w:ascii="Cambria Math" w:hAnsi="Cambria Math"/>
                <w:i/>
              </w:rPr>
            </m:ctrlPr>
          </m:sSubSupPr>
          <m:e>
            <m:r>
              <w:rPr>
                <w:rFonts w:ascii="Cambria Math" w:hAnsi="Cambria Math"/>
              </w:rPr>
              <m:t>D</m:t>
            </m:r>
          </m:e>
          <m:sub>
            <m:r>
              <w:rPr>
                <w:rFonts w:ascii="Cambria Math" w:hAnsi="Cambria Math"/>
              </w:rPr>
              <m:t>eff</m:t>
            </m:r>
          </m:sub>
          <m:sup>
            <m:r>
              <w:rPr>
                <w:rFonts w:ascii="Cambria Math" w:hAnsi="Cambria Math"/>
              </w:rPr>
              <m:t>m</m:t>
            </m:r>
          </m:sup>
        </m:sSubSup>
      </m:oMath>
      <w:r>
        <w:t xml:space="preserve"> is effective diffusivity,</w:t>
      </w:r>
      <m:oMath>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v</m:t>
            </m:r>
          </m:sub>
        </m:sSub>
      </m:oMath>
      <w:r>
        <w:t xml:space="preserve"> is the diffusivity of voids, </w:t>
      </w:r>
      <m:oMath>
        <m:sSub>
          <m:sSubPr>
            <m:ctrlPr>
              <w:rPr>
                <w:rFonts w:ascii="Cambria Math" w:hAnsi="Cambria Math"/>
                <w:i/>
              </w:rPr>
            </m:ctrlPr>
          </m:sSubPr>
          <m:e>
            <m:r>
              <w:rPr>
                <w:rFonts w:ascii="Cambria Math" w:hAnsi="Cambria Math"/>
              </w:rPr>
              <m:t>D</m:t>
            </m:r>
          </m:e>
          <m:sub>
            <m:r>
              <w:rPr>
                <w:rFonts w:ascii="Cambria Math" w:hAnsi="Cambria Math"/>
              </w:rPr>
              <m:t>m</m:t>
            </m:r>
          </m:sub>
        </m:sSub>
      </m:oMath>
      <w:r>
        <w:t xml:space="preserve"> is the diffusivity of matrix</w:t>
      </w:r>
      <w:r w:rsidR="00977EA2">
        <w:t>,</w:t>
      </w:r>
      <w:r>
        <w:t xml:space="preserve"> and</w:t>
      </w:r>
      <m:oMath>
        <m:r>
          <w:rPr>
            <w:rFonts w:ascii="Cambria Math" w:hAnsi="Cambria Math"/>
          </w:rPr>
          <m:t xml:space="preserve"> ∆</m:t>
        </m:r>
        <m:acc>
          <m:accPr>
            <m:chr m:val="̅"/>
            <m:ctrlPr>
              <w:rPr>
                <w:rFonts w:ascii="Cambria Math" w:hAnsi="Cambria Math"/>
                <w:i/>
              </w:rPr>
            </m:ctrlPr>
          </m:accPr>
          <m:e>
            <m:r>
              <w:rPr>
                <w:rFonts w:ascii="Cambria Math" w:hAnsi="Cambria Math"/>
              </w:rPr>
              <m:t>C</m:t>
            </m:r>
          </m:e>
        </m:acc>
        <m:r>
          <w:rPr>
            <w:rFonts w:ascii="Cambria Math" w:hAnsi="Cambria Math"/>
          </w:rPr>
          <m:t xml:space="preserve"> </m:t>
        </m:r>
      </m:oMath>
      <w:r w:rsidRPr="009012A4">
        <w:t>average concentration gradients over the volume</w:t>
      </w:r>
      <w:r>
        <w:t>.</w:t>
      </w:r>
    </w:p>
    <w:p w14:paraId="4A052BD3" w14:textId="4F5C5A0B" w:rsidR="000C2D31" w:rsidRDefault="000C2D31" w:rsidP="000C2D31">
      <w:r>
        <w:t xml:space="preserve">For continuous diffusion, the moisture content and moisture flux in/out of void/matrix at the interface must be equal. Applying the boundary conditions to Eqs. </w:t>
      </w:r>
      <w:r w:rsidR="009B05F7">
        <w:t>(</w:t>
      </w:r>
      <w:r>
        <w:t>57a-b</w:t>
      </w:r>
      <w:r w:rsidR="009B05F7">
        <w:t>)</w:t>
      </w:r>
      <w:r>
        <w:t xml:space="preserve"> and solving Eq. </w:t>
      </w:r>
      <w:r w:rsidR="009B05F7">
        <w:t>(</w:t>
      </w:r>
      <w:r>
        <w:t>58</w:t>
      </w:r>
      <w:r w:rsidR="009B05F7">
        <w:t>)</w:t>
      </w:r>
      <w:r>
        <w:t xml:space="preserve"> </w:t>
      </w:r>
      <w:proofErr w:type="gramStart"/>
      <w:r>
        <w:t xml:space="preserve">for </w:t>
      </w:r>
      <w:proofErr w:type="gramEnd"/>
      <m:oMath>
        <m:sSub>
          <m:sSubPr>
            <m:ctrlPr>
              <w:rPr>
                <w:rFonts w:ascii="Cambria Math" w:hAnsi="Cambria Math"/>
                <w:i/>
              </w:rPr>
            </m:ctrlPr>
          </m:sSubPr>
          <m:e>
            <m:r>
              <w:rPr>
                <w:rFonts w:ascii="Cambria Math" w:hAnsi="Cambria Math"/>
              </w:rPr>
              <m:t>A</m:t>
            </m:r>
          </m:e>
          <m:sub>
            <m:r>
              <w:rPr>
                <w:rFonts w:ascii="Cambria Math" w:hAnsi="Cambria Math"/>
              </w:rPr>
              <m:t>v</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m</m:t>
            </m:r>
          </m:sub>
        </m:sSub>
      </m:oMath>
      <w:r>
        <w:t>, and G yields:</w:t>
      </w:r>
    </w:p>
    <w:tbl>
      <w:tblPr>
        <w:tblW w:w="0" w:type="auto"/>
        <w:tblLook w:val="04A0" w:firstRow="1" w:lastRow="0" w:firstColumn="1" w:lastColumn="0" w:noHBand="0" w:noVBand="1"/>
      </w:tblPr>
      <w:tblGrid>
        <w:gridCol w:w="6750"/>
        <w:gridCol w:w="1746"/>
      </w:tblGrid>
      <w:tr w:rsidR="000C2D31" w:rsidRPr="005A3E52" w14:paraId="1DDCD3E7" w14:textId="77777777" w:rsidTr="000C2D31">
        <w:tc>
          <w:tcPr>
            <w:tcW w:w="6750" w:type="dxa"/>
            <w:vAlign w:val="center"/>
          </w:tcPr>
          <w:p w14:paraId="436F2055" w14:textId="77777777" w:rsidR="000C2D31" w:rsidRPr="008A1844" w:rsidRDefault="007B3686" w:rsidP="000C2D31">
            <m:oMathPara>
              <m:oMath>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eff</m:t>
                        </m:r>
                      </m:sub>
                    </m:sSub>
                  </m:num>
                  <m:den>
                    <m:sSub>
                      <m:sSubPr>
                        <m:ctrlPr>
                          <w:rPr>
                            <w:rFonts w:ascii="Cambria Math" w:hAnsi="Cambria Math"/>
                            <w:i/>
                          </w:rPr>
                        </m:ctrlPr>
                      </m:sSubPr>
                      <m:e>
                        <m:r>
                          <w:rPr>
                            <w:rFonts w:ascii="Cambria Math" w:hAnsi="Cambria Math"/>
                          </w:rPr>
                          <m:t>D</m:t>
                        </m:r>
                      </m:e>
                      <m:sub>
                        <m:r>
                          <w:rPr>
                            <w:rFonts w:ascii="Cambria Math" w:hAnsi="Cambria Math"/>
                          </w:rPr>
                          <m:t>m</m:t>
                        </m:r>
                      </m:sub>
                    </m:sSub>
                  </m:den>
                </m:f>
                <m:r>
                  <w:rPr>
                    <w:rFonts w:ascii="Cambria Math" w:hAnsi="Cambria Math"/>
                  </w:rPr>
                  <m:t>=</m:t>
                </m:r>
                <m:d>
                  <m:dPr>
                    <m:begChr m:val="["/>
                    <m:endChr m:val="]"/>
                    <m:ctrlPr>
                      <w:rPr>
                        <w:rFonts w:ascii="Cambria Math" w:hAnsi="Cambria Math"/>
                        <w:i/>
                      </w:rPr>
                    </m:ctrlPr>
                  </m:dPr>
                  <m:e>
                    <m:r>
                      <w:rPr>
                        <w:rFonts w:ascii="Cambria Math" w:hAnsi="Cambria Math"/>
                      </w:rPr>
                      <m:t>1+2</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w</m:t>
                            </m:r>
                          </m:sub>
                        </m:sSub>
                      </m:num>
                      <m:den>
                        <m:sSub>
                          <m:sSubPr>
                            <m:ctrlPr>
                              <w:rPr>
                                <w:rFonts w:ascii="Cambria Math" w:hAnsi="Cambria Math"/>
                                <w:i/>
                              </w:rPr>
                            </m:ctrlPr>
                          </m:sSubPr>
                          <m:e>
                            <m:r>
                              <w:rPr>
                                <w:rFonts w:ascii="Cambria Math" w:hAnsi="Cambria Math"/>
                              </w:rPr>
                              <m:t>M</m:t>
                            </m:r>
                          </m:e>
                          <m:sub>
                            <m:r>
                              <w:rPr>
                                <w:rFonts w:ascii="Cambria Math" w:hAnsi="Cambria Math"/>
                              </w:rPr>
                              <m:t>m</m:t>
                            </m:r>
                          </m:sub>
                        </m:sSub>
                        <m:sSub>
                          <m:sSubPr>
                            <m:ctrlPr>
                              <w:rPr>
                                <w:rFonts w:ascii="Cambria Math" w:hAnsi="Cambria Math"/>
                                <w:i/>
                              </w:rPr>
                            </m:ctrlPr>
                          </m:sSubPr>
                          <m:e>
                            <m:r>
                              <w:rPr>
                                <w:rFonts w:ascii="Cambria Math" w:hAnsi="Cambria Math"/>
                              </w:rPr>
                              <m:t>ρ</m:t>
                            </m:r>
                          </m:e>
                          <m:sub>
                            <m:r>
                              <w:rPr>
                                <w:rFonts w:ascii="Cambria Math" w:hAnsi="Cambria Math"/>
                              </w:rPr>
                              <m:t>m</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v</m:t>
                                </m:r>
                              </m:e>
                              <m:sub>
                                <m:r>
                                  <w:rPr>
                                    <w:rFonts w:ascii="Cambria Math" w:hAnsi="Cambria Math"/>
                                  </w:rPr>
                                  <m:t>v</m:t>
                                </m:r>
                              </m:sub>
                            </m:sSub>
                          </m:e>
                        </m:d>
                      </m:den>
                    </m:f>
                    <m:sSub>
                      <m:sSubPr>
                        <m:ctrlPr>
                          <w:rPr>
                            <w:rFonts w:ascii="Cambria Math" w:hAnsi="Cambria Math"/>
                            <w:i/>
                          </w:rPr>
                        </m:ctrlPr>
                      </m:sSubPr>
                      <m:e>
                        <m:r>
                          <w:rPr>
                            <w:rFonts w:ascii="Cambria Math" w:hAnsi="Cambria Math"/>
                          </w:rPr>
                          <m:t>v</m:t>
                        </m:r>
                      </m:e>
                      <m:sub>
                        <m:r>
                          <w:rPr>
                            <w:rFonts w:ascii="Cambria Math" w:hAnsi="Cambria Math"/>
                          </w:rPr>
                          <m:t>v</m:t>
                        </m:r>
                      </m:sub>
                    </m:sSub>
                    <m:f>
                      <m:fPr>
                        <m:ctrlPr>
                          <w:rPr>
                            <w:rFonts w:ascii="Cambria Math" w:hAnsi="Cambria Math"/>
                            <w:i/>
                          </w:rPr>
                        </m:ctrlPr>
                      </m:fPr>
                      <m:num>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v</m:t>
                                    </m:r>
                                  </m:sub>
                                </m:sSub>
                              </m:num>
                              <m:den>
                                <m:sSub>
                                  <m:sSubPr>
                                    <m:ctrlPr>
                                      <w:rPr>
                                        <w:rFonts w:ascii="Cambria Math" w:hAnsi="Cambria Math"/>
                                        <w:i/>
                                      </w:rPr>
                                    </m:ctrlPr>
                                  </m:sSubPr>
                                  <m:e>
                                    <m:r>
                                      <w:rPr>
                                        <w:rFonts w:ascii="Cambria Math" w:hAnsi="Cambria Math"/>
                                      </w:rPr>
                                      <m:t>D</m:t>
                                    </m:r>
                                  </m:e>
                                  <m:sub>
                                    <m:r>
                                      <w:rPr>
                                        <w:rFonts w:ascii="Cambria Math" w:hAnsi="Cambria Math"/>
                                      </w:rPr>
                                      <m:t>m</m:t>
                                    </m:r>
                                  </m:sub>
                                </m:sSub>
                              </m:den>
                            </m:f>
                          </m:e>
                        </m:d>
                        <m:r>
                          <w:rPr>
                            <w:rFonts w:ascii="Cambria Math" w:hAnsi="Cambria Math"/>
                          </w:rPr>
                          <m:t>-1</m:t>
                        </m:r>
                      </m:num>
                      <m:den>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v</m:t>
                                    </m:r>
                                  </m:sub>
                                </m:sSub>
                              </m:num>
                              <m:den>
                                <m:sSub>
                                  <m:sSubPr>
                                    <m:ctrlPr>
                                      <w:rPr>
                                        <w:rFonts w:ascii="Cambria Math" w:hAnsi="Cambria Math"/>
                                        <w:i/>
                                      </w:rPr>
                                    </m:ctrlPr>
                                  </m:sSubPr>
                                  <m:e>
                                    <m:r>
                                      <w:rPr>
                                        <w:rFonts w:ascii="Cambria Math" w:hAnsi="Cambria Math"/>
                                      </w:rPr>
                                      <m:t>D</m:t>
                                    </m:r>
                                  </m:e>
                                  <m:sub>
                                    <m:r>
                                      <w:rPr>
                                        <w:rFonts w:ascii="Cambria Math" w:hAnsi="Cambria Math"/>
                                      </w:rPr>
                                      <m:t>m</m:t>
                                    </m:r>
                                  </m:sub>
                                </m:sSub>
                              </m:den>
                            </m:f>
                          </m:e>
                        </m:d>
                        <m:r>
                          <w:rPr>
                            <w:rFonts w:ascii="Cambria Math" w:hAnsi="Cambria Math"/>
                          </w:rPr>
                          <m:t>+1</m:t>
                        </m:r>
                      </m:den>
                    </m:f>
                  </m:e>
                </m:d>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v</m:t>
                        </m:r>
                      </m:e>
                      <m:sub>
                        <m:r>
                          <w:rPr>
                            <w:rFonts w:ascii="Cambria Math" w:hAnsi="Cambria Math"/>
                          </w:rPr>
                          <m:t>f</m:t>
                        </m:r>
                      </m:sub>
                    </m:sSub>
                  </m:num>
                  <m:den>
                    <m:r>
                      <w:rPr>
                        <w:rFonts w:ascii="Cambria Math" w:hAnsi="Cambria Math"/>
                      </w:rPr>
                      <m:t>1+</m:t>
                    </m:r>
                    <m:sSub>
                      <m:sSubPr>
                        <m:ctrlPr>
                          <w:rPr>
                            <w:rFonts w:ascii="Cambria Math" w:hAnsi="Cambria Math"/>
                            <w:i/>
                          </w:rPr>
                        </m:ctrlPr>
                      </m:sSubPr>
                      <m:e>
                        <m:r>
                          <w:rPr>
                            <w:rFonts w:ascii="Cambria Math" w:hAnsi="Cambria Math"/>
                          </w:rPr>
                          <m:t>v</m:t>
                        </m:r>
                      </m:e>
                      <m:sub>
                        <m:r>
                          <w:rPr>
                            <w:rFonts w:ascii="Cambria Math" w:hAnsi="Cambria Math"/>
                          </w:rPr>
                          <m:t>f</m:t>
                        </m:r>
                      </m:sub>
                    </m:sSub>
                  </m:den>
                </m:f>
              </m:oMath>
            </m:oMathPara>
          </w:p>
        </w:tc>
        <w:tc>
          <w:tcPr>
            <w:tcW w:w="1746" w:type="dxa"/>
            <w:vAlign w:val="center"/>
          </w:tcPr>
          <w:p w14:paraId="19383F30" w14:textId="77777777" w:rsidR="000C2D31" w:rsidRPr="005A3E52" w:rsidRDefault="000C2D31" w:rsidP="000C2D31">
            <w:pPr>
              <w:jc w:val="right"/>
              <w:rPr>
                <w:rFonts w:cs="Times New Roman"/>
                <w:szCs w:val="24"/>
              </w:rPr>
            </w:pPr>
            <w:r>
              <w:rPr>
                <w:rFonts w:cs="Times New Roman"/>
                <w:szCs w:val="24"/>
              </w:rPr>
              <w:t>(59</w:t>
            </w:r>
            <w:r w:rsidRPr="005A3E52">
              <w:rPr>
                <w:rFonts w:cs="Times New Roman"/>
                <w:szCs w:val="24"/>
              </w:rPr>
              <w:t>)</w:t>
            </w:r>
          </w:p>
        </w:tc>
      </w:tr>
    </w:tbl>
    <w:p w14:paraId="3BBA18FD" w14:textId="5D22D60B" w:rsidR="000C2D31" w:rsidRDefault="000C2D31" w:rsidP="000C2D31">
      <w:r>
        <w:lastRenderedPageBreak/>
        <w:t xml:space="preserve">Effective diffusivity in Eq. </w:t>
      </w:r>
      <w:r w:rsidR="009B05F7">
        <w:t>(</w:t>
      </w:r>
      <w:r>
        <w:t>59</w:t>
      </w:r>
      <w:r w:rsidR="009B05F7">
        <w:t>)</w:t>
      </w:r>
      <w:r>
        <w:t xml:space="preserve"> can be used to predict the diffusivity of porous media with different void content. Increasing void content in a polymer matrix would result in extra new free volume that unbound moisture can d</w:t>
      </w:r>
      <w:r w:rsidR="007352FD">
        <w:t>iffuse into. Unbound moisture</w:t>
      </w:r>
      <w:r>
        <w:t xml:space="preserve"> mostly diffuse into the polymer during the first initial uptake. Thus, </w:t>
      </w:r>
      <w:r w:rsidR="007352FD">
        <w:t xml:space="preserve">a </w:t>
      </w:r>
      <w:r>
        <w:t xml:space="preserve">faster initial absorption rate is expected with increasing void content. In Eq. </w:t>
      </w:r>
      <w:r w:rsidR="009B05F7">
        <w:t>(</w:t>
      </w:r>
      <w:r>
        <w:t>59</w:t>
      </w:r>
      <w:r w:rsidR="009B05F7">
        <w:t>)</w:t>
      </w:r>
      <w:r>
        <w:t xml:space="preserve">, higher void content increases the effective diffusivity which correlates well with the theory. </w:t>
      </w:r>
    </w:p>
    <w:p w14:paraId="6D5D741B" w14:textId="31FCB905" w:rsidR="000C2D31" w:rsidRDefault="000C2D31" w:rsidP="000C2D31">
      <w:r>
        <w:t xml:space="preserve">The micromechanical model </w:t>
      </w:r>
      <w:r>
        <w:fldChar w:fldCharType="begin" w:fldLock="1"/>
      </w:r>
      <w:r w:rsidR="00B274D5">
        <w:instrText>ADDIN CSL_CITATION {"citationItems":[{"id":"ITEM-1","itemData":{"DOI":"10.1177/0021998308104229","ISSN":"0021-9983","abstract":"In order to predict the long-term durability of polymer matrix composite materials submitted to humid environments, the moisture diffusion behavior has to be investigated. The knowledge of the effective diffusivity is actually required, for estimating the moisture content of polymer-based fiber-reinforced materials, even when a basic behavior such as Fick's law is assumed to occur. The original contribution of the present work is to provide new analytical solutions for the effective diffusivities from the solving of unit cell problems on representative volume elements by means of several multi-scale approaches. Composite materials with impermeable or permeable fibers are extensively investigated. The proposed approaches are extended to the practical case of composite materials containing realistic voids volume fractions.","author":[{"dropping-particle":"","family":"Gueribiz","given":"D","non-dropping-particle":"","parse-names":false,"suffix":""},{"dropping-particle":"","family":"Rahmani","given":"M","non-dropping-particle":"","parse-names":false,"suffix":""},{"dropping-particle":"","family":"Jacquemin","given":"F","non-dropping-particle":"","parse-names":false,"suffix":""},{"dropping-particle":"","family":"Fréour","given":"S","non-dropping-particle":"","parse-names":false,"suffix":""},{"dropping-particle":"","family":"Guillen","given":"R","non-dropping-particle":"","parse-names":false,"suffix":""},{"dropping-particle":"","family":"Loucif","given":"K","non-dropping-particle":"","parse-names":false,"suffix":""}],"container-title":"Journal of Composite Materials","id":"ITEM-1","issue":"12","issued":{"date-parts":[["2009","5","27"]]},"note":"doi: 10.1177/0021998308104229","page":"1391-1408","publisher":"SAGE Publications Ltd STM","title":"Homogenization of Moisture Diffusing Behavior of Composite Materials with Impermeable or Permeable Fibers — Application to Porous Composite Materials","type":"article-journal","volume":"43"},"uris":["http://www.mendeley.com/documents/?uuid=9ddb46d2-5052-4795-a77a-c511f2a19cf8"]}],"mendeley":{"formattedCitation":"[104]","plainTextFormattedCitation":"[104]","previouslyFormattedCitation":"[104]"},"properties":{"noteIndex":0},"schema":"https://github.com/citation-style-language/schema/raw/master/csl-citation.json"}</w:instrText>
      </w:r>
      <w:r>
        <w:fldChar w:fldCharType="separate"/>
      </w:r>
      <w:r w:rsidR="007021F2" w:rsidRPr="007021F2">
        <w:rPr>
          <w:noProof/>
        </w:rPr>
        <w:t>[104]</w:t>
      </w:r>
      <w:r>
        <w:fldChar w:fldCharType="end"/>
      </w:r>
      <w:r>
        <w:t xml:space="preserve"> is a very useful tool to understand the diffusion behavior in porous structures. However, its predictive capabilities are only limited to diffusivity. The model cannot elucidate additional mass gain and non-Fickian behavior.</w:t>
      </w:r>
    </w:p>
    <w:p w14:paraId="353C139D" w14:textId="2B16553A" w:rsidR="000C2D31" w:rsidRDefault="000C2D31" w:rsidP="000C2D31">
      <w:pPr>
        <w:rPr>
          <w:rFonts w:cs="Times New Roman"/>
          <w:szCs w:val="24"/>
        </w:rPr>
      </w:pPr>
      <w:proofErr w:type="spellStart"/>
      <w:r>
        <w:rPr>
          <w:rFonts w:cs="Times New Roman"/>
          <w:szCs w:val="24"/>
        </w:rPr>
        <w:t>Bao</w:t>
      </w:r>
      <w:proofErr w:type="spellEnd"/>
      <w:r>
        <w:rPr>
          <w:rFonts w:cs="Times New Roman"/>
          <w:szCs w:val="24"/>
        </w:rPr>
        <w:t xml:space="preserve"> and Yee </w:t>
      </w:r>
      <w:r>
        <w:rPr>
          <w:rFonts w:cs="Times New Roman"/>
          <w:szCs w:val="24"/>
        </w:rPr>
        <w:fldChar w:fldCharType="begin" w:fldLock="1"/>
      </w:r>
      <w:r w:rsidR="00B274D5">
        <w:rPr>
          <w:rFonts w:cs="Times New Roman"/>
          <w:szCs w:val="24"/>
        </w:rPr>
        <w:instrText>ADDIN CSL_CITATION {"citationItems":[{"id":"ITEM-1","itemData":{"DOI":"10.1016/S0266-3538(02)00162-8","ISBN":"0266-3538","ISSN":"02663538","abstract":"Moisture absorption and hygrothermal aging in a woven and woven/uni-weave composites are studied. Different from the neat resin and uni-weave composite, the short term diffusion in the woven composite is non-Fickian, in that the uptake initially increases rather rapidly but quickly slows down. A dual-diffusivity model that can successfully describe the observed weight gain curves has been developed. This model is composed of two independent diffusion processes with very different diffusivities. The fast process is associated with diffusion in cure-induced voids and cracks, while the slow process is the intrinsic diffusion in the matrix. Two different hybrids, namely, uni-weave/woven/uni-weave (U-W-U) and woven/uni-weave/woven (W-U-W), are also investigated. The short term absorption curves of the U-W-U and W-U-W composites can be described by Fickian diffusion and the dual-difftisivity model, respectively. The resemblance between the U-W-U and uni-weave composites, as well as that between the W-U-W and woven composites suggest that the diffusion properties of a composite are controlled by the outer plies. During prolonged moisture absorption, the swelling stresses eventually cause the formation of interfacial cracks in the composite. © 2002 Elsevier Science Ltd. All rights reserved.","author":[{"dropping-particle":"","family":"Bao","given":"Li Rong","non-dropping-particle":"","parse-names":false,"suffix":""},{"dropping-particle":"","family":"Yee","given":"Albert F.","non-dropping-particle":"","parse-names":false,"suffix":""}],"container-title":"Composites Science and Technology","id":"ITEM-1","issue":"16","issued":{"date-parts":[["2002"]]},"page":"2111-2119","title":"Moisture diffusion and hygrothermal aging in bismaleimide matrix carbon fiber composites: Part II-woven and hybrid composites","type":"article-journal","volume":"62"},"uris":["http://www.mendeley.com/documents/?uuid=39727940-8460-42ef-a254-26375a8d11e6"]}],"mendeley":{"formattedCitation":"[97]","plainTextFormattedCitation":"[97]","previouslyFormattedCitation":"[97]"},"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[97]</w:t>
      </w:r>
      <w:r>
        <w:rPr>
          <w:rFonts w:cs="Times New Roman"/>
          <w:szCs w:val="24"/>
        </w:rPr>
        <w:fldChar w:fldCharType="end"/>
      </w:r>
      <w:r>
        <w:rPr>
          <w:rFonts w:cs="Times New Roman"/>
          <w:szCs w:val="24"/>
        </w:rPr>
        <w:t xml:space="preserve"> successfully used Dual Diffusivity Model </w:t>
      </w:r>
      <w:r>
        <w:rPr>
          <w:rFonts w:cs="Times New Roman"/>
          <w:szCs w:val="24"/>
        </w:rPr>
        <w:fldChar w:fldCharType="begin" w:fldLock="1"/>
      </w:r>
      <w:r w:rsidR="00B274D5">
        <w:rPr>
          <w:rFonts w:cs="Times New Roman"/>
          <w:szCs w:val="24"/>
        </w:rPr>
        <w:instrText>ADDIN CSL_CITATION {"citationItems":[{"id":"ITEM-1","itemData":{"DOI":"10.1007/BF01174494","ISSN":"00222461","author":[{"dropping-particle":"","family":"Jacobs","given":"P. M.","non-dropping-particle":"","parse-names":false,"suffix":""},{"dropping-particle":"","family":"Jones","given":"E. R.","non-dropping-particle":"","parse-names":false,"suffix":""}],"container-title":"Journal of Materials Science","id":"ITEM-1","issue":"7","issued":{"date-parts":[["1989"]]},"page":"2343-2347","title":"Diffusion of moisture into two-phase polymers - Part 2 Styrenated polyester resins","type":"article-journal","volume":"24"},"uris":["http://www.mendeley.com/documents/?uuid=59367bef-043a-42a2-ba22-db5730ed88f6"]}],"mendeley":{"formattedCitation":"[50]","plainTextFormattedCitation":"[50]","previouslyFormattedCitation":"[50]"},"properties":{"noteIndex":0},"schema":"https://github.com/citation-style-language/schema/raw/master/csl-citation.json"}</w:instrText>
      </w:r>
      <w:r>
        <w:rPr>
          <w:rFonts w:cs="Times New Roman"/>
          <w:szCs w:val="24"/>
        </w:rPr>
        <w:fldChar w:fldCharType="separate"/>
      </w:r>
      <w:r w:rsidR="007021F2" w:rsidRPr="007021F2">
        <w:rPr>
          <w:rFonts w:cs="Times New Roman"/>
          <w:noProof/>
          <w:szCs w:val="24"/>
        </w:rPr>
        <w:t>[50]</w:t>
      </w:r>
      <w:r>
        <w:rPr>
          <w:rFonts w:cs="Times New Roman"/>
          <w:szCs w:val="24"/>
        </w:rPr>
        <w:fldChar w:fldCharType="end"/>
      </w:r>
      <w:r>
        <w:rPr>
          <w:rFonts w:cs="Times New Roman"/>
          <w:szCs w:val="24"/>
        </w:rPr>
        <w:t xml:space="preserve"> to predict the moisture absorption in interconnected porous polymer. </w:t>
      </w:r>
      <w:proofErr w:type="spellStart"/>
      <w:r>
        <w:rPr>
          <w:rFonts w:cs="Times New Roman"/>
          <w:szCs w:val="24"/>
        </w:rPr>
        <w:t>Bao</w:t>
      </w:r>
      <w:proofErr w:type="spellEnd"/>
      <w:r>
        <w:rPr>
          <w:rFonts w:cs="Times New Roman"/>
          <w:szCs w:val="24"/>
        </w:rPr>
        <w:t xml:space="preserve"> and Yee wisely assumed that the interconnected voids are the less dense phase and polymer matrix is the dense phase. In dual diffusivity, less dense phase contributes to only initial fast uptake and dense phase governs the non-Fickian secondary absorption. Thus, the voids have no effect on the non-Fickian behavior of the polymer. </w:t>
      </w:r>
    </w:p>
    <w:p w14:paraId="5CC945C6" w14:textId="441E1D6B" w:rsidR="00397AF5" w:rsidRDefault="000C2D31" w:rsidP="000C2D31">
      <w:pPr>
        <w:rPr>
          <w:rFonts w:cs="Times New Roman"/>
          <w:szCs w:val="24"/>
        </w:rPr>
      </w:pPr>
      <w:r>
        <w:rPr>
          <w:rFonts w:cs="Times New Roman"/>
          <w:szCs w:val="24"/>
        </w:rPr>
        <w:t xml:space="preserve">Dual diffusivity model can be effectively used for polymers with interconnected voids. In closed-cell polymers, </w:t>
      </w:r>
      <w:r w:rsidR="007352FD">
        <w:rPr>
          <w:rFonts w:cs="Times New Roman"/>
          <w:szCs w:val="24"/>
        </w:rPr>
        <w:t xml:space="preserve">however, </w:t>
      </w:r>
      <w:r>
        <w:rPr>
          <w:rFonts w:cs="Times New Roman"/>
          <w:szCs w:val="24"/>
        </w:rPr>
        <w:t>ongoing binding/unbinding of moisture molecules to the void/matrix interface during filling of the voids requires a more comprehensive model that can consider the non-Fickian effect of voids. In</w:t>
      </w:r>
      <w:r w:rsidR="00822542">
        <w:rPr>
          <w:rFonts w:cs="Times New Roman"/>
          <w:szCs w:val="24"/>
        </w:rPr>
        <w:t xml:space="preserve"> </w:t>
      </w:r>
      <w:r w:rsidR="00822542">
        <w:rPr>
          <w:rFonts w:cs="Times New Roman"/>
          <w:szCs w:val="24"/>
        </w:rPr>
        <w:fldChar w:fldCharType="begin"/>
      </w:r>
      <w:r w:rsidR="00822542">
        <w:rPr>
          <w:rFonts w:cs="Times New Roman"/>
          <w:szCs w:val="24"/>
        </w:rPr>
        <w:instrText xml:space="preserve"> REF _Ref520894063 \r \h </w:instrText>
      </w:r>
      <w:r w:rsidR="00822542">
        <w:rPr>
          <w:rFonts w:cs="Times New Roman"/>
          <w:szCs w:val="24"/>
        </w:rPr>
      </w:r>
      <w:r w:rsidR="00822542">
        <w:rPr>
          <w:rFonts w:cs="Times New Roman"/>
          <w:szCs w:val="24"/>
        </w:rPr>
        <w:fldChar w:fldCharType="separate"/>
      </w:r>
      <w:r w:rsidR="006D52C2">
        <w:rPr>
          <w:rFonts w:cs="Times New Roman"/>
          <w:szCs w:val="24"/>
        </w:rPr>
        <w:t>Chapter 4</w:t>
      </w:r>
      <w:r w:rsidR="00822542">
        <w:rPr>
          <w:rFonts w:cs="Times New Roman"/>
          <w:szCs w:val="24"/>
        </w:rPr>
        <w:fldChar w:fldCharType="end"/>
      </w:r>
      <w:r>
        <w:rPr>
          <w:rFonts w:cs="Times New Roman"/>
          <w:szCs w:val="24"/>
        </w:rPr>
        <w:t>, one-dimensional hindered diffusion model has been extended to newly developed Void Filling</w:t>
      </w:r>
      <w:r w:rsidR="005F1D7A">
        <w:rPr>
          <w:rFonts w:cs="Times New Roman"/>
          <w:szCs w:val="24"/>
        </w:rPr>
        <w:t xml:space="preserve"> Hindered</w:t>
      </w:r>
      <w:r>
        <w:rPr>
          <w:rFonts w:cs="Times New Roman"/>
          <w:szCs w:val="24"/>
        </w:rPr>
        <w:t xml:space="preserve"> Diffusion Model to capture the moisture absor</w:t>
      </w:r>
      <w:r w:rsidR="007352FD">
        <w:rPr>
          <w:rFonts w:cs="Times New Roman"/>
          <w:szCs w:val="24"/>
        </w:rPr>
        <w:t xml:space="preserve">ption behavior of highly porous, closed-cell </w:t>
      </w:r>
      <w:r>
        <w:rPr>
          <w:rFonts w:cs="Times New Roman"/>
          <w:szCs w:val="24"/>
        </w:rPr>
        <w:t>foams.</w:t>
      </w:r>
      <w:r w:rsidR="00397AF5">
        <w:rPr>
          <w:rFonts w:cs="Times New Roman"/>
          <w:szCs w:val="24"/>
        </w:rPr>
        <w:br w:type="page"/>
      </w:r>
    </w:p>
    <w:p w14:paraId="4F088B1D" w14:textId="581368F2" w:rsidR="000C2D31" w:rsidRDefault="00397AF5" w:rsidP="00C730E9">
      <w:pPr>
        <w:pStyle w:val="Heading1"/>
      </w:pPr>
      <w:bookmarkStart w:id="101" w:name="_Ref520894051"/>
      <w:bookmarkStart w:id="102" w:name="_Toc531943757"/>
      <w:r>
        <w:lastRenderedPageBreak/>
        <w:t xml:space="preserve">Effects of </w:t>
      </w:r>
      <w:r w:rsidR="00A4112E">
        <w:t xml:space="preserve">Micro- and </w:t>
      </w:r>
      <w:r>
        <w:t>Nano-Filler Addition to Thermosetting Polymers on Moisture Absorption</w:t>
      </w:r>
      <w:bookmarkEnd w:id="101"/>
      <w:bookmarkEnd w:id="102"/>
    </w:p>
    <w:p w14:paraId="7DFDDDA1" w14:textId="4A38543B" w:rsidR="00192013" w:rsidRDefault="00192013" w:rsidP="00F77E87">
      <w:r>
        <w:t>Along with fiber reinforced polymers, nano-filler reinforced polymers are among the most widely used composites due to their high specific properties (i.e. specific tensile strength, elastic modulus). A variety of nano-fillers (i.e. nanofibers, nanoclay</w:t>
      </w:r>
      <w:r w:rsidR="00977EA2">
        <w:t>,</w:t>
      </w:r>
      <w:r>
        <w:t xml:space="preserve"> and nano-glass spheres) make these composites unique in a way that property enhancement or degradation depend on the nano-filler type and content. A study by Gauvin and Robert </w:t>
      </w:r>
      <w:r>
        <w:fldChar w:fldCharType="begin" w:fldLock="1"/>
      </w:r>
      <w:r w:rsidR="00B274D5">
        <w:instrText>ADDIN CSL_CITATION {"citationItems":[{"id":"ITEM-1","itemData":{"DOI":"10.1016/j.polymdegradstab.2015.09.010","ISSN":"01413910","abstract":"The durability of fiber-reinforced polymer (FRP) composite materials in humid and harsh environments is an important consideration for acceptance of these materials in civil engineering applications. Reducing the moisture ingress may improve the durability of FRPs. The addition of modified inorganic powder, such as silicate nanoparticles, may improve several important properties of polymers, such as barrier properties, fire retardancy, dimensional stability and mechanical strength. The present work aims to evaluate the effect(s) of the addition of silicate nanoparticles on the durability-related properties of vinylester polymer used as matrix for FRPs in civil engineering applications. To conduct this preliminary study, nanocomposites containing 5% organo-modified or untreated silicate were characterized by using X-Ray Diffraction (XRD) and Transmission Electron Microscopy (TEM). The diffusivity of moisture was measured by immersing samples in a 50 °C water bath. Barrier properties were determined by measuring the maximum water uptake, water absorption rate and coefficient of diffusion. Aging was performed by complete immersion of nanocomposites samples in a NaOH solution at 50 °C. Scanning Electron Microscopy (SEM), tensile tests and Fourier Transform Infrared spectroscopy (FTIR) analyses were performed before and after conditioning to evaluate the matrix degradation. Experimental results show that the use of organo-silicate leads to an improvement of barrier properties characterized by a decrease of the coefficient of diffusion. It also increases mechanical properties and leads to a significant decrease of chemical degradation.","author":[{"dropping-particle":"","family":"Gauvin","given":"Florent","non-dropping-particle":"","parse-names":false,"suffix":""},{"dropping-particle":"","family":"Robert","given":"Mathieu","non-dropping-particle":"","parse-names":false,"suffix":""}],"container-title":"Polymer Degradation and Stability","id":"ITEM-1","issued":{"date-parts":[["2015"]]},"page":"359-368","publisher":"Elsevier Ltd","title":"Durability study of vinylester/silicate nanocomposites for civil engineering applications","type":"article-journal","volume":"121"},"uris":["http://www.mendeley.com/documents/?uuid=ff82eb58-b298-462f-bf92-92230dd88adf"]}],"mendeley":{"formattedCitation":"[82]","plainTextFormattedCitation":"[82]","previouslyFormattedCitation":"[82]"},"properties":{"noteIndex":0},"schema":"https://github.com/citation-style-language/schema/raw/master/csl-citation.json"}</w:instrText>
      </w:r>
      <w:r>
        <w:fldChar w:fldCharType="separate"/>
      </w:r>
      <w:r w:rsidRPr="00475AB7">
        <w:rPr>
          <w:noProof/>
        </w:rPr>
        <w:t>[82]</w:t>
      </w:r>
      <w:r>
        <w:fldChar w:fldCharType="end"/>
      </w:r>
      <w:r>
        <w:t xml:space="preserve"> indicate</w:t>
      </w:r>
      <w:r w:rsidR="0084615F">
        <w:t>s</w:t>
      </w:r>
      <w:r>
        <w:t xml:space="preserve"> that the addition of 5 wt.% </w:t>
      </w:r>
      <w:r w:rsidRPr="00A547A8">
        <w:t>synthetic fluorinated silicate mica</w:t>
      </w:r>
      <w:r>
        <w:t xml:space="preserve"> nanoclay increases the tensile strength of the vinyl ester by 40%, while </w:t>
      </w:r>
      <w:r w:rsidRPr="00A547A8">
        <w:t>ODA-modified nanoclay</w:t>
      </w:r>
      <w:r>
        <w:t xml:space="preserve"> (</w:t>
      </w:r>
      <w:r w:rsidRPr="00571385">
        <w:t xml:space="preserve">Montmorillonite modified with </w:t>
      </w:r>
      <w:proofErr w:type="spellStart"/>
      <w:r w:rsidRPr="00571385">
        <w:t>Octadecylamine</w:t>
      </w:r>
      <w:proofErr w:type="spellEnd"/>
      <w:r>
        <w:t xml:space="preserve">) induce 15% increase. On the other hand, both </w:t>
      </w:r>
      <w:r w:rsidRPr="00A547A8">
        <w:t>fluorinated silicate mica</w:t>
      </w:r>
      <w:r>
        <w:t xml:space="preserve"> nanoclay and </w:t>
      </w:r>
      <w:r w:rsidRPr="00A547A8">
        <w:t>ODA-modified nanoclay</w:t>
      </w:r>
      <w:r>
        <w:t xml:space="preserve"> enhance the elastic modulus of vinyl ester by 10%. T</w:t>
      </w:r>
      <w:r w:rsidRPr="00594DD7">
        <w:t>he interaction</w:t>
      </w:r>
      <w:r>
        <w:t xml:space="preserve"> </w:t>
      </w:r>
      <w:r w:rsidRPr="00594DD7">
        <w:t>of nanoparticles with polymer chains</w:t>
      </w:r>
      <w:r>
        <w:t xml:space="preserve"> </w:t>
      </w:r>
      <w:r w:rsidRPr="00594DD7">
        <w:t>reduces the mobility</w:t>
      </w:r>
      <w:r>
        <w:t xml:space="preserve"> of polymer chains </w:t>
      </w:r>
      <w:r w:rsidRPr="00594DD7">
        <w:t>under loading</w:t>
      </w:r>
      <w:r>
        <w:t xml:space="preserve"> which in turn increases the mechanical properties </w:t>
      </w:r>
      <w:r>
        <w:fldChar w:fldCharType="begin" w:fldLock="1"/>
      </w:r>
      <w:r w:rsidR="00B274D5">
        <w:instrText>ADDIN CSL_CITATION {"citationItems":[{"id":"ITEM-1","itemData":{"DOI":"10.1103/PhysRevLett.89.058301","ISBN":"0031-9007","ISSN":"10797114","PMID":"12144469","abstract":"Molecular dynamics simulations of polymers reinforced with nanoscopic filler particles reveal the mechanisms by which nanofillers improve the toughness of the material. We find that the mobility of the nanofiller particle, rather than its surface area, controls its ability to dissipate energy. Our results show similarities between the toughening mechanisms observed in polymer nanocomposites and those postulated for biological structural materials such as spider silk and abalone adhesive.","author":[{"dropping-particle":"","family":"Gersappe","given":"Dilip","non-dropping-particle":"","parse-names":false,"suffix":""}],"container-title":"Physical Review Letters","id":"ITEM-1","issue":"5","issued":{"date-parts":[["2002"]]},"page":"1-4","title":"Molecular Mechanisms of Failure in Polymer Nanocomposites","type":"article-journal","volume":"89"},"uris":["http://www.mendeley.com/documents/?uuid=5e7e075c-b441-4030-90fa-1b918b3db743"]},{"id":"ITEM-2","itemData":{"DOI":"10.1002/adma.200400984","ISBN":"0935-9648","ISSN":"09359648","abstract":"of   on  of  ** By Deepak Shah, Pralay Maiti, David D. Jiang, Carl A. Batt, and Emmnauel P. Giannelis* ","author":[{"dropping-particle":"","family":"Shah","given":"Deepak","non-dropping-particle":"","parse-names":false,"suffix":""},{"dropping-particle":"","family":"Maiti","given":"Pralay","non-dropping-particle":"","parse-names":false,"suffix":""},{"dropping-particle":"","family":"Jiang","given":"David D.","non-dropping-particle":"","parse-names":false,"suffix":""},{"dropping-particle":"","family":"Batt","given":"Carl A.","non-dropping-particle":"","parse-names":false,"suffix":""},{"dropping-particle":"","family":"Giannelis","given":"Emmnauel P.","non-dropping-particle":"","parse-names":false,"suffix":""}],"container-title":"Advanced Materials","id":"ITEM-2","issue":"5","issued":{"date-parts":[["2005"]]},"page":"525-528","title":"Effect of nanoparticle mobility on toughness of polymer nanocomposites","type":"article-journal","volume":"17"},"uris":["http://www.mendeley.com/documents/?uuid=34493d57-79ab-4c42-9787-173e209b228d"]}],"mendeley":{"formattedCitation":"[115,116]","plainTextFormattedCitation":"[115,116]","previouslyFormattedCitation":"[115,116]"},"properties":{"noteIndex":0},"schema":"https://github.com/citation-style-language/schema/raw/master/csl-citation.json"}</w:instrText>
      </w:r>
      <w:r>
        <w:fldChar w:fldCharType="separate"/>
      </w:r>
      <w:r w:rsidRPr="0066490A">
        <w:rPr>
          <w:noProof/>
        </w:rPr>
        <w:t>[115,116]</w:t>
      </w:r>
      <w:r>
        <w:fldChar w:fldCharType="end"/>
      </w:r>
      <w:r>
        <w:t xml:space="preserve">. </w:t>
      </w:r>
    </w:p>
    <w:p w14:paraId="0F2C62BA" w14:textId="77E13398" w:rsidR="00192013" w:rsidRDefault="00192013" w:rsidP="00F77E87">
      <w:r>
        <w:t xml:space="preserve">The effect of nanoclay on a thermosetting polymer may not always have </w:t>
      </w:r>
      <w:r w:rsidR="0084615F">
        <w:t xml:space="preserve">a </w:t>
      </w:r>
      <w:r>
        <w:t xml:space="preserve">positive impact on material properties. Kim and Kim </w:t>
      </w:r>
      <w:r>
        <w:fldChar w:fldCharType="begin" w:fldLock="1"/>
      </w:r>
      <w:r w:rsidR="00B274D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mendeley":{"formattedCitation":"[26]","plainTextFormattedCitation":"[26]","previouslyFormattedCitation":"[26]"},"properties":{"noteIndex":0},"schema":"https://github.com/citation-style-language/schema/raw/master/csl-citation.json"}</w:instrText>
      </w:r>
      <w:r>
        <w:fldChar w:fldCharType="separate"/>
      </w:r>
      <w:r w:rsidRPr="00D14EF2">
        <w:rPr>
          <w:noProof/>
        </w:rPr>
        <w:t>[26]</w:t>
      </w:r>
      <w:r>
        <w:fldChar w:fldCharType="end"/>
      </w:r>
      <w:r>
        <w:t xml:space="preserve"> reported that the presence of 3 wt.% of </w:t>
      </w:r>
      <w:r w:rsidRPr="00594DD7">
        <w:t>surface-modified montmorillonite</w:t>
      </w:r>
      <w:r>
        <w:t xml:space="preserve"> </w:t>
      </w:r>
      <w:r w:rsidRPr="00594DD7">
        <w:t>nanoclay (</w:t>
      </w:r>
      <w:proofErr w:type="spellStart"/>
      <w:r w:rsidRPr="00594DD7">
        <w:t>Nanomer</w:t>
      </w:r>
      <w:proofErr w:type="spellEnd"/>
      <w:r w:rsidRPr="00594DD7">
        <w:t xml:space="preserve"> 1.30E</w:t>
      </w:r>
      <w:r>
        <w:t xml:space="preserve">) in YD-128 epoxy resin caused an increase in the </w:t>
      </w:r>
      <w:r w:rsidRPr="00594DD7">
        <w:t>strength and stiffness by 61.7% and 47.2%, respectively</w:t>
      </w:r>
      <w:r>
        <w:t>. However, further increase in nanoclay content from 3 wt</w:t>
      </w:r>
      <w:proofErr w:type="gramStart"/>
      <w:r>
        <w:t>.%</w:t>
      </w:r>
      <w:proofErr w:type="gramEnd"/>
      <w:r>
        <w:t xml:space="preserve"> to 5 wt.% did not yield additional gain in elastic modulus. Kim and Kim argue that </w:t>
      </w:r>
      <w:r w:rsidRPr="00594DD7">
        <w:t>high amount of nanoclay (5 wt</w:t>
      </w:r>
      <w:proofErr w:type="gramStart"/>
      <w:r>
        <w:t>.%</w:t>
      </w:r>
      <w:proofErr w:type="gramEnd"/>
      <w:r>
        <w:t xml:space="preserve">) addition resulted in agglomeration of nanoclays which in turn </w:t>
      </w:r>
      <w:r w:rsidRPr="00594DD7">
        <w:t>plasticize</w:t>
      </w:r>
      <w:r>
        <w:t xml:space="preserve"> </w:t>
      </w:r>
      <w:r w:rsidRPr="00594DD7">
        <w:t xml:space="preserve">the epoxy </w:t>
      </w:r>
      <w:r>
        <w:t xml:space="preserve">resin, </w:t>
      </w:r>
      <w:r w:rsidRPr="00594DD7">
        <w:t>and decrease the crosslink density of</w:t>
      </w:r>
      <w:r>
        <w:t xml:space="preserve"> </w:t>
      </w:r>
      <w:r w:rsidRPr="00594DD7">
        <w:t>the epoxy</w:t>
      </w:r>
      <w:r>
        <w:t>.</w:t>
      </w:r>
    </w:p>
    <w:p w14:paraId="34D42927" w14:textId="15854AC1" w:rsidR="00192013" w:rsidRDefault="00192013" w:rsidP="00F77E87">
      <w:r>
        <w:lastRenderedPageBreak/>
        <w:t>Although small amount of nanoclay addition in polymers generally enhance</w:t>
      </w:r>
      <w:r w:rsidR="0084615F">
        <w:t>s</w:t>
      </w:r>
      <w:r>
        <w:t xml:space="preserve"> mechanical properties, wet and high humid environments decrease the effectiveness of those improvements. </w:t>
      </w:r>
      <w:proofErr w:type="spellStart"/>
      <w:r>
        <w:t>Agubra</w:t>
      </w:r>
      <w:proofErr w:type="spellEnd"/>
      <w:r>
        <w:t xml:space="preserve"> et al. </w:t>
      </w:r>
      <w:r>
        <w:fldChar w:fldCharType="begin" w:fldLock="1"/>
      </w:r>
      <w:r w:rsidR="00B274D5">
        <w:instrText>ADDIN CSL_CITATION {"citationItems":[{"id":"ITEM-1","itemData":{"DOI":"10.1002/polb.23521","ISSN":"10990488","author":[{"dropping-particle":"","family":"Agubra","given":"Victor A.","non-dropping-particle":"","parse-names":false,"suffix":""},{"dropping-particle":"V.","family":"Mahesh","given":"Hosur","non-dropping-particle":"","parse-names":false,"suffix":""}],"container-title":"Journal of Polymer Science, Part B: Polymer Physics","id":"ITEM-1","issue":"15","issued":{"date-parts":[["2014"]]},"page":"1024-1029","title":"Environmental degradation of E-glass/nanocomposite under the combined effect of UV radiation, moisture, and rain","type":"article-journal","volume":"52"},"uris":["http://www.mendeley.com/documents/?uuid=4955817e-dccf-4f83-861e-23a5725eb8bd"]}],"mendeley":{"formattedCitation":"[117]","plainTextFormattedCitation":"[117]","previouslyFormattedCitation":"[117]"},"properties":{"noteIndex":0},"schema":"https://github.com/citation-style-language/schema/raw/master/csl-citation.json"}</w:instrText>
      </w:r>
      <w:r>
        <w:fldChar w:fldCharType="separate"/>
      </w:r>
      <w:r w:rsidRPr="0066490A">
        <w:rPr>
          <w:noProof/>
        </w:rPr>
        <w:t>[117]</w:t>
      </w:r>
      <w:r>
        <w:fldChar w:fldCharType="end"/>
      </w:r>
      <w:r>
        <w:t xml:space="preserve"> reported that 20 day rain exposure on an E-glass/epoxy composite reinforced with 2 wt.% nanoclay induces 4.4% additional voids whereas under the same conditions, only 0.6% additional voids are detected in the E-glass/epoxy composite. </w:t>
      </w:r>
      <w:r w:rsidRPr="00A3497F">
        <w:t>These microstructral changes are one of the primary sources of material property degradation.</w:t>
      </w:r>
      <w:r>
        <w:t xml:space="preserve"> Gauvin and Robert </w:t>
      </w:r>
      <w:r>
        <w:fldChar w:fldCharType="begin" w:fldLock="1"/>
      </w:r>
      <w:r w:rsidR="00B274D5">
        <w:instrText>ADDIN CSL_CITATION {"citationItems":[{"id":"ITEM-1","itemData":{"DOI":"10.1016/j.polymdegradstab.2015.09.010","ISSN":"01413910","abstract":"The durability of fiber-reinforced polymer (FRP) composite materials in humid and harsh environments is an important consideration for acceptance of these materials in civil engineering applications. Reducing the moisture ingress may improve the durability of FRPs. The addition of modified inorganic powder, such as silicate nanoparticles, may improve several important properties of polymers, such as barrier properties, fire retardancy, dimensional stability and mechanical strength. The present work aims to evaluate the effect(s) of the addition of silicate nanoparticles on the durability-related properties of vinylester polymer used as matrix for FRPs in civil engineering applications. To conduct this preliminary study, nanocomposites containing 5% organo-modified or untreated silicate were characterized by using X-Ray Diffraction (XRD) and Transmission Electron Microscopy (TEM). The diffusivity of moisture was measured by immersing samples in a 50 °C water bath. Barrier properties were determined by measuring the maximum water uptake, water absorption rate and coefficient of diffusion. Aging was performed by complete immersion of nanocomposites samples in a NaOH solution at 50 °C. Scanning Electron Microscopy (SEM), tensile tests and Fourier Transform Infrared spectroscopy (FTIR) analyses were performed before and after conditioning to evaluate the matrix degradation. Experimental results show that the use of organo-silicate leads to an improvement of barrier properties characterized by a decrease of the coefficient of diffusion. It also increases mechanical properties and leads to a significant decrease of chemical degradation.","author":[{"dropping-particle":"","family":"Gauvin","given":"Florent","non-dropping-particle":"","parse-names":false,"suffix":""},{"dropping-particle":"","family":"Robert","given":"Mathieu","non-dropping-particle":"","parse-names":false,"suffix":""}],"container-title":"Polymer Degradation and Stability","id":"ITEM-1","issued":{"date-parts":[["2015"]]},"page":"359-368","publisher":"Elsevier Ltd","title":"Durability study of vinylester/silicate nanocomposites for civil engineering applications","type":"article-journal","volume":"121"},"uris":["http://www.mendeley.com/documents/?uuid=ff82eb58-b298-462f-bf92-92230dd88adf"]}],"mendeley":{"formattedCitation":"[82]","plainTextFormattedCitation":"[82]","previouslyFormattedCitation":"[82]"},"properties":{"noteIndex":0},"schema":"https://github.com/citation-style-language/schema/raw/master/csl-citation.json"}</w:instrText>
      </w:r>
      <w:r>
        <w:fldChar w:fldCharType="separate"/>
      </w:r>
      <w:r w:rsidRPr="00D14EF2">
        <w:rPr>
          <w:noProof/>
        </w:rPr>
        <w:t>[82]</w:t>
      </w:r>
      <w:r>
        <w:fldChar w:fldCharType="end"/>
      </w:r>
      <w:r>
        <w:t xml:space="preserve"> demonstrate</w:t>
      </w:r>
      <w:r w:rsidR="0086414A">
        <w:t>d</w:t>
      </w:r>
      <w:r>
        <w:t xml:space="preserve"> that</w:t>
      </w:r>
      <w:r w:rsidR="00A440CD">
        <w:t xml:space="preserve"> salt water immersion at 50</w:t>
      </w:r>
      <w:r w:rsidR="0086414A" w:rsidRPr="0086414A">
        <w:rPr>
          <w:rFonts w:ascii="Cambria Math" w:hAnsi="Cambria Math" w:cs="Cambria Math"/>
        </w:rPr>
        <w:t>℃</w:t>
      </w:r>
      <w:r w:rsidR="0086414A" w:rsidRPr="0086414A">
        <w:t xml:space="preserve"> </w:t>
      </w:r>
      <w:r w:rsidR="00A440CD">
        <w:t>for 100 days</w:t>
      </w:r>
      <w:r>
        <w:t xml:space="preserve"> </w:t>
      </w:r>
      <w:r w:rsidR="0086414A">
        <w:t xml:space="preserve">decreased the </w:t>
      </w:r>
      <w:r>
        <w:t xml:space="preserve">tensile strength of 5 wt.% </w:t>
      </w:r>
      <w:r w:rsidRPr="00A547A8">
        <w:t>synthetic fluorinated silicate mica</w:t>
      </w:r>
      <w:r>
        <w:t xml:space="preserve"> nanoclay/vinyl ester composite and 5 wt.% </w:t>
      </w:r>
      <w:r w:rsidRPr="00A547A8">
        <w:t>ODA-modified nanoclay</w:t>
      </w:r>
      <w:r>
        <w:t xml:space="preserve">/vinyl ester by 44% and 39%, respectively. Likewise, elastic modulus of nanoclay/vinyl ester decreases between 6%-15% </w:t>
      </w:r>
      <w:r>
        <w:fldChar w:fldCharType="begin" w:fldLock="1"/>
      </w:r>
      <w:r w:rsidR="00B274D5">
        <w:instrText>ADDIN CSL_CITATION {"citationItems":[{"id":"ITEM-1","itemData":{"DOI":"10.1016/j.polymdegradstab.2015.09.010","ISSN":"01413910","abstract":"The durability of fiber-reinforced polymer (FRP) composite materials in humid and harsh environments is an important consideration for acceptance of these materials in civil engineering applications. Reducing the moisture ingress may improve the durability of FRPs. The addition of modified inorganic powder, such as silicate nanoparticles, may improve several important properties of polymers, such as barrier properties, fire retardancy, dimensional stability and mechanical strength. The present work aims to evaluate the effect(s) of the addition of silicate nanoparticles on the durability-related properties of vinylester polymer used as matrix for FRPs in civil engineering applications. To conduct this preliminary study, nanocomposites containing 5% organo-modified or untreated silicate were characterized by using X-Ray Diffraction (XRD) and Transmission Electron Microscopy (TEM). The diffusivity of moisture was measured by immersing samples in a 50 °C water bath. Barrier properties were determined by measuring the maximum water uptake, water absorption rate and coefficient of diffusion. Aging was performed by complete immersion of nanocomposites samples in a NaOH solution at 50 °C. Scanning Electron Microscopy (SEM), tensile tests and Fourier Transform Infrared spectroscopy (FTIR) analyses were performed before and after conditioning to evaluate the matrix degradation. Experimental results show that the use of organo-silicate leads to an improvement of barrier properties characterized by a decrease of the coefficient of diffusion. It also increases mechanical properties and leads to a significant decrease of chemical degradation.","author":[{"dropping-particle":"","family":"Gauvin","given":"Florent","non-dropping-particle":"","parse-names":false,"suffix":""},{"dropping-particle":"","family":"Robert","given":"Mathieu","non-dropping-particle":"","parse-names":false,"suffix":""}],"container-title":"Polymer Degradation and Stability","id":"ITEM-1","issued":{"date-parts":[["2015"]]},"page":"359-368","publisher":"Elsevier Ltd","title":"Durability study of vinylester/silicate nanocomposites for civil engineering applications","type":"article-journal","volume":"121"},"uris":["http://www.mendeley.com/documents/?uuid=ff82eb58-b298-462f-bf92-92230dd88adf"]}],"mendeley":{"formattedCitation":"[82]","plainTextFormattedCitation":"[82]","previouslyFormattedCitation":"[82]"},"properties":{"noteIndex":0},"schema":"https://github.com/citation-style-language/schema/raw/master/csl-citation.json"}</w:instrText>
      </w:r>
      <w:r>
        <w:fldChar w:fldCharType="separate"/>
      </w:r>
      <w:r w:rsidRPr="00D14EF2">
        <w:rPr>
          <w:noProof/>
        </w:rPr>
        <w:t>[82]</w:t>
      </w:r>
      <w:r>
        <w:fldChar w:fldCharType="end"/>
      </w:r>
      <w:r>
        <w:t>.</w:t>
      </w:r>
      <w:r w:rsidRPr="00214508">
        <w:t xml:space="preserve"> </w:t>
      </w:r>
      <w:r w:rsidRPr="00B17EC5">
        <w:t xml:space="preserve">Other researchers also </w:t>
      </w:r>
      <w:r>
        <w:t xml:space="preserve">have </w:t>
      </w:r>
      <w:r w:rsidRPr="00B17EC5">
        <w:t>observe</w:t>
      </w:r>
      <w:r>
        <w:t>d</w:t>
      </w:r>
      <w:r w:rsidRPr="00B17EC5">
        <w:t xml:space="preserve"> property loss in</w:t>
      </w:r>
      <w:r>
        <w:t xml:space="preserve"> storage modulus </w:t>
      </w:r>
      <w:r>
        <w:fldChar w:fldCharType="begin" w:fldLock="1"/>
      </w:r>
      <w:r w:rsidR="00B274D5">
        <w:instrText>ADDIN CSL_CITATION {"citationItems":[{"id":"ITEM-1","itemData":{"DOI":"10.1002/polb.23521","ISSN":"10990488","author":[{"dropping-particle":"","family":"Agubra","given":"Victor A.","non-dropping-particle":"","parse-names":false,"suffix":""},{"dropping-particle":"V.","family":"Mahesh","given":"Hosur","non-dropping-particle":"","parse-names":false,"suffix":""}],"container-title":"Journal of Polymer Science, Part B: Polymer Physics","id":"ITEM-1","issue":"15","issued":{"date-parts":[["2014"]]},"page":"1024-1029","title":"Environmental degradation of E-glass/nanocomposite under the combined effect of UV radiation, moisture, and rain","type":"article-journal","volume":"52"},"uris":["http://www.mendeley.com/documents/?uuid=4955817e-dccf-4f83-861e-23a5725eb8bd"]}],"mendeley":{"formattedCitation":"[117]","plainTextFormattedCitation":"[117]","previouslyFormattedCitation":"[117]"},"properties":{"noteIndex":0},"schema":"https://github.com/citation-style-language/schema/raw/master/csl-citation.json"}</w:instrText>
      </w:r>
      <w:r>
        <w:fldChar w:fldCharType="separate"/>
      </w:r>
      <w:r w:rsidRPr="0066490A">
        <w:rPr>
          <w:noProof/>
        </w:rPr>
        <w:t>[117]</w:t>
      </w:r>
      <w:r>
        <w:fldChar w:fldCharType="end"/>
      </w:r>
      <w:r>
        <w:t xml:space="preserve">, tensile strength </w:t>
      </w:r>
      <w:r>
        <w:fldChar w:fldCharType="begin" w:fldLock="1"/>
      </w:r>
      <w:r w:rsidR="00B274D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joints","type":"article-journal","volume":"55"},"uris":["http://www.mendeley.com/documents/?uuid=b629acb3-b997-4858-b3e0-5716ad601362"]},{"id":"ITEM-2","itemData":{"DOI":"10.1002/polb.23521","ISSN":"10990488","author":[{"dropping-particle":"","family":"Agubra","given":"Victor A.","non-dropping-particle":"","parse-names":false,"suffix":""},{"dropping-particle":"V.","family":"Mahesh","given":"Hosur","non-dropping-particle":"","parse-names":false,"suffix":""}],"container-title":"Journal of Polymer Science, Part B: Polymer Physics","id":"ITEM-2","issue":"15","issued":{"date-parts":[["2014"]]},"page":"1024-1029","title":"Environmental degradation of E-glass/nanocomposite under the combined effect of UV radiation, moisture, and rain","type":"article-journal","volume":"52"},"uris":["http://www.mendeley.com/documents/?uuid=4955817e-dccf-4f83-861e-23a5725eb8bd"]},{"id":"ITEM-3","itemData":{"DOI":"10.1007/BF00351570","ISSN":"0022-2461","author":[{"dropping-particle":"","family":"Bradley","given":"WL","non-dropping-particle":"","parse-names":false,"suffix":""},{"dropping-particle":"","family":"Grant","given":"TS","non-dropping-particle":"","parse-names":false,"suffix":""}],"container-title":"Journal of materials science","id":"ITEM-3","issued":{"date-parts":[["1995"]]},"page":"5537-5542","title":"The effect of the moisture absorption on the interfacial strength of polymeric matrix composites","type":"article-journal","volume":"30"},"uris":["http://www.mendeley.com/documents/?uuid=de199e86-1cf5-4215-aa07-82e186b98a0f"]}],"mendeley":{"formattedCitation":"[26,117,118]","plainTextFormattedCitation":"[26,117,118]","previouslyFormattedCitation":"[26,117,118]"},"properties":{"noteIndex":0},"schema":"https://github.com/citation-style-language/schema/raw/master/csl-citation.json"}</w:instrText>
      </w:r>
      <w:r>
        <w:fldChar w:fldCharType="separate"/>
      </w:r>
      <w:r w:rsidRPr="0066490A">
        <w:rPr>
          <w:noProof/>
        </w:rPr>
        <w:t>[26,117,118]</w:t>
      </w:r>
      <w:r>
        <w:fldChar w:fldCharType="end"/>
      </w:r>
      <w:r>
        <w:t xml:space="preserve">, elastic modulus </w:t>
      </w:r>
      <w:r>
        <w:fldChar w:fldCharType="begin" w:fldLock="1"/>
      </w:r>
      <w:r w:rsidR="00B274D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joints","type":"article-journal","volume":"55"},"uris":["http://www.mendeley.com/documents/?uuid=b629acb3-b997-4858-b3e0-5716ad601362"]},{"id":"ITEM-2","itemData":{"DOI":"10.1002/polb.23521","ISSN":"10990488","author":[{"dropping-particle":"","family":"Agubra","given":"Victor A.","non-dropping-particle":"","parse-names":false,"suffix":""},{"dropping-particle":"V.","family":"Mahesh","given":"Hosur","non-dropping-particle":"","parse-names":false,"suffix":""}],"container-title":"Journal of Polymer Science, Part B: Polymer Physics","id":"ITEM-2","issue":"15","issued":{"date-parts":[["2014"]]},"page":"1024-1029","title":"Environmental degradation of E-glass/nanocomposite under the combined effect of UV radiation, moisture, and rain","type":"article-journal","volume":"52"},"uris":["http://www.mendeley.com/documents/?uuid=4955817e-dccf-4f83-861e-23a5725eb8bd"]}],"mendeley":{"formattedCitation":"[26,117]","plainTextFormattedCitation":"[26,117]","previouslyFormattedCitation":"[26,117]"},"properties":{"noteIndex":0},"schema":"https://github.com/citation-style-language/schema/raw/master/csl-citation.json"}</w:instrText>
      </w:r>
      <w:r>
        <w:fldChar w:fldCharType="separate"/>
      </w:r>
      <w:r w:rsidRPr="0066490A">
        <w:rPr>
          <w:noProof/>
        </w:rPr>
        <w:t>[26,117]</w:t>
      </w:r>
      <w:r>
        <w:fldChar w:fldCharType="end"/>
      </w:r>
      <w:r w:rsidR="008A1D6F">
        <w:t>,</w:t>
      </w:r>
      <w:r>
        <w:t xml:space="preserve"> </w:t>
      </w:r>
      <w:proofErr w:type="spellStart"/>
      <w:r>
        <w:t>microhardness</w:t>
      </w:r>
      <w:proofErr w:type="spellEnd"/>
      <w:r>
        <w:t xml:space="preserve"> </w:t>
      </w:r>
      <w:r>
        <w:fldChar w:fldCharType="begin" w:fldLock="1"/>
      </w:r>
      <w:r w:rsidR="00430285">
        <w:instrText>ADDIN CSL_CITATION {"citationItems":[{"id":"ITEM-1","itemData":{"DOI":"10.1002/vnl.21367","ISSN":"1083-5601","abstract":"This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[3]","plainTextFormattedCitation":"[3]","previouslyFormattedCitation":"[11]"},"properties":{"noteIndex":0},"schema":"https://github.com/citation-style-language/schema/raw/master/csl-citation.json"}</w:instrText>
      </w:r>
      <w:r>
        <w:fldChar w:fldCharType="separate"/>
      </w:r>
      <w:r w:rsidR="00430285" w:rsidRPr="00430285">
        <w:rPr>
          <w:noProof/>
        </w:rPr>
        <w:t>[3]</w:t>
      </w:r>
      <w:r>
        <w:fldChar w:fldCharType="end"/>
      </w:r>
      <w:r>
        <w:t>,</w:t>
      </w:r>
      <w:r w:rsidRPr="00B17EC5">
        <w:t xml:space="preserve"> tra</w:t>
      </w:r>
      <w:r>
        <w:t xml:space="preserve">nsverse tensile strength </w:t>
      </w:r>
      <w:r>
        <w:fldChar w:fldCharType="begin" w:fldLock="1"/>
      </w:r>
      <w:r w:rsidR="00B274D5">
        <w:instrText>ADDIN CSL_CITATION {"citationItems":[{"id":"ITEM-1","itemData":{"DOI":"10.1177/002199839402800102","ISSN":"1530793x","author":[{"dropping-particle":"","family":"Pomies","given":"Frédéric","non-dropping-particle":"","parse-names":false,"suffix":""},{"dropping-particle":"","family":"Carlsson","given":"Leif A.","non-dropping-particle":"","parse-names":false,"suffix":""}],"container-title":"Journal of Composite Materials","id":"ITEM-1","issue":"1","issued":{"date-parts":[["1994"]]},"page":"22-35","title":"Analysis of Modulus and Strength of Dry and Wet Thermoset and Thermoplastic Composites Loaded in Transverse Tension","type":"article-journal","volume":"28"},"uris":["http://www.mendeley.com/documents/?uuid=13f9dab4-23ec-4ad3-85a7-87ff2b7e9682"]}],"mendeley":{"formattedCitation":"[36]","plainTextFormattedCitation":"[36]","previouslyFormattedCitation":"[36]"},"properties":{"noteIndex":0},"schema":"https://github.com/citation-style-language/schema/raw/master/csl-citation.json"}</w:instrText>
      </w:r>
      <w:r>
        <w:fldChar w:fldCharType="separate"/>
      </w:r>
      <w:r w:rsidRPr="00D14EF2">
        <w:rPr>
          <w:noProof/>
        </w:rPr>
        <w:t>[36]</w:t>
      </w:r>
      <w:r>
        <w:fldChar w:fldCharType="end"/>
      </w:r>
      <w:r>
        <w:t xml:space="preserve">, interlaminar shear strength </w:t>
      </w:r>
      <w:r>
        <w:fldChar w:fldCharType="begin" w:fldLock="1"/>
      </w:r>
      <w:r w:rsidR="002D5BA5">
        <w:instrText>ADDIN CSL_CITATION {"citationItems":[{"id":"ITEM-1","itemData":{"DOI":"10.1002/app.38957","ISSN":"0021-8995","abstract":"Abstract The extensive use of composites in aerospace, chemical, marine, and structural applications leads to exposure to humidity and water immersion. Hence, there is a need to study the effect of moisture absorption on the mechanical properties of composite materials, especially the matrix dominated properties, such as the interlaminar shear strength (ILSS). The horizontal shear test with a short-beam specimen in three-point-bending is used as a general method of evaluation for the shear properties in fiber-reinforced composites because of its simplicity. In this work, the ILSS of cross-ply glass-epoxy resin composites is determined in seven different fiber directions with short-beam three-point-bending tests, before and after moisture conditioning. It is found that moisture absorption reduces ILSS and stiffness of the examined composites whereas it leads to larger failure deflections. It is also found that the direction of fibers strongly affects the load?deflection response and the ILSS of the dry and conditioned specimens. ? 2013 Wiley Periodicals, Inc. J. Appl. Polym. Sci., 2013","author":[{"dropping-particle":"","family":"Sideridis","given":"Emilio P","non-dropping-particle":"","parse-names":false,"suffix":""},{"dropping-particle":"","family":"Bikakis","given":"George S","non-dropping-particle":"","parse-names":false,"suffix":""}],"container-title":"Journal of Applied Polymer Science","id":"ITEM-1","issue":"4","issued":{"date-parts":[["2013","1","15"]]},"note":"doi: 10.1002/app.38957","page":"2244-2252","publisher":"Wiley-Blackwell","title":"Shear properties and load–deflection response of cross–ply glass–epoxy composite short–beams subjected to three-point-bending tests, and the effect of moisture absorption","type":"article-journal","volume":"129"},"uris":["http://www.mendeley.com/documents/?uuid=f8154305-caba-4b15-97cf-5ad59b591745"]}],"mendeley":{"formattedCitation":"[119]","plainTextFormattedCitation":"[119]","previouslyFormattedCitation":"[119]"},"properties":{"noteIndex":0},"schema":"https://github.com/citation-style-language/schema/raw/master/csl-citation.json"}</w:instrText>
      </w:r>
      <w:r>
        <w:fldChar w:fldCharType="separate"/>
      </w:r>
      <w:r w:rsidR="002D5BA5" w:rsidRPr="002D5BA5">
        <w:rPr>
          <w:noProof/>
        </w:rPr>
        <w:t>[119]</w:t>
      </w:r>
      <w:r>
        <w:fldChar w:fldCharType="end"/>
      </w:r>
      <w:r w:rsidR="00977EA2">
        <w:t>,</w:t>
      </w:r>
      <w:r w:rsidRPr="00B17EC5">
        <w:t xml:space="preserve"> an</w:t>
      </w:r>
      <w:r>
        <w:t xml:space="preserve">d transverse flexural strength </w:t>
      </w:r>
      <w:r>
        <w:fldChar w:fldCharType="begin" w:fldLock="1"/>
      </w:r>
      <w:r w:rsidR="00B274D5">
        <w:instrText>ADDIN CSL_CITATION {"citationItems":[{"id":"ITEM-1","itemData":{"DOI":"10.1177/002199803029417","ISSN":"0021-9983","abstract":"This paper reports the results of an investigation of moisture sorption effects on the properties of a carbon fiber-reinforced high-performance phenylethynyl-terminated poly(etherimide).  Due to the relative newness of this material, minimal information regarding its performance under the duress of environmental effects is known.  Composite and neat resin specimens were cycled to effective moisture equil. during exposure to a 85% relative humidity/90°C environment followed by exposure to a 10% relative humidity/90°C environment.  The composite through-the-thickness moisture diffusion coeffs. (Dz) ranged from 2.3 × 10-6 to 5.1 × 10-6 mm2/s.  The value of Dz for moisture absorption was measured to be about 67% greater than the value of Dz for moisture desorption; residual stress-accelerated diffusion, void-assisted diffusion, and diffusion hindered by moisture-matrix interactions are discussed as possible explanations for this difference.  At 85% relative humidity, the effective moisture equil. content of the composite and neat resin were 0.52 ± 0.02% and 1.60 ± 0.01%, resp.  The av. transverse moisture expansion coeff. of the composite was 1.1 × 10-3 ± 0.7 × 10-3.  The transverse flexural strength (TFS) specimens exhibited 60.7 ± 1.2% retention (85% relative humidity) and 83.6 ± 7.0% retention (10% relative humidity) of the control value of 135.9 ± 9.5 MPa.  No conclusive results were obtained from open-hole compression strength and apparent interlaminar shear strength tests.  The majority of the surfaces of the TFS specimens displayed moisture sorption induced damage.  The dramatic impact that inadequate matrix cure can have on a composite's ability to.  Endure a single moisture sorption cycle is illustrated by comparison with a previous moisture exposure study of this material. [on SciFinder(R)]","author":[{"dropping-particle":"","family":"Bullions","given":"Todd A.","non-dropping-particle":"","parse-names":false,"suffix":""},{"dropping-particle":"","family":"Loos","given":"A. C.","non-dropping-particle":"","parse-names":false,"suffix":""},{"dropping-particle":"","family":"McGrath","given":"J. E.","non-dropping-particle":"","parse-names":false,"suffix":""}],"container-title":"Journal of Composite Materials","id":"ITEM-1","issue":"9","issued":{"date-parts":[["2003"]]},"note":"moisture vs relative humidity","page":"791-809","title":"Moisture Sorption Effects on and Properties of a Carbon Fiber-reinforced Phenylethynyl-terminated Poly(etherimide)","type":"article-journal","volume":"37"},"uris":["http://www.mendeley.com/documents/?uuid=c5f2f4a3-a5f6-4c4a-89f8-9b1f547ff5c5"]}],"mendeley":{"formattedCitation":"[120]","plainTextFormattedCitation":"[120]","previouslyFormattedCitation":"[120]"},"properties":{"noteIndex":0},"schema":"https://github.com/citation-style-language/schema/raw/master/csl-citation.json"}</w:instrText>
      </w:r>
      <w:r>
        <w:fldChar w:fldCharType="separate"/>
      </w:r>
      <w:r w:rsidRPr="0066490A">
        <w:rPr>
          <w:noProof/>
        </w:rPr>
        <w:t>[120]</w:t>
      </w:r>
      <w:r>
        <w:fldChar w:fldCharType="end"/>
      </w:r>
      <w:r w:rsidRPr="00B17EC5">
        <w:t xml:space="preserve"> of different composites.</w:t>
      </w:r>
    </w:p>
    <w:p w14:paraId="4A3B7DC2" w14:textId="439E8F54" w:rsidR="00192013" w:rsidRDefault="00192013" w:rsidP="00F77E87">
      <w:r>
        <w:t>Different kinds of nanoclay</w:t>
      </w:r>
      <w:r w:rsidR="0086414A">
        <w:t>s</w:t>
      </w:r>
      <w:r>
        <w:t xml:space="preserve"> have diverse effects on moisture absorption. Gauvin and Robert </w:t>
      </w:r>
      <w:r>
        <w:fldChar w:fldCharType="begin" w:fldLock="1"/>
      </w:r>
      <w:r w:rsidR="00B274D5">
        <w:instrText>ADDIN CSL_CITATION {"citationItems":[{"id":"ITEM-1","itemData":{"DOI":"10.1016/j.polymdegradstab.2015.09.010","ISSN":"01413910","abstract":"The durability of fiber-reinforced polymer (FRP) composite materials in humid and harsh environments is an important consideration for acceptance of these materials in civil engineering applications. Reducing the moisture ingress may improve the durability of FRPs. The addition of modified inorganic powder, such as silicate nanoparticles, may improve several important properties of polymers, such as barrier properties, fire retardancy, dimensional stability and mechanical strength. The present work aims to evaluate the effect(s) of the addition of silicate nanoparticles on the durability-related properties of vinylester polymer used as matrix for FRPs in civil engineering applications. To conduct this preliminary study, nanocomposites containing 5% organo-modified or untreated silicate were characterized by using X-Ray Diffraction (XRD) and Transmission Electron Microscopy (TEM). The diffusivity of moisture was measured by immersing samples in a 50 °C water bath. Barrier properties were determined by measuring the maximum water uptake, water absorption rate and coefficient of diffusion. Aging was performed by complete immersion of nanocomposites samples in a NaOH solution at 50 °C. Scanning Electron Microscopy (SEM), tensile tests and Fourier Transform Infrared spectroscopy (FTIR) analyses were performed before and after conditioning to evaluate the matrix degradation. Experimental results show that the use of organo-silicate leads to an improvement of barrier properties characterized by a decrease of the coefficient of diffusion. It also increases mechanical properties and leads to a significant decrease of chemical degradation.","author":[{"dropping-particle":"","family":"Gauvin","given":"Florent","non-dropping-particle":"","parse-names":false,"suffix":""},{"dropping-particle":"","family":"Robert","given":"Mathieu","non-dropping-particle":"","parse-names":false,"suffix":""}],"container-title":"Polymer Degradation and Stability","id":"ITEM-1","issued":{"date-parts":[["2015"]]},"page":"359-368","publisher":"Elsevier Ltd","title":"Durability study of vinylester/silicate nanocomposites for civil engineering applications","type":"article-journal","volume":"121"},"uris":["http://www.mendeley.com/documents/?uuid=ff82eb58-b298-462f-bf92-92230dd88adf"]}],"mendeley":{"formattedCitation":"[82]","plainTextFormattedCitation":"[82]","previouslyFormattedCitation":"[82]"},"properties":{"noteIndex":0},"schema":"https://github.com/citation-style-language/schema/raw/master/csl-citation.json"}</w:instrText>
      </w:r>
      <w:r>
        <w:fldChar w:fldCharType="separate"/>
      </w:r>
      <w:r w:rsidRPr="00D14EF2">
        <w:rPr>
          <w:noProof/>
        </w:rPr>
        <w:t>[82]</w:t>
      </w:r>
      <w:r>
        <w:fldChar w:fldCharType="end"/>
      </w:r>
      <w:r>
        <w:t xml:space="preserve"> state that the addition of 5 wt.% </w:t>
      </w:r>
      <w:r w:rsidRPr="00A547A8">
        <w:t>synthetic fluorinated silicate mica</w:t>
      </w:r>
      <w:r>
        <w:t xml:space="preserve"> nanoclay in vinyl ester increases the equilibrium moisture content up to 110% when compared to neat vinyl ester. However, the addition of 5 wt</w:t>
      </w:r>
      <w:proofErr w:type="gramStart"/>
      <w:r>
        <w:t>.%</w:t>
      </w:r>
      <w:proofErr w:type="gramEnd"/>
      <w:r>
        <w:t xml:space="preserve"> </w:t>
      </w:r>
      <w:r w:rsidRPr="00A547A8">
        <w:t>ODA-modified nanoclay</w:t>
      </w:r>
      <w:r>
        <w:t xml:space="preserve"> in vinyl ester merely increases the maximum moisture content by 10%. On the other hand, Kim and Kim </w:t>
      </w:r>
      <w:r>
        <w:fldChar w:fldCharType="begin" w:fldLock="1"/>
      </w:r>
      <w:r w:rsidR="00B274D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mendeley":{"formattedCitation":"[26]","plainTextFormattedCitation":"[26]","previouslyFormattedCitation":"[26]"},"properties":{"noteIndex":0},"schema":"https://github.com/citation-style-language/schema/raw/master/csl-citation.json"}</w:instrText>
      </w:r>
      <w:r>
        <w:fldChar w:fldCharType="separate"/>
      </w:r>
      <w:r w:rsidRPr="00D14EF2">
        <w:rPr>
          <w:noProof/>
        </w:rPr>
        <w:t>[26]</w:t>
      </w:r>
      <w:r>
        <w:fldChar w:fldCharType="end"/>
      </w:r>
      <w:r>
        <w:t xml:space="preserve"> show that </w:t>
      </w:r>
      <w:r w:rsidRPr="00571385">
        <w:t xml:space="preserve">1 </w:t>
      </w:r>
      <w:r>
        <w:t>wt.%</w:t>
      </w:r>
      <w:r w:rsidRPr="00571385">
        <w:t xml:space="preserve"> </w:t>
      </w:r>
      <w:r w:rsidRPr="00594DD7">
        <w:t>surface-modified montmorillonite</w:t>
      </w:r>
      <w:r>
        <w:t xml:space="preserve"> </w:t>
      </w:r>
      <w:r w:rsidRPr="00571385">
        <w:t xml:space="preserve">nanoclay </w:t>
      </w:r>
      <w:r>
        <w:t>reinforced epoxy absorb</w:t>
      </w:r>
      <w:r w:rsidRPr="00571385">
        <w:t xml:space="preserve"> 44.3%</w:t>
      </w:r>
      <w:r>
        <w:t xml:space="preserve"> less moisture than neat epoxy in 250 hours.</w:t>
      </w:r>
    </w:p>
    <w:p w14:paraId="675444FB" w14:textId="0752D7BB" w:rsidR="00192013" w:rsidRDefault="00192013" w:rsidP="00F77E87">
      <w:r>
        <w:t xml:space="preserve">Another aspect of moisture absorption that might be influenced by nano-filler addition is diffusivity. </w:t>
      </w:r>
      <w:proofErr w:type="spellStart"/>
      <w:r>
        <w:t>Haq</w:t>
      </w:r>
      <w:proofErr w:type="spellEnd"/>
      <w:r>
        <w:t xml:space="preserve"> et al. </w:t>
      </w:r>
      <w:r>
        <w:fldChar w:fldCharType="begin" w:fldLock="1"/>
      </w:r>
      <w:r w:rsidR="00B274D5">
        <w:instrText>ADDIN CSL_CITATION {"citationItems":[{"id":"ITEM-1","itemData":{"DOI":"10.1002/mame.201300473","ISSN":"14392054","abstract":"© 2014 WILEY-VCH Verlag GmbH  &amp;  Co. KGaA, Weinheim. Hybrid bio-based composites from blends of petroleum and vegetable oil resins reinforced with natural fibers and nanoclay platelets can lead to synergistic property enhancements from the multi-scale constituents. Twelve material designs with average hemp fiber content of 30 wt%, varying nanoclay, up to 5 wt%, and epoxidized methyl linseedate (EML), up to 30%, in unsaturated polyester (UPE) were processed and their tensile, impact, and moisture properties were experimentally characterized. The resulting biocomposites displayed synergistic behavior with the effects of bio-resin addition being complemented by nanoclay and vice versa. Optimal performance with balanced properties (stiffness, toughness, and resistance to moisture absorption) was observed in material systems with 2.5 wt% nanoclay and up to 20% EML. Overall, hybrid biocomposites show promise in applications that require excellent stiffnesstoughness balance.","author":[{"dropping-particle":"","family":"Haq","given":"Mahmoodul","non-dropping-particle":"","parse-names":false,"suffix":""},{"dropping-particle":"","family":"Burgueño","given":"Rigoberto","non-dropping-particle":"","parse-names":false,"suffix":""},{"dropping-particle":"","family":"Mohanty","given":"Amar K.","non-dropping-particle":"","parse-names":false,"suffix":""},{"dropping-particle":"","family":"Misra","given":"Manjusri","non-dropping-particle":"","parse-names":false,"suffix":""}],"container-title":"Macromolecular Materials and Engineering","id":"ITEM-1","issue":"11","issued":{"date-parts":[["2014"]]},"page":"1306-1315","title":"Hybrid bio-based composites from UPE/EML blends, natural fibers, and nanoclay","type":"article-journal","volume":"299"},"uris":["http://www.mendeley.com/documents/?uuid=f9bfbe53-9795-4f89-babd-109ed5bb23d0"]}],"mendeley":{"formattedCitation":"[88]","plainTextFormattedCitation":"[88]","previouslyFormattedCitation":"[88]"},"properties":{"noteIndex":0},"schema":"https://github.com/citation-style-language/schema/raw/master/csl-citation.json"}</w:instrText>
      </w:r>
      <w:r>
        <w:fldChar w:fldCharType="separate"/>
      </w:r>
      <w:r w:rsidRPr="00D14EF2">
        <w:rPr>
          <w:noProof/>
        </w:rPr>
        <w:t>[88]</w:t>
      </w:r>
      <w:r>
        <w:fldChar w:fldCharType="end"/>
      </w:r>
      <w:r>
        <w:t xml:space="preserve"> investigated the effect of different clay loadings on </w:t>
      </w:r>
      <w:r>
        <w:lastRenderedPageBreak/>
        <w:t xml:space="preserve">diffusivity and stated that increasing nanoclay content of </w:t>
      </w:r>
      <w:proofErr w:type="spellStart"/>
      <w:r>
        <w:t>Cloisite</w:t>
      </w:r>
      <w:proofErr w:type="spellEnd"/>
      <w:r>
        <w:t xml:space="preserve"> 30B in bio-resin decreases the diffusion coefficient. Similarly, </w:t>
      </w:r>
      <w:r w:rsidRPr="002A2778">
        <w:t>Sridhar</w:t>
      </w:r>
      <w:r>
        <w:t xml:space="preserve"> et al. </w:t>
      </w:r>
      <w:r>
        <w:fldChar w:fldCharType="begin" w:fldLock="1"/>
      </w:r>
      <w:r w:rsidR="00430285">
        <w:instrText>ADDIN CSL_CITATION {"citationItems":[{"id":"ITEM-1","itemData":{"DOI":"10.1002/vnl.21367","ISSN":"1083-5601","abstract":"This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[3]","plainTextFormattedCitation":"[3]","previouslyFormattedCitation":"[11]"},"properties":{"noteIndex":0},"schema":"https://github.com/citation-style-language/schema/raw/master/csl-citation.json"}</w:instrText>
      </w:r>
      <w:r>
        <w:fldChar w:fldCharType="separate"/>
      </w:r>
      <w:r w:rsidR="00430285" w:rsidRPr="00430285">
        <w:rPr>
          <w:noProof/>
        </w:rPr>
        <w:t>[3]</w:t>
      </w:r>
      <w:r>
        <w:fldChar w:fldCharType="end"/>
      </w:r>
      <w:r>
        <w:t xml:space="preserve"> reported that the addition of 5 wt.%</w:t>
      </w:r>
      <w:r w:rsidRPr="008D773C">
        <w:t xml:space="preserve"> </w:t>
      </w:r>
      <w:proofErr w:type="spellStart"/>
      <w:r w:rsidRPr="008D773C">
        <w:t>Cloisite</w:t>
      </w:r>
      <w:proofErr w:type="spellEnd"/>
      <w:r w:rsidRPr="008D773C">
        <w:t xml:space="preserve"> 15A</w:t>
      </w:r>
      <w:r>
        <w:t xml:space="preserve"> into vinyl ester slows down the diffusion by 71%. On the other hand, addition of 5 wt</w:t>
      </w:r>
      <w:proofErr w:type="gramStart"/>
      <w:r>
        <w:t>.%</w:t>
      </w:r>
      <w:proofErr w:type="gramEnd"/>
      <w:r>
        <w:t xml:space="preserve"> </w:t>
      </w:r>
      <w:proofErr w:type="spellStart"/>
      <w:r w:rsidRPr="008D773C">
        <w:t>Cloisite</w:t>
      </w:r>
      <w:proofErr w:type="spellEnd"/>
      <w:r w:rsidRPr="008D773C">
        <w:t xml:space="preserve"> Na</w:t>
      </w:r>
      <w:r>
        <w:t xml:space="preserve"> increases the diffusivity by 33%. These conflicting results show that moisture absorption kinetics in nanoclay reinforced thermosets are highly dependent on the type of nanoclay/polymer pair.</w:t>
      </w:r>
    </w:p>
    <w:p w14:paraId="26E7324B" w14:textId="55019D8E" w:rsidR="00192013" w:rsidRDefault="00192013" w:rsidP="00F77E87">
      <w:r>
        <w:t>In this study, the effect of nano-filler/epoxy type and nano-filler content on moisture absorption are investigated. Thermogravimetric mois</w:t>
      </w:r>
      <w:r w:rsidR="000B07A7">
        <w:t>ture absorption data of I.30E/D</w:t>
      </w:r>
      <w:r>
        <w:t xml:space="preserve">GEBA epoxy </w:t>
      </w:r>
      <w:r>
        <w:fldChar w:fldCharType="begin" w:fldLock="1"/>
      </w:r>
      <w:r w:rsidR="00B274D5">
        <w:instrText>ADDIN CSL_CITATION {"citationItems":[{"id":"ITEM-1","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Science","id":"ITEM-1","issue":"10","issued":{"date-parts":[["2013"]]},"page":"3798-3804","title":"Mechanical properties and water uptake of epoxy-clay nanocomposites containing different clay loadings","type":"article-journal","volume":"48"},"uris":["http://www.mendeley.com/documents/?uuid=6f2c854f-86b7-4990-a430-a346c84517ac"]}],"mendeley":{"formattedCitation":"[80]","plainTextFormattedCitation":"[80]","previouslyFormattedCitation":"[80]"},"properties":{"noteIndex":0},"schema":"https://github.com/citation-style-language/schema/raw/master/csl-citation.json"}</w:instrText>
      </w:r>
      <w:r>
        <w:fldChar w:fldCharType="separate"/>
      </w:r>
      <w:r w:rsidRPr="00D14EF2">
        <w:rPr>
          <w:noProof/>
        </w:rPr>
        <w:t>[80]</w:t>
      </w:r>
      <w:r>
        <w:fldChar w:fldCharType="end"/>
      </w:r>
      <w:r>
        <w:t xml:space="preserve">, and glass sphere/DGEBA epoxy </w:t>
      </w:r>
      <w:r>
        <w:fldChar w:fldCharType="begin" w:fldLock="1"/>
      </w:r>
      <w:r w:rsidR="00B274D5">
        <w:instrText>ADDIN CSL_CITATION {"citationItems":[{"id":"ITEM-1","itemData":{"DOI":"10.1016/S0032-3861(03)00371-9","ISBN":"0032-3861","ISSN":"00323861","abstract":"Basic properties of glass filled epoxy such as yield behavior and cohesive strength, which are important in understanding toughening mechanism, are studied using compression tests and double notch 4 point bending (DN-4PB) tests. Three different glass reinforcements, large glass spheres, small glass spheres, and glass fibers, were treated by different methods and used at different volume fractions ranging from 10 to 30 vol%. The effect of different surface treatments and moisture exposure on the yield behavior is studied. It was found that in all types of formulation the yield stress decreased after moisture exposure and that the yield stress was dependent on the surface treatment both before and after moisture exposure. No treatment and treatment of glass reinforcements with aminopropyltrimethoxysilane coupling agent resulted in relatively higher yield stress. Close observation of microstructure by transmission OM showed that the degree of debonding in the specimens for compression tests was quite dependent on the surface treatment after moisture exposure. The decrease in cohesive strength of the neat specimens were observed after moisture exposure. © 2003 Elsevier Science Ltd. All rights reserved.","author":[{"dropping-particle":"","family":"Kawaguchi","given":"Takafumi","non-dropping-particle":"","parse-names":false,"suffix":""},{"dropping-particle":"","family":"Pearson","given":"Raymond A.","non-dropping-particle":"","parse-names":false,"suffix":""}],"container-title":"Polymer","id":"ITEM-1","issue":"15","issued":{"date-parts":[["2003"]]},"page":"4229-4238","title":"The effect of particle-matrix adhesion on the mechanical behavior of glass filled epoxies: Part 1. A study on yield behavior and cohesive strength","type":"article-journal","volume":"44"},"uris":["http://www.mendeley.com/documents/?uuid=a4b42f1d-c960-432c-a276-d7919a9e4f75"]}],"mendeley":{"formattedCitation":"[81]","plainTextFormattedCitation":"[81]","previouslyFormattedCitation":"[81]"},"properties":{"noteIndex":0},"schema":"https://github.com/citation-style-language/schema/raw/master/csl-citation.json"}</w:instrText>
      </w:r>
      <w:r>
        <w:fldChar w:fldCharType="separate"/>
      </w:r>
      <w:r w:rsidRPr="00D14EF2">
        <w:rPr>
          <w:noProof/>
        </w:rPr>
        <w:t>[81]</w:t>
      </w:r>
      <w:r>
        <w:fldChar w:fldCharType="end"/>
      </w:r>
      <w:r>
        <w:t xml:space="preserve"> are used to recover the absorption parameters by one-dimensional hindered diffusion model. In order to </w:t>
      </w:r>
      <w:r w:rsidR="0084615F">
        <w:t>additional</w:t>
      </w:r>
      <w:r>
        <w:t xml:space="preserve"> correlations between nano-filler content and moisture absorption, I.30E nanoclay/EPON 862 epoxy</w:t>
      </w:r>
      <w:r w:rsidR="00312CCD">
        <w:t xml:space="preserve"> </w:t>
      </w:r>
      <w:r>
        <w:t>(DGEBF) composites with different clay loading (0.5, 1, 2, 3</w:t>
      </w:r>
      <w:r w:rsidR="00977EA2">
        <w:t>,</w:t>
      </w:r>
      <w:r>
        <w:t xml:space="preserve"> and 5 wt.%) are manufactured and immersed in a water bath for a year. It is significant to note that, although three-dimensional hindered diffusion model is one of the most comprehensive diffusion model, one-dimensional hindered diffusion model is used to recover the absorption behavior because (</w:t>
      </w:r>
      <w:proofErr w:type="spellStart"/>
      <w:r>
        <w:t>i</w:t>
      </w:r>
      <w:proofErr w:type="spellEnd"/>
      <w:r>
        <w:t>) the samples are extremely thin compared to their planar sizes and (ii) samples having different planar sizes are needed to fully utilize 3D-HDM.</w:t>
      </w:r>
    </w:p>
    <w:p w14:paraId="79E90715" w14:textId="1A73BF50" w:rsidR="00D350C2" w:rsidRDefault="00192013" w:rsidP="00BB2C1B">
      <w:r>
        <w:t>Furthermore,</w:t>
      </w:r>
      <w:r w:rsidRPr="00FD4EB5">
        <w:t xml:space="preserve"> </w:t>
      </w:r>
      <w:r>
        <w:t>fully saturated micro hollow glass sphere/EPON 862 composite layer has been formed on top of neat EPON 862 epoxy to investigate the effect of composite layer on overall absorption kinetics. Fully saturated glass sphere/epoxy composite layer thicknesses are chosen as 31%, 57%</w:t>
      </w:r>
      <w:r w:rsidR="00977EA2">
        <w:t>,</w:t>
      </w:r>
      <w:r>
        <w:t xml:space="preserve"> and 100% of the overall composite thickness. Absorption parameters of the fully saturated glass sphere/epoxy layer ha</w:t>
      </w:r>
      <w:r w:rsidR="0084615F">
        <w:t>ve</w:t>
      </w:r>
      <w:r>
        <w:t xml:space="preserve"> been </w:t>
      </w:r>
      <w:r>
        <w:lastRenderedPageBreak/>
        <w:t>recovered by multilayer hindered diffusion model to construct concentration profiles. The effects of composite layer formation on moisture absorption kinetics are investigated by comparing concentration profiles of samples with different layer thicknesses.</w:t>
      </w:r>
    </w:p>
    <w:p w14:paraId="0C40E1FC" w14:textId="77777777" w:rsidR="00192013" w:rsidRDefault="00192013" w:rsidP="00BB2C1B">
      <w:pPr>
        <w:pStyle w:val="Heading2"/>
      </w:pPr>
      <w:bookmarkStart w:id="103" w:name="_Toc449527244"/>
      <w:bookmarkStart w:id="104" w:name="_Toc531943758"/>
      <w:r>
        <w:t>3.1. Effect of Different Filler Content in Epoxy</w:t>
      </w:r>
      <w:bookmarkEnd w:id="103"/>
      <w:bookmarkEnd w:id="104"/>
    </w:p>
    <w:p w14:paraId="302A2663" w14:textId="77777777" w:rsidR="00192013" w:rsidRDefault="00192013" w:rsidP="00B63058">
      <w:pPr>
        <w:pStyle w:val="Heading3"/>
        <w:numPr>
          <w:ilvl w:val="0"/>
          <w:numId w:val="2"/>
        </w:numPr>
      </w:pPr>
      <w:bookmarkStart w:id="105" w:name="_Toc449527245"/>
      <w:bookmarkStart w:id="106" w:name="_Toc531943759"/>
      <w:r w:rsidRPr="005A3E52">
        <w:t>Materials and Sample Preparation</w:t>
      </w:r>
      <w:r>
        <w:t xml:space="preserve"> of I.30E Nanoclay/DGEBA Epoxy</w:t>
      </w:r>
      <w:bookmarkEnd w:id="105"/>
      <w:bookmarkEnd w:id="106"/>
    </w:p>
    <w:p w14:paraId="10E9F1C8" w14:textId="657F2F09" w:rsidR="00D350C2" w:rsidRPr="00BB2C1B" w:rsidRDefault="00192013" w:rsidP="00BB2C1B">
      <w:pPr>
        <w:rPr>
          <w:szCs w:val="24"/>
        </w:rPr>
      </w:pPr>
      <w:r w:rsidRPr="005A3E52">
        <w:rPr>
          <w:szCs w:val="24"/>
        </w:rPr>
        <w:t>In a rec</w:t>
      </w:r>
      <w:r>
        <w:rPr>
          <w:szCs w:val="24"/>
        </w:rPr>
        <w:t>ent study by Al-</w:t>
      </w:r>
      <w:proofErr w:type="spellStart"/>
      <w:r>
        <w:rPr>
          <w:szCs w:val="24"/>
        </w:rPr>
        <w:t>Qadhi</w:t>
      </w:r>
      <w:proofErr w:type="spellEnd"/>
      <w:r>
        <w:rPr>
          <w:szCs w:val="24"/>
        </w:rPr>
        <w:t xml:space="preserve"> et al. </w:t>
      </w:r>
      <w:r>
        <w:fldChar w:fldCharType="begin" w:fldLock="1"/>
      </w:r>
      <w:r w:rsidR="00B274D5">
        <w:instrText>ADDIN CSL_CITATION {"citationItems":[{"id":"ITEM-1","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Science","id":"ITEM-1","issue":"10","issued":{"date-parts":[["2013"]]},"page":"3798-3804","title":"Mechanical properties and water uptake of epoxy-clay nanocomposites containing different clay loadings","type":"article-journal","volume":"48"},"uris":["http://www.mendeley.com/documents/?uuid=6f2c854f-86b7-4990-a430-a346c84517ac"]}],"mendeley":{"formattedCitation":"[80]","plainTextFormattedCitation":"[80]","previouslyFormattedCitation":"[80]"},"properties":{"noteIndex":0},"schema":"https://github.com/citation-style-language/schema/raw/master/csl-citation.json"}</w:instrText>
      </w:r>
      <w:r>
        <w:fldChar w:fldCharType="separate"/>
      </w:r>
      <w:r w:rsidRPr="00D14EF2">
        <w:rPr>
          <w:noProof/>
        </w:rPr>
        <w:t>[80]</w:t>
      </w:r>
      <w:r>
        <w:fldChar w:fldCharType="end"/>
      </w:r>
      <w:r>
        <w:t xml:space="preserve">, </w:t>
      </w:r>
      <w:r w:rsidRPr="005A3E52">
        <w:rPr>
          <w:szCs w:val="24"/>
        </w:rPr>
        <w:t>moisture absorption experiment</w:t>
      </w:r>
      <w:r>
        <w:rPr>
          <w:szCs w:val="24"/>
        </w:rPr>
        <w:t>s</w:t>
      </w:r>
      <w:r w:rsidRPr="005A3E52">
        <w:rPr>
          <w:szCs w:val="24"/>
        </w:rPr>
        <w:t xml:space="preserve"> of 1, 2</w:t>
      </w:r>
      <w:r w:rsidR="00E51FC0">
        <w:rPr>
          <w:szCs w:val="24"/>
        </w:rPr>
        <w:t>,</w:t>
      </w:r>
      <w:r w:rsidRPr="005A3E52">
        <w:rPr>
          <w:szCs w:val="24"/>
        </w:rPr>
        <w:t xml:space="preserve"> and 5 </w:t>
      </w:r>
      <w:r>
        <w:rPr>
          <w:szCs w:val="24"/>
        </w:rPr>
        <w:t>wt.%</w:t>
      </w:r>
      <w:r w:rsidRPr="005A3E52">
        <w:rPr>
          <w:szCs w:val="24"/>
        </w:rPr>
        <w:t xml:space="preserve"> </w:t>
      </w:r>
      <w:r>
        <w:rPr>
          <w:szCs w:val="24"/>
        </w:rPr>
        <w:t>(0.67, 1.34</w:t>
      </w:r>
      <w:r w:rsidR="00E51FC0">
        <w:rPr>
          <w:szCs w:val="24"/>
        </w:rPr>
        <w:t>,</w:t>
      </w:r>
      <w:r>
        <w:rPr>
          <w:szCs w:val="24"/>
        </w:rPr>
        <w:t xml:space="preserve"> and 3.39 </w:t>
      </w:r>
      <w:proofErr w:type="spellStart"/>
      <w:r>
        <w:rPr>
          <w:szCs w:val="24"/>
        </w:rPr>
        <w:t>vol</w:t>
      </w:r>
      <w:proofErr w:type="spellEnd"/>
      <w:r>
        <w:rPr>
          <w:szCs w:val="24"/>
        </w:rPr>
        <w:t xml:space="preserve">%) </w:t>
      </w:r>
      <w:r w:rsidRPr="005A3E52">
        <w:rPr>
          <w:szCs w:val="24"/>
        </w:rPr>
        <w:t>I.30E nan</w:t>
      </w:r>
      <w:r>
        <w:rPr>
          <w:szCs w:val="24"/>
        </w:rPr>
        <w:t>oclay-DGEBA epoxy nanocomposite</w:t>
      </w:r>
      <w:r w:rsidRPr="005A3E52">
        <w:rPr>
          <w:szCs w:val="24"/>
        </w:rPr>
        <w:t xml:space="preserve"> </w:t>
      </w:r>
      <w:r>
        <w:rPr>
          <w:szCs w:val="24"/>
        </w:rPr>
        <w:t>were</w:t>
      </w:r>
      <w:r w:rsidRPr="005A3E52">
        <w:rPr>
          <w:szCs w:val="24"/>
        </w:rPr>
        <w:t xml:space="preserve"> conducted.</w:t>
      </w:r>
      <w:r>
        <w:rPr>
          <w:szCs w:val="24"/>
        </w:rPr>
        <w:t xml:space="preserve"> Samples containing different clay loadings were prepared by manually mixing of DGEBA epoxy with the desired amount of nanoclay for 5 min to achieve good dispersion. For further dispersion of the nanoclay in the epoxy, a high sheer mixing of 6000 rpm was used for 60 minutes. A cold water bath kept the temperature of the mixture between 35 and 45</w:t>
      </w:r>
      <w:r w:rsidR="0086414A" w:rsidRPr="0086414A">
        <w:rPr>
          <w:rFonts w:ascii="Cambria Math" w:hAnsi="Cambria Math" w:cs="Cambria Math"/>
          <w:szCs w:val="24"/>
        </w:rPr>
        <w:t>℃</w:t>
      </w:r>
      <w:r w:rsidR="0086414A" w:rsidRPr="0086414A">
        <w:rPr>
          <w:szCs w:val="24"/>
        </w:rPr>
        <w:t xml:space="preserve"> (95-113</w:t>
      </w:r>
      <w:r w:rsidR="0086414A" w:rsidRPr="0086414A">
        <w:rPr>
          <w:rFonts w:ascii="Cambria Math" w:hAnsi="Cambria Math" w:cs="Cambria Math"/>
          <w:szCs w:val="24"/>
        </w:rPr>
        <w:t>℉</w:t>
      </w:r>
      <w:r w:rsidR="0086414A" w:rsidRPr="0086414A">
        <w:rPr>
          <w:szCs w:val="24"/>
        </w:rPr>
        <w:t>)</w:t>
      </w:r>
      <w:r>
        <w:rPr>
          <w:szCs w:val="24"/>
        </w:rPr>
        <w:t>. Subsequently, the required amount of hardener was added and mixed for 5 min. The resulting mixture was then poured onto an aluminum mold, pre-cured at 100</w:t>
      </w:r>
      <w:r w:rsidR="0086414A" w:rsidRPr="000B07A7">
        <w:rPr>
          <w:rFonts w:ascii="Cambria Math" w:hAnsi="Cambria Math" w:cs="Cambria Math"/>
          <w:szCs w:val="24"/>
        </w:rPr>
        <w:t>℃</w:t>
      </w:r>
      <w:r w:rsidR="0086414A" w:rsidRPr="0086414A">
        <w:rPr>
          <w:szCs w:val="24"/>
        </w:rPr>
        <w:t xml:space="preserve"> (212</w:t>
      </w:r>
      <w:r w:rsidR="0086414A" w:rsidRPr="0086414A">
        <w:rPr>
          <w:rFonts w:ascii="Cambria Math" w:hAnsi="Cambria Math" w:cs="Cambria Math"/>
          <w:szCs w:val="24"/>
        </w:rPr>
        <w:t>℉</w:t>
      </w:r>
      <w:r w:rsidR="0086414A" w:rsidRPr="0086414A">
        <w:rPr>
          <w:szCs w:val="24"/>
        </w:rPr>
        <w:t xml:space="preserve">) </w:t>
      </w:r>
      <w:r>
        <w:rPr>
          <w:szCs w:val="24"/>
        </w:rPr>
        <w:t>for one hour and post-cured at 170</w:t>
      </w:r>
      <w:r w:rsidR="0086414A" w:rsidRPr="0086414A">
        <w:rPr>
          <w:rFonts w:ascii="Cambria Math" w:hAnsi="Cambria Math" w:cs="Cambria Math"/>
          <w:szCs w:val="24"/>
        </w:rPr>
        <w:t>℃</w:t>
      </w:r>
      <w:r w:rsidR="0086414A" w:rsidRPr="0086414A">
        <w:rPr>
          <w:szCs w:val="24"/>
        </w:rPr>
        <w:t xml:space="preserve"> (338</w:t>
      </w:r>
      <w:r w:rsidR="0086414A" w:rsidRPr="0086414A">
        <w:rPr>
          <w:rFonts w:ascii="Cambria Math" w:hAnsi="Cambria Math" w:cs="Cambria Math"/>
          <w:szCs w:val="24"/>
        </w:rPr>
        <w:t>℉</w:t>
      </w:r>
      <w:r w:rsidR="0086414A" w:rsidRPr="0086414A">
        <w:rPr>
          <w:szCs w:val="24"/>
        </w:rPr>
        <w:t xml:space="preserve">) </w:t>
      </w:r>
      <w:r>
        <w:rPr>
          <w:szCs w:val="24"/>
        </w:rPr>
        <w:t>for another hour. The obtained 2.5-mm thick nanoclay/epoxy was cut into 76.2</w:t>
      </w:r>
      <w:r w:rsidR="00072ACC">
        <w:rPr>
          <w:szCs w:val="24"/>
        </w:rPr>
        <w:t xml:space="preserve"> × </w:t>
      </w:r>
      <w:r>
        <w:rPr>
          <w:szCs w:val="24"/>
        </w:rPr>
        <w:t>25.4 mm panels for the moisture absorption experiments and immersed in tap water for 299 days.</w:t>
      </w:r>
    </w:p>
    <w:p w14:paraId="57CA8B7C" w14:textId="77777777" w:rsidR="00192013" w:rsidRDefault="00192013" w:rsidP="00B63058">
      <w:pPr>
        <w:pStyle w:val="Heading3"/>
      </w:pPr>
      <w:bookmarkStart w:id="107" w:name="_Toc449527246"/>
      <w:bookmarkStart w:id="108" w:name="_Toc531943760"/>
      <w:r>
        <w:t>Experimental Results of I.30E Nanoclay/DGEBA Epoxy and Discussion</w:t>
      </w:r>
      <w:bookmarkEnd w:id="107"/>
      <w:bookmarkEnd w:id="108"/>
    </w:p>
    <w:p w14:paraId="1055EAD1" w14:textId="661167B5" w:rsidR="00192013" w:rsidRDefault="00192013" w:rsidP="00F77E87">
      <w:r>
        <w:rPr>
          <w:szCs w:val="24"/>
        </w:rPr>
        <w:t>The gravimetric data obtained from the experimental work of Al-</w:t>
      </w:r>
      <w:proofErr w:type="spellStart"/>
      <w:r>
        <w:rPr>
          <w:szCs w:val="24"/>
        </w:rPr>
        <w:t>Qadhi</w:t>
      </w:r>
      <w:proofErr w:type="spellEnd"/>
      <w:r>
        <w:rPr>
          <w:szCs w:val="24"/>
        </w:rPr>
        <w:t xml:space="preserve"> et al. </w:t>
      </w:r>
      <w:r>
        <w:fldChar w:fldCharType="begin" w:fldLock="1"/>
      </w:r>
      <w:r w:rsidR="00B274D5">
        <w:instrText>ADDIN CSL_CITATION {"citationItems":[{"id":"ITEM-1","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Science","id":"ITEM-1","issue":"10","issued":{"date-parts":[["2013"]]},"page":"3798-3804","title":"Mechanical properties and water uptake of epoxy-clay nanocomposites containing different clay loadings","type":"article-journal","volume":"48"},"uris":["http://www.mendeley.com/documents/?uuid=6f2c854f-86b7-4990-a430-a346c84517ac"]}],"mendeley":{"formattedCitation":"[80]","plainTextFormattedCitation":"[80]","previouslyFormattedCitation":"[80]"},"properties":{"noteIndex":0},"schema":"https://github.com/citation-style-language/schema/raw/master/csl-citation.json"}</w:instrText>
      </w:r>
      <w:r>
        <w:fldChar w:fldCharType="separate"/>
      </w:r>
      <w:r w:rsidRPr="00D14EF2">
        <w:rPr>
          <w:noProof/>
        </w:rPr>
        <w:t>[80]</w:t>
      </w:r>
      <w:r>
        <w:fldChar w:fldCharType="end"/>
      </w:r>
      <w:r>
        <w:rPr>
          <w:szCs w:val="24"/>
        </w:rPr>
        <w:t xml:space="preserve"> is used to determine the absorption parameters of one-dimensional hindered diffusion model. The recovered absorption parameters </w:t>
      </w:r>
      <w:r w:rsidRPr="00D87D03">
        <w:rPr>
          <w:szCs w:val="24"/>
        </w:rPr>
        <w:t>(</w:t>
      </w:r>
      <m:oMath>
        <m:r>
          <w:rPr>
            <w:rFonts w:ascii="Cambria Math" w:hAnsi="Cambria Math"/>
            <w:szCs w:val="24"/>
          </w:rPr>
          <m:t xml:space="preserve">D, </m:t>
        </m:r>
        <m:r>
          <w:rPr>
            <w:rFonts w:ascii="Cambria Math" w:hAnsi="Cambria Math"/>
          </w:rPr>
          <m:t>γ,</m:t>
        </m:r>
        <m:r>
          <m:rPr>
            <m:sty m:val="p"/>
          </m:rPr>
          <w:rPr>
            <w:rFonts w:ascii="Cambria Math" w:hAnsi="Cambria Math"/>
          </w:rPr>
          <m:t xml:space="preserve"> </m:t>
        </m:r>
        <m:r>
          <w:rPr>
            <w:rFonts w:ascii="Cambria Math" w:hAnsi="Cambria Math"/>
          </w:rPr>
          <m:t>β,  and</m:t>
        </m:r>
      </m:oMath>
      <w:r w:rsidRPr="00D87D03">
        <w:t xml:space="preserve">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Pr="00D87D03">
        <w:t>)</w:t>
      </w:r>
      <w:r>
        <w:t xml:space="preserve"> are given in </w:t>
      </w:r>
      <w:r>
        <w:fldChar w:fldCharType="begin"/>
      </w:r>
      <w:r>
        <w:instrText xml:space="preserve"> REF _Ref522112899 \h </w:instrText>
      </w:r>
      <w:r w:rsidR="00F77E87">
        <w:instrText xml:space="preserve"> \* MERGEFORMAT </w:instrText>
      </w:r>
      <w:r>
        <w:fldChar w:fldCharType="separate"/>
      </w:r>
      <w:r w:rsidR="006D52C2">
        <w:t xml:space="preserve">Table </w:t>
      </w:r>
      <w:r w:rsidR="006D52C2">
        <w:rPr>
          <w:noProof/>
        </w:rPr>
        <w:t>3</w:t>
      </w:r>
      <w:r>
        <w:fldChar w:fldCharType="end"/>
      </w:r>
      <w:r>
        <w:t xml:space="preserve">. Comparison of the absorption parameters with respect to their nanoclay content may outline the change in moisture uptake kinetics. In </w:t>
      </w:r>
      <w:r>
        <w:fldChar w:fldCharType="begin"/>
      </w:r>
      <w:r>
        <w:instrText xml:space="preserve"> REF _Ref522112899 \h </w:instrText>
      </w:r>
      <w:r w:rsidR="00F77E87">
        <w:instrText xml:space="preserve"> \* MERGEFORMAT </w:instrText>
      </w:r>
      <w:r>
        <w:fldChar w:fldCharType="separate"/>
      </w:r>
      <w:r w:rsidR="006D52C2">
        <w:t xml:space="preserve">Table </w:t>
      </w:r>
      <w:r w:rsidR="006D52C2">
        <w:rPr>
          <w:noProof/>
        </w:rPr>
        <w:t>3</w:t>
      </w:r>
      <w:r>
        <w:fldChar w:fldCharType="end"/>
      </w:r>
      <w:r>
        <w:t xml:space="preserve">, </w:t>
      </w:r>
      <w:r>
        <w:rPr>
          <w:szCs w:val="24"/>
        </w:rPr>
        <w:t xml:space="preserve">a decreasing trend on the diffusion coefficients by increasing amount of nanoclay content is observed. A decrease </w:t>
      </w:r>
      <w:r>
        <w:rPr>
          <w:szCs w:val="24"/>
        </w:rPr>
        <w:lastRenderedPageBreak/>
        <w:t>in total diffusivity is expected as nanoclay content increases</w:t>
      </w:r>
      <w:r w:rsidDel="00097085">
        <w:rPr>
          <w:szCs w:val="24"/>
        </w:rPr>
        <w:t xml:space="preserve"> </w:t>
      </w:r>
      <w:r>
        <w:rPr>
          <w:szCs w:val="24"/>
        </w:rPr>
        <w:t xml:space="preserve">since moisture molecules have to transport through a more tortuous path around the nanoclay. </w:t>
      </w:r>
      <w:r>
        <w:t xml:space="preserve">The diffusion coefficient of a nanoclay can be taken as zero so that the diffusion coefficient of the matrix is expected to decrease with increasing nanoclay content. </w:t>
      </w:r>
      <w:r>
        <w:rPr>
          <w:szCs w:val="24"/>
        </w:rPr>
        <w:t>More interestingly, redu</w:t>
      </w:r>
      <w:r w:rsidR="0084615F">
        <w:rPr>
          <w:szCs w:val="24"/>
        </w:rPr>
        <w:t>ction in diffusivity values was</w:t>
      </w:r>
      <w:r>
        <w:rPr>
          <w:szCs w:val="24"/>
        </w:rPr>
        <w:t xml:space="preserve"> observed to follow a trend very similar to the rule of mixture. </w:t>
      </w:r>
      <w:r>
        <w:t>Coefficient of determ</w:t>
      </w:r>
      <w:r w:rsidR="00D350C2">
        <w:t>ination of a linear trendline between the</w:t>
      </w:r>
      <w:r>
        <w:t xml:space="preserve"> diffusivities</w:t>
      </w:r>
      <w:r w:rsidR="00D350C2">
        <w:t xml:space="preserve"> and nanoclay loading</w:t>
      </w:r>
      <w:r>
        <w:t xml:space="preserve"> is calculated as 0.90. </w:t>
      </w:r>
    </w:p>
    <w:p w14:paraId="4B1E1470" w14:textId="77777777" w:rsidR="00192013" w:rsidRDefault="00192013" w:rsidP="00192013">
      <w:pPr>
        <w:pStyle w:val="Caption"/>
      </w:pPr>
      <w:bookmarkStart w:id="109" w:name="_Ref522112899"/>
      <w:bookmarkStart w:id="110" w:name="_Toc530997318"/>
      <w:r>
        <w:t xml:space="preserve">Table </w:t>
      </w:r>
      <w:r>
        <w:rPr>
          <w:noProof/>
        </w:rPr>
        <w:fldChar w:fldCharType="begin"/>
      </w:r>
      <w:r>
        <w:rPr>
          <w:noProof/>
        </w:rPr>
        <w:instrText xml:space="preserve"> SEQ Table \* ARABIC </w:instrText>
      </w:r>
      <w:r>
        <w:rPr>
          <w:noProof/>
        </w:rPr>
        <w:fldChar w:fldCharType="separate"/>
      </w:r>
      <w:r w:rsidR="006D52C2">
        <w:rPr>
          <w:noProof/>
        </w:rPr>
        <w:t>3</w:t>
      </w:r>
      <w:r>
        <w:rPr>
          <w:noProof/>
        </w:rPr>
        <w:fldChar w:fldCharType="end"/>
      </w:r>
      <w:bookmarkEnd w:id="109"/>
      <w:r>
        <w:t xml:space="preserve">. </w:t>
      </w:r>
      <w:r w:rsidRPr="005A3E52">
        <w:t xml:space="preserve">Moisture absorption parameters </w:t>
      </w:r>
      <w:r>
        <w:t>of DGEBA epoxy with different clay loading.</w:t>
      </w:r>
      <w:bookmarkEnd w:id="110"/>
    </w:p>
    <w:tbl>
      <w:tblPr>
        <w:tblStyle w:val="PlainTable21"/>
        <w:tblW w:w="8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05"/>
        <w:gridCol w:w="1350"/>
        <w:gridCol w:w="1350"/>
        <w:gridCol w:w="1350"/>
        <w:gridCol w:w="810"/>
        <w:gridCol w:w="990"/>
        <w:gridCol w:w="931"/>
      </w:tblGrid>
      <w:tr w:rsidR="00192013" w:rsidRPr="005A3E52" w14:paraId="2DAD83F7" w14:textId="77777777" w:rsidTr="00BB2C1B">
        <w:trPr>
          <w:cnfStyle w:val="100000000000" w:firstRow="1" w:lastRow="0" w:firstColumn="0" w:lastColumn="0" w:oddVBand="0" w:evenVBand="0" w:oddHBand="0" w:evenHBand="0" w:firstRowFirstColumn="0" w:firstRowLastColumn="0" w:lastRowFirstColumn="0" w:lastRowLastColumn="0"/>
          <w:trHeight w:val="350"/>
          <w:jc w:val="center"/>
        </w:trPr>
        <w:tc>
          <w:tcPr>
            <w:tcW w:w="1705" w:type="dxa"/>
          </w:tcPr>
          <w:p w14:paraId="5C02F596" w14:textId="77777777" w:rsidR="00192013" w:rsidRPr="00C75422" w:rsidRDefault="00192013" w:rsidP="00A440CD">
            <w:pPr>
              <w:pStyle w:val="Paragraph"/>
              <w:spacing w:before="120" w:after="120"/>
              <w:ind w:firstLine="0"/>
              <w:jc w:val="center"/>
              <w:rPr>
                <w:sz w:val="24"/>
                <w:szCs w:val="24"/>
              </w:rPr>
            </w:pPr>
            <w:r w:rsidRPr="00C75422">
              <w:rPr>
                <w:sz w:val="24"/>
                <w:szCs w:val="24"/>
              </w:rPr>
              <w:t>Material Systems</w:t>
            </w:r>
          </w:p>
        </w:tc>
        <w:tc>
          <w:tcPr>
            <w:tcW w:w="1350" w:type="dxa"/>
          </w:tcPr>
          <w:p w14:paraId="789460B8" w14:textId="77777777" w:rsidR="00192013" w:rsidRPr="00C75422" w:rsidRDefault="007B3686" w:rsidP="00A440CD">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192013" w:rsidRPr="00C75422">
              <w:rPr>
                <w:sz w:val="24"/>
                <w:szCs w:val="24"/>
              </w:rPr>
              <w:t xml:space="preserve"> (mm</w:t>
            </w:r>
            <w:r w:rsidR="00192013" w:rsidRPr="00C75422">
              <w:rPr>
                <w:sz w:val="24"/>
                <w:szCs w:val="24"/>
                <w:vertAlign w:val="superscript"/>
              </w:rPr>
              <w:t>2</w:t>
            </w:r>
            <w:r w:rsidR="00192013" w:rsidRPr="00C75422">
              <w:rPr>
                <w:sz w:val="24"/>
                <w:szCs w:val="24"/>
              </w:rPr>
              <w:t>/h)</w:t>
            </w:r>
          </w:p>
        </w:tc>
        <w:tc>
          <w:tcPr>
            <w:tcW w:w="1350" w:type="dxa"/>
          </w:tcPr>
          <w:p w14:paraId="6F4F5BE4"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350" w:type="dxa"/>
          </w:tcPr>
          <w:p w14:paraId="52852D24"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5A21ACE5" w14:textId="77777777" w:rsidR="00192013" w:rsidRPr="00C75422" w:rsidRDefault="00192013" w:rsidP="00A440CD">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58F2BFD5" w14:textId="77777777" w:rsidR="00192013" w:rsidRPr="00C75422" w:rsidRDefault="007B3686" w:rsidP="00A440CD">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192013" w:rsidRPr="00C75422">
              <w:rPr>
                <w:sz w:val="24"/>
                <w:szCs w:val="24"/>
              </w:rPr>
              <w:t xml:space="preserve"> (</w:t>
            </w:r>
            <w:proofErr w:type="gramStart"/>
            <w:r w:rsidR="00192013">
              <w:rPr>
                <w:sz w:val="24"/>
                <w:szCs w:val="24"/>
              </w:rPr>
              <w:t>wt</w:t>
            </w:r>
            <w:proofErr w:type="gramEnd"/>
            <w:r w:rsidR="00192013">
              <w:rPr>
                <w:sz w:val="24"/>
                <w:szCs w:val="24"/>
              </w:rPr>
              <w:t>.%</w:t>
            </w:r>
            <w:r w:rsidR="00192013" w:rsidRPr="00C75422">
              <w:rPr>
                <w:sz w:val="24"/>
                <w:szCs w:val="24"/>
              </w:rPr>
              <w:t>)</w:t>
            </w:r>
          </w:p>
        </w:tc>
        <w:tc>
          <w:tcPr>
            <w:tcW w:w="931" w:type="dxa"/>
          </w:tcPr>
          <w:p w14:paraId="73B624C5" w14:textId="6E9ED910" w:rsidR="00192013" w:rsidRPr="00CE7F96" w:rsidRDefault="00192013" w:rsidP="00BB2C1B">
            <w:pPr>
              <w:pStyle w:val="Paragraph"/>
              <w:spacing w:before="120" w:after="120"/>
              <w:ind w:hanging="18"/>
              <w:jc w:val="center"/>
              <w:rPr>
                <w:sz w:val="24"/>
                <w:szCs w:val="24"/>
              </w:rPr>
            </w:pPr>
            <w:r w:rsidRPr="00AD3FCB">
              <w:rPr>
                <w:sz w:val="24"/>
                <w:szCs w:val="24"/>
              </w:rPr>
              <w:t>RMS</w:t>
            </w:r>
            <w:r w:rsidR="00BB2C1B">
              <w:rPr>
                <w:sz w:val="24"/>
                <w:szCs w:val="24"/>
              </w:rPr>
              <w:t>E</w:t>
            </w:r>
            <w:r>
              <w:rPr>
                <w:sz w:val="24"/>
                <w:szCs w:val="24"/>
              </w:rPr>
              <w:t xml:space="preserve"> (%)</w:t>
            </w:r>
          </w:p>
        </w:tc>
      </w:tr>
      <w:tr w:rsidR="00192013" w:rsidRPr="005A3E52" w14:paraId="51A6FFF6" w14:textId="77777777" w:rsidTr="00BB2C1B">
        <w:trPr>
          <w:trHeight w:val="350"/>
          <w:jc w:val="center"/>
        </w:trPr>
        <w:tc>
          <w:tcPr>
            <w:tcW w:w="1705" w:type="dxa"/>
          </w:tcPr>
          <w:p w14:paraId="74AC71DF" w14:textId="1A60640E" w:rsidR="00192013" w:rsidRPr="00C75422" w:rsidRDefault="00192013" w:rsidP="00BB2C1B">
            <w:pPr>
              <w:pStyle w:val="Paragraph"/>
              <w:spacing w:before="120" w:after="120"/>
              <w:ind w:firstLine="0"/>
              <w:jc w:val="center"/>
              <w:rPr>
                <w:b/>
                <w:sz w:val="24"/>
                <w:szCs w:val="24"/>
              </w:rPr>
            </w:pPr>
            <w:r w:rsidRPr="00C75422">
              <w:rPr>
                <w:b/>
                <w:sz w:val="24"/>
                <w:szCs w:val="24"/>
              </w:rPr>
              <w:t xml:space="preserve">Pure DGEBA </w:t>
            </w:r>
          </w:p>
        </w:tc>
        <w:tc>
          <w:tcPr>
            <w:tcW w:w="1350" w:type="dxa"/>
            <w:vAlign w:val="center"/>
          </w:tcPr>
          <w:p w14:paraId="16995B5F" w14:textId="300F9482" w:rsidR="00192013" w:rsidRPr="00CA6F36" w:rsidRDefault="00192013" w:rsidP="00A440CD">
            <w:pPr>
              <w:pStyle w:val="Paragraph"/>
              <w:spacing w:before="120" w:after="120"/>
              <w:ind w:firstLine="0"/>
              <w:jc w:val="center"/>
              <w:rPr>
                <w:sz w:val="24"/>
                <w:szCs w:val="24"/>
              </w:rPr>
            </w:pPr>
            <w:r w:rsidRPr="00CA6F36">
              <w:rPr>
                <w:sz w:val="24"/>
                <w:szCs w:val="24"/>
              </w:rPr>
              <w:t>7.55</w:t>
            </w:r>
            <w:r w:rsidR="003F56CD">
              <w:rPr>
                <w:sz w:val="24"/>
                <w:szCs w:val="24"/>
              </w:rPr>
              <w:t>×</w:t>
            </w:r>
            <w:r w:rsidRPr="00CA6F36">
              <w:rPr>
                <w:sz w:val="24"/>
                <w:szCs w:val="24"/>
              </w:rPr>
              <w:t>10</w:t>
            </w:r>
            <w:r w:rsidRPr="00CA6F36">
              <w:rPr>
                <w:sz w:val="24"/>
                <w:szCs w:val="24"/>
                <w:vertAlign w:val="superscript"/>
              </w:rPr>
              <w:t>-4</w:t>
            </w:r>
          </w:p>
        </w:tc>
        <w:tc>
          <w:tcPr>
            <w:tcW w:w="1350" w:type="dxa"/>
            <w:vAlign w:val="center"/>
          </w:tcPr>
          <w:p w14:paraId="1452F998" w14:textId="66A4441E" w:rsidR="00192013" w:rsidRPr="00CA6F36" w:rsidRDefault="00192013" w:rsidP="00A440CD">
            <w:pPr>
              <w:pStyle w:val="Paragraph"/>
              <w:spacing w:before="120" w:after="120"/>
              <w:ind w:firstLine="0"/>
              <w:jc w:val="center"/>
              <w:rPr>
                <w:sz w:val="24"/>
                <w:szCs w:val="24"/>
              </w:rPr>
            </w:pPr>
            <w:r w:rsidRPr="00CA6F36">
              <w:rPr>
                <w:sz w:val="24"/>
                <w:szCs w:val="24"/>
              </w:rPr>
              <w:t>1.22</w:t>
            </w:r>
            <w:r w:rsidR="003F56CD">
              <w:rPr>
                <w:sz w:val="24"/>
                <w:szCs w:val="24"/>
              </w:rPr>
              <w:t>×</w:t>
            </w:r>
            <w:r w:rsidRPr="00CA6F36">
              <w:rPr>
                <w:sz w:val="24"/>
                <w:szCs w:val="24"/>
              </w:rPr>
              <w:t>10</w:t>
            </w:r>
            <w:r w:rsidRPr="00CA6F36">
              <w:rPr>
                <w:sz w:val="24"/>
                <w:szCs w:val="24"/>
                <w:vertAlign w:val="superscript"/>
              </w:rPr>
              <w:t>-2</w:t>
            </w:r>
          </w:p>
        </w:tc>
        <w:tc>
          <w:tcPr>
            <w:tcW w:w="1350" w:type="dxa"/>
            <w:vAlign w:val="center"/>
          </w:tcPr>
          <w:p w14:paraId="4E3E0AE5" w14:textId="21F7A3AE" w:rsidR="00192013" w:rsidRPr="00CA6F36" w:rsidRDefault="00192013" w:rsidP="00A440CD">
            <w:pPr>
              <w:pStyle w:val="Paragraph"/>
              <w:spacing w:before="120" w:after="120"/>
              <w:ind w:firstLine="0"/>
              <w:jc w:val="center"/>
              <w:rPr>
                <w:sz w:val="24"/>
                <w:szCs w:val="24"/>
              </w:rPr>
            </w:pPr>
            <w:r w:rsidRPr="00CA6F36">
              <w:rPr>
                <w:sz w:val="24"/>
                <w:szCs w:val="24"/>
              </w:rPr>
              <w:t>2.51</w:t>
            </w:r>
            <w:r w:rsidR="003F56CD">
              <w:rPr>
                <w:sz w:val="24"/>
                <w:szCs w:val="24"/>
              </w:rPr>
              <w:t>×</w:t>
            </w:r>
            <w:r w:rsidRPr="00CA6F36">
              <w:rPr>
                <w:sz w:val="24"/>
                <w:szCs w:val="24"/>
              </w:rPr>
              <w:t>10</w:t>
            </w:r>
            <w:r w:rsidRPr="00CA6F36">
              <w:rPr>
                <w:sz w:val="24"/>
                <w:szCs w:val="24"/>
                <w:vertAlign w:val="superscript"/>
              </w:rPr>
              <w:t>-3</w:t>
            </w:r>
          </w:p>
        </w:tc>
        <w:tc>
          <w:tcPr>
            <w:tcW w:w="810" w:type="dxa"/>
            <w:vAlign w:val="center"/>
          </w:tcPr>
          <w:p w14:paraId="3D34C264" w14:textId="77777777" w:rsidR="00192013" w:rsidRPr="00210D99" w:rsidRDefault="00192013" w:rsidP="00A440CD">
            <w:pPr>
              <w:pStyle w:val="Paragraph"/>
              <w:spacing w:before="120" w:after="120"/>
              <w:ind w:firstLine="0"/>
              <w:jc w:val="center"/>
              <w:rPr>
                <w:sz w:val="24"/>
                <w:szCs w:val="24"/>
              </w:rPr>
            </w:pPr>
            <w:r w:rsidRPr="00210D99">
              <w:rPr>
                <w:sz w:val="24"/>
                <w:szCs w:val="24"/>
              </w:rPr>
              <w:t>0.205</w:t>
            </w:r>
          </w:p>
        </w:tc>
        <w:tc>
          <w:tcPr>
            <w:tcW w:w="990" w:type="dxa"/>
            <w:vAlign w:val="center"/>
          </w:tcPr>
          <w:p w14:paraId="2C124FF2" w14:textId="77777777" w:rsidR="00192013" w:rsidRPr="00CA6F36" w:rsidRDefault="00192013" w:rsidP="00A440CD">
            <w:pPr>
              <w:pStyle w:val="Paragraph"/>
              <w:spacing w:before="120" w:after="120"/>
              <w:ind w:firstLine="0"/>
              <w:jc w:val="center"/>
              <w:rPr>
                <w:sz w:val="24"/>
                <w:szCs w:val="24"/>
              </w:rPr>
            </w:pPr>
            <w:r w:rsidRPr="00CA6F36">
              <w:rPr>
                <w:sz w:val="24"/>
                <w:szCs w:val="24"/>
              </w:rPr>
              <w:t>2.18</w:t>
            </w:r>
          </w:p>
        </w:tc>
        <w:tc>
          <w:tcPr>
            <w:tcW w:w="931" w:type="dxa"/>
            <w:vAlign w:val="center"/>
          </w:tcPr>
          <w:p w14:paraId="5591B3AE" w14:textId="77777777" w:rsidR="00192013" w:rsidRPr="00CA6F36" w:rsidRDefault="00192013" w:rsidP="00A440CD">
            <w:pPr>
              <w:pStyle w:val="Paragraph"/>
              <w:spacing w:before="120" w:after="120"/>
              <w:ind w:firstLine="0"/>
              <w:jc w:val="center"/>
              <w:rPr>
                <w:sz w:val="24"/>
                <w:szCs w:val="24"/>
              </w:rPr>
            </w:pPr>
            <w:r w:rsidRPr="00CA6F36">
              <w:rPr>
                <w:sz w:val="24"/>
                <w:szCs w:val="24"/>
              </w:rPr>
              <w:t>0.40</w:t>
            </w:r>
          </w:p>
        </w:tc>
      </w:tr>
      <w:tr w:rsidR="00192013" w:rsidRPr="005A3E52" w14:paraId="332CF275" w14:textId="77777777" w:rsidTr="00BB2C1B">
        <w:trPr>
          <w:trHeight w:val="350"/>
          <w:jc w:val="center"/>
        </w:trPr>
        <w:tc>
          <w:tcPr>
            <w:tcW w:w="1705" w:type="dxa"/>
          </w:tcPr>
          <w:p w14:paraId="0EB673D6" w14:textId="7EEB305E" w:rsidR="00192013" w:rsidRPr="00C75422" w:rsidRDefault="00192013" w:rsidP="00BB2C1B">
            <w:pPr>
              <w:pStyle w:val="Paragraph"/>
              <w:spacing w:before="120" w:after="120"/>
              <w:ind w:firstLine="0"/>
              <w:jc w:val="center"/>
              <w:rPr>
                <w:b/>
                <w:sz w:val="24"/>
                <w:szCs w:val="24"/>
              </w:rPr>
            </w:pPr>
            <w:r w:rsidRPr="00C75422">
              <w:rPr>
                <w:b/>
                <w:sz w:val="24"/>
                <w:szCs w:val="24"/>
              </w:rPr>
              <w:t xml:space="preserve">1 </w:t>
            </w:r>
            <w:r>
              <w:rPr>
                <w:b/>
                <w:sz w:val="24"/>
                <w:szCs w:val="24"/>
              </w:rPr>
              <w:t>wt.%</w:t>
            </w:r>
            <w:r w:rsidRPr="00C75422">
              <w:rPr>
                <w:b/>
                <w:sz w:val="24"/>
                <w:szCs w:val="24"/>
              </w:rPr>
              <w:t xml:space="preserve"> I.30E-DGEBA </w:t>
            </w:r>
          </w:p>
        </w:tc>
        <w:tc>
          <w:tcPr>
            <w:tcW w:w="1350" w:type="dxa"/>
            <w:vAlign w:val="center"/>
          </w:tcPr>
          <w:p w14:paraId="088688B3" w14:textId="58E51263" w:rsidR="00192013" w:rsidRPr="007038F9" w:rsidRDefault="00192013" w:rsidP="00A440CD">
            <w:pPr>
              <w:pStyle w:val="Paragraph"/>
              <w:spacing w:before="120" w:after="120"/>
              <w:ind w:firstLine="0"/>
              <w:jc w:val="center"/>
              <w:rPr>
                <w:sz w:val="24"/>
                <w:szCs w:val="24"/>
              </w:rPr>
            </w:pPr>
            <w:r w:rsidRPr="007038F9">
              <w:rPr>
                <w:sz w:val="24"/>
                <w:szCs w:val="24"/>
              </w:rPr>
              <w:t>7.</w:t>
            </w:r>
            <w:r>
              <w:rPr>
                <w:sz w:val="24"/>
                <w:szCs w:val="24"/>
              </w:rPr>
              <w:t>37</w:t>
            </w:r>
            <w:r w:rsidR="003F56CD">
              <w:rPr>
                <w:sz w:val="24"/>
                <w:szCs w:val="24"/>
              </w:rPr>
              <w:t>×</w:t>
            </w:r>
            <w:r w:rsidRPr="007038F9">
              <w:rPr>
                <w:sz w:val="24"/>
                <w:szCs w:val="24"/>
              </w:rPr>
              <w:t>10</w:t>
            </w:r>
            <w:r w:rsidRPr="007038F9">
              <w:rPr>
                <w:sz w:val="24"/>
                <w:szCs w:val="24"/>
                <w:vertAlign w:val="superscript"/>
              </w:rPr>
              <w:t>-4</w:t>
            </w:r>
          </w:p>
        </w:tc>
        <w:tc>
          <w:tcPr>
            <w:tcW w:w="1350" w:type="dxa"/>
            <w:vAlign w:val="center"/>
          </w:tcPr>
          <w:p w14:paraId="2C36F818" w14:textId="6BAF1F18" w:rsidR="00192013" w:rsidRPr="007038F9" w:rsidRDefault="00192013" w:rsidP="00A440CD">
            <w:pPr>
              <w:pStyle w:val="Paragraph"/>
              <w:spacing w:before="120" w:after="120"/>
              <w:ind w:firstLine="0"/>
              <w:jc w:val="center"/>
              <w:rPr>
                <w:sz w:val="24"/>
                <w:szCs w:val="24"/>
              </w:rPr>
            </w:pPr>
            <w:r>
              <w:rPr>
                <w:sz w:val="24"/>
                <w:szCs w:val="24"/>
              </w:rPr>
              <w:t>5.62</w:t>
            </w:r>
            <w:r w:rsidR="003F56CD">
              <w:rPr>
                <w:sz w:val="24"/>
                <w:szCs w:val="24"/>
              </w:rPr>
              <w:t>×</w:t>
            </w:r>
            <w:r w:rsidRPr="007038F9">
              <w:rPr>
                <w:sz w:val="24"/>
                <w:szCs w:val="24"/>
              </w:rPr>
              <w:t>10</w:t>
            </w:r>
            <w:r w:rsidRPr="007038F9">
              <w:rPr>
                <w:sz w:val="24"/>
                <w:szCs w:val="24"/>
                <w:vertAlign w:val="superscript"/>
              </w:rPr>
              <w:t>-4</w:t>
            </w:r>
          </w:p>
        </w:tc>
        <w:tc>
          <w:tcPr>
            <w:tcW w:w="1350" w:type="dxa"/>
            <w:vAlign w:val="center"/>
          </w:tcPr>
          <w:p w14:paraId="53D88BFB" w14:textId="5EA558FE" w:rsidR="00192013" w:rsidRPr="007038F9" w:rsidRDefault="00192013" w:rsidP="00A440CD">
            <w:pPr>
              <w:pStyle w:val="Paragraph"/>
              <w:spacing w:before="120" w:after="120"/>
              <w:ind w:firstLine="0"/>
              <w:jc w:val="center"/>
              <w:rPr>
                <w:sz w:val="24"/>
                <w:szCs w:val="24"/>
              </w:rPr>
            </w:pPr>
            <w:r>
              <w:rPr>
                <w:sz w:val="24"/>
                <w:szCs w:val="24"/>
              </w:rPr>
              <w:t>9.70</w:t>
            </w:r>
            <w:r w:rsidR="003F56CD">
              <w:rPr>
                <w:sz w:val="24"/>
                <w:szCs w:val="24"/>
              </w:rPr>
              <w:t>×</w:t>
            </w:r>
            <w:r w:rsidRPr="007038F9">
              <w:rPr>
                <w:sz w:val="24"/>
                <w:szCs w:val="24"/>
              </w:rPr>
              <w:t>10</w:t>
            </w:r>
            <w:r w:rsidRPr="007038F9">
              <w:rPr>
                <w:sz w:val="24"/>
                <w:szCs w:val="24"/>
                <w:vertAlign w:val="superscript"/>
              </w:rPr>
              <w:t>-</w:t>
            </w:r>
            <w:r>
              <w:rPr>
                <w:sz w:val="24"/>
                <w:szCs w:val="24"/>
                <w:vertAlign w:val="superscript"/>
              </w:rPr>
              <w:t>5</w:t>
            </w:r>
          </w:p>
        </w:tc>
        <w:tc>
          <w:tcPr>
            <w:tcW w:w="810" w:type="dxa"/>
            <w:vAlign w:val="center"/>
          </w:tcPr>
          <w:p w14:paraId="357EFF2A" w14:textId="77777777" w:rsidR="00192013" w:rsidRPr="00210D99" w:rsidRDefault="00192013" w:rsidP="00A440CD">
            <w:pPr>
              <w:pStyle w:val="Paragraph"/>
              <w:spacing w:before="120" w:after="120"/>
              <w:ind w:firstLine="0"/>
              <w:jc w:val="center"/>
              <w:rPr>
                <w:sz w:val="24"/>
                <w:szCs w:val="24"/>
              </w:rPr>
            </w:pPr>
            <w:r w:rsidRPr="00210D99">
              <w:rPr>
                <w:sz w:val="24"/>
                <w:szCs w:val="24"/>
              </w:rPr>
              <w:t>0.173</w:t>
            </w:r>
          </w:p>
        </w:tc>
        <w:tc>
          <w:tcPr>
            <w:tcW w:w="990" w:type="dxa"/>
            <w:vAlign w:val="center"/>
          </w:tcPr>
          <w:p w14:paraId="640FC612" w14:textId="77777777" w:rsidR="00192013" w:rsidRPr="007038F9" w:rsidRDefault="00192013" w:rsidP="00A440CD">
            <w:pPr>
              <w:pStyle w:val="Paragraph"/>
              <w:spacing w:before="120" w:after="120"/>
              <w:ind w:firstLine="0"/>
              <w:jc w:val="center"/>
              <w:rPr>
                <w:sz w:val="24"/>
                <w:szCs w:val="24"/>
              </w:rPr>
            </w:pPr>
            <w:r w:rsidRPr="007038F9">
              <w:rPr>
                <w:sz w:val="24"/>
                <w:szCs w:val="24"/>
              </w:rPr>
              <w:t>2.05</w:t>
            </w:r>
          </w:p>
        </w:tc>
        <w:tc>
          <w:tcPr>
            <w:tcW w:w="931" w:type="dxa"/>
            <w:vAlign w:val="center"/>
          </w:tcPr>
          <w:p w14:paraId="4C2E9C3F" w14:textId="77777777" w:rsidR="00192013" w:rsidRPr="007038F9" w:rsidRDefault="00192013" w:rsidP="00A440CD">
            <w:pPr>
              <w:pStyle w:val="Paragraph"/>
              <w:spacing w:before="120" w:after="120"/>
              <w:ind w:firstLine="0"/>
              <w:jc w:val="center"/>
              <w:rPr>
                <w:sz w:val="24"/>
                <w:szCs w:val="24"/>
              </w:rPr>
            </w:pPr>
            <w:r>
              <w:rPr>
                <w:sz w:val="24"/>
                <w:szCs w:val="24"/>
              </w:rPr>
              <w:t>0.23</w:t>
            </w:r>
          </w:p>
        </w:tc>
      </w:tr>
      <w:tr w:rsidR="00192013" w:rsidRPr="005A3E52" w14:paraId="6D79B4EC" w14:textId="77777777" w:rsidTr="00BB2C1B">
        <w:trPr>
          <w:trHeight w:val="350"/>
          <w:jc w:val="center"/>
        </w:trPr>
        <w:tc>
          <w:tcPr>
            <w:tcW w:w="1705" w:type="dxa"/>
          </w:tcPr>
          <w:p w14:paraId="5E5E369D" w14:textId="1FAB8AB3" w:rsidR="00192013" w:rsidRPr="00C75422" w:rsidRDefault="00192013" w:rsidP="00BB2C1B">
            <w:pPr>
              <w:pStyle w:val="Paragraph"/>
              <w:spacing w:before="120" w:after="120"/>
              <w:ind w:firstLine="0"/>
              <w:jc w:val="center"/>
              <w:rPr>
                <w:b/>
                <w:sz w:val="24"/>
                <w:szCs w:val="24"/>
              </w:rPr>
            </w:pPr>
            <w:r w:rsidRPr="00C75422">
              <w:rPr>
                <w:b/>
                <w:sz w:val="24"/>
                <w:szCs w:val="24"/>
              </w:rPr>
              <w:t xml:space="preserve">2 </w:t>
            </w:r>
            <w:r>
              <w:rPr>
                <w:b/>
                <w:sz w:val="24"/>
                <w:szCs w:val="24"/>
              </w:rPr>
              <w:t>wt.%</w:t>
            </w:r>
            <w:r w:rsidRPr="00C75422">
              <w:rPr>
                <w:b/>
                <w:sz w:val="24"/>
                <w:szCs w:val="24"/>
              </w:rPr>
              <w:t xml:space="preserve"> I.30E-DGEBA </w:t>
            </w:r>
          </w:p>
        </w:tc>
        <w:tc>
          <w:tcPr>
            <w:tcW w:w="1350" w:type="dxa"/>
            <w:vAlign w:val="center"/>
          </w:tcPr>
          <w:p w14:paraId="5F620325" w14:textId="194C33B6" w:rsidR="00192013" w:rsidRPr="007038F9" w:rsidRDefault="00192013" w:rsidP="00A440CD">
            <w:pPr>
              <w:pStyle w:val="Paragraph"/>
              <w:spacing w:before="120" w:after="120"/>
              <w:ind w:firstLine="0"/>
              <w:jc w:val="center"/>
              <w:rPr>
                <w:sz w:val="24"/>
                <w:szCs w:val="24"/>
              </w:rPr>
            </w:pPr>
            <w:r>
              <w:rPr>
                <w:sz w:val="24"/>
                <w:szCs w:val="24"/>
              </w:rPr>
              <w:t>7.4</w:t>
            </w:r>
            <w:r w:rsidRPr="007038F9">
              <w:rPr>
                <w:sz w:val="24"/>
                <w:szCs w:val="24"/>
              </w:rPr>
              <w:t>0</w:t>
            </w:r>
            <w:r w:rsidR="003F56CD">
              <w:rPr>
                <w:sz w:val="24"/>
                <w:szCs w:val="24"/>
              </w:rPr>
              <w:t>×</w:t>
            </w:r>
            <w:r w:rsidRPr="007038F9">
              <w:rPr>
                <w:sz w:val="24"/>
                <w:szCs w:val="24"/>
              </w:rPr>
              <w:t>10</w:t>
            </w:r>
            <w:r w:rsidRPr="007038F9">
              <w:rPr>
                <w:sz w:val="24"/>
                <w:szCs w:val="24"/>
                <w:vertAlign w:val="superscript"/>
              </w:rPr>
              <w:t>-4</w:t>
            </w:r>
          </w:p>
        </w:tc>
        <w:tc>
          <w:tcPr>
            <w:tcW w:w="1350" w:type="dxa"/>
            <w:vAlign w:val="center"/>
          </w:tcPr>
          <w:p w14:paraId="4E1F81AD" w14:textId="1727CA35" w:rsidR="00192013" w:rsidRPr="007038F9" w:rsidRDefault="00192013" w:rsidP="00A440CD">
            <w:pPr>
              <w:pStyle w:val="Paragraph"/>
              <w:spacing w:before="120" w:after="120"/>
              <w:ind w:firstLine="0"/>
              <w:jc w:val="center"/>
              <w:rPr>
                <w:sz w:val="24"/>
                <w:szCs w:val="24"/>
              </w:rPr>
            </w:pPr>
            <w:r>
              <w:rPr>
                <w:sz w:val="24"/>
                <w:szCs w:val="24"/>
              </w:rPr>
              <w:t>7.02</w:t>
            </w:r>
            <w:r w:rsidR="003F56CD">
              <w:rPr>
                <w:sz w:val="24"/>
                <w:szCs w:val="24"/>
              </w:rPr>
              <w:t>×</w:t>
            </w:r>
            <w:r w:rsidRPr="007038F9">
              <w:rPr>
                <w:sz w:val="24"/>
                <w:szCs w:val="24"/>
              </w:rPr>
              <w:t>10</w:t>
            </w:r>
            <w:r w:rsidRPr="007038F9">
              <w:rPr>
                <w:sz w:val="24"/>
                <w:szCs w:val="24"/>
                <w:vertAlign w:val="superscript"/>
              </w:rPr>
              <w:t>-4</w:t>
            </w:r>
          </w:p>
        </w:tc>
        <w:tc>
          <w:tcPr>
            <w:tcW w:w="1350" w:type="dxa"/>
            <w:vAlign w:val="center"/>
          </w:tcPr>
          <w:p w14:paraId="29BE9E85" w14:textId="479397C4" w:rsidR="00192013" w:rsidRPr="007038F9" w:rsidRDefault="00192013" w:rsidP="00A440CD">
            <w:pPr>
              <w:pStyle w:val="Paragraph"/>
              <w:spacing w:before="120" w:after="120"/>
              <w:ind w:firstLine="0"/>
              <w:jc w:val="center"/>
              <w:rPr>
                <w:sz w:val="24"/>
                <w:szCs w:val="24"/>
              </w:rPr>
            </w:pPr>
            <w:r>
              <w:rPr>
                <w:sz w:val="24"/>
                <w:szCs w:val="24"/>
              </w:rPr>
              <w:t>1.25</w:t>
            </w:r>
            <w:r w:rsidR="003F56CD">
              <w:rPr>
                <w:sz w:val="24"/>
                <w:szCs w:val="24"/>
              </w:rPr>
              <w:t>×</w:t>
            </w:r>
            <w:r w:rsidRPr="007038F9">
              <w:rPr>
                <w:sz w:val="24"/>
                <w:szCs w:val="24"/>
              </w:rPr>
              <w:t>10</w:t>
            </w:r>
            <w:r>
              <w:rPr>
                <w:sz w:val="24"/>
                <w:szCs w:val="24"/>
                <w:vertAlign w:val="superscript"/>
              </w:rPr>
              <w:t>-4</w:t>
            </w:r>
          </w:p>
        </w:tc>
        <w:tc>
          <w:tcPr>
            <w:tcW w:w="810" w:type="dxa"/>
            <w:vAlign w:val="center"/>
          </w:tcPr>
          <w:p w14:paraId="10D41189" w14:textId="77777777" w:rsidR="00192013" w:rsidRPr="00210D99" w:rsidRDefault="00192013" w:rsidP="00A440CD">
            <w:pPr>
              <w:pStyle w:val="Paragraph"/>
              <w:spacing w:before="120" w:after="120"/>
              <w:ind w:firstLine="0"/>
              <w:jc w:val="center"/>
              <w:rPr>
                <w:sz w:val="24"/>
                <w:szCs w:val="24"/>
              </w:rPr>
            </w:pPr>
            <w:r w:rsidRPr="00210D99">
              <w:rPr>
                <w:sz w:val="24"/>
                <w:szCs w:val="24"/>
              </w:rPr>
              <w:t>0.178</w:t>
            </w:r>
          </w:p>
        </w:tc>
        <w:tc>
          <w:tcPr>
            <w:tcW w:w="990" w:type="dxa"/>
            <w:vAlign w:val="center"/>
          </w:tcPr>
          <w:p w14:paraId="32B1779B" w14:textId="77777777" w:rsidR="00192013" w:rsidRPr="007038F9" w:rsidRDefault="00192013" w:rsidP="00A440CD">
            <w:pPr>
              <w:pStyle w:val="Paragraph"/>
              <w:spacing w:before="120" w:after="120"/>
              <w:ind w:firstLine="0"/>
              <w:jc w:val="center"/>
              <w:rPr>
                <w:sz w:val="24"/>
                <w:szCs w:val="24"/>
              </w:rPr>
            </w:pPr>
            <w:r w:rsidRPr="007038F9">
              <w:rPr>
                <w:sz w:val="24"/>
                <w:szCs w:val="24"/>
              </w:rPr>
              <w:t>2.00</w:t>
            </w:r>
          </w:p>
        </w:tc>
        <w:tc>
          <w:tcPr>
            <w:tcW w:w="931" w:type="dxa"/>
            <w:vAlign w:val="center"/>
          </w:tcPr>
          <w:p w14:paraId="5D46500C" w14:textId="77777777" w:rsidR="00192013" w:rsidRPr="007038F9" w:rsidRDefault="00192013" w:rsidP="00A440CD">
            <w:pPr>
              <w:pStyle w:val="Paragraph"/>
              <w:spacing w:before="120" w:after="120"/>
              <w:ind w:firstLine="0"/>
              <w:jc w:val="center"/>
              <w:rPr>
                <w:sz w:val="24"/>
                <w:szCs w:val="24"/>
              </w:rPr>
            </w:pPr>
            <w:r w:rsidRPr="007038F9">
              <w:rPr>
                <w:sz w:val="24"/>
                <w:szCs w:val="24"/>
              </w:rPr>
              <w:t>0.43</w:t>
            </w:r>
          </w:p>
        </w:tc>
      </w:tr>
      <w:tr w:rsidR="00192013" w:rsidRPr="005A3E52" w14:paraId="235C2313" w14:textId="77777777" w:rsidTr="00BB2C1B">
        <w:trPr>
          <w:trHeight w:val="350"/>
          <w:jc w:val="center"/>
        </w:trPr>
        <w:tc>
          <w:tcPr>
            <w:tcW w:w="1705" w:type="dxa"/>
          </w:tcPr>
          <w:p w14:paraId="711EB665" w14:textId="12F4B4F2" w:rsidR="00192013" w:rsidRPr="00C75422" w:rsidRDefault="00192013" w:rsidP="00BB2C1B">
            <w:pPr>
              <w:pStyle w:val="Paragraph"/>
              <w:spacing w:before="120" w:after="120"/>
              <w:ind w:firstLine="0"/>
              <w:jc w:val="center"/>
              <w:rPr>
                <w:b/>
                <w:sz w:val="24"/>
                <w:szCs w:val="24"/>
              </w:rPr>
            </w:pPr>
            <w:r w:rsidRPr="00C75422">
              <w:rPr>
                <w:b/>
                <w:sz w:val="24"/>
                <w:szCs w:val="24"/>
              </w:rPr>
              <w:t xml:space="preserve">5 </w:t>
            </w:r>
            <w:r>
              <w:rPr>
                <w:b/>
                <w:sz w:val="24"/>
                <w:szCs w:val="24"/>
              </w:rPr>
              <w:t>wt.%</w:t>
            </w:r>
            <w:r w:rsidRPr="00C75422">
              <w:rPr>
                <w:b/>
                <w:sz w:val="24"/>
                <w:szCs w:val="24"/>
              </w:rPr>
              <w:t xml:space="preserve"> I.30E-DGEBA </w:t>
            </w:r>
          </w:p>
        </w:tc>
        <w:tc>
          <w:tcPr>
            <w:tcW w:w="1350" w:type="dxa"/>
            <w:vAlign w:val="center"/>
          </w:tcPr>
          <w:p w14:paraId="424839DA" w14:textId="1311DAD2" w:rsidR="00192013" w:rsidRPr="00CA6F36" w:rsidRDefault="00192013" w:rsidP="00A440CD">
            <w:pPr>
              <w:pStyle w:val="Paragraph"/>
              <w:spacing w:before="120" w:after="120"/>
              <w:ind w:firstLine="0"/>
              <w:jc w:val="center"/>
              <w:rPr>
                <w:sz w:val="24"/>
                <w:szCs w:val="24"/>
              </w:rPr>
            </w:pPr>
            <w:r w:rsidRPr="00CA6F36">
              <w:rPr>
                <w:sz w:val="24"/>
                <w:szCs w:val="24"/>
              </w:rPr>
              <w:t>7.14</w:t>
            </w:r>
            <w:r w:rsidR="003F56CD">
              <w:rPr>
                <w:sz w:val="24"/>
                <w:szCs w:val="24"/>
              </w:rPr>
              <w:t>×</w:t>
            </w:r>
            <w:r w:rsidRPr="00CA6F36">
              <w:rPr>
                <w:sz w:val="24"/>
                <w:szCs w:val="24"/>
              </w:rPr>
              <w:t>10</w:t>
            </w:r>
            <w:r w:rsidRPr="00CA6F36">
              <w:rPr>
                <w:sz w:val="24"/>
                <w:szCs w:val="24"/>
                <w:vertAlign w:val="superscript"/>
              </w:rPr>
              <w:t>-4</w:t>
            </w:r>
          </w:p>
        </w:tc>
        <w:tc>
          <w:tcPr>
            <w:tcW w:w="1350" w:type="dxa"/>
            <w:vAlign w:val="center"/>
          </w:tcPr>
          <w:p w14:paraId="67E02F18" w14:textId="5998CB51" w:rsidR="00192013" w:rsidRPr="00CA6F36" w:rsidRDefault="00192013" w:rsidP="00A440CD">
            <w:pPr>
              <w:pStyle w:val="Paragraph"/>
              <w:spacing w:before="120" w:after="120"/>
              <w:ind w:firstLine="0"/>
              <w:jc w:val="center"/>
              <w:rPr>
                <w:sz w:val="24"/>
                <w:szCs w:val="24"/>
              </w:rPr>
            </w:pPr>
            <w:r w:rsidRPr="00CA6F36">
              <w:rPr>
                <w:sz w:val="24"/>
                <w:szCs w:val="24"/>
              </w:rPr>
              <w:t>7.30</w:t>
            </w:r>
            <w:r w:rsidR="003F56CD">
              <w:rPr>
                <w:sz w:val="24"/>
                <w:szCs w:val="24"/>
              </w:rPr>
              <w:t>×</w:t>
            </w:r>
            <w:r w:rsidRPr="00CA6F36">
              <w:rPr>
                <w:sz w:val="24"/>
                <w:szCs w:val="24"/>
              </w:rPr>
              <w:t>10</w:t>
            </w:r>
            <w:r w:rsidRPr="00CA6F36">
              <w:rPr>
                <w:sz w:val="24"/>
                <w:szCs w:val="24"/>
                <w:vertAlign w:val="superscript"/>
              </w:rPr>
              <w:t>-5</w:t>
            </w:r>
          </w:p>
        </w:tc>
        <w:tc>
          <w:tcPr>
            <w:tcW w:w="1350" w:type="dxa"/>
            <w:vAlign w:val="center"/>
          </w:tcPr>
          <w:p w14:paraId="1E7B8FD3" w14:textId="4660F96D" w:rsidR="00192013" w:rsidRPr="00CA6F36" w:rsidRDefault="00192013" w:rsidP="00A440CD">
            <w:pPr>
              <w:pStyle w:val="Paragraph"/>
              <w:spacing w:before="120" w:after="120"/>
              <w:ind w:firstLine="0"/>
              <w:jc w:val="center"/>
              <w:rPr>
                <w:sz w:val="24"/>
                <w:szCs w:val="24"/>
              </w:rPr>
            </w:pPr>
            <w:r w:rsidRPr="00CA6F36">
              <w:rPr>
                <w:sz w:val="24"/>
                <w:szCs w:val="24"/>
              </w:rPr>
              <w:t>1.28</w:t>
            </w:r>
            <w:r w:rsidR="003F56CD">
              <w:rPr>
                <w:sz w:val="24"/>
                <w:szCs w:val="24"/>
              </w:rPr>
              <w:t>×</w:t>
            </w:r>
            <w:r w:rsidRPr="00CA6F36">
              <w:rPr>
                <w:sz w:val="24"/>
                <w:szCs w:val="24"/>
              </w:rPr>
              <w:t>10</w:t>
            </w:r>
            <w:r w:rsidRPr="00CA6F36">
              <w:rPr>
                <w:sz w:val="24"/>
                <w:szCs w:val="24"/>
                <w:vertAlign w:val="superscript"/>
              </w:rPr>
              <w:t>-5</w:t>
            </w:r>
          </w:p>
        </w:tc>
        <w:tc>
          <w:tcPr>
            <w:tcW w:w="810" w:type="dxa"/>
            <w:vAlign w:val="center"/>
          </w:tcPr>
          <w:p w14:paraId="05495EE8" w14:textId="77777777" w:rsidR="00192013" w:rsidRPr="00210D99" w:rsidRDefault="00192013" w:rsidP="00A440CD">
            <w:pPr>
              <w:pStyle w:val="Paragraph"/>
              <w:spacing w:before="120" w:after="120"/>
              <w:ind w:firstLine="0"/>
              <w:jc w:val="center"/>
              <w:rPr>
                <w:sz w:val="24"/>
                <w:szCs w:val="24"/>
              </w:rPr>
            </w:pPr>
            <w:r w:rsidRPr="00210D99">
              <w:rPr>
                <w:sz w:val="24"/>
                <w:szCs w:val="24"/>
              </w:rPr>
              <w:t>0.175</w:t>
            </w:r>
          </w:p>
        </w:tc>
        <w:tc>
          <w:tcPr>
            <w:tcW w:w="990" w:type="dxa"/>
            <w:vAlign w:val="center"/>
          </w:tcPr>
          <w:p w14:paraId="6ACAA82B" w14:textId="77777777" w:rsidR="00192013" w:rsidRPr="00CA6F36" w:rsidRDefault="00192013" w:rsidP="00A440CD">
            <w:pPr>
              <w:pStyle w:val="Paragraph"/>
              <w:spacing w:before="120" w:after="120"/>
              <w:ind w:firstLine="0"/>
              <w:jc w:val="center"/>
              <w:rPr>
                <w:sz w:val="24"/>
                <w:szCs w:val="24"/>
              </w:rPr>
            </w:pPr>
            <w:r w:rsidRPr="00CA6F36">
              <w:rPr>
                <w:sz w:val="24"/>
                <w:szCs w:val="24"/>
              </w:rPr>
              <w:t>1.91</w:t>
            </w:r>
          </w:p>
        </w:tc>
        <w:tc>
          <w:tcPr>
            <w:tcW w:w="931" w:type="dxa"/>
            <w:vAlign w:val="center"/>
          </w:tcPr>
          <w:p w14:paraId="7BA27B2B" w14:textId="77777777" w:rsidR="00192013" w:rsidRPr="00CA6F36" w:rsidRDefault="00192013" w:rsidP="00A440CD">
            <w:pPr>
              <w:pStyle w:val="Paragraph"/>
              <w:spacing w:before="120" w:after="120"/>
              <w:ind w:firstLine="0"/>
              <w:jc w:val="center"/>
              <w:rPr>
                <w:sz w:val="24"/>
                <w:szCs w:val="24"/>
              </w:rPr>
            </w:pPr>
            <w:r w:rsidRPr="00CA6F36">
              <w:rPr>
                <w:sz w:val="24"/>
                <w:szCs w:val="24"/>
              </w:rPr>
              <w:t>0.50</w:t>
            </w:r>
          </w:p>
        </w:tc>
      </w:tr>
    </w:tbl>
    <w:p w14:paraId="16197C79" w14:textId="77777777" w:rsidR="00D350C2" w:rsidRDefault="00D350C2" w:rsidP="00BB2C1B">
      <w:pPr>
        <w:ind w:firstLine="0"/>
      </w:pPr>
    </w:p>
    <w:p w14:paraId="26166222" w14:textId="260CAC2C" w:rsidR="00192013" w:rsidRDefault="00192013" w:rsidP="00F77E87">
      <w:pPr>
        <w:rPr>
          <w:rFonts w:cs="Times New Roman"/>
          <w:szCs w:val="24"/>
        </w:rPr>
      </w:pPr>
      <w:r>
        <w:t>Assuming the recovered diffusion coefficients were subjected to the experimental error,</w:t>
      </w:r>
      <w:r w:rsidR="0084615F">
        <w:t xml:space="preserve"> </w:t>
      </w:r>
      <w:r w:rsidRPr="00D87D03">
        <w:rPr>
          <w:rFonts w:cs="Times New Roman"/>
          <w:szCs w:val="24"/>
        </w:rPr>
        <w:t xml:space="preserve">diffusion coefficients of nanoclay/epoxy composites with different nanoclay loading are calculated </w:t>
      </w:r>
      <w:r>
        <w:rPr>
          <w:rFonts w:cs="Times New Roman"/>
          <w:szCs w:val="24"/>
        </w:rPr>
        <w:t xml:space="preserve">following </w:t>
      </w:r>
      <w:r w:rsidRPr="00D87D03">
        <w:rPr>
          <w:rFonts w:cs="Times New Roman"/>
          <w:szCs w:val="24"/>
        </w:rPr>
        <w:t>the rule of mixture</w:t>
      </w:r>
      <w:r>
        <w:rPr>
          <w:rFonts w:cs="Times New Roman"/>
          <w:szCs w:val="24"/>
        </w:rPr>
        <w:t xml:space="preserve"> i</w:t>
      </w:r>
      <w:r>
        <w:t>n order to investigate the trends of other absorption parameters with respect to the nanoclay content. D</w:t>
      </w:r>
      <w:r w:rsidRPr="00D87D03">
        <w:rPr>
          <w:rFonts w:cs="Times New Roman"/>
          <w:szCs w:val="24"/>
        </w:rPr>
        <w:t>iffusion coefficient</w:t>
      </w:r>
      <w:r>
        <w:rPr>
          <w:rFonts w:cs="Times New Roman"/>
          <w:szCs w:val="24"/>
        </w:rPr>
        <w:t>s of nanoclay/epoxy composite laminates are determined by using the diffusion coefficient of pure epoxy</w:t>
      </w:r>
      <w:r w:rsidRPr="00D87D03">
        <w:rPr>
          <w:rFonts w:cs="Times New Roman"/>
          <w:szCs w:val="24"/>
        </w:rPr>
        <w:t xml:space="preserve"> </w:t>
      </w:r>
      <w:r>
        <w:rPr>
          <w:rFonts w:cs="Times New Roman"/>
          <w:szCs w:val="24"/>
        </w:rPr>
        <w:t xml:space="preserve">and illustrated in </w:t>
      </w:r>
      <w:r>
        <w:rPr>
          <w:rFonts w:cs="Times New Roman"/>
          <w:szCs w:val="24"/>
        </w:rPr>
        <w:fldChar w:fldCharType="begin"/>
      </w:r>
      <w:r>
        <w:rPr>
          <w:rFonts w:cs="Times New Roman"/>
          <w:szCs w:val="24"/>
        </w:rPr>
        <w:instrText xml:space="preserve"> REF _Ref521073661 \h </w:instrText>
      </w:r>
      <w:r w:rsidR="00F77E87">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Figure </w:t>
      </w:r>
      <w:r w:rsidR="006D52C2">
        <w:rPr>
          <w:noProof/>
        </w:rPr>
        <w:t>18</w:t>
      </w:r>
      <w:r>
        <w:rPr>
          <w:rFonts w:cs="Times New Roman"/>
          <w:szCs w:val="24"/>
        </w:rPr>
        <w:fldChar w:fldCharType="end"/>
      </w:r>
      <w:r>
        <w:rPr>
          <w:rFonts w:cs="Times New Roman"/>
          <w:szCs w:val="24"/>
        </w:rPr>
        <w:t xml:space="preserve">. </w:t>
      </w:r>
      <w:r w:rsidRPr="00D87D03">
        <w:rPr>
          <w:rFonts w:cs="Times New Roman"/>
          <w:szCs w:val="24"/>
        </w:rPr>
        <w:t>The remaining absorption parameters (</w:t>
      </w:r>
      <m:oMath>
        <m:r>
          <w:rPr>
            <w:rFonts w:ascii="Cambria Math" w:hAnsi="Cambria Math" w:cs="Times New Roman"/>
          </w:rPr>
          <m:t>γ,</m:t>
        </m:r>
        <m:r>
          <m:rPr>
            <m:sty m:val="p"/>
          </m:rPr>
          <w:rPr>
            <w:rFonts w:ascii="Cambria Math" w:hAnsi="Cambria Math" w:cs="Times New Roman"/>
          </w:rPr>
          <m:t xml:space="preserve"> </m:t>
        </m:r>
        <m:r>
          <w:rPr>
            <w:rFonts w:ascii="Cambria Math" w:hAnsi="Cambria Math" w:cs="Times New Roman"/>
          </w:rPr>
          <m:t>β,  and</m:t>
        </m:r>
      </m:oMath>
      <w:r w:rsidRPr="00D87D03">
        <w:rPr>
          <w:rFonts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oMath>
      <w:r w:rsidRPr="00D87D03">
        <w:rPr>
          <w:rFonts w:cs="Times New Roman"/>
        </w:rPr>
        <w:t xml:space="preserve">) are recovered by </w:t>
      </w:r>
      <w:r w:rsidR="0084615F">
        <w:rPr>
          <w:rFonts w:cs="Times New Roman"/>
        </w:rPr>
        <w:t xml:space="preserve">the </w:t>
      </w:r>
      <w:r w:rsidRPr="00D87D03">
        <w:rPr>
          <w:rFonts w:cs="Times New Roman"/>
        </w:rPr>
        <w:t xml:space="preserve">steepest descent method. </w:t>
      </w:r>
      <w:r w:rsidRPr="00D87D03">
        <w:rPr>
          <w:szCs w:val="24"/>
        </w:rPr>
        <w:t xml:space="preserve">The resulting sets of absorption parameters are given in </w:t>
      </w:r>
      <w:r>
        <w:rPr>
          <w:szCs w:val="24"/>
        </w:rPr>
        <w:fldChar w:fldCharType="begin"/>
      </w:r>
      <w:r>
        <w:rPr>
          <w:szCs w:val="24"/>
        </w:rPr>
        <w:instrText xml:space="preserve"> REF _Ref521073723 \h </w:instrText>
      </w:r>
      <w:r w:rsidR="00F77E87">
        <w:rPr>
          <w:szCs w:val="24"/>
        </w:rPr>
        <w:instrText xml:space="preserve"> \* MERGEFORMAT </w:instrText>
      </w:r>
      <w:r>
        <w:rPr>
          <w:szCs w:val="24"/>
        </w:rPr>
      </w:r>
      <w:r>
        <w:rPr>
          <w:szCs w:val="24"/>
        </w:rPr>
        <w:fldChar w:fldCharType="separate"/>
      </w:r>
      <w:r w:rsidR="006D52C2">
        <w:t xml:space="preserve">Table </w:t>
      </w:r>
      <w:r w:rsidR="006D52C2">
        <w:rPr>
          <w:noProof/>
        </w:rPr>
        <w:t>4</w:t>
      </w:r>
      <w:r>
        <w:rPr>
          <w:szCs w:val="24"/>
        </w:rPr>
        <w:fldChar w:fldCharType="end"/>
      </w:r>
      <w:r>
        <w:rPr>
          <w:rFonts w:cs="Times New Roman"/>
          <w:szCs w:val="24"/>
        </w:rPr>
        <w:t>.</w:t>
      </w:r>
    </w:p>
    <w:p w14:paraId="43BF87B2" w14:textId="77777777" w:rsidR="00192013" w:rsidRDefault="00192013" w:rsidP="00192013">
      <w:pPr>
        <w:pStyle w:val="NoSpacing"/>
        <w:rPr>
          <w:szCs w:val="24"/>
        </w:rPr>
      </w:pPr>
      <w:r w:rsidRPr="00360425">
        <w:rPr>
          <w:noProof/>
          <w:lang w:bidi="ar-SA"/>
        </w:rPr>
        <w:lastRenderedPageBreak/>
        <w:drawing>
          <wp:inline distT="0" distB="0" distL="0" distR="0" wp14:anchorId="0861A461" wp14:editId="3F5F1DAE">
            <wp:extent cx="5394960" cy="2606040"/>
            <wp:effectExtent l="0" t="0" r="0" b="38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5C58D3C" w14:textId="77777777" w:rsidR="00192013" w:rsidRDefault="00192013" w:rsidP="00192013">
      <w:pPr>
        <w:pStyle w:val="Caption"/>
      </w:pPr>
      <w:bookmarkStart w:id="111" w:name="_Ref521073661"/>
      <w:bookmarkStart w:id="112" w:name="_Toc449516671"/>
      <w:bookmarkStart w:id="113" w:name="_Toc530997374"/>
      <w:r>
        <w:t xml:space="preserve">Figure </w:t>
      </w:r>
      <w:r>
        <w:rPr>
          <w:noProof/>
        </w:rPr>
        <w:fldChar w:fldCharType="begin"/>
      </w:r>
      <w:r>
        <w:rPr>
          <w:noProof/>
        </w:rPr>
        <w:instrText xml:space="preserve"> SEQ Figure \* ARABIC </w:instrText>
      </w:r>
      <w:r>
        <w:rPr>
          <w:noProof/>
        </w:rPr>
        <w:fldChar w:fldCharType="separate"/>
      </w:r>
      <w:r w:rsidR="006D52C2">
        <w:rPr>
          <w:noProof/>
        </w:rPr>
        <w:t>18</w:t>
      </w:r>
      <w:r>
        <w:rPr>
          <w:noProof/>
        </w:rPr>
        <w:fldChar w:fldCharType="end"/>
      </w:r>
      <w:bookmarkEnd w:id="111"/>
      <w:r>
        <w:t>. Linear change of diffusion coefficients with nanoclay volume fraction</w:t>
      </w:r>
      <w:bookmarkEnd w:id="112"/>
      <w:bookmarkEnd w:id="113"/>
    </w:p>
    <w:p w14:paraId="26C7FAE9" w14:textId="77777777" w:rsidR="00192013" w:rsidRDefault="00192013" w:rsidP="00BB2C1B">
      <w:pPr>
        <w:ind w:firstLine="0"/>
      </w:pPr>
    </w:p>
    <w:p w14:paraId="6CF3DFD1" w14:textId="77777777" w:rsidR="00BB2C1B" w:rsidRDefault="00BB2C1B" w:rsidP="00BB2C1B">
      <w:pPr>
        <w:pStyle w:val="Caption"/>
      </w:pPr>
      <w:bookmarkStart w:id="114" w:name="_Ref521073723"/>
      <w:bookmarkStart w:id="115" w:name="_Toc405037204"/>
      <w:bookmarkStart w:id="116" w:name="_Ref449033179"/>
      <w:bookmarkStart w:id="117" w:name="_Toc449516696"/>
      <w:bookmarkStart w:id="118" w:name="_Toc530997319"/>
      <w:r>
        <w:t xml:space="preserve">Table </w:t>
      </w:r>
      <w:r>
        <w:rPr>
          <w:noProof/>
        </w:rPr>
        <w:fldChar w:fldCharType="begin"/>
      </w:r>
      <w:r>
        <w:rPr>
          <w:noProof/>
        </w:rPr>
        <w:instrText xml:space="preserve"> SEQ Table \* ARABIC </w:instrText>
      </w:r>
      <w:r>
        <w:rPr>
          <w:noProof/>
        </w:rPr>
        <w:fldChar w:fldCharType="separate"/>
      </w:r>
      <w:r w:rsidR="006D52C2">
        <w:rPr>
          <w:noProof/>
        </w:rPr>
        <w:t>4</w:t>
      </w:r>
      <w:r>
        <w:rPr>
          <w:noProof/>
        </w:rPr>
        <w:fldChar w:fldCharType="end"/>
      </w:r>
      <w:bookmarkEnd w:id="114"/>
      <w:r>
        <w:t xml:space="preserve">. </w:t>
      </w:r>
      <w:r w:rsidRPr="005A3E52">
        <w:t xml:space="preserve">Moisture absorption parameters </w:t>
      </w:r>
      <w:r>
        <w:t>of DGEBA epoxy with different clay loading</w:t>
      </w:r>
      <w:bookmarkEnd w:id="115"/>
      <w:bookmarkEnd w:id="116"/>
      <w:bookmarkEnd w:id="117"/>
      <w:r>
        <w:t xml:space="preserve"> (Change in </w:t>
      </w:r>
      <m:oMath>
        <m:sSub>
          <m:sSubPr>
            <m:ctrlPr>
              <w:rPr>
                <w:rFonts w:ascii="Cambria Math" w:hAnsi="Cambria Math"/>
                <w:i/>
              </w:rPr>
            </m:ctrlPr>
          </m:sSubPr>
          <m:e>
            <m:r>
              <m:rPr>
                <m:sty m:val="bi"/>
              </m:rPr>
              <w:rPr>
                <w:rFonts w:ascii="Cambria Math" w:hAnsi="Cambria Math"/>
              </w:rPr>
              <m:t>D</m:t>
            </m:r>
          </m:e>
          <m:sub>
            <m:r>
              <m:rPr>
                <m:sty m:val="bi"/>
              </m:rPr>
              <w:rPr>
                <w:rFonts w:ascii="Cambria Math" w:hAnsi="Cambria Math"/>
              </w:rPr>
              <m:t>z</m:t>
            </m:r>
          </m:sub>
        </m:sSub>
      </m:oMath>
      <w:r>
        <w:t xml:space="preserve"> follows the rule of mixture).</w:t>
      </w:r>
      <w:bookmarkEnd w:id="118"/>
    </w:p>
    <w:tbl>
      <w:tblPr>
        <w:tblStyle w:val="PlainTable21"/>
        <w:tblW w:w="8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05"/>
        <w:gridCol w:w="1350"/>
        <w:gridCol w:w="1350"/>
        <w:gridCol w:w="1350"/>
        <w:gridCol w:w="810"/>
        <w:gridCol w:w="990"/>
        <w:gridCol w:w="931"/>
      </w:tblGrid>
      <w:tr w:rsidR="00BB2C1B" w:rsidRPr="005A3E52" w14:paraId="360C4980" w14:textId="77777777" w:rsidTr="00BB2C1B">
        <w:trPr>
          <w:cnfStyle w:val="100000000000" w:firstRow="1" w:lastRow="0" w:firstColumn="0" w:lastColumn="0" w:oddVBand="0" w:evenVBand="0" w:oddHBand="0" w:evenHBand="0" w:firstRowFirstColumn="0" w:firstRowLastColumn="0" w:lastRowFirstColumn="0" w:lastRowLastColumn="0"/>
          <w:trHeight w:val="350"/>
          <w:jc w:val="center"/>
        </w:trPr>
        <w:tc>
          <w:tcPr>
            <w:tcW w:w="1705" w:type="dxa"/>
          </w:tcPr>
          <w:p w14:paraId="62DE53ED" w14:textId="77777777" w:rsidR="00BB2C1B" w:rsidRPr="00C75422" w:rsidRDefault="00BB2C1B" w:rsidP="00BB2C1B">
            <w:pPr>
              <w:pStyle w:val="Paragraph"/>
              <w:spacing w:before="120" w:after="120"/>
              <w:ind w:firstLine="0"/>
              <w:jc w:val="center"/>
              <w:rPr>
                <w:sz w:val="24"/>
                <w:szCs w:val="24"/>
              </w:rPr>
            </w:pPr>
            <w:r w:rsidRPr="00C75422">
              <w:rPr>
                <w:sz w:val="24"/>
                <w:szCs w:val="24"/>
              </w:rPr>
              <w:t>Material Systems</w:t>
            </w:r>
          </w:p>
        </w:tc>
        <w:tc>
          <w:tcPr>
            <w:tcW w:w="1350" w:type="dxa"/>
          </w:tcPr>
          <w:p w14:paraId="0646A6CF" w14:textId="77777777" w:rsidR="00BB2C1B" w:rsidRPr="00C75422" w:rsidRDefault="007B3686" w:rsidP="00BB2C1B">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BB2C1B" w:rsidRPr="00C75422">
              <w:rPr>
                <w:sz w:val="24"/>
                <w:szCs w:val="24"/>
              </w:rPr>
              <w:t xml:space="preserve"> (mm</w:t>
            </w:r>
            <w:r w:rsidR="00BB2C1B" w:rsidRPr="00C75422">
              <w:rPr>
                <w:sz w:val="24"/>
                <w:szCs w:val="24"/>
                <w:vertAlign w:val="superscript"/>
              </w:rPr>
              <w:t>2</w:t>
            </w:r>
            <w:r w:rsidR="00BB2C1B" w:rsidRPr="00C75422">
              <w:rPr>
                <w:sz w:val="24"/>
                <w:szCs w:val="24"/>
              </w:rPr>
              <w:t>/h)</w:t>
            </w:r>
          </w:p>
        </w:tc>
        <w:tc>
          <w:tcPr>
            <w:tcW w:w="1350" w:type="dxa"/>
          </w:tcPr>
          <w:p w14:paraId="5F7A0267" w14:textId="77777777" w:rsidR="00BB2C1B" w:rsidRDefault="00BB2C1B" w:rsidP="00BB2C1B">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350" w:type="dxa"/>
          </w:tcPr>
          <w:p w14:paraId="66BB13E4" w14:textId="77777777" w:rsidR="00BB2C1B" w:rsidRDefault="00BB2C1B" w:rsidP="00BB2C1B">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31F6EFF0" w14:textId="77777777" w:rsidR="00BB2C1B" w:rsidRPr="00C75422" w:rsidRDefault="00BB2C1B" w:rsidP="00BB2C1B">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695FA96B" w14:textId="77777777" w:rsidR="00BB2C1B" w:rsidRPr="00C75422" w:rsidRDefault="007B3686" w:rsidP="00BB2C1B">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BB2C1B" w:rsidRPr="00C75422">
              <w:rPr>
                <w:sz w:val="24"/>
                <w:szCs w:val="24"/>
              </w:rPr>
              <w:t xml:space="preserve"> (</w:t>
            </w:r>
            <w:proofErr w:type="gramStart"/>
            <w:r w:rsidR="00BB2C1B">
              <w:rPr>
                <w:sz w:val="24"/>
                <w:szCs w:val="24"/>
              </w:rPr>
              <w:t>wt</w:t>
            </w:r>
            <w:proofErr w:type="gramEnd"/>
            <w:r w:rsidR="00BB2C1B">
              <w:rPr>
                <w:sz w:val="24"/>
                <w:szCs w:val="24"/>
              </w:rPr>
              <w:t>.%</w:t>
            </w:r>
            <w:r w:rsidR="00BB2C1B" w:rsidRPr="00C75422">
              <w:rPr>
                <w:sz w:val="24"/>
                <w:szCs w:val="24"/>
              </w:rPr>
              <w:t>)</w:t>
            </w:r>
          </w:p>
        </w:tc>
        <w:tc>
          <w:tcPr>
            <w:tcW w:w="931" w:type="dxa"/>
          </w:tcPr>
          <w:p w14:paraId="15F368E8" w14:textId="77777777" w:rsidR="00BB2C1B" w:rsidRPr="00CE7F96" w:rsidRDefault="00BB2C1B" w:rsidP="00BB2C1B">
            <w:pPr>
              <w:pStyle w:val="Paragraph"/>
              <w:spacing w:before="120" w:after="120"/>
              <w:ind w:hanging="18"/>
              <w:jc w:val="center"/>
              <w:rPr>
                <w:sz w:val="24"/>
                <w:szCs w:val="24"/>
              </w:rPr>
            </w:pPr>
            <w:r w:rsidRPr="00AD3FCB">
              <w:rPr>
                <w:sz w:val="24"/>
                <w:szCs w:val="24"/>
              </w:rPr>
              <w:t>RMS</w:t>
            </w:r>
            <w:r>
              <w:rPr>
                <w:sz w:val="24"/>
                <w:szCs w:val="24"/>
              </w:rPr>
              <w:t>E (%)</w:t>
            </w:r>
          </w:p>
        </w:tc>
      </w:tr>
      <w:tr w:rsidR="00BB2C1B" w:rsidRPr="005A3E52" w14:paraId="49293F26" w14:textId="77777777" w:rsidTr="00BB2C1B">
        <w:trPr>
          <w:trHeight w:val="350"/>
          <w:jc w:val="center"/>
        </w:trPr>
        <w:tc>
          <w:tcPr>
            <w:tcW w:w="1705" w:type="dxa"/>
          </w:tcPr>
          <w:p w14:paraId="106C7657" w14:textId="77777777" w:rsidR="00BB2C1B" w:rsidRPr="00C75422" w:rsidRDefault="00BB2C1B" w:rsidP="00BB2C1B">
            <w:pPr>
              <w:pStyle w:val="Paragraph"/>
              <w:spacing w:before="120" w:after="120"/>
              <w:ind w:firstLine="0"/>
              <w:jc w:val="center"/>
              <w:rPr>
                <w:b/>
                <w:sz w:val="24"/>
                <w:szCs w:val="24"/>
              </w:rPr>
            </w:pPr>
            <w:r w:rsidRPr="00C75422">
              <w:rPr>
                <w:b/>
                <w:sz w:val="24"/>
                <w:szCs w:val="24"/>
              </w:rPr>
              <w:t xml:space="preserve">Pure DGEBA </w:t>
            </w:r>
          </w:p>
        </w:tc>
        <w:tc>
          <w:tcPr>
            <w:tcW w:w="1350" w:type="dxa"/>
            <w:vAlign w:val="center"/>
          </w:tcPr>
          <w:p w14:paraId="2C049BFB" w14:textId="6848C9C6" w:rsidR="00BB2C1B" w:rsidRPr="005A3E52" w:rsidRDefault="00BB2C1B" w:rsidP="00BB2C1B">
            <w:pPr>
              <w:pStyle w:val="Paragraph"/>
              <w:spacing w:before="120" w:after="120"/>
              <w:ind w:firstLine="0"/>
              <w:jc w:val="center"/>
              <w:rPr>
                <w:sz w:val="24"/>
                <w:szCs w:val="24"/>
              </w:rPr>
            </w:pPr>
            <w:r>
              <w:rPr>
                <w:sz w:val="24"/>
                <w:szCs w:val="24"/>
              </w:rPr>
              <w:t>7.55</w:t>
            </w:r>
            <w:r w:rsidR="003F56CD">
              <w:rPr>
                <w:sz w:val="24"/>
                <w:szCs w:val="24"/>
              </w:rPr>
              <w:t>×</w:t>
            </w:r>
            <w:r w:rsidRPr="005A3E52">
              <w:rPr>
                <w:sz w:val="24"/>
                <w:szCs w:val="24"/>
              </w:rPr>
              <w:t>10</w:t>
            </w:r>
            <w:r w:rsidRPr="005A3E52">
              <w:rPr>
                <w:sz w:val="24"/>
                <w:szCs w:val="24"/>
                <w:vertAlign w:val="superscript"/>
              </w:rPr>
              <w:t>-4</w:t>
            </w:r>
          </w:p>
        </w:tc>
        <w:tc>
          <w:tcPr>
            <w:tcW w:w="1350" w:type="dxa"/>
            <w:vAlign w:val="center"/>
          </w:tcPr>
          <w:p w14:paraId="47E0C4C0" w14:textId="624686CD" w:rsidR="00BB2C1B" w:rsidRPr="00F37980" w:rsidRDefault="00BB2C1B" w:rsidP="00BB2C1B">
            <w:pPr>
              <w:pStyle w:val="Paragraph"/>
              <w:spacing w:before="120" w:after="120"/>
              <w:ind w:firstLine="0"/>
              <w:jc w:val="center"/>
              <w:rPr>
                <w:sz w:val="24"/>
                <w:szCs w:val="24"/>
              </w:rPr>
            </w:pPr>
            <w:r>
              <w:rPr>
                <w:sz w:val="24"/>
                <w:szCs w:val="24"/>
              </w:rPr>
              <w:t>1.22</w:t>
            </w:r>
            <w:r w:rsidR="003F56CD">
              <w:rPr>
                <w:sz w:val="24"/>
                <w:szCs w:val="24"/>
              </w:rPr>
              <w:t>×</w:t>
            </w:r>
            <w:r w:rsidRPr="005A3E52">
              <w:rPr>
                <w:sz w:val="24"/>
                <w:szCs w:val="24"/>
              </w:rPr>
              <w:t>10</w:t>
            </w:r>
            <w:r>
              <w:rPr>
                <w:sz w:val="24"/>
                <w:szCs w:val="24"/>
                <w:vertAlign w:val="superscript"/>
              </w:rPr>
              <w:t>-2</w:t>
            </w:r>
          </w:p>
        </w:tc>
        <w:tc>
          <w:tcPr>
            <w:tcW w:w="1350" w:type="dxa"/>
            <w:vAlign w:val="center"/>
          </w:tcPr>
          <w:p w14:paraId="14E8C80E" w14:textId="26700887" w:rsidR="00BB2C1B" w:rsidRPr="00F37980" w:rsidRDefault="00BB2C1B" w:rsidP="00BB2C1B">
            <w:pPr>
              <w:pStyle w:val="Paragraph"/>
              <w:spacing w:before="120" w:after="120"/>
              <w:ind w:firstLine="0"/>
              <w:jc w:val="center"/>
              <w:rPr>
                <w:sz w:val="24"/>
                <w:szCs w:val="24"/>
              </w:rPr>
            </w:pPr>
            <w:r>
              <w:rPr>
                <w:sz w:val="24"/>
                <w:szCs w:val="24"/>
              </w:rPr>
              <w:t>2.51</w:t>
            </w:r>
            <w:r w:rsidR="003F56CD">
              <w:rPr>
                <w:sz w:val="24"/>
                <w:szCs w:val="24"/>
              </w:rPr>
              <w:t>×</w:t>
            </w:r>
            <w:r w:rsidRPr="005A3E52">
              <w:rPr>
                <w:sz w:val="24"/>
                <w:szCs w:val="24"/>
              </w:rPr>
              <w:t>10</w:t>
            </w:r>
            <w:r>
              <w:rPr>
                <w:sz w:val="24"/>
                <w:szCs w:val="24"/>
                <w:vertAlign w:val="superscript"/>
              </w:rPr>
              <w:t>-3</w:t>
            </w:r>
          </w:p>
        </w:tc>
        <w:tc>
          <w:tcPr>
            <w:tcW w:w="810" w:type="dxa"/>
            <w:vAlign w:val="center"/>
          </w:tcPr>
          <w:p w14:paraId="414F6D72" w14:textId="77777777" w:rsidR="00BB2C1B" w:rsidRPr="00F37980" w:rsidRDefault="00BB2C1B" w:rsidP="00BB2C1B">
            <w:pPr>
              <w:pStyle w:val="Paragraph"/>
              <w:spacing w:before="120" w:after="120"/>
              <w:ind w:firstLine="0"/>
              <w:jc w:val="center"/>
              <w:rPr>
                <w:sz w:val="24"/>
                <w:szCs w:val="24"/>
              </w:rPr>
            </w:pPr>
            <w:r w:rsidRPr="00F37980">
              <w:rPr>
                <w:sz w:val="24"/>
                <w:szCs w:val="24"/>
              </w:rPr>
              <w:t>0.205</w:t>
            </w:r>
          </w:p>
        </w:tc>
        <w:tc>
          <w:tcPr>
            <w:tcW w:w="990" w:type="dxa"/>
            <w:vAlign w:val="center"/>
          </w:tcPr>
          <w:p w14:paraId="1F267646" w14:textId="77777777" w:rsidR="00BB2C1B" w:rsidRPr="005A3E52" w:rsidRDefault="00BB2C1B" w:rsidP="00BB2C1B">
            <w:pPr>
              <w:pStyle w:val="Paragraph"/>
              <w:spacing w:before="120" w:after="120"/>
              <w:ind w:firstLine="0"/>
              <w:jc w:val="center"/>
              <w:rPr>
                <w:sz w:val="24"/>
                <w:szCs w:val="24"/>
              </w:rPr>
            </w:pPr>
            <w:r>
              <w:rPr>
                <w:sz w:val="24"/>
                <w:szCs w:val="24"/>
              </w:rPr>
              <w:t>2.18</w:t>
            </w:r>
          </w:p>
        </w:tc>
        <w:tc>
          <w:tcPr>
            <w:tcW w:w="931" w:type="dxa"/>
            <w:vAlign w:val="center"/>
          </w:tcPr>
          <w:p w14:paraId="21941653" w14:textId="77777777" w:rsidR="00BB2C1B" w:rsidRDefault="00BB2C1B" w:rsidP="00BB2C1B">
            <w:pPr>
              <w:pStyle w:val="Paragraph"/>
              <w:spacing w:before="120" w:after="120"/>
              <w:ind w:firstLine="0"/>
              <w:jc w:val="center"/>
              <w:rPr>
                <w:sz w:val="24"/>
                <w:szCs w:val="24"/>
              </w:rPr>
            </w:pPr>
            <w:r>
              <w:rPr>
                <w:sz w:val="24"/>
                <w:szCs w:val="24"/>
              </w:rPr>
              <w:t>0.40</w:t>
            </w:r>
          </w:p>
        </w:tc>
      </w:tr>
      <w:tr w:rsidR="00BB2C1B" w:rsidRPr="005A3E52" w14:paraId="543E4EF8" w14:textId="77777777" w:rsidTr="00BB2C1B">
        <w:trPr>
          <w:trHeight w:val="350"/>
          <w:jc w:val="center"/>
        </w:trPr>
        <w:tc>
          <w:tcPr>
            <w:tcW w:w="1705" w:type="dxa"/>
          </w:tcPr>
          <w:p w14:paraId="4E687C35" w14:textId="77777777" w:rsidR="00BB2C1B" w:rsidRPr="00C75422" w:rsidRDefault="00BB2C1B" w:rsidP="00BB2C1B">
            <w:pPr>
              <w:pStyle w:val="Paragraph"/>
              <w:spacing w:before="120" w:after="120"/>
              <w:ind w:firstLine="0"/>
              <w:jc w:val="center"/>
              <w:rPr>
                <w:b/>
                <w:sz w:val="24"/>
                <w:szCs w:val="24"/>
              </w:rPr>
            </w:pPr>
            <w:r w:rsidRPr="00C75422">
              <w:rPr>
                <w:b/>
                <w:sz w:val="24"/>
                <w:szCs w:val="24"/>
              </w:rPr>
              <w:t xml:space="preserve">1 </w:t>
            </w:r>
            <w:r>
              <w:rPr>
                <w:b/>
                <w:sz w:val="24"/>
                <w:szCs w:val="24"/>
              </w:rPr>
              <w:t>wt.%</w:t>
            </w:r>
            <w:r w:rsidRPr="00C75422">
              <w:rPr>
                <w:b/>
                <w:sz w:val="24"/>
                <w:szCs w:val="24"/>
              </w:rPr>
              <w:t xml:space="preserve"> I.30E-DGEBA</w:t>
            </w:r>
          </w:p>
        </w:tc>
        <w:tc>
          <w:tcPr>
            <w:tcW w:w="1350" w:type="dxa"/>
            <w:vAlign w:val="center"/>
          </w:tcPr>
          <w:p w14:paraId="1971CA35" w14:textId="3A1206E5" w:rsidR="00BB2C1B" w:rsidRPr="005A3E52" w:rsidRDefault="00BB2C1B" w:rsidP="00BB2C1B">
            <w:pPr>
              <w:pStyle w:val="Paragraph"/>
              <w:spacing w:before="120" w:after="120"/>
              <w:ind w:firstLine="0"/>
              <w:jc w:val="center"/>
              <w:rPr>
                <w:sz w:val="24"/>
                <w:szCs w:val="24"/>
              </w:rPr>
            </w:pPr>
            <w:r>
              <w:rPr>
                <w:sz w:val="24"/>
                <w:szCs w:val="24"/>
              </w:rPr>
              <w:t>7.50</w:t>
            </w:r>
            <w:r w:rsidR="003F56CD">
              <w:rPr>
                <w:sz w:val="24"/>
                <w:szCs w:val="24"/>
              </w:rPr>
              <w:t>×</w:t>
            </w:r>
            <w:r w:rsidRPr="005A3E52">
              <w:rPr>
                <w:sz w:val="24"/>
                <w:szCs w:val="24"/>
              </w:rPr>
              <w:t>10</w:t>
            </w:r>
            <w:r w:rsidRPr="005A3E52">
              <w:rPr>
                <w:sz w:val="24"/>
                <w:szCs w:val="24"/>
                <w:vertAlign w:val="superscript"/>
              </w:rPr>
              <w:t>-4</w:t>
            </w:r>
          </w:p>
        </w:tc>
        <w:tc>
          <w:tcPr>
            <w:tcW w:w="1350" w:type="dxa"/>
            <w:vAlign w:val="center"/>
          </w:tcPr>
          <w:p w14:paraId="3D671BA3" w14:textId="5D74CA93" w:rsidR="00BB2C1B" w:rsidRPr="00F37980" w:rsidRDefault="00BB2C1B" w:rsidP="00BB2C1B">
            <w:pPr>
              <w:pStyle w:val="Paragraph"/>
              <w:spacing w:before="120" w:after="120"/>
              <w:ind w:firstLine="0"/>
              <w:jc w:val="center"/>
              <w:rPr>
                <w:sz w:val="24"/>
                <w:szCs w:val="24"/>
              </w:rPr>
            </w:pPr>
            <w:r>
              <w:rPr>
                <w:sz w:val="24"/>
                <w:szCs w:val="24"/>
              </w:rPr>
              <w:t>5.96</w:t>
            </w:r>
            <w:r w:rsidR="003F56CD">
              <w:rPr>
                <w:sz w:val="24"/>
                <w:szCs w:val="24"/>
              </w:rPr>
              <w:t>×</w:t>
            </w:r>
            <w:r w:rsidRPr="005A3E52">
              <w:rPr>
                <w:sz w:val="24"/>
                <w:szCs w:val="24"/>
              </w:rPr>
              <w:t>10</w:t>
            </w:r>
            <w:r w:rsidRPr="005A3E52">
              <w:rPr>
                <w:sz w:val="24"/>
                <w:szCs w:val="24"/>
                <w:vertAlign w:val="superscript"/>
              </w:rPr>
              <w:t>-4</w:t>
            </w:r>
          </w:p>
        </w:tc>
        <w:tc>
          <w:tcPr>
            <w:tcW w:w="1350" w:type="dxa"/>
            <w:vAlign w:val="center"/>
          </w:tcPr>
          <w:p w14:paraId="379C0186" w14:textId="77049046" w:rsidR="00BB2C1B" w:rsidRPr="00F37980" w:rsidRDefault="00BB2C1B" w:rsidP="00BB2C1B">
            <w:pPr>
              <w:pStyle w:val="Paragraph"/>
              <w:spacing w:before="120" w:after="120"/>
              <w:ind w:firstLine="0"/>
              <w:jc w:val="center"/>
              <w:rPr>
                <w:sz w:val="24"/>
                <w:szCs w:val="24"/>
              </w:rPr>
            </w:pPr>
            <w:r>
              <w:rPr>
                <w:sz w:val="24"/>
                <w:szCs w:val="24"/>
              </w:rPr>
              <w:t>1.08</w:t>
            </w:r>
            <w:r w:rsidR="003F56CD">
              <w:rPr>
                <w:sz w:val="24"/>
                <w:szCs w:val="24"/>
              </w:rPr>
              <w:t>×</w:t>
            </w:r>
            <w:r w:rsidRPr="005A3E52">
              <w:rPr>
                <w:sz w:val="24"/>
                <w:szCs w:val="24"/>
              </w:rPr>
              <w:t>10</w:t>
            </w:r>
            <w:r w:rsidRPr="005A3E52">
              <w:rPr>
                <w:sz w:val="24"/>
                <w:szCs w:val="24"/>
                <w:vertAlign w:val="superscript"/>
              </w:rPr>
              <w:t>-4</w:t>
            </w:r>
          </w:p>
        </w:tc>
        <w:tc>
          <w:tcPr>
            <w:tcW w:w="810" w:type="dxa"/>
            <w:vAlign w:val="center"/>
          </w:tcPr>
          <w:p w14:paraId="76F34C31" w14:textId="77777777" w:rsidR="00BB2C1B" w:rsidRPr="00F37980" w:rsidRDefault="00BB2C1B" w:rsidP="00BB2C1B">
            <w:pPr>
              <w:pStyle w:val="Paragraph"/>
              <w:spacing w:before="120" w:after="120"/>
              <w:ind w:firstLine="0"/>
              <w:jc w:val="center"/>
              <w:rPr>
                <w:sz w:val="24"/>
                <w:szCs w:val="24"/>
              </w:rPr>
            </w:pPr>
            <w:r w:rsidRPr="00F37980">
              <w:rPr>
                <w:sz w:val="24"/>
                <w:szCs w:val="24"/>
              </w:rPr>
              <w:t>0.181</w:t>
            </w:r>
          </w:p>
        </w:tc>
        <w:tc>
          <w:tcPr>
            <w:tcW w:w="990" w:type="dxa"/>
            <w:vAlign w:val="center"/>
          </w:tcPr>
          <w:p w14:paraId="6EBEDDD2" w14:textId="77777777" w:rsidR="00BB2C1B" w:rsidRPr="005A3E52" w:rsidRDefault="00BB2C1B" w:rsidP="00BB2C1B">
            <w:pPr>
              <w:pStyle w:val="Paragraph"/>
              <w:spacing w:before="120" w:after="120"/>
              <w:ind w:firstLine="0"/>
              <w:jc w:val="center"/>
              <w:rPr>
                <w:sz w:val="24"/>
                <w:szCs w:val="24"/>
              </w:rPr>
            </w:pPr>
            <w:r>
              <w:rPr>
                <w:sz w:val="24"/>
                <w:szCs w:val="24"/>
              </w:rPr>
              <w:t>2.05</w:t>
            </w:r>
          </w:p>
        </w:tc>
        <w:tc>
          <w:tcPr>
            <w:tcW w:w="931" w:type="dxa"/>
            <w:vAlign w:val="center"/>
          </w:tcPr>
          <w:p w14:paraId="2B50C264" w14:textId="77777777" w:rsidR="00BB2C1B" w:rsidRDefault="00BB2C1B" w:rsidP="00BB2C1B">
            <w:pPr>
              <w:pStyle w:val="Paragraph"/>
              <w:spacing w:before="120" w:after="120"/>
              <w:ind w:firstLine="0"/>
              <w:jc w:val="center"/>
              <w:rPr>
                <w:sz w:val="24"/>
                <w:szCs w:val="24"/>
              </w:rPr>
            </w:pPr>
            <w:r>
              <w:rPr>
                <w:sz w:val="24"/>
                <w:szCs w:val="24"/>
              </w:rPr>
              <w:t>0.22</w:t>
            </w:r>
          </w:p>
        </w:tc>
      </w:tr>
      <w:tr w:rsidR="00BB2C1B" w:rsidRPr="005A3E52" w14:paraId="53701D59" w14:textId="77777777" w:rsidTr="00BB2C1B">
        <w:trPr>
          <w:trHeight w:val="350"/>
          <w:jc w:val="center"/>
        </w:trPr>
        <w:tc>
          <w:tcPr>
            <w:tcW w:w="1705" w:type="dxa"/>
          </w:tcPr>
          <w:p w14:paraId="7568555C" w14:textId="77777777" w:rsidR="00BB2C1B" w:rsidRPr="00C75422" w:rsidRDefault="00BB2C1B" w:rsidP="00BB2C1B">
            <w:pPr>
              <w:pStyle w:val="Paragraph"/>
              <w:spacing w:before="120" w:after="120"/>
              <w:ind w:firstLine="0"/>
              <w:jc w:val="center"/>
              <w:rPr>
                <w:b/>
                <w:sz w:val="24"/>
                <w:szCs w:val="24"/>
              </w:rPr>
            </w:pPr>
            <w:r w:rsidRPr="00C75422">
              <w:rPr>
                <w:b/>
                <w:sz w:val="24"/>
                <w:szCs w:val="24"/>
              </w:rPr>
              <w:t xml:space="preserve">2 </w:t>
            </w:r>
            <w:r>
              <w:rPr>
                <w:b/>
                <w:sz w:val="24"/>
                <w:szCs w:val="24"/>
              </w:rPr>
              <w:t>wt.% I.30E-DGEBA</w:t>
            </w:r>
          </w:p>
        </w:tc>
        <w:tc>
          <w:tcPr>
            <w:tcW w:w="1350" w:type="dxa"/>
            <w:vAlign w:val="center"/>
          </w:tcPr>
          <w:p w14:paraId="3E9F9F63" w14:textId="300992A2" w:rsidR="00BB2C1B" w:rsidRPr="005A3E52" w:rsidRDefault="00BB2C1B" w:rsidP="00BB2C1B">
            <w:pPr>
              <w:pStyle w:val="Paragraph"/>
              <w:spacing w:before="120" w:after="120"/>
              <w:ind w:firstLine="0"/>
              <w:jc w:val="center"/>
              <w:rPr>
                <w:sz w:val="24"/>
                <w:szCs w:val="24"/>
              </w:rPr>
            </w:pPr>
            <w:r>
              <w:rPr>
                <w:sz w:val="24"/>
                <w:szCs w:val="24"/>
              </w:rPr>
              <w:t>7.45</w:t>
            </w:r>
            <w:r w:rsidR="003F56CD">
              <w:rPr>
                <w:sz w:val="24"/>
                <w:szCs w:val="24"/>
              </w:rPr>
              <w:t>×</w:t>
            </w:r>
            <w:r w:rsidRPr="005A3E52">
              <w:rPr>
                <w:sz w:val="24"/>
                <w:szCs w:val="24"/>
              </w:rPr>
              <w:t>10</w:t>
            </w:r>
            <w:r w:rsidRPr="005A3E52">
              <w:rPr>
                <w:sz w:val="24"/>
                <w:szCs w:val="24"/>
                <w:vertAlign w:val="superscript"/>
              </w:rPr>
              <w:t>-4</w:t>
            </w:r>
          </w:p>
        </w:tc>
        <w:tc>
          <w:tcPr>
            <w:tcW w:w="1350" w:type="dxa"/>
            <w:vAlign w:val="center"/>
          </w:tcPr>
          <w:p w14:paraId="0CB26146" w14:textId="30DCB809" w:rsidR="00BB2C1B" w:rsidRPr="00F37980" w:rsidRDefault="00BB2C1B" w:rsidP="00BB2C1B">
            <w:pPr>
              <w:pStyle w:val="Paragraph"/>
              <w:spacing w:before="120" w:after="120"/>
              <w:ind w:firstLine="0"/>
              <w:jc w:val="center"/>
              <w:rPr>
                <w:sz w:val="24"/>
                <w:szCs w:val="24"/>
              </w:rPr>
            </w:pPr>
            <w:r>
              <w:rPr>
                <w:sz w:val="24"/>
                <w:szCs w:val="24"/>
              </w:rPr>
              <w:t>7.22</w:t>
            </w:r>
            <w:r w:rsidR="003F56CD">
              <w:rPr>
                <w:sz w:val="24"/>
                <w:szCs w:val="24"/>
              </w:rPr>
              <w:t>×</w:t>
            </w:r>
            <w:r w:rsidRPr="005A3E52">
              <w:rPr>
                <w:sz w:val="24"/>
                <w:szCs w:val="24"/>
              </w:rPr>
              <w:t>10</w:t>
            </w:r>
            <w:r w:rsidRPr="005A3E52">
              <w:rPr>
                <w:sz w:val="24"/>
                <w:szCs w:val="24"/>
                <w:vertAlign w:val="superscript"/>
              </w:rPr>
              <w:t>-4</w:t>
            </w:r>
          </w:p>
        </w:tc>
        <w:tc>
          <w:tcPr>
            <w:tcW w:w="1350" w:type="dxa"/>
            <w:vAlign w:val="center"/>
          </w:tcPr>
          <w:p w14:paraId="324A78C5" w14:textId="205DEBF9" w:rsidR="00BB2C1B" w:rsidRPr="00F37980" w:rsidRDefault="00BB2C1B" w:rsidP="00BB2C1B">
            <w:pPr>
              <w:pStyle w:val="Paragraph"/>
              <w:spacing w:before="120" w:after="120"/>
              <w:ind w:firstLine="0"/>
              <w:jc w:val="center"/>
              <w:rPr>
                <w:sz w:val="24"/>
                <w:szCs w:val="24"/>
              </w:rPr>
            </w:pPr>
            <w:r>
              <w:rPr>
                <w:sz w:val="24"/>
                <w:szCs w:val="24"/>
              </w:rPr>
              <w:t>1.27</w:t>
            </w:r>
            <w:r w:rsidR="003F56CD">
              <w:rPr>
                <w:sz w:val="24"/>
                <w:szCs w:val="24"/>
              </w:rPr>
              <w:t>×</w:t>
            </w:r>
            <w:r w:rsidRPr="005A3E52">
              <w:rPr>
                <w:sz w:val="24"/>
                <w:szCs w:val="24"/>
              </w:rPr>
              <w:t>10</w:t>
            </w:r>
            <w:r w:rsidRPr="005A3E52">
              <w:rPr>
                <w:sz w:val="24"/>
                <w:szCs w:val="24"/>
                <w:vertAlign w:val="superscript"/>
              </w:rPr>
              <w:t>-4</w:t>
            </w:r>
          </w:p>
        </w:tc>
        <w:tc>
          <w:tcPr>
            <w:tcW w:w="810" w:type="dxa"/>
            <w:vAlign w:val="center"/>
          </w:tcPr>
          <w:p w14:paraId="6E07FC33" w14:textId="77777777" w:rsidR="00BB2C1B" w:rsidRPr="00F37980" w:rsidRDefault="00BB2C1B" w:rsidP="00BB2C1B">
            <w:pPr>
              <w:pStyle w:val="Paragraph"/>
              <w:spacing w:before="120" w:after="120"/>
              <w:ind w:firstLine="0"/>
              <w:jc w:val="center"/>
              <w:rPr>
                <w:sz w:val="24"/>
                <w:szCs w:val="24"/>
              </w:rPr>
            </w:pPr>
            <w:r w:rsidRPr="00F37980">
              <w:rPr>
                <w:sz w:val="24"/>
                <w:szCs w:val="24"/>
              </w:rPr>
              <w:t>0.176</w:t>
            </w:r>
          </w:p>
        </w:tc>
        <w:tc>
          <w:tcPr>
            <w:tcW w:w="990" w:type="dxa"/>
            <w:vAlign w:val="center"/>
          </w:tcPr>
          <w:p w14:paraId="43631A2D" w14:textId="77777777" w:rsidR="00BB2C1B" w:rsidRPr="005A3E52" w:rsidRDefault="00BB2C1B" w:rsidP="00BB2C1B">
            <w:pPr>
              <w:pStyle w:val="Paragraph"/>
              <w:spacing w:before="120" w:after="120"/>
              <w:ind w:firstLine="0"/>
              <w:jc w:val="center"/>
              <w:rPr>
                <w:sz w:val="24"/>
                <w:szCs w:val="24"/>
              </w:rPr>
            </w:pPr>
            <w:r>
              <w:rPr>
                <w:sz w:val="24"/>
                <w:szCs w:val="24"/>
              </w:rPr>
              <w:t>1.99</w:t>
            </w:r>
          </w:p>
        </w:tc>
        <w:tc>
          <w:tcPr>
            <w:tcW w:w="931" w:type="dxa"/>
            <w:vAlign w:val="center"/>
          </w:tcPr>
          <w:p w14:paraId="4BF00EAF" w14:textId="77777777" w:rsidR="00BB2C1B" w:rsidRDefault="00BB2C1B" w:rsidP="00BB2C1B">
            <w:pPr>
              <w:pStyle w:val="Paragraph"/>
              <w:spacing w:before="120" w:after="120"/>
              <w:ind w:firstLine="0"/>
              <w:jc w:val="center"/>
              <w:rPr>
                <w:sz w:val="24"/>
                <w:szCs w:val="24"/>
              </w:rPr>
            </w:pPr>
            <w:r>
              <w:rPr>
                <w:sz w:val="24"/>
                <w:szCs w:val="24"/>
              </w:rPr>
              <w:t>0.</w:t>
            </w:r>
            <w:r w:rsidRPr="00AD3FCB">
              <w:rPr>
                <w:sz w:val="24"/>
                <w:szCs w:val="24"/>
              </w:rPr>
              <w:t>4</w:t>
            </w:r>
            <w:r>
              <w:rPr>
                <w:sz w:val="24"/>
                <w:szCs w:val="24"/>
              </w:rPr>
              <w:t>3</w:t>
            </w:r>
          </w:p>
        </w:tc>
      </w:tr>
      <w:tr w:rsidR="00BB2C1B" w:rsidRPr="005A3E52" w14:paraId="73F3D1A1" w14:textId="77777777" w:rsidTr="00BB2C1B">
        <w:trPr>
          <w:trHeight w:val="350"/>
          <w:jc w:val="center"/>
        </w:trPr>
        <w:tc>
          <w:tcPr>
            <w:tcW w:w="1705" w:type="dxa"/>
          </w:tcPr>
          <w:p w14:paraId="0F22CE01" w14:textId="77777777" w:rsidR="00BB2C1B" w:rsidRPr="00C75422" w:rsidRDefault="00BB2C1B" w:rsidP="00BB2C1B">
            <w:pPr>
              <w:pStyle w:val="Paragraph"/>
              <w:spacing w:before="120" w:after="120"/>
              <w:ind w:firstLine="0"/>
              <w:jc w:val="center"/>
              <w:rPr>
                <w:b/>
                <w:sz w:val="24"/>
                <w:szCs w:val="24"/>
              </w:rPr>
            </w:pPr>
            <w:r w:rsidRPr="00C75422">
              <w:rPr>
                <w:b/>
                <w:sz w:val="24"/>
                <w:szCs w:val="24"/>
              </w:rPr>
              <w:t xml:space="preserve">5 </w:t>
            </w:r>
            <w:r>
              <w:rPr>
                <w:b/>
                <w:sz w:val="24"/>
                <w:szCs w:val="24"/>
              </w:rPr>
              <w:t>wt.% I.30E-DGEBA</w:t>
            </w:r>
          </w:p>
        </w:tc>
        <w:tc>
          <w:tcPr>
            <w:tcW w:w="1350" w:type="dxa"/>
            <w:vAlign w:val="center"/>
          </w:tcPr>
          <w:p w14:paraId="4545BAB4" w14:textId="7EE4B2AA" w:rsidR="00BB2C1B" w:rsidRPr="005A3E52" w:rsidRDefault="00BB2C1B" w:rsidP="00BB2C1B">
            <w:pPr>
              <w:pStyle w:val="Paragraph"/>
              <w:spacing w:before="120" w:after="120"/>
              <w:ind w:firstLine="0"/>
              <w:jc w:val="center"/>
              <w:rPr>
                <w:sz w:val="24"/>
                <w:szCs w:val="24"/>
              </w:rPr>
            </w:pPr>
            <w:r>
              <w:rPr>
                <w:sz w:val="24"/>
                <w:szCs w:val="24"/>
              </w:rPr>
              <w:t>7.30</w:t>
            </w:r>
            <w:r w:rsidR="003F56CD">
              <w:rPr>
                <w:sz w:val="24"/>
                <w:szCs w:val="24"/>
              </w:rPr>
              <w:t>×</w:t>
            </w:r>
            <w:r w:rsidRPr="005A3E52">
              <w:rPr>
                <w:sz w:val="24"/>
                <w:szCs w:val="24"/>
              </w:rPr>
              <w:t>10</w:t>
            </w:r>
            <w:r>
              <w:rPr>
                <w:sz w:val="24"/>
                <w:szCs w:val="24"/>
                <w:vertAlign w:val="superscript"/>
              </w:rPr>
              <w:t>-4</w:t>
            </w:r>
          </w:p>
        </w:tc>
        <w:tc>
          <w:tcPr>
            <w:tcW w:w="1350" w:type="dxa"/>
            <w:vAlign w:val="center"/>
          </w:tcPr>
          <w:p w14:paraId="1F186A07" w14:textId="7418B1C0" w:rsidR="00BB2C1B" w:rsidRPr="00F37980" w:rsidRDefault="00BB2C1B" w:rsidP="00BB2C1B">
            <w:pPr>
              <w:pStyle w:val="Paragraph"/>
              <w:spacing w:before="120" w:after="120"/>
              <w:ind w:firstLine="0"/>
              <w:jc w:val="center"/>
              <w:rPr>
                <w:sz w:val="24"/>
                <w:szCs w:val="24"/>
              </w:rPr>
            </w:pPr>
            <w:r>
              <w:rPr>
                <w:sz w:val="24"/>
                <w:szCs w:val="24"/>
              </w:rPr>
              <w:t>1.62</w:t>
            </w:r>
            <w:r w:rsidR="003F56CD">
              <w:rPr>
                <w:sz w:val="24"/>
                <w:szCs w:val="24"/>
              </w:rPr>
              <w:t>×</w:t>
            </w:r>
            <w:r w:rsidRPr="005A3E52">
              <w:rPr>
                <w:sz w:val="24"/>
                <w:szCs w:val="24"/>
              </w:rPr>
              <w:t>10</w:t>
            </w:r>
            <w:r w:rsidRPr="005A3E52">
              <w:rPr>
                <w:sz w:val="24"/>
                <w:szCs w:val="24"/>
                <w:vertAlign w:val="superscript"/>
              </w:rPr>
              <w:t>-4</w:t>
            </w:r>
          </w:p>
        </w:tc>
        <w:tc>
          <w:tcPr>
            <w:tcW w:w="1350" w:type="dxa"/>
            <w:vAlign w:val="center"/>
          </w:tcPr>
          <w:p w14:paraId="06A851D5" w14:textId="1CBD570D" w:rsidR="00BB2C1B" w:rsidRPr="00F37980" w:rsidRDefault="00BB2C1B" w:rsidP="00BB2C1B">
            <w:pPr>
              <w:pStyle w:val="Paragraph"/>
              <w:spacing w:before="120" w:after="120"/>
              <w:ind w:firstLine="0"/>
              <w:jc w:val="center"/>
              <w:rPr>
                <w:sz w:val="24"/>
                <w:szCs w:val="24"/>
              </w:rPr>
            </w:pPr>
            <w:r>
              <w:rPr>
                <w:sz w:val="24"/>
                <w:szCs w:val="24"/>
              </w:rPr>
              <w:t>2.03</w:t>
            </w:r>
            <w:r w:rsidR="003F56CD">
              <w:rPr>
                <w:sz w:val="24"/>
                <w:szCs w:val="24"/>
              </w:rPr>
              <w:t>×</w:t>
            </w:r>
            <w:r w:rsidRPr="005A3E52">
              <w:rPr>
                <w:sz w:val="24"/>
                <w:szCs w:val="24"/>
              </w:rPr>
              <w:t>10</w:t>
            </w:r>
            <w:r>
              <w:rPr>
                <w:sz w:val="24"/>
                <w:szCs w:val="24"/>
                <w:vertAlign w:val="superscript"/>
              </w:rPr>
              <w:t>-5</w:t>
            </w:r>
          </w:p>
        </w:tc>
        <w:tc>
          <w:tcPr>
            <w:tcW w:w="810" w:type="dxa"/>
            <w:vAlign w:val="center"/>
          </w:tcPr>
          <w:p w14:paraId="02581034" w14:textId="77777777" w:rsidR="00BB2C1B" w:rsidRPr="00F37980" w:rsidRDefault="00BB2C1B" w:rsidP="00BB2C1B">
            <w:pPr>
              <w:pStyle w:val="Paragraph"/>
              <w:spacing w:before="120" w:after="120"/>
              <w:ind w:firstLine="0"/>
              <w:jc w:val="center"/>
              <w:rPr>
                <w:sz w:val="24"/>
                <w:szCs w:val="24"/>
              </w:rPr>
            </w:pPr>
            <w:r w:rsidRPr="00F37980">
              <w:rPr>
                <w:sz w:val="24"/>
                <w:szCs w:val="24"/>
              </w:rPr>
              <w:t>0.125</w:t>
            </w:r>
          </w:p>
        </w:tc>
        <w:tc>
          <w:tcPr>
            <w:tcW w:w="990" w:type="dxa"/>
            <w:vAlign w:val="center"/>
          </w:tcPr>
          <w:p w14:paraId="07725ABC" w14:textId="77777777" w:rsidR="00BB2C1B" w:rsidRPr="005A3E52" w:rsidRDefault="00BB2C1B" w:rsidP="00BB2C1B">
            <w:pPr>
              <w:pStyle w:val="Paragraph"/>
              <w:spacing w:before="120" w:after="120"/>
              <w:ind w:firstLine="0"/>
              <w:jc w:val="center"/>
              <w:rPr>
                <w:sz w:val="24"/>
                <w:szCs w:val="24"/>
              </w:rPr>
            </w:pPr>
            <w:r>
              <w:rPr>
                <w:sz w:val="24"/>
                <w:szCs w:val="24"/>
              </w:rPr>
              <w:t>1.80</w:t>
            </w:r>
          </w:p>
        </w:tc>
        <w:tc>
          <w:tcPr>
            <w:tcW w:w="931" w:type="dxa"/>
            <w:vAlign w:val="center"/>
          </w:tcPr>
          <w:p w14:paraId="490F887C" w14:textId="77777777" w:rsidR="00BB2C1B" w:rsidRDefault="00BB2C1B" w:rsidP="00BB2C1B">
            <w:pPr>
              <w:pStyle w:val="Paragraph"/>
              <w:spacing w:before="120" w:after="120"/>
              <w:ind w:firstLine="0"/>
              <w:jc w:val="center"/>
              <w:rPr>
                <w:sz w:val="24"/>
                <w:szCs w:val="24"/>
              </w:rPr>
            </w:pPr>
            <w:r>
              <w:rPr>
                <w:sz w:val="24"/>
                <w:szCs w:val="24"/>
              </w:rPr>
              <w:t>0.48</w:t>
            </w:r>
          </w:p>
        </w:tc>
      </w:tr>
    </w:tbl>
    <w:p w14:paraId="3B19EF08" w14:textId="77777777" w:rsidR="00BB2C1B" w:rsidRPr="00A61B98" w:rsidRDefault="00BB2C1B" w:rsidP="00BB2C1B">
      <w:pPr>
        <w:ind w:firstLine="0"/>
      </w:pPr>
    </w:p>
    <w:p w14:paraId="6AC8E2DB" w14:textId="36F69E4D" w:rsidR="00D350C2" w:rsidRDefault="00192013" w:rsidP="00BB2C1B">
      <w:r>
        <w:rPr>
          <w:rFonts w:cs="Times New Roman"/>
          <w:szCs w:val="24"/>
        </w:rPr>
        <w:t xml:space="preserve">As can be seen in </w:t>
      </w:r>
      <w:r>
        <w:rPr>
          <w:szCs w:val="24"/>
        </w:rPr>
        <w:fldChar w:fldCharType="begin"/>
      </w:r>
      <w:r>
        <w:rPr>
          <w:szCs w:val="24"/>
        </w:rPr>
        <w:instrText xml:space="preserve"> REF _Ref521073723 \h </w:instrText>
      </w:r>
      <w:r w:rsidR="00F77E87">
        <w:rPr>
          <w:szCs w:val="24"/>
        </w:rPr>
        <w:instrText xml:space="preserve"> \* MERGEFORMAT </w:instrText>
      </w:r>
      <w:r>
        <w:rPr>
          <w:szCs w:val="24"/>
        </w:rPr>
      </w:r>
      <w:r>
        <w:rPr>
          <w:szCs w:val="24"/>
        </w:rPr>
        <w:fldChar w:fldCharType="separate"/>
      </w:r>
      <w:r w:rsidR="006D52C2">
        <w:t xml:space="preserve">Table </w:t>
      </w:r>
      <w:r w:rsidR="006D52C2">
        <w:rPr>
          <w:noProof/>
        </w:rPr>
        <w:t>4</w:t>
      </w:r>
      <w:r>
        <w:rPr>
          <w:szCs w:val="24"/>
        </w:rPr>
        <w:fldChar w:fldCharType="end"/>
      </w:r>
      <w:r>
        <w:rPr>
          <w:rFonts w:cs="Times New Roman"/>
          <w:szCs w:val="24"/>
        </w:rPr>
        <w:t xml:space="preserve">, </w:t>
      </w:r>
      <w:r w:rsidRPr="00E64F3A">
        <w:rPr>
          <w:rFonts w:cs="Times New Roman"/>
          <w:szCs w:val="24"/>
        </w:rPr>
        <w:t>the maximum moisture content</w:t>
      </w:r>
      <w:r>
        <w:rPr>
          <w:rFonts w:cs="Times New Roman"/>
          <w:szCs w:val="24"/>
        </w:rPr>
        <w:t xml:space="preserve"> is observed to </w:t>
      </w:r>
      <w:r w:rsidRPr="00E64F3A">
        <w:rPr>
          <w:rFonts w:cs="Times New Roman"/>
          <w:szCs w:val="24"/>
        </w:rPr>
        <w:t>decrease</w:t>
      </w:r>
      <w:r>
        <w:rPr>
          <w:rFonts w:cs="Times New Roman"/>
          <w:szCs w:val="24"/>
        </w:rPr>
        <w:t xml:space="preserve"> with increasing</w:t>
      </w:r>
      <w:r w:rsidRPr="00E64F3A">
        <w:rPr>
          <w:rFonts w:cs="Times New Roman"/>
          <w:szCs w:val="24"/>
        </w:rPr>
        <w:t xml:space="preserve"> </w:t>
      </w:r>
      <w:r>
        <w:rPr>
          <w:rFonts w:cs="Times New Roman"/>
          <w:szCs w:val="24"/>
        </w:rPr>
        <w:t>nano</w:t>
      </w:r>
      <w:r w:rsidRPr="00E64F3A">
        <w:rPr>
          <w:rFonts w:cs="Times New Roman"/>
          <w:szCs w:val="24"/>
        </w:rPr>
        <w:t xml:space="preserve">clay </w:t>
      </w:r>
      <w:r>
        <w:rPr>
          <w:rFonts w:cs="Times New Roman"/>
          <w:szCs w:val="24"/>
        </w:rPr>
        <w:t>content</w:t>
      </w:r>
      <w:r w:rsidRPr="00E64F3A">
        <w:rPr>
          <w:rFonts w:cs="Times New Roman"/>
          <w:szCs w:val="24"/>
        </w:rPr>
        <w:t xml:space="preserve">. </w:t>
      </w:r>
      <w:r>
        <w:rPr>
          <w:rFonts w:cs="Times New Roman"/>
          <w:szCs w:val="24"/>
        </w:rPr>
        <w:t xml:space="preserve">For example, </w:t>
      </w:r>
      <w:r w:rsidRPr="00E64F3A">
        <w:rPr>
          <w:rFonts w:cs="Times New Roman"/>
          <w:szCs w:val="24"/>
        </w:rPr>
        <w:t xml:space="preserve">5 </w:t>
      </w:r>
      <w:r>
        <w:rPr>
          <w:rFonts w:cs="Times New Roman"/>
          <w:szCs w:val="24"/>
        </w:rPr>
        <w:t>wt</w:t>
      </w:r>
      <w:proofErr w:type="gramStart"/>
      <w:r>
        <w:rPr>
          <w:rFonts w:cs="Times New Roman"/>
          <w:szCs w:val="24"/>
        </w:rPr>
        <w:t>.%</w:t>
      </w:r>
      <w:proofErr w:type="gramEnd"/>
      <w:r w:rsidRPr="00E64F3A">
        <w:rPr>
          <w:rFonts w:cs="Times New Roman"/>
          <w:szCs w:val="24"/>
        </w:rPr>
        <w:t xml:space="preserve"> increase in nanoclay </w:t>
      </w:r>
      <w:r>
        <w:rPr>
          <w:rFonts w:cs="Times New Roman"/>
          <w:szCs w:val="24"/>
        </w:rPr>
        <w:t>loading resulted in an</w:t>
      </w:r>
      <w:r w:rsidRPr="00E64F3A">
        <w:rPr>
          <w:rFonts w:cs="Times New Roman"/>
          <w:szCs w:val="24"/>
        </w:rPr>
        <w:t xml:space="preserve"> 18% decrease in the maximum moisture content. </w:t>
      </w:r>
      <w:r w:rsidR="0084615F">
        <w:rPr>
          <w:rFonts w:cs="Times New Roman"/>
          <w:szCs w:val="24"/>
        </w:rPr>
        <w:t>Similarly,</w:t>
      </w:r>
      <w:r>
        <w:rPr>
          <w:rFonts w:cs="Times New Roman"/>
          <w:szCs w:val="24"/>
        </w:rPr>
        <w:t xml:space="preserve"> hindrance coefficie</w:t>
      </w:r>
      <w:r w:rsidR="00C62852">
        <w:rPr>
          <w:rFonts w:cs="Times New Roman"/>
          <w:szCs w:val="24"/>
        </w:rPr>
        <w:t xml:space="preserve">nts follow a decreasing trend. </w:t>
      </w:r>
      <w:r>
        <w:rPr>
          <w:rFonts w:cs="Times New Roman"/>
          <w:szCs w:val="24"/>
        </w:rPr>
        <w:t xml:space="preserve">These changes in absorption parameters can also be observed in one-dimensional hindered diffusion model prediction in </w:t>
      </w:r>
      <w:r>
        <w:rPr>
          <w:rFonts w:cs="Times New Roman"/>
          <w:szCs w:val="24"/>
        </w:rPr>
        <w:fldChar w:fldCharType="begin"/>
      </w:r>
      <w:r>
        <w:rPr>
          <w:rFonts w:cs="Times New Roman"/>
          <w:szCs w:val="24"/>
        </w:rPr>
        <w:instrText xml:space="preserve"> REF _Ref521076520 \h </w:instrText>
      </w:r>
      <w:r w:rsidR="00F77E87">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Figure </w:t>
      </w:r>
      <w:r w:rsidR="006D52C2">
        <w:rPr>
          <w:noProof/>
        </w:rPr>
        <w:t>19</w:t>
      </w:r>
      <w:r>
        <w:rPr>
          <w:rFonts w:cs="Times New Roman"/>
          <w:szCs w:val="24"/>
        </w:rPr>
        <w:fldChar w:fldCharType="end"/>
      </w:r>
      <w:r>
        <w:rPr>
          <w:rFonts w:cs="Times New Roman"/>
          <w:szCs w:val="24"/>
        </w:rPr>
        <w:t>.</w:t>
      </w:r>
      <w:r>
        <w:t xml:space="preserve"> </w:t>
      </w:r>
    </w:p>
    <w:p w14:paraId="73216632" w14:textId="77777777" w:rsidR="00BB2C1B" w:rsidRDefault="00BB2C1B" w:rsidP="00BB2C1B">
      <w:pPr>
        <w:pStyle w:val="NoSpacing"/>
      </w:pPr>
      <w:bookmarkStart w:id="119" w:name="_Ref391980336"/>
      <w:r>
        <w:rPr>
          <w:noProof/>
          <w:lang w:bidi="ar-SA"/>
        </w:rPr>
        <w:lastRenderedPageBreak/>
        <w:drawing>
          <wp:inline distT="0" distB="0" distL="0" distR="0" wp14:anchorId="2329AAEF" wp14:editId="108F68B2">
            <wp:extent cx="5027186" cy="3657600"/>
            <wp:effectExtent l="0" t="0" r="2540" b="0"/>
            <wp:docPr id="25" name="Picture 25" descr="C:\Users\Administrator\Desktop\proje\General Exam\alqadhi f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proje\General Exam\alqadhi fit.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7186" cy="3657600"/>
                    </a:xfrm>
                    <a:prstGeom prst="rect">
                      <a:avLst/>
                    </a:prstGeom>
                    <a:noFill/>
                    <a:ln>
                      <a:noFill/>
                    </a:ln>
                  </pic:spPr>
                </pic:pic>
              </a:graphicData>
            </a:graphic>
          </wp:inline>
        </w:drawing>
      </w:r>
    </w:p>
    <w:p w14:paraId="635A883E" w14:textId="77777777" w:rsidR="00BB2C1B" w:rsidRDefault="00BB2C1B" w:rsidP="00BB2C1B">
      <w:pPr>
        <w:pStyle w:val="Caption"/>
        <w:rPr>
          <w:noProof/>
        </w:rPr>
      </w:pPr>
      <w:bookmarkStart w:id="120" w:name="_Ref521076520"/>
      <w:bookmarkStart w:id="121" w:name="_Toc405036784"/>
      <w:bookmarkStart w:id="122" w:name="_Toc449516672"/>
      <w:bookmarkStart w:id="123" w:name="_Toc530997375"/>
      <w:bookmarkEnd w:id="119"/>
      <w:r>
        <w:t xml:space="preserve">Figure </w:t>
      </w:r>
      <w:r>
        <w:rPr>
          <w:noProof/>
        </w:rPr>
        <w:fldChar w:fldCharType="begin"/>
      </w:r>
      <w:r>
        <w:rPr>
          <w:noProof/>
        </w:rPr>
        <w:instrText xml:space="preserve"> SEQ Figure \* ARABIC </w:instrText>
      </w:r>
      <w:r>
        <w:rPr>
          <w:noProof/>
        </w:rPr>
        <w:fldChar w:fldCharType="separate"/>
      </w:r>
      <w:r w:rsidR="006D52C2">
        <w:rPr>
          <w:noProof/>
        </w:rPr>
        <w:t>19</w:t>
      </w:r>
      <w:r>
        <w:rPr>
          <w:noProof/>
        </w:rPr>
        <w:fldChar w:fldCharType="end"/>
      </w:r>
      <w:bookmarkEnd w:id="120"/>
      <w:r>
        <w:t>.</w:t>
      </w:r>
      <w:r w:rsidRPr="004447A4">
        <w:rPr>
          <w:noProof/>
        </w:rPr>
        <w:t xml:space="preserve"> Clay loading effect on moisture absorption of I.30E nanoclay/DGEBA epoxy composite</w:t>
      </w:r>
      <w:r>
        <w:rPr>
          <w:noProof/>
        </w:rPr>
        <w:t>.</w:t>
      </w:r>
      <w:bookmarkEnd w:id="121"/>
      <w:bookmarkEnd w:id="122"/>
      <w:bookmarkEnd w:id="123"/>
    </w:p>
    <w:p w14:paraId="248A9275" w14:textId="77777777" w:rsidR="00BB2C1B" w:rsidRDefault="00BB2C1B" w:rsidP="00BB2C1B"/>
    <w:p w14:paraId="349B6426" w14:textId="4B1DD4C8" w:rsidR="00192013" w:rsidRDefault="00192013" w:rsidP="00F77E87">
      <w:r>
        <w:t xml:space="preserve">In </w:t>
      </w:r>
      <w:r>
        <w:fldChar w:fldCharType="begin"/>
      </w:r>
      <w:r>
        <w:instrText xml:space="preserve"> REF _Ref521076520 \h </w:instrText>
      </w:r>
      <w:r w:rsidR="00F77E87">
        <w:instrText xml:space="preserve"> \* MERGEFORMAT </w:instrText>
      </w:r>
      <w:r>
        <w:fldChar w:fldCharType="separate"/>
      </w:r>
      <w:r w:rsidR="006D52C2">
        <w:t xml:space="preserve">Figure </w:t>
      </w:r>
      <w:r w:rsidR="006D52C2">
        <w:rPr>
          <w:noProof/>
        </w:rPr>
        <w:t>19</w:t>
      </w:r>
      <w:r>
        <w:fldChar w:fldCharType="end"/>
      </w:r>
      <w:r>
        <w:t>, the thermogravimetric data of 0, 1, 2</w:t>
      </w:r>
      <w:r w:rsidR="007D4338">
        <w:t>,</w:t>
      </w:r>
      <w:r>
        <w:t xml:space="preserve"> and 5 wt</w:t>
      </w:r>
      <w:proofErr w:type="gramStart"/>
      <w:r>
        <w:t>.%</w:t>
      </w:r>
      <w:proofErr w:type="gramEnd"/>
      <w:r>
        <w:t xml:space="preserve"> (0, 0.67, 1.34</w:t>
      </w:r>
      <w:r w:rsidR="007D4338">
        <w:t>,</w:t>
      </w:r>
      <w:r>
        <w:t xml:space="preserve"> and 3.39 </w:t>
      </w:r>
      <w:proofErr w:type="spellStart"/>
      <w:r>
        <w:t>vol</w:t>
      </w:r>
      <w:proofErr w:type="spellEnd"/>
      <w:r>
        <w:t xml:space="preserve">%) I.30E nanoclay/DGEBA epoxy </w:t>
      </w:r>
      <w:r>
        <w:fldChar w:fldCharType="begin" w:fldLock="1"/>
      </w:r>
      <w:r w:rsidR="00B274D5">
        <w:instrText>ADDIN CSL_CITATION {"citationItems":[{"id":"ITEM-1","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Science","id":"ITEM-1","issue":"10","issued":{"date-parts":[["2013"]]},"page":"3798-3804","title":"Mechanical properties and water uptake of epoxy-clay nanocomposites containing different clay loadings","type":"article-journal","volume":"48"},"uris":["http://www.mendeley.com/documents/?uuid=6f2c854f-86b7-4990-a430-a346c84517ac"]}],"mendeley":{"formattedCitation":"[80]","plainTextFormattedCitation":"[80]","previouslyFormattedCitation":"[80]"},"properties":{"noteIndex":0},"schema":"https://github.com/citation-style-language/schema/raw/master/csl-citation.json"}</w:instrText>
      </w:r>
      <w:r>
        <w:fldChar w:fldCharType="separate"/>
      </w:r>
      <w:r w:rsidRPr="00D14EF2">
        <w:rPr>
          <w:noProof/>
        </w:rPr>
        <w:t>[80]</w:t>
      </w:r>
      <w:r>
        <w:fldChar w:fldCharType="end"/>
      </w:r>
      <w:r>
        <w:t xml:space="preserve"> and one-dimensional hindered diffusion model fits are shown. All the HDM moisture absorption curves</w:t>
      </w:r>
      <w:r w:rsidRPr="00DE088E">
        <w:t xml:space="preserve"> </w:t>
      </w:r>
      <w:r>
        <w:t xml:space="preserve">match well their respective experimental gravimetric data. In addition, </w:t>
      </w:r>
      <w:r w:rsidRPr="00E13CE5">
        <w:t xml:space="preserve">the </w:t>
      </w:r>
      <w:r>
        <w:t>RMS</w:t>
      </w:r>
      <w:r w:rsidRPr="00E13CE5">
        <w:t xml:space="preserve"> error per data point</w:t>
      </w:r>
      <w:r>
        <w:t xml:space="preserve"> in </w:t>
      </w:r>
      <w:r>
        <w:fldChar w:fldCharType="begin"/>
      </w:r>
      <w:r>
        <w:instrText xml:space="preserve"> REF _Ref521073723 \h </w:instrText>
      </w:r>
      <w:r w:rsidR="00F77E87">
        <w:instrText xml:space="preserve"> \* MERGEFORMAT </w:instrText>
      </w:r>
      <w:r>
        <w:fldChar w:fldCharType="separate"/>
      </w:r>
      <w:r w:rsidR="006D52C2">
        <w:t xml:space="preserve">Table </w:t>
      </w:r>
      <w:r w:rsidR="006D52C2">
        <w:rPr>
          <w:noProof/>
        </w:rPr>
        <w:t>4</w:t>
      </w:r>
      <w:r>
        <w:fldChar w:fldCharType="end"/>
      </w:r>
      <w:r w:rsidRPr="00E13CE5">
        <w:t xml:space="preserve"> is fairly insignificant</w:t>
      </w:r>
      <w:r>
        <w:t xml:space="preserve"> (in the order of 10</w:t>
      </w:r>
      <w:r w:rsidRPr="007E0EB6">
        <w:rPr>
          <w:vertAlign w:val="superscript"/>
        </w:rPr>
        <w:t>-3</w:t>
      </w:r>
      <w:r>
        <w:t xml:space="preserve">), which </w:t>
      </w:r>
      <w:r w:rsidRPr="00E13CE5">
        <w:t>indicat</w:t>
      </w:r>
      <w:r>
        <w:t>e</w:t>
      </w:r>
      <w:r w:rsidRPr="00E13CE5">
        <w:t xml:space="preserve"> that the </w:t>
      </w:r>
      <w:r>
        <w:t xml:space="preserve">recovered </w:t>
      </w:r>
      <w:r w:rsidRPr="00E13CE5">
        <w:t>absorption parameters accurately rep</w:t>
      </w:r>
      <w:r>
        <w:t xml:space="preserve">resent the absorption behavior. Decrease in maximum moisture content with increasing clay content may also be observed in </w:t>
      </w:r>
      <w:r>
        <w:fldChar w:fldCharType="begin"/>
      </w:r>
      <w:r>
        <w:instrText xml:space="preserve"> REF _Ref521076520 \h </w:instrText>
      </w:r>
      <w:r w:rsidR="00F77E87">
        <w:instrText xml:space="preserve"> \* MERGEFORMAT </w:instrText>
      </w:r>
      <w:r>
        <w:fldChar w:fldCharType="separate"/>
      </w:r>
      <w:r w:rsidR="006D52C2">
        <w:t xml:space="preserve">Figure </w:t>
      </w:r>
      <w:r w:rsidR="006D52C2">
        <w:rPr>
          <w:noProof/>
        </w:rPr>
        <w:t>19</w:t>
      </w:r>
      <w:r>
        <w:fldChar w:fldCharType="end"/>
      </w:r>
      <w:r>
        <w:t>. Despite the different maximum moisture content, the absorption curves of composites with different clay loading seems to have similar absorption kinetics.</w:t>
      </w:r>
      <w:r w:rsidRPr="00480A1E">
        <w:t xml:space="preserve"> This similarity </w:t>
      </w:r>
      <w:r>
        <w:t>suggests a potential</w:t>
      </w:r>
      <w:r w:rsidRPr="00480A1E">
        <w:t xml:space="preserve"> correlation between</w:t>
      </w:r>
      <w:r w:rsidR="007D4338" w:rsidRPr="007D4338">
        <w:t xml:space="preserve"> </w:t>
      </w:r>
      <w:r w:rsidR="007D4338" w:rsidRPr="00480A1E">
        <w:t>the clay content</w:t>
      </w:r>
      <w:r w:rsidR="007D4338">
        <w:t xml:space="preserve"> and the maximum moisture content and/or</w:t>
      </w:r>
      <w:r w:rsidRPr="00480A1E">
        <w:t xml:space="preserve"> the hindrance coefficient. To investigate these correlations, the hindrance </w:t>
      </w:r>
      <w:r w:rsidRPr="00480A1E">
        <w:lastRenderedPageBreak/>
        <w:t>coefficient, as well as the bound, unbound</w:t>
      </w:r>
      <w:r w:rsidR="007D4338">
        <w:t>,</w:t>
      </w:r>
      <w:r w:rsidRPr="00480A1E">
        <w:t xml:space="preserve"> and total maximum moisture content are </w:t>
      </w:r>
      <w:r>
        <w:t>presented</w:t>
      </w:r>
      <w:r w:rsidRPr="00480A1E">
        <w:t xml:space="preserve"> with respect to clay volume fraction.</w:t>
      </w:r>
    </w:p>
    <w:p w14:paraId="0DCF337C" w14:textId="5FBF77E9" w:rsidR="00BB2C1B" w:rsidRDefault="00BB2C1B" w:rsidP="00BB2C1B">
      <w:r>
        <w:t>In</w:t>
      </w:r>
      <w:r>
        <w:rPr>
          <w:rFonts w:cs="Times New Roman"/>
          <w:szCs w:val="24"/>
        </w:rPr>
        <w:t xml:space="preserve"> </w:t>
      </w:r>
      <w:r>
        <w:rPr>
          <w:rFonts w:cs="Times New Roman"/>
          <w:szCs w:val="24"/>
        </w:rPr>
        <w:fldChar w:fldCharType="begin"/>
      </w:r>
      <w:r>
        <w:rPr>
          <w:rFonts w:cs="Times New Roman"/>
          <w:szCs w:val="24"/>
        </w:rPr>
        <w:instrText xml:space="preserve"> REF _Ref521077204 \h  \* MERGEFORMAT </w:instrText>
      </w:r>
      <w:r>
        <w:rPr>
          <w:rFonts w:cs="Times New Roman"/>
          <w:szCs w:val="24"/>
        </w:rPr>
      </w:r>
      <w:r>
        <w:rPr>
          <w:rFonts w:cs="Times New Roman"/>
          <w:szCs w:val="24"/>
        </w:rPr>
        <w:fldChar w:fldCharType="separate"/>
      </w:r>
      <w:r w:rsidR="006D52C2">
        <w:t xml:space="preserve">Figure </w:t>
      </w:r>
      <w:r w:rsidR="006D52C2">
        <w:rPr>
          <w:noProof/>
        </w:rPr>
        <w:t>20</w:t>
      </w:r>
      <w:r>
        <w:rPr>
          <w:rFonts w:cs="Times New Roman"/>
          <w:szCs w:val="24"/>
        </w:rPr>
        <w:fldChar w:fldCharType="end"/>
      </w:r>
      <w:r w:rsidR="0084615F">
        <w:t>,</w:t>
      </w:r>
      <w:r>
        <w:t xml:space="preserve"> hindrance coefficients of DGEBA epoxy with different clay loadings and their trendline with respect to the clay content are depicted. Remarkably, the hindrance coefficient is found to linearly decrease by nanoclay addition. Decreasing hindrance coefficient means that the absorption behavior is becoming more Fickian. When the hindrance coefficient, µ, equals to zero, the absorption is completely Fickian. Increase in the non-Fickian absorption behavior was expected by nanoclay addition due to creation of new interfacial surfaces between the nanoclay and epoxy. However, change in absorption towards Fickian suggests presence of strong nanoclay/epoxy interface where the water molecules could not interfere.</w:t>
      </w:r>
    </w:p>
    <w:p w14:paraId="38F08CFB" w14:textId="77777777" w:rsidR="00BB2C1B" w:rsidRDefault="00BB2C1B" w:rsidP="00BB2C1B">
      <w:pPr>
        <w:pStyle w:val="NoSpacing"/>
      </w:pPr>
      <w:r w:rsidRPr="00360425">
        <w:rPr>
          <w:noProof/>
          <w:lang w:bidi="ar-SA"/>
        </w:rPr>
        <w:drawing>
          <wp:inline distT="0" distB="0" distL="0" distR="0" wp14:anchorId="380238FA" wp14:editId="27D92BF4">
            <wp:extent cx="5394960" cy="2606040"/>
            <wp:effectExtent l="0" t="0" r="0" b="38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F5D43E2" w14:textId="77777777" w:rsidR="00BB2C1B" w:rsidRDefault="00BB2C1B" w:rsidP="00BB2C1B">
      <w:pPr>
        <w:pStyle w:val="Caption"/>
      </w:pPr>
      <w:bookmarkStart w:id="124" w:name="_Ref521077204"/>
      <w:bookmarkStart w:id="125" w:name="_Toc405036785"/>
      <w:bookmarkStart w:id="126" w:name="_Toc449516673"/>
      <w:bookmarkStart w:id="127" w:name="_Toc530997376"/>
      <w:r>
        <w:t xml:space="preserve">Figure </w:t>
      </w:r>
      <w:r>
        <w:rPr>
          <w:noProof/>
        </w:rPr>
        <w:fldChar w:fldCharType="begin"/>
      </w:r>
      <w:r>
        <w:rPr>
          <w:noProof/>
        </w:rPr>
        <w:instrText xml:space="preserve"> SEQ Figure \* ARABIC </w:instrText>
      </w:r>
      <w:r>
        <w:rPr>
          <w:noProof/>
        </w:rPr>
        <w:fldChar w:fldCharType="separate"/>
      </w:r>
      <w:r w:rsidR="006D52C2">
        <w:rPr>
          <w:noProof/>
        </w:rPr>
        <w:t>20</w:t>
      </w:r>
      <w:r>
        <w:rPr>
          <w:noProof/>
        </w:rPr>
        <w:fldChar w:fldCharType="end"/>
      </w:r>
      <w:bookmarkEnd w:id="124"/>
      <w:r>
        <w:t>. Effect of nanoclay loading in DGEBA epoxy on hindrance coefficient.</w:t>
      </w:r>
      <w:bookmarkEnd w:id="125"/>
      <w:bookmarkEnd w:id="126"/>
      <w:bookmarkEnd w:id="127"/>
    </w:p>
    <w:p w14:paraId="57D8646E" w14:textId="77777777" w:rsidR="00BB2C1B" w:rsidRDefault="00BB2C1B" w:rsidP="00F77E87"/>
    <w:p w14:paraId="73E20082" w14:textId="77777777" w:rsidR="00192013" w:rsidRDefault="00192013" w:rsidP="00F77E87">
      <w:r>
        <w:t>In</w:t>
      </w:r>
      <w:r>
        <w:rPr>
          <w:rFonts w:cs="Times New Roman"/>
          <w:szCs w:val="24"/>
        </w:rPr>
        <w:t xml:space="preserve"> </w:t>
      </w:r>
      <w:r>
        <w:rPr>
          <w:rFonts w:cs="Times New Roman"/>
          <w:szCs w:val="24"/>
        </w:rPr>
        <w:fldChar w:fldCharType="begin"/>
      </w:r>
      <w:r>
        <w:rPr>
          <w:rFonts w:cs="Times New Roman"/>
          <w:szCs w:val="24"/>
        </w:rPr>
        <w:instrText xml:space="preserve"> REF _Ref521077309 \h </w:instrText>
      </w:r>
      <w:r w:rsidR="00F77E87">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Figure </w:t>
      </w:r>
      <w:r w:rsidR="006D52C2">
        <w:rPr>
          <w:noProof/>
        </w:rPr>
        <w:t>21</w:t>
      </w:r>
      <w:r>
        <w:rPr>
          <w:rFonts w:cs="Times New Roman"/>
          <w:szCs w:val="24"/>
        </w:rPr>
        <w:fldChar w:fldCharType="end"/>
      </w:r>
      <w:r>
        <w:t xml:space="preserve">, the correlation between maximum moisture content and the nanoclay loading is shown. As the nanoclay content increases, the maximum moisture content decreases linearly. Since the nanoclay is assumed to be impermeable, or to have very low diffusion coefficient, the water does not diffuse into the nanoclay platelets. Moisture is </w:t>
      </w:r>
      <w:r>
        <w:lastRenderedPageBreak/>
        <w:t xml:space="preserve">only absorbed by the matrix; hence, an increase in the nanoclay content in per unit volume would yield a drop in the maximum moisture content of the composite. </w:t>
      </w:r>
    </w:p>
    <w:p w14:paraId="3138279F" w14:textId="77777777" w:rsidR="00BB2C1B" w:rsidRDefault="00BB2C1B" w:rsidP="00BB2C1B">
      <w:pPr>
        <w:pStyle w:val="NoSpacing"/>
      </w:pPr>
      <w:r w:rsidRPr="00360425">
        <w:rPr>
          <w:noProof/>
          <w:lang w:bidi="ar-SA"/>
        </w:rPr>
        <w:drawing>
          <wp:inline distT="0" distB="0" distL="0" distR="0" wp14:anchorId="18DEA1F6" wp14:editId="2FF81483">
            <wp:extent cx="5394960" cy="2606040"/>
            <wp:effectExtent l="0" t="0" r="0" b="381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bookmarkStart w:id="128" w:name="_Toc405036786"/>
      <w:bookmarkStart w:id="129" w:name="_Toc449516674"/>
    </w:p>
    <w:p w14:paraId="5254C38C" w14:textId="77777777" w:rsidR="00BB2C1B" w:rsidRDefault="00BB2C1B" w:rsidP="00BB2C1B">
      <w:pPr>
        <w:pStyle w:val="Caption"/>
      </w:pPr>
      <w:bookmarkStart w:id="130" w:name="_Ref521077309"/>
      <w:bookmarkStart w:id="131" w:name="_Toc530997377"/>
      <w:r>
        <w:t xml:space="preserve">Figure </w:t>
      </w:r>
      <w:r>
        <w:rPr>
          <w:noProof/>
        </w:rPr>
        <w:fldChar w:fldCharType="begin"/>
      </w:r>
      <w:r>
        <w:rPr>
          <w:noProof/>
        </w:rPr>
        <w:instrText xml:space="preserve"> SEQ Figure \* ARABIC </w:instrText>
      </w:r>
      <w:r>
        <w:rPr>
          <w:noProof/>
        </w:rPr>
        <w:fldChar w:fldCharType="separate"/>
      </w:r>
      <w:r w:rsidR="006D52C2">
        <w:rPr>
          <w:noProof/>
        </w:rPr>
        <w:t>21</w:t>
      </w:r>
      <w:r>
        <w:rPr>
          <w:noProof/>
        </w:rPr>
        <w:fldChar w:fldCharType="end"/>
      </w:r>
      <w:bookmarkEnd w:id="130"/>
      <w:r>
        <w:t>.</w:t>
      </w:r>
      <w:r w:rsidRPr="00945355">
        <w:t xml:space="preserve"> </w:t>
      </w:r>
      <w:r>
        <w:t>Effect of nanoclay loading in DGEBA epoxy on maximum moisture content.</w:t>
      </w:r>
      <w:bookmarkEnd w:id="128"/>
      <w:bookmarkEnd w:id="129"/>
      <w:bookmarkEnd w:id="131"/>
    </w:p>
    <w:p w14:paraId="2E3137D8" w14:textId="77777777" w:rsidR="00BB2C1B" w:rsidRDefault="00BB2C1B" w:rsidP="00F77E87"/>
    <w:p w14:paraId="7F4D7D03" w14:textId="664F0C98" w:rsidR="00192013" w:rsidRDefault="00192013" w:rsidP="00BB2C1B">
      <w:r w:rsidRPr="00E06267">
        <w:t>Although the nanoclays absorb</w:t>
      </w:r>
      <w:r>
        <w:t xml:space="preserve"> </w:t>
      </w:r>
      <w:r w:rsidRPr="00E06267">
        <w:t xml:space="preserve">little </w:t>
      </w:r>
      <w:r w:rsidR="0032339A">
        <w:t>to no</w:t>
      </w:r>
      <w:r>
        <w:t xml:space="preserve"> </w:t>
      </w:r>
      <w:r w:rsidRPr="00E06267">
        <w:t>moisture, they</w:t>
      </w:r>
      <w:r>
        <w:t xml:space="preserve"> still</w:t>
      </w:r>
      <w:r w:rsidRPr="00E06267">
        <w:t xml:space="preserve"> affect the absorbed </w:t>
      </w:r>
      <w:r>
        <w:t xml:space="preserve">overall </w:t>
      </w:r>
      <w:r w:rsidRPr="00E06267">
        <w:t>moisture content</w:t>
      </w:r>
      <w:r>
        <w:t>.</w:t>
      </w:r>
      <w:r w:rsidRPr="00E06267">
        <w:t xml:space="preserve"> </w:t>
      </w:r>
      <w:r>
        <w:t xml:space="preserve">Hindered diffusion model suggests that the total moisture content is aggregate of two types of moisture in polymers: bound moisture and unbound moisture. Unbound moisture is absorbed via diffusion by random molecular motion towards the low concentration. Added nanoclays occupy some amount of volume “free volume’ where the moisture could have diffused, thus, presence of less free volume decreases the maximum unbound moisture content. Moreover, nanoclay addition may also decrease the binding sites in the medium by replacing the polymers resulting in a decrease of bound moisture. On the other hand, nanoclays create new interfaces which may increase the chemical interactions between the polar water molecules and the medium, resulting in an increase of bound moisture. </w:t>
      </w:r>
      <w:r w:rsidR="007D4338">
        <w:t>Interface chemistry and type of nanoclay and</w:t>
      </w:r>
      <w:r>
        <w:t xml:space="preserve"> epoxy determine the change in</w:t>
      </w:r>
      <w:r w:rsidR="00BB2C1B">
        <w:t xml:space="preserve"> bound moisture. </w:t>
      </w:r>
    </w:p>
    <w:p w14:paraId="5AC1EAC1" w14:textId="06021907" w:rsidR="00192013" w:rsidRDefault="00192013" w:rsidP="00F77E87">
      <w:r>
        <w:lastRenderedPageBreak/>
        <w:t xml:space="preserve">One-dimensional hindered diffusion model can also predict the behavior of unbound and bound moisture absorption. In </w:t>
      </w:r>
      <w:r>
        <w:fldChar w:fldCharType="begin"/>
      </w:r>
      <w:r>
        <w:instrText xml:space="preserve"> REF _Ref521500098 \h </w:instrText>
      </w:r>
      <w:r w:rsidR="00F77E87">
        <w:instrText xml:space="preserve"> \* MERGEFORMAT </w:instrText>
      </w:r>
      <w:r>
        <w:fldChar w:fldCharType="separate"/>
      </w:r>
      <w:r w:rsidR="006D52C2">
        <w:t xml:space="preserve">Figure </w:t>
      </w:r>
      <w:r w:rsidR="006D52C2">
        <w:rPr>
          <w:noProof/>
        </w:rPr>
        <w:t>22</w:t>
      </w:r>
      <w:r>
        <w:fldChar w:fldCharType="end"/>
      </w:r>
      <w:r>
        <w:t>, total, unbound, and bound moisture absorptions of 2 wt</w:t>
      </w:r>
      <w:proofErr w:type="gramStart"/>
      <w:r>
        <w:t>.%</w:t>
      </w:r>
      <w:proofErr w:type="gramEnd"/>
      <w:r>
        <w:t xml:space="preserve"> I.30E/DGEBA composite are illustrated. The total moisture is </w:t>
      </w:r>
      <w:r w:rsidR="0084615F">
        <w:t xml:space="preserve">a </w:t>
      </w:r>
      <w:r>
        <w:t>combination of bound and unbound moisture. In most polymer, almost all the first initial moisture uptake is unbound moisture. After reaching pseudo-equilibrium phase, there is no additional unbound moisture uptake. Since unbound moisture is governed by diffusion by random molecular motion, it shows Fickian diffusion behavior. On the other hand, bound moisture is generally generated relatively later than the unbound moisture.</w:t>
      </w:r>
      <w:r w:rsidR="0084615F">
        <w:t xml:space="preserve"> Bound moisture is responsible for</w:t>
      </w:r>
      <w:r>
        <w:t xml:space="preserve"> the delay in reaching equilibrium moisture content. Once the overall rate of transformation between bound and unbound reaches equilibrium, polymer would stop absorbing any additional water. Maximum bound and unbound moisture content is directly related to maximum moisture content and hindrance coefficient: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0"/>
        <w:gridCol w:w="1096"/>
      </w:tblGrid>
      <w:tr w:rsidR="00192013" w:rsidRPr="00FB3EC6" w14:paraId="226A9833" w14:textId="77777777" w:rsidTr="00A440CD">
        <w:tc>
          <w:tcPr>
            <w:tcW w:w="7400" w:type="dxa"/>
            <w:vAlign w:val="center"/>
          </w:tcPr>
          <w:p w14:paraId="5C57C1F5" w14:textId="77777777" w:rsidR="00192013" w:rsidRPr="00FB3EC6" w:rsidRDefault="007B3686" w:rsidP="00F77E87">
            <m:oMathPara>
              <m:oMath>
                <m:sSub>
                  <m:sSubPr>
                    <m:ctrlPr>
                      <w:rPr>
                        <w:rFonts w:ascii="Cambria Math" w:eastAsiaTheme="minorHAnsi" w:hAnsi="Cambria Math"/>
                      </w:rPr>
                    </m:ctrlPr>
                  </m:sSubPr>
                  <m:e>
                    <m:r>
                      <w:rPr>
                        <w:rFonts w:ascii="Cambria Math" w:hAnsi="Cambria Math"/>
                      </w:rPr>
                      <m:t>M</m:t>
                    </m:r>
                  </m:e>
                  <m:sub>
                    <m:r>
                      <m:rPr>
                        <m:sty m:val="p"/>
                      </m:rPr>
                      <w:rPr>
                        <w:rFonts w:ascii="Cambria Math" w:hAnsi="Cambria Math"/>
                      </w:rPr>
                      <m:t xml:space="preserve">∞, </m:t>
                    </m:r>
                    <m:r>
                      <w:rPr>
                        <w:rFonts w:ascii="Cambria Math" w:hAnsi="Cambria Math"/>
                      </w:rPr>
                      <m:t>bound</m:t>
                    </m:r>
                  </m:sub>
                </m:sSub>
                <m:r>
                  <m:rPr>
                    <m:sty m:val="p"/>
                  </m:rPr>
                  <w:rPr>
                    <w:rFonts w:ascii="Cambria Math" w:hAnsi="Cambria Math"/>
                  </w:rPr>
                  <m:t>=</m:t>
                </m:r>
                <m:f>
                  <m:fPr>
                    <m:ctrlPr>
                      <w:rPr>
                        <w:rFonts w:ascii="Cambria Math" w:eastAsiaTheme="minorHAnsi" w:hAnsi="Cambria Math"/>
                      </w:rPr>
                    </m:ctrlPr>
                  </m:fPr>
                  <m:num>
                    <m:r>
                      <w:rPr>
                        <w:rFonts w:ascii="Cambria Math" w:hAnsi="Cambria Math"/>
                      </w:rPr>
                      <m:t>μ</m:t>
                    </m:r>
                  </m:num>
                  <m:den>
                    <m:r>
                      <m:rPr>
                        <m:sty m:val="p"/>
                      </m:rPr>
                      <w:rPr>
                        <w:rFonts w:ascii="Cambria Math" w:hAnsi="Cambria Math"/>
                      </w:rPr>
                      <m:t>1+µ</m:t>
                    </m:r>
                  </m:den>
                </m:f>
                <m:sSub>
                  <m:sSubPr>
                    <m:ctrlPr>
                      <w:rPr>
                        <w:rFonts w:ascii="Cambria Math" w:eastAsiaTheme="minorHAnsi" w:hAnsi="Cambria Math"/>
                      </w:rPr>
                    </m:ctrlPr>
                  </m:sSubPr>
                  <m:e>
                    <m:r>
                      <w:rPr>
                        <w:rFonts w:ascii="Cambria Math" w:hAnsi="Cambria Math"/>
                      </w:rPr>
                      <m:t>M</m:t>
                    </m:r>
                  </m:e>
                  <m:sub>
                    <m:r>
                      <m:rPr>
                        <m:sty m:val="p"/>
                      </m:rPr>
                      <w:rPr>
                        <w:rFonts w:ascii="Cambria Math" w:hAnsi="Cambria Math"/>
                      </w:rPr>
                      <m:t>∞</m:t>
                    </m:r>
                  </m:sub>
                </m:sSub>
              </m:oMath>
            </m:oMathPara>
          </w:p>
        </w:tc>
        <w:tc>
          <w:tcPr>
            <w:tcW w:w="1096" w:type="dxa"/>
            <w:vAlign w:val="center"/>
          </w:tcPr>
          <w:p w14:paraId="2DB8B7A9" w14:textId="77777777" w:rsidR="00192013" w:rsidRPr="00FB3EC6" w:rsidRDefault="00192013" w:rsidP="00F77E87">
            <w:r w:rsidRPr="00FB3EC6">
              <w:t>(60a)</w:t>
            </w:r>
          </w:p>
        </w:tc>
      </w:tr>
      <w:tr w:rsidR="00192013" w14:paraId="0D5A5975" w14:textId="77777777" w:rsidTr="00A440CD">
        <w:tc>
          <w:tcPr>
            <w:tcW w:w="7400" w:type="dxa"/>
            <w:vAlign w:val="center"/>
          </w:tcPr>
          <w:p w14:paraId="6E5DB324" w14:textId="77777777" w:rsidR="00192013" w:rsidRPr="00FB3EC6" w:rsidRDefault="007B3686" w:rsidP="00F77E87">
            <m:oMathPara>
              <m:oMath>
                <m:sSub>
                  <m:sSubPr>
                    <m:ctrlPr>
                      <w:rPr>
                        <w:rFonts w:ascii="Cambria Math" w:eastAsiaTheme="minorHAnsi" w:hAnsi="Cambria Math"/>
                      </w:rPr>
                    </m:ctrlPr>
                  </m:sSubPr>
                  <m:e>
                    <m:r>
                      <w:rPr>
                        <w:rFonts w:ascii="Cambria Math" w:hAnsi="Cambria Math"/>
                      </w:rPr>
                      <m:t>M</m:t>
                    </m:r>
                  </m:e>
                  <m:sub>
                    <m:r>
                      <m:rPr>
                        <m:sty m:val="p"/>
                      </m:rPr>
                      <w:rPr>
                        <w:rFonts w:ascii="Cambria Math" w:hAnsi="Cambria Math"/>
                      </w:rPr>
                      <m:t xml:space="preserve">∞, </m:t>
                    </m:r>
                    <m:r>
                      <w:rPr>
                        <w:rFonts w:ascii="Cambria Math" w:hAnsi="Cambria Math"/>
                      </w:rPr>
                      <m:t>unbound</m:t>
                    </m:r>
                  </m:sub>
                </m:sSub>
                <m:r>
                  <m:rPr>
                    <m:sty m:val="p"/>
                  </m:rPr>
                  <w:rPr>
                    <w:rFonts w:ascii="Cambria Math" w:hAnsi="Cambria Math"/>
                  </w:rPr>
                  <m:t>=</m:t>
                </m:r>
                <m:f>
                  <m:fPr>
                    <m:ctrlPr>
                      <w:rPr>
                        <w:rFonts w:ascii="Cambria Math" w:eastAsiaTheme="minorHAnsi" w:hAnsi="Cambria Math"/>
                      </w:rPr>
                    </m:ctrlPr>
                  </m:fPr>
                  <m:num>
                    <m:r>
                      <m:rPr>
                        <m:sty m:val="p"/>
                      </m:rPr>
                      <w:rPr>
                        <w:rFonts w:ascii="Cambria Math" w:hAnsi="Cambria Math"/>
                      </w:rPr>
                      <m:t>1</m:t>
                    </m:r>
                  </m:num>
                  <m:den>
                    <m:r>
                      <m:rPr>
                        <m:sty m:val="p"/>
                      </m:rPr>
                      <w:rPr>
                        <w:rFonts w:ascii="Cambria Math" w:hAnsi="Cambria Math"/>
                      </w:rPr>
                      <m:t>1+µ</m:t>
                    </m:r>
                  </m:den>
                </m:f>
                <m:sSub>
                  <m:sSubPr>
                    <m:ctrlPr>
                      <w:rPr>
                        <w:rFonts w:ascii="Cambria Math" w:eastAsiaTheme="minorHAnsi" w:hAnsi="Cambria Math"/>
                      </w:rPr>
                    </m:ctrlPr>
                  </m:sSubPr>
                  <m:e>
                    <m:r>
                      <w:rPr>
                        <w:rFonts w:ascii="Cambria Math" w:hAnsi="Cambria Math"/>
                      </w:rPr>
                      <m:t>M</m:t>
                    </m:r>
                  </m:e>
                  <m:sub>
                    <m:r>
                      <m:rPr>
                        <m:sty m:val="p"/>
                      </m:rPr>
                      <w:rPr>
                        <w:rFonts w:ascii="Cambria Math" w:hAnsi="Cambria Math"/>
                      </w:rPr>
                      <m:t>∞</m:t>
                    </m:r>
                  </m:sub>
                </m:sSub>
              </m:oMath>
            </m:oMathPara>
          </w:p>
        </w:tc>
        <w:tc>
          <w:tcPr>
            <w:tcW w:w="1096" w:type="dxa"/>
            <w:vAlign w:val="center"/>
          </w:tcPr>
          <w:p w14:paraId="1BAE6B62" w14:textId="77777777" w:rsidR="00192013" w:rsidRDefault="00192013" w:rsidP="00F77E87">
            <w:r w:rsidRPr="00FB3EC6">
              <w:t>(60b)</w:t>
            </w:r>
          </w:p>
        </w:tc>
      </w:tr>
    </w:tbl>
    <w:p w14:paraId="12F73CB4" w14:textId="2CB96E1B" w:rsidR="00995E0E" w:rsidRDefault="00995E0E" w:rsidP="00995E0E">
      <w:r>
        <w:t xml:space="preserve">In </w:t>
      </w:r>
      <w:r>
        <w:fldChar w:fldCharType="begin"/>
      </w:r>
      <w:r>
        <w:instrText xml:space="preserve"> REF _Ref521077205 \h  \* MERGEFORMAT </w:instrText>
      </w:r>
      <w:r>
        <w:fldChar w:fldCharType="separate"/>
      </w:r>
      <w:r w:rsidR="006D52C2">
        <w:t xml:space="preserve">Figure </w:t>
      </w:r>
      <w:r w:rsidR="006D52C2">
        <w:rPr>
          <w:noProof/>
        </w:rPr>
        <w:t>23</w:t>
      </w:r>
      <w:r>
        <w:fldChar w:fldCharType="end"/>
      </w:r>
      <w:r>
        <w:t>, the relationship between equilibrium unbound moisture content and the volume fraction of nanoclay is illustrated. As in bound moisture vs. nanoclay content, the linearity is directly related to the linearity of both the hindrance coefficient and the maximum moisture vs. nanoclay content. The unbound moisture content decreases by 11% with the addition of 5 wt</w:t>
      </w:r>
      <w:proofErr w:type="gramStart"/>
      <w:r>
        <w:t>.%</w:t>
      </w:r>
      <w:proofErr w:type="gramEnd"/>
      <w:r>
        <w:t xml:space="preserve"> (3.5 </w:t>
      </w:r>
      <w:proofErr w:type="spellStart"/>
      <w:r>
        <w:t>vol</w:t>
      </w:r>
      <w:proofErr w:type="spellEnd"/>
      <w:r>
        <w:t>%) nanoclay. As the nanoclay content increases, the amount of free volume in samples, which the water molecules can diffuse into, decreases. The free volume that was available in neat epoxy has now been occupied by the added nanoclay.</w:t>
      </w:r>
    </w:p>
    <w:p w14:paraId="43144A25" w14:textId="77777777" w:rsidR="00BB2C1B" w:rsidRDefault="00BB2C1B" w:rsidP="00BB2C1B">
      <w:pPr>
        <w:pStyle w:val="NoSpacing"/>
        <w:rPr>
          <w:highlight w:val="yellow"/>
        </w:rPr>
      </w:pPr>
      <w:r>
        <w:rPr>
          <w:noProof/>
          <w:lang w:bidi="ar-SA"/>
        </w:rPr>
        <w:lastRenderedPageBreak/>
        <w:drawing>
          <wp:inline distT="0" distB="0" distL="0" distR="0" wp14:anchorId="075466D5" wp14:editId="4BF9AC8E">
            <wp:extent cx="5028088" cy="3657600"/>
            <wp:effectExtent l="0" t="0" r="1270" b="0"/>
            <wp:docPr id="4" name="Picture 4" descr="C:\Users\Administrator\Desktop\proje\PhD Dissertation\alqadhi 2wt%\expo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proje\PhD Dissertation\alqadhi 2wt%\export.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28088" cy="3657600"/>
                    </a:xfrm>
                    <a:prstGeom prst="rect">
                      <a:avLst/>
                    </a:prstGeom>
                    <a:noFill/>
                    <a:ln>
                      <a:noFill/>
                    </a:ln>
                  </pic:spPr>
                </pic:pic>
              </a:graphicData>
            </a:graphic>
          </wp:inline>
        </w:drawing>
      </w:r>
    </w:p>
    <w:p w14:paraId="7C6D4747" w14:textId="7E0B9665" w:rsidR="00BB2C1B" w:rsidRDefault="00BB2C1B" w:rsidP="00BB2C1B">
      <w:pPr>
        <w:pStyle w:val="Caption"/>
      </w:pPr>
      <w:bookmarkStart w:id="132" w:name="_Ref521500098"/>
      <w:bookmarkStart w:id="133" w:name="_Toc530997378"/>
      <w:r>
        <w:t xml:space="preserve">Figure </w:t>
      </w:r>
      <w:r>
        <w:rPr>
          <w:noProof/>
        </w:rPr>
        <w:fldChar w:fldCharType="begin"/>
      </w:r>
      <w:r>
        <w:rPr>
          <w:noProof/>
        </w:rPr>
        <w:instrText xml:space="preserve"> SEQ Figure \* ARABIC </w:instrText>
      </w:r>
      <w:r>
        <w:rPr>
          <w:noProof/>
        </w:rPr>
        <w:fldChar w:fldCharType="separate"/>
      </w:r>
      <w:r w:rsidR="006D52C2">
        <w:rPr>
          <w:noProof/>
        </w:rPr>
        <w:t>22</w:t>
      </w:r>
      <w:r>
        <w:rPr>
          <w:noProof/>
        </w:rPr>
        <w:fldChar w:fldCharType="end"/>
      </w:r>
      <w:bookmarkEnd w:id="132"/>
      <w:r w:rsidRPr="007E0B5D">
        <w:t>.</w:t>
      </w:r>
      <w:r w:rsidRPr="005E3A68">
        <w:t xml:space="preserve"> </w:t>
      </w:r>
      <w:r>
        <w:t>Total, unbound</w:t>
      </w:r>
      <w:r w:rsidR="007D4338">
        <w:t>,</w:t>
      </w:r>
      <w:r>
        <w:t xml:space="preserve"> and bound moisture absorption of 2 wt</w:t>
      </w:r>
      <w:proofErr w:type="gramStart"/>
      <w:r>
        <w:t>.%</w:t>
      </w:r>
      <w:proofErr w:type="gramEnd"/>
      <w:r>
        <w:t xml:space="preserve"> I.30E/DGEBA composite</w:t>
      </w:r>
      <w:bookmarkEnd w:id="133"/>
    </w:p>
    <w:p w14:paraId="6C278488" w14:textId="77777777" w:rsidR="00BB2C1B" w:rsidRDefault="00BB2C1B" w:rsidP="00F77E87"/>
    <w:p w14:paraId="3CAB5C55" w14:textId="77777777" w:rsidR="00192013" w:rsidRDefault="00192013" w:rsidP="00192013">
      <w:pPr>
        <w:pStyle w:val="NoSpacing"/>
      </w:pPr>
      <w:r w:rsidRPr="00360425">
        <w:rPr>
          <w:noProof/>
          <w:lang w:bidi="ar-SA"/>
        </w:rPr>
        <w:drawing>
          <wp:inline distT="0" distB="0" distL="0" distR="0" wp14:anchorId="682112A8" wp14:editId="57D594FD">
            <wp:extent cx="5394960" cy="2606040"/>
            <wp:effectExtent l="0" t="0" r="0" b="381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501EC64" w14:textId="77777777" w:rsidR="00192013" w:rsidRDefault="00192013" w:rsidP="00192013">
      <w:pPr>
        <w:pStyle w:val="Caption"/>
      </w:pPr>
      <w:bookmarkStart w:id="134" w:name="_Ref521077205"/>
      <w:bookmarkStart w:id="135" w:name="_Toc449516676"/>
      <w:bookmarkStart w:id="136" w:name="_Toc530997379"/>
      <w:r>
        <w:t xml:space="preserve">Figure </w:t>
      </w:r>
      <w:r>
        <w:rPr>
          <w:noProof/>
        </w:rPr>
        <w:fldChar w:fldCharType="begin"/>
      </w:r>
      <w:r>
        <w:rPr>
          <w:noProof/>
        </w:rPr>
        <w:instrText xml:space="preserve"> SEQ Figure \* ARABIC </w:instrText>
      </w:r>
      <w:r>
        <w:rPr>
          <w:noProof/>
        </w:rPr>
        <w:fldChar w:fldCharType="separate"/>
      </w:r>
      <w:r w:rsidR="006D52C2">
        <w:rPr>
          <w:noProof/>
        </w:rPr>
        <w:t>23</w:t>
      </w:r>
      <w:r>
        <w:rPr>
          <w:noProof/>
        </w:rPr>
        <w:fldChar w:fldCharType="end"/>
      </w:r>
      <w:bookmarkEnd w:id="134"/>
      <w:r>
        <w:t>.</w:t>
      </w:r>
      <w:r w:rsidRPr="00945355">
        <w:t xml:space="preserve"> </w:t>
      </w:r>
      <w:r>
        <w:t>Effect of nanoclay loading in DGEBA epoxy on maximum unbound moisture content.</w:t>
      </w:r>
      <w:bookmarkEnd w:id="135"/>
      <w:bookmarkEnd w:id="136"/>
    </w:p>
    <w:p w14:paraId="05D6850F" w14:textId="77777777" w:rsidR="00192013" w:rsidRDefault="00192013" w:rsidP="00F77E87"/>
    <w:p w14:paraId="11BB43EE" w14:textId="4E1FA747" w:rsidR="00192013" w:rsidRDefault="00192013" w:rsidP="00F77E87">
      <w:r>
        <w:t xml:space="preserve">In </w:t>
      </w:r>
      <w:r>
        <w:fldChar w:fldCharType="begin"/>
      </w:r>
      <w:r>
        <w:instrText xml:space="preserve"> REF _Ref521077340 \h </w:instrText>
      </w:r>
      <w:r w:rsidR="00F77E87">
        <w:instrText xml:space="preserve"> \* MERGEFORMAT </w:instrText>
      </w:r>
      <w:r>
        <w:fldChar w:fldCharType="separate"/>
      </w:r>
      <w:r w:rsidR="006D52C2">
        <w:t xml:space="preserve">Figure </w:t>
      </w:r>
      <w:r w:rsidR="006D52C2">
        <w:rPr>
          <w:noProof/>
        </w:rPr>
        <w:t>24</w:t>
      </w:r>
      <w:r>
        <w:fldChar w:fldCharType="end"/>
      </w:r>
      <w:r>
        <w:t xml:space="preserve">, the change of equilibrium bound moisture content is presented with respect to the nanoclay content. Since the equilibrium bound moisture content is directly </w:t>
      </w:r>
      <w:r>
        <w:lastRenderedPageBreak/>
        <w:t>related to the maximum moisture content and hindrance coefficient, the linear trend was expected. However, the decrease in maximum bound moisture content was not expected. One would expect that addition of nanoclay would increase the interface in epoxy and creates new binding sites for moisture. The decrease in maximum bound moisture content suggests that addition of nanoclay might restrict the amount of binding sites previously available in the neat DGEBA epoxy.</w:t>
      </w:r>
    </w:p>
    <w:p w14:paraId="5829ACC5" w14:textId="77777777" w:rsidR="00192013" w:rsidRDefault="00192013" w:rsidP="00192013">
      <w:pPr>
        <w:pStyle w:val="NoSpacing"/>
      </w:pPr>
      <w:r w:rsidRPr="00360425">
        <w:rPr>
          <w:noProof/>
          <w:lang w:bidi="ar-SA"/>
        </w:rPr>
        <w:drawing>
          <wp:inline distT="0" distB="0" distL="0" distR="0" wp14:anchorId="37C1A592" wp14:editId="1AF9AEF4">
            <wp:extent cx="5394960" cy="2606040"/>
            <wp:effectExtent l="0" t="0" r="0"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1D5DAF5" w14:textId="77777777" w:rsidR="00192013" w:rsidRDefault="00192013" w:rsidP="00192013">
      <w:pPr>
        <w:pStyle w:val="Caption"/>
      </w:pPr>
      <w:bookmarkStart w:id="137" w:name="_Ref521077340"/>
      <w:bookmarkStart w:id="138" w:name="_Toc449516675"/>
      <w:bookmarkStart w:id="139" w:name="_Toc530997380"/>
      <w:r>
        <w:t xml:space="preserve">Figure </w:t>
      </w:r>
      <w:r>
        <w:rPr>
          <w:noProof/>
        </w:rPr>
        <w:fldChar w:fldCharType="begin"/>
      </w:r>
      <w:r>
        <w:rPr>
          <w:noProof/>
        </w:rPr>
        <w:instrText xml:space="preserve"> SEQ Figure \* ARABIC </w:instrText>
      </w:r>
      <w:r>
        <w:rPr>
          <w:noProof/>
        </w:rPr>
        <w:fldChar w:fldCharType="separate"/>
      </w:r>
      <w:r w:rsidR="006D52C2">
        <w:rPr>
          <w:noProof/>
        </w:rPr>
        <w:t>24</w:t>
      </w:r>
      <w:r>
        <w:rPr>
          <w:noProof/>
        </w:rPr>
        <w:fldChar w:fldCharType="end"/>
      </w:r>
      <w:bookmarkEnd w:id="137"/>
      <w:r>
        <w:t>.</w:t>
      </w:r>
      <w:r w:rsidRPr="00945355">
        <w:t xml:space="preserve"> </w:t>
      </w:r>
      <w:r>
        <w:t>Effect of nanoclay loading in DGEBA epoxy on maximum bound moisture content.</w:t>
      </w:r>
      <w:bookmarkEnd w:id="138"/>
      <w:bookmarkEnd w:id="139"/>
    </w:p>
    <w:p w14:paraId="143DB73B" w14:textId="77777777" w:rsidR="00192013" w:rsidRDefault="00192013" w:rsidP="00F77E87"/>
    <w:p w14:paraId="1981E0AF" w14:textId="77FBBB5A" w:rsidR="00F77E87" w:rsidRDefault="00192013" w:rsidP="00BB2C1B">
      <w:pPr>
        <w:rPr>
          <w:rFonts w:cs="Times New Roman"/>
          <w:szCs w:val="24"/>
        </w:rPr>
      </w:pPr>
      <w:r>
        <w:rPr>
          <w:rFonts w:cs="Times New Roman"/>
          <w:szCs w:val="24"/>
        </w:rPr>
        <w:t>The linear correlation between the hindrance coefficients, the maximum moisture content with respect to the nanoclay loading is an interesting phenomenon. Even though convincing linear trends between the 1D HDM absorption parameters and 3 different nanoclay loadings is observed, more data point would yield a more robust validation of these trends. In order to validate whether this linear correlation holds for other experiments and to dev</w:t>
      </w:r>
      <w:r w:rsidR="0084615F">
        <w:rPr>
          <w:rFonts w:cs="Times New Roman"/>
          <w:szCs w:val="24"/>
        </w:rPr>
        <w:t>elop a deeper understanding of</w:t>
      </w:r>
      <w:r>
        <w:rPr>
          <w:rFonts w:cs="Times New Roman"/>
          <w:szCs w:val="24"/>
        </w:rPr>
        <w:t xml:space="preserve"> moisture absorption behavior in nanoclay composites, a new set of material with 5 different clay loadings is manufactured and moisture absorption experiments were carried out.</w:t>
      </w:r>
    </w:p>
    <w:p w14:paraId="25B1E36B" w14:textId="77777777" w:rsidR="00192013" w:rsidRDefault="00192013" w:rsidP="00B63058">
      <w:pPr>
        <w:pStyle w:val="Heading3"/>
      </w:pPr>
      <w:bookmarkStart w:id="140" w:name="_Ref392066892"/>
      <w:bookmarkStart w:id="141" w:name="_Toc403980446"/>
      <w:bookmarkStart w:id="142" w:name="_Toc449527247"/>
      <w:r>
        <w:lastRenderedPageBreak/>
        <w:t xml:space="preserve"> </w:t>
      </w:r>
      <w:bookmarkStart w:id="143" w:name="_Ref521933589"/>
      <w:bookmarkStart w:id="144" w:name="_Ref521933594"/>
      <w:bookmarkStart w:id="145" w:name="_Ref521933597"/>
      <w:bookmarkStart w:id="146" w:name="_Ref521933599"/>
      <w:bookmarkStart w:id="147" w:name="_Ref521933607"/>
      <w:bookmarkStart w:id="148" w:name="_Ref521933627"/>
      <w:bookmarkStart w:id="149" w:name="_Ref521933631"/>
      <w:bookmarkStart w:id="150" w:name="_Toc531943761"/>
      <w:r w:rsidRPr="005A3E52">
        <w:t>Materials and Sample Preparation</w:t>
      </w:r>
      <w:r>
        <w:t xml:space="preserve"> of I.30E Nanoclay/EPON 862 Epoxy</w:t>
      </w:r>
      <w:bookmarkEnd w:id="140"/>
      <w:bookmarkEnd w:id="141"/>
      <w:bookmarkEnd w:id="142"/>
      <w:bookmarkEnd w:id="143"/>
      <w:bookmarkEnd w:id="144"/>
      <w:bookmarkEnd w:id="145"/>
      <w:bookmarkEnd w:id="146"/>
      <w:bookmarkEnd w:id="147"/>
      <w:bookmarkEnd w:id="148"/>
      <w:bookmarkEnd w:id="149"/>
      <w:bookmarkEnd w:id="150"/>
    </w:p>
    <w:p w14:paraId="346E3A64" w14:textId="77777777" w:rsidR="00192013" w:rsidRDefault="00192013" w:rsidP="00F77E87">
      <w:r w:rsidRPr="005A3E52">
        <w:t xml:space="preserve">The epoxy resin and curing agent used in this study </w:t>
      </w:r>
      <w:r>
        <w:t>i</w:t>
      </w:r>
      <w:r w:rsidRPr="005A3E52">
        <w:t xml:space="preserve">s </w:t>
      </w:r>
      <w:r>
        <w:t xml:space="preserve">selected as </w:t>
      </w:r>
      <w:r w:rsidRPr="005A3E52">
        <w:t xml:space="preserve">EPON 862 and </w:t>
      </w:r>
      <w:proofErr w:type="spellStart"/>
      <w:r w:rsidRPr="005A3E52">
        <w:t>Epikure</w:t>
      </w:r>
      <w:proofErr w:type="spellEnd"/>
      <w:r w:rsidRPr="005A3E52">
        <w:t xml:space="preserve"> W (Momentive Performance Materials Inc.), respectively. </w:t>
      </w:r>
      <w:proofErr w:type="spellStart"/>
      <w:r w:rsidRPr="00473964">
        <w:t>Nanomer</w:t>
      </w:r>
      <w:proofErr w:type="spellEnd"/>
      <w:r w:rsidRPr="00FD70AB">
        <w:rPr>
          <w:vertAlign w:val="superscript"/>
        </w:rPr>
        <w:t>®</w:t>
      </w:r>
      <w:r w:rsidRPr="00473964">
        <w:t xml:space="preserve"> I.30E nanoclay</w:t>
      </w:r>
      <w:r>
        <w:t xml:space="preserve">, a </w:t>
      </w:r>
      <w:r w:rsidRPr="00473964">
        <w:t>surface m</w:t>
      </w:r>
      <w:r>
        <w:t>odified montmorillonite mineral, is used as the reinforcing material.</w:t>
      </w:r>
    </w:p>
    <w:p w14:paraId="03C2E2DA" w14:textId="0E1C9C08" w:rsidR="00192013" w:rsidRDefault="00192013" w:rsidP="00F77E87">
      <w:r>
        <w:t>First, 0.5, 1, 2, 3</w:t>
      </w:r>
      <w:r w:rsidR="007D4338">
        <w:t>,</w:t>
      </w:r>
      <w:r>
        <w:t xml:space="preserve"> and 5 wt</w:t>
      </w:r>
      <w:proofErr w:type="gramStart"/>
      <w:r>
        <w:t>.%</w:t>
      </w:r>
      <w:proofErr w:type="gramEnd"/>
      <w:r>
        <w:t xml:space="preserve"> (0.35, 0.70, 1.40, 2.10,</w:t>
      </w:r>
      <w:r w:rsidR="007D4338">
        <w:t xml:space="preserve"> and</w:t>
      </w:r>
      <w:r>
        <w:t xml:space="preserve"> 3.50 </w:t>
      </w:r>
      <w:proofErr w:type="spellStart"/>
      <w:r>
        <w:t>vol</w:t>
      </w:r>
      <w:proofErr w:type="spellEnd"/>
      <w:r>
        <w:t>%) nanoclay is mixed with the epoxy resin at 100 RPM for 5 minutes. Then, the mixture is blended in high shear mixer at 5000 RPM for 30 minutes. It should be noted that high shear mixing generates heat, causing the mixture temperature to increase. Therefore, it is important to cool down the mixture. For cooling down, an alternating 5-minute mixing and 10-minute in the freezer procedure is implemented in order to keep the mixture below 70</w:t>
      </w:r>
      <w:r w:rsidRPr="00145FCF">
        <w:rPr>
          <w:rFonts w:ascii="Cambria Math" w:hAnsi="Cambria Math" w:cs="Cambria Math"/>
        </w:rPr>
        <w:t>℃</w:t>
      </w:r>
      <w:r>
        <w:t xml:space="preserve"> (158</w:t>
      </w:r>
      <w:r w:rsidRPr="00145FCF">
        <w:rPr>
          <w:rFonts w:ascii="Cambria Math" w:hAnsi="Cambria Math" w:cs="Cambria Math"/>
        </w:rPr>
        <w:t>℉</w:t>
      </w:r>
      <w:r w:rsidRPr="00145FCF">
        <w:t>)</w:t>
      </w:r>
      <w:r>
        <w:t>.</w:t>
      </w:r>
    </w:p>
    <w:p w14:paraId="66857479" w14:textId="77777777" w:rsidR="00192013" w:rsidRDefault="00192013" w:rsidP="00F77E87">
      <w:r>
        <w:t>After the high shear mixing, the mixture is sonicated at 42 kHz for 1 hour in 5 second on, 5 second off cycles. Throughout the sonication process, the mixture is kept in an icy water bath to eliminate the degradation due to high temperature at the tip of the sonicator.</w:t>
      </w:r>
    </w:p>
    <w:p w14:paraId="28D23766" w14:textId="5E81AB4B" w:rsidR="00192013" w:rsidRDefault="00192013" w:rsidP="00F77E87">
      <w:r>
        <w:t>After the sonication, t</w:t>
      </w:r>
      <w:r w:rsidRPr="005A3E52">
        <w:t>he epoxy resin</w:t>
      </w:r>
      <w:r>
        <w:t>-nanoclay mixture</w:t>
      </w:r>
      <w:r w:rsidRPr="005A3E52">
        <w:t xml:space="preserve"> and curing agent is mixed at a ratio of 100:26.4 by weight</w:t>
      </w:r>
      <w:r>
        <w:t xml:space="preserve"> at 100 RPM for 15 minutes</w:t>
      </w:r>
      <w:r w:rsidRPr="005A3E52">
        <w:t>. The mixture is then degassed f</w:t>
      </w:r>
      <w:r>
        <w:t>or 4</w:t>
      </w:r>
      <w:r w:rsidRPr="005A3E52">
        <w:t xml:space="preserve"> hour</w:t>
      </w:r>
      <w:r>
        <w:t>s</w:t>
      </w:r>
      <w:r w:rsidRPr="005A3E52">
        <w:t xml:space="preserve"> at room temperature to remove the trapped air. </w:t>
      </w:r>
      <w:r>
        <w:t>Subsequently, t</w:t>
      </w:r>
      <w:r w:rsidRPr="005A3E52">
        <w:t>hin epo</w:t>
      </w:r>
      <w:r>
        <w:t>xy laminates are gravity-cast onto</w:t>
      </w:r>
      <w:r w:rsidRPr="005A3E52">
        <w:t xml:space="preserve"> a 177</w:t>
      </w:r>
      <w:r>
        <w:t>.</w:t>
      </w:r>
      <w:r w:rsidRPr="005A3E52">
        <w:t>8x101</w:t>
      </w:r>
      <w:r>
        <w:t>.</w:t>
      </w:r>
      <w:r w:rsidRPr="005A3E52">
        <w:t xml:space="preserve">6 </w:t>
      </w:r>
      <w:r>
        <w:t>m</w:t>
      </w:r>
      <w:r w:rsidRPr="005A3E52">
        <w:t>m</w:t>
      </w:r>
      <w:r w:rsidRPr="00FD70AB">
        <w:rPr>
          <w:vertAlign w:val="superscript"/>
        </w:rPr>
        <w:t>2</w:t>
      </w:r>
      <w:r w:rsidRPr="005A3E52">
        <w:t xml:space="preserve"> a</w:t>
      </w:r>
      <w:r>
        <w:t>luminum mold, preheated to 100</w:t>
      </w:r>
      <w:r w:rsidRPr="00145FCF">
        <w:rPr>
          <w:rFonts w:ascii="Cambria Math" w:hAnsi="Cambria Math" w:cs="Cambria Math"/>
        </w:rPr>
        <w:t>℃</w:t>
      </w:r>
      <w:r>
        <w:t xml:space="preserve"> (212</w:t>
      </w:r>
      <w:r w:rsidRPr="00145FCF">
        <w:rPr>
          <w:rFonts w:ascii="Cambria Math" w:hAnsi="Cambria Math" w:cs="Cambria Math"/>
        </w:rPr>
        <w:t>℉</w:t>
      </w:r>
      <w:r w:rsidRPr="005A3E52">
        <w:t>). The mold is kept at 100</w:t>
      </w:r>
      <w:r w:rsidRPr="00145FCF">
        <w:rPr>
          <w:rFonts w:ascii="Cambria Math" w:hAnsi="Cambria Math" w:cs="Cambria Math"/>
        </w:rPr>
        <w:t>℃</w:t>
      </w:r>
      <w:r>
        <w:rPr>
          <w:rFonts w:ascii="Cambria Math" w:hAnsi="Cambria Math" w:cs="Cambria Math"/>
        </w:rPr>
        <w:t xml:space="preserve"> (212</w:t>
      </w:r>
      <w:r w:rsidRPr="00145FCF">
        <w:rPr>
          <w:rFonts w:ascii="Cambria Math" w:hAnsi="Cambria Math" w:cs="Cambria Math"/>
        </w:rPr>
        <w:t>℉</w:t>
      </w:r>
      <w:r>
        <w:rPr>
          <w:rFonts w:ascii="Cambria Math" w:hAnsi="Cambria Math" w:cs="Cambria Math"/>
        </w:rPr>
        <w:t xml:space="preserve">) </w:t>
      </w:r>
      <w:r w:rsidRPr="005A3E52">
        <w:t>for 1.5 hours and then heated to 1</w:t>
      </w:r>
      <w:r>
        <w:t>79</w:t>
      </w:r>
      <w:r w:rsidRPr="00145FCF">
        <w:rPr>
          <w:rFonts w:ascii="Cambria Math" w:hAnsi="Cambria Math" w:cs="Cambria Math"/>
        </w:rPr>
        <w:t>℃</w:t>
      </w:r>
      <w:r w:rsidRPr="005A3E52">
        <w:t xml:space="preserve"> (</w:t>
      </w:r>
      <w:r>
        <w:t>355</w:t>
      </w:r>
      <w:r w:rsidRPr="00145FCF">
        <w:rPr>
          <w:rFonts w:ascii="Cambria Math" w:hAnsi="Cambria Math" w:cs="Cambria Math"/>
        </w:rPr>
        <w:t>℉</w:t>
      </w:r>
      <w:r>
        <w:t xml:space="preserve">) </w:t>
      </w:r>
      <w:r w:rsidRPr="005A3E52">
        <w:t>and held constant for 2 hours. After 2 hours, the part is cooled down to room te</w:t>
      </w:r>
      <w:r>
        <w:t>mperature at approximately 2.8</w:t>
      </w:r>
      <w:r w:rsidRPr="00145FCF">
        <w:rPr>
          <w:rFonts w:ascii="Cambria Math" w:hAnsi="Cambria Math" w:cs="Cambria Math"/>
        </w:rPr>
        <w:t>℃</w:t>
      </w:r>
      <w:r w:rsidRPr="005A3E52">
        <w:t>/min to complete the cure cycle. Eight 31</w:t>
      </w:r>
      <w:r>
        <w:t>.</w:t>
      </w:r>
      <w:r w:rsidRPr="005A3E52">
        <w:t>8</w:t>
      </w:r>
      <w:r w:rsidR="00072ACC">
        <w:t xml:space="preserve"> × </w:t>
      </w:r>
      <w:r w:rsidRPr="005A3E52">
        <w:t>31</w:t>
      </w:r>
      <w:r>
        <w:t>.</w:t>
      </w:r>
      <w:r w:rsidRPr="005A3E52">
        <w:t xml:space="preserve">8 </w:t>
      </w:r>
      <w:r>
        <w:t>m</w:t>
      </w:r>
      <w:r w:rsidRPr="005A3E52">
        <w:t>m</w:t>
      </w:r>
      <w:r w:rsidRPr="00FD70AB">
        <w:rPr>
          <w:vertAlign w:val="superscript"/>
        </w:rPr>
        <w:t>2</w:t>
      </w:r>
      <w:r w:rsidRPr="005A3E52">
        <w:t xml:space="preserve"> specimens were cut from each laminate for water immersion experiments.</w:t>
      </w:r>
      <w:r>
        <w:t xml:space="preserve"> </w:t>
      </w:r>
      <w:r w:rsidRPr="005A3E52">
        <w:t xml:space="preserve">The average thickness of </w:t>
      </w:r>
      <w:r>
        <w:t>the each set of</w:t>
      </w:r>
      <w:r w:rsidRPr="005A3E52">
        <w:t xml:space="preserve"> eight s</w:t>
      </w:r>
      <w:r>
        <w:t>pecimens</w:t>
      </w:r>
      <w:r w:rsidRPr="005A3E52">
        <w:t xml:space="preserve"> </w:t>
      </w:r>
      <w:r>
        <w:t>is 0.97 ± 0.02 mm.</w:t>
      </w:r>
    </w:p>
    <w:p w14:paraId="5900E4DA" w14:textId="50DF2D5F" w:rsidR="00F77E87" w:rsidRDefault="00192013" w:rsidP="00995E0E">
      <w:r w:rsidRPr="00145FCF">
        <w:lastRenderedPageBreak/>
        <w:t xml:space="preserve">To remove </w:t>
      </w:r>
      <w:r>
        <w:t xml:space="preserve">the initial moisture, the samples are placed in vacuum oven at </w:t>
      </w:r>
      <w:r w:rsidRPr="00145FCF">
        <w:t>43</w:t>
      </w:r>
      <w:r w:rsidRPr="00145FCF">
        <w:rPr>
          <w:rFonts w:ascii="Cambria Math" w:hAnsi="Cambria Math" w:cs="Cambria Math"/>
        </w:rPr>
        <w:t>℃</w:t>
      </w:r>
      <w:r w:rsidRPr="00145FCF">
        <w:t xml:space="preserve"> (110</w:t>
      </w:r>
      <w:r w:rsidRPr="00145FCF">
        <w:rPr>
          <w:rFonts w:ascii="Cambria Math" w:hAnsi="Cambria Math" w:cs="Cambria Math"/>
        </w:rPr>
        <w:t>℉</w:t>
      </w:r>
      <w:r w:rsidRPr="00145FCF">
        <w:t>)</w:t>
      </w:r>
      <w:r>
        <w:t xml:space="preserve"> for approximately 5 days. Dried samples are immersed in distilled water at </w:t>
      </w:r>
      <w:r w:rsidRPr="00145FCF">
        <w:t>25</w:t>
      </w:r>
      <w:r w:rsidRPr="00145FCF">
        <w:rPr>
          <w:rFonts w:ascii="Cambria Math" w:hAnsi="Cambria Math" w:cs="Cambria Math"/>
        </w:rPr>
        <w:t>℃</w:t>
      </w:r>
      <w:r>
        <w:rPr>
          <w:rFonts w:ascii="Cambria Math" w:hAnsi="Cambria Math" w:cs="Cambria Math"/>
        </w:rPr>
        <w:t xml:space="preserve"> </w:t>
      </w:r>
      <w:r>
        <w:t>(77</w:t>
      </w:r>
      <w:r w:rsidRPr="00145FCF">
        <w:rPr>
          <w:rFonts w:ascii="Cambria Math" w:hAnsi="Cambria Math" w:cs="Cambria Math"/>
        </w:rPr>
        <w:t>℉</w:t>
      </w:r>
      <w:r w:rsidRPr="00145FCF">
        <w:t>)</w:t>
      </w:r>
      <w:r>
        <w:t xml:space="preserve">. Mass gain of samples due to moisture absorption is periodically measured for approximately 5 months and one final mass gain data collected at one year mark. The collected mass gain data of 5 months is used to recover absorption parameters of hindered diffusion model following the aforementioned recovery procedure in </w:t>
      </w:r>
      <w:r>
        <w:fldChar w:fldCharType="begin"/>
      </w:r>
      <w:r>
        <w:instrText xml:space="preserve"> REF _Ref520894196 \r \h </w:instrText>
      </w:r>
      <w:r w:rsidR="00F77E87">
        <w:instrText xml:space="preserve"> \* MERGEFORMAT </w:instrText>
      </w:r>
      <w:r>
        <w:fldChar w:fldCharType="separate"/>
      </w:r>
      <w:r w:rsidR="006D52C2">
        <w:t>Chapter 2</w:t>
      </w:r>
      <w:r>
        <w:fldChar w:fldCharType="end"/>
      </w:r>
      <w:r w:rsidR="00995E0E">
        <w:t>.</w:t>
      </w:r>
    </w:p>
    <w:p w14:paraId="6A216B9A" w14:textId="77777777" w:rsidR="00192013" w:rsidRDefault="00192013" w:rsidP="00B63058">
      <w:pPr>
        <w:pStyle w:val="Heading3"/>
      </w:pPr>
      <w:bookmarkStart w:id="151" w:name="_Toc403980447"/>
      <w:bookmarkStart w:id="152" w:name="_Toc449527248"/>
      <w:bookmarkStart w:id="153" w:name="_Toc531943762"/>
      <w:r>
        <w:t>Experimental Results of I.30E/EPON 862 and Discussion</w:t>
      </w:r>
      <w:bookmarkEnd w:id="151"/>
      <w:bookmarkEnd w:id="152"/>
      <w:bookmarkEnd w:id="153"/>
    </w:p>
    <w:p w14:paraId="1F29EA75" w14:textId="2D2D4BCE" w:rsidR="00192013" w:rsidRDefault="00192013" w:rsidP="00F77E87">
      <w:bookmarkStart w:id="154" w:name="_Ref392068295"/>
      <w:bookmarkStart w:id="155" w:name="_Ref392068275"/>
      <w:r w:rsidRPr="00D87D03">
        <w:t xml:space="preserve">In order to detect the effect of nanoclay content on the hindrance coefficient and </w:t>
      </w:r>
      <w:r>
        <w:t xml:space="preserve">maximum moisture content, </w:t>
      </w:r>
      <w:r w:rsidRPr="00D87D03">
        <w:t>the</w:t>
      </w:r>
      <w:r>
        <w:t xml:space="preserve"> hindered diffusion model</w:t>
      </w:r>
      <w:r w:rsidRPr="00D87D03">
        <w:t xml:space="preserve"> absorption parameters of pure epoxy are </w:t>
      </w:r>
      <w:r>
        <w:t xml:space="preserve">first </w:t>
      </w:r>
      <w:r w:rsidRPr="00D87D03">
        <w:t>found. It should be noted that the pure epoxy is also subjected to sonication and high sheer mixing. Thus, the absorption parameters and absorption behavior are slightly different from the regularly cured EPON 862. Using the diffusion coefficient of pure epoxy, the diffusion coefficients of nanoclay/epoxy composites with different nanoclay loading are calculated using the rule of mixture</w:t>
      </w:r>
      <w:r>
        <w:t xml:space="preserve"> and shown in </w:t>
      </w:r>
      <w:r>
        <w:fldChar w:fldCharType="begin"/>
      </w:r>
      <w:r>
        <w:instrText xml:space="preserve"> REF _Ref521499335 \h </w:instrText>
      </w:r>
      <w:r w:rsidR="00F77E87">
        <w:instrText xml:space="preserve"> \* MERGEFORMAT </w:instrText>
      </w:r>
      <w:r>
        <w:fldChar w:fldCharType="separate"/>
      </w:r>
      <w:r w:rsidR="006D52C2">
        <w:t xml:space="preserve">Figure </w:t>
      </w:r>
      <w:r w:rsidR="006D52C2">
        <w:rPr>
          <w:noProof/>
        </w:rPr>
        <w:t>25</w:t>
      </w:r>
      <w:r>
        <w:fldChar w:fldCharType="end"/>
      </w:r>
      <w:r>
        <w:t xml:space="preserve">. </w:t>
      </w:r>
      <w:r w:rsidRPr="00D87D03">
        <w:t>The remaining absorption parameters (</w:t>
      </w:r>
      <m:oMath>
        <m:r>
          <w:rPr>
            <w:rFonts w:ascii="Cambria Math" w:hAnsi="Cambria Math"/>
          </w:rPr>
          <m:t>γ,</m:t>
        </m:r>
        <m:r>
          <m:rPr>
            <m:sty m:val="p"/>
          </m:rPr>
          <w:rPr>
            <w:rFonts w:ascii="Cambria Math" w:hAnsi="Cambria Math"/>
          </w:rPr>
          <m:t xml:space="preserve"> </m:t>
        </m:r>
        <m:r>
          <w:rPr>
            <w:rFonts w:ascii="Cambria Math" w:hAnsi="Cambria Math"/>
          </w:rPr>
          <m:t>β,  and</m:t>
        </m:r>
      </m:oMath>
      <w:r w:rsidRPr="00D87D03">
        <w:t xml:space="preserve">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Pr="00D87D03">
        <w:t>) are recovered by</w:t>
      </w:r>
      <w:r w:rsidR="0084615F">
        <w:t xml:space="preserve"> the</w:t>
      </w:r>
      <w:r w:rsidR="00C62852">
        <w:t xml:space="preserve"> steepest descent method. </w:t>
      </w:r>
      <w:r w:rsidRPr="00D87D03">
        <w:t>The resulting sets of absorption parameters are given in</w:t>
      </w:r>
      <w:r>
        <w:t xml:space="preserve"> </w:t>
      </w:r>
      <w:r>
        <w:fldChar w:fldCharType="begin"/>
      </w:r>
      <w:r>
        <w:instrText xml:space="preserve"> REF _Ref521416538 \h </w:instrText>
      </w:r>
      <w:r w:rsidR="00F77E87">
        <w:instrText xml:space="preserve"> \* MERGEFORMAT </w:instrText>
      </w:r>
      <w:r>
        <w:fldChar w:fldCharType="separate"/>
      </w:r>
      <w:r w:rsidR="006D52C2">
        <w:t xml:space="preserve">Table </w:t>
      </w:r>
      <w:r w:rsidR="006D52C2">
        <w:rPr>
          <w:noProof/>
        </w:rPr>
        <w:t>5</w:t>
      </w:r>
      <w:r>
        <w:fldChar w:fldCharType="end"/>
      </w:r>
      <w:r w:rsidRPr="00D87D03">
        <w:t>.</w:t>
      </w:r>
    </w:p>
    <w:p w14:paraId="2614597B" w14:textId="77777777" w:rsidR="00192013" w:rsidRPr="003B7962" w:rsidRDefault="00192013" w:rsidP="00192013">
      <w:pPr>
        <w:pStyle w:val="NoSpacing"/>
        <w:rPr>
          <w:szCs w:val="24"/>
        </w:rPr>
      </w:pPr>
      <w:r w:rsidRPr="00360425">
        <w:rPr>
          <w:noProof/>
          <w:lang w:bidi="ar-SA"/>
        </w:rPr>
        <w:lastRenderedPageBreak/>
        <w:drawing>
          <wp:inline distT="0" distB="0" distL="0" distR="0" wp14:anchorId="77B9831B" wp14:editId="084DFF20">
            <wp:extent cx="5394960" cy="260604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5B98864" w14:textId="77777777" w:rsidR="00192013" w:rsidRDefault="00192013" w:rsidP="00192013">
      <w:pPr>
        <w:pStyle w:val="Caption"/>
      </w:pPr>
      <w:bookmarkStart w:id="156" w:name="_Ref521499335"/>
      <w:bookmarkStart w:id="157" w:name="_Toc449516677"/>
      <w:bookmarkStart w:id="158" w:name="_Toc530997381"/>
      <w:r>
        <w:t xml:space="preserve">Figure </w:t>
      </w:r>
      <w:r>
        <w:rPr>
          <w:noProof/>
        </w:rPr>
        <w:fldChar w:fldCharType="begin"/>
      </w:r>
      <w:r>
        <w:rPr>
          <w:noProof/>
        </w:rPr>
        <w:instrText xml:space="preserve"> SEQ Figure \* ARABIC </w:instrText>
      </w:r>
      <w:r>
        <w:rPr>
          <w:noProof/>
        </w:rPr>
        <w:fldChar w:fldCharType="separate"/>
      </w:r>
      <w:r w:rsidR="006D52C2">
        <w:rPr>
          <w:noProof/>
        </w:rPr>
        <w:t>25</w:t>
      </w:r>
      <w:r>
        <w:rPr>
          <w:noProof/>
        </w:rPr>
        <w:fldChar w:fldCharType="end"/>
      </w:r>
      <w:bookmarkEnd w:id="156"/>
      <w:r>
        <w:t>. Linear change of diffusion coefficients of I.30E/EPON862 composite with nanoclay volume fraction</w:t>
      </w:r>
      <w:bookmarkEnd w:id="157"/>
      <w:bookmarkEnd w:id="158"/>
    </w:p>
    <w:p w14:paraId="1B98AAF7" w14:textId="77777777" w:rsidR="00BB2C1B" w:rsidRDefault="00BB2C1B" w:rsidP="00F77E87"/>
    <w:p w14:paraId="794683EA" w14:textId="77777777" w:rsidR="00192013" w:rsidRDefault="00192013" w:rsidP="00192013">
      <w:pPr>
        <w:pStyle w:val="Caption"/>
      </w:pPr>
      <w:bookmarkStart w:id="159" w:name="_Ref521416538"/>
      <w:bookmarkStart w:id="160" w:name="_Toc405037206"/>
      <w:bookmarkStart w:id="161" w:name="_Toc449516697"/>
      <w:bookmarkStart w:id="162" w:name="_Toc530997320"/>
      <w:r>
        <w:t xml:space="preserve">Table </w:t>
      </w:r>
      <w:r>
        <w:rPr>
          <w:noProof/>
        </w:rPr>
        <w:fldChar w:fldCharType="begin"/>
      </w:r>
      <w:r>
        <w:rPr>
          <w:noProof/>
        </w:rPr>
        <w:instrText xml:space="preserve"> SEQ Table \* ARABIC </w:instrText>
      </w:r>
      <w:r>
        <w:rPr>
          <w:noProof/>
        </w:rPr>
        <w:fldChar w:fldCharType="separate"/>
      </w:r>
      <w:r w:rsidR="006D52C2">
        <w:rPr>
          <w:noProof/>
        </w:rPr>
        <w:t>5</w:t>
      </w:r>
      <w:r>
        <w:rPr>
          <w:noProof/>
        </w:rPr>
        <w:fldChar w:fldCharType="end"/>
      </w:r>
      <w:bookmarkEnd w:id="159"/>
      <w:r>
        <w:t>.</w:t>
      </w:r>
      <w:r w:rsidRPr="00CF4AD9">
        <w:t xml:space="preserve"> </w:t>
      </w:r>
      <w:bookmarkEnd w:id="160"/>
      <w:bookmarkEnd w:id="161"/>
      <w:r>
        <w:t>One-dimensional hindered diffusion m</w:t>
      </w:r>
      <w:r w:rsidRPr="00144626">
        <w:t>oisture absorption parameters of EPON 862 epoxy with different clay loading where diffusion coefficient kept linearly decreasing.</w:t>
      </w:r>
      <w:bookmarkEnd w:id="162"/>
    </w:p>
    <w:tbl>
      <w:tblPr>
        <w:tblStyle w:val="PlainTable21"/>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885"/>
        <w:gridCol w:w="1260"/>
        <w:gridCol w:w="1350"/>
        <w:gridCol w:w="1260"/>
        <w:gridCol w:w="810"/>
        <w:gridCol w:w="990"/>
        <w:gridCol w:w="990"/>
      </w:tblGrid>
      <w:tr w:rsidR="00192013" w:rsidRPr="005A3E52" w14:paraId="2443F862" w14:textId="77777777" w:rsidTr="003F56CD">
        <w:trPr>
          <w:cnfStyle w:val="100000000000" w:firstRow="1" w:lastRow="0" w:firstColumn="0" w:lastColumn="0" w:oddVBand="0" w:evenVBand="0" w:oddHBand="0" w:evenHBand="0" w:firstRowFirstColumn="0" w:firstRowLastColumn="0" w:lastRowFirstColumn="0" w:lastRowLastColumn="0"/>
          <w:trHeight w:val="350"/>
          <w:jc w:val="center"/>
        </w:trPr>
        <w:tc>
          <w:tcPr>
            <w:tcW w:w="1885" w:type="dxa"/>
          </w:tcPr>
          <w:p w14:paraId="213FA60A" w14:textId="77777777" w:rsidR="00192013" w:rsidRPr="00C75422" w:rsidRDefault="00192013" w:rsidP="00A440CD">
            <w:pPr>
              <w:pStyle w:val="Paragraph"/>
              <w:spacing w:before="120" w:after="120"/>
              <w:ind w:firstLine="0"/>
              <w:jc w:val="center"/>
              <w:rPr>
                <w:sz w:val="24"/>
                <w:szCs w:val="24"/>
              </w:rPr>
            </w:pPr>
            <w:r w:rsidRPr="0081755C">
              <w:rPr>
                <w:sz w:val="24"/>
                <w:szCs w:val="24"/>
              </w:rPr>
              <w:t>Material Systems</w:t>
            </w:r>
          </w:p>
        </w:tc>
        <w:tc>
          <w:tcPr>
            <w:tcW w:w="1260" w:type="dxa"/>
          </w:tcPr>
          <w:p w14:paraId="21D19531" w14:textId="77777777" w:rsidR="00192013" w:rsidRPr="00C75422" w:rsidRDefault="007B3686" w:rsidP="00A440CD">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192013" w:rsidRPr="00C75422">
              <w:rPr>
                <w:sz w:val="24"/>
                <w:szCs w:val="24"/>
              </w:rPr>
              <w:t xml:space="preserve"> (mm</w:t>
            </w:r>
            <w:r w:rsidR="00192013" w:rsidRPr="00C75422">
              <w:rPr>
                <w:sz w:val="24"/>
                <w:szCs w:val="24"/>
                <w:vertAlign w:val="superscript"/>
              </w:rPr>
              <w:t>2</w:t>
            </w:r>
            <w:r w:rsidR="00192013" w:rsidRPr="00C75422">
              <w:rPr>
                <w:sz w:val="24"/>
                <w:szCs w:val="24"/>
              </w:rPr>
              <w:t>/h)</w:t>
            </w:r>
          </w:p>
        </w:tc>
        <w:tc>
          <w:tcPr>
            <w:tcW w:w="1350" w:type="dxa"/>
          </w:tcPr>
          <w:p w14:paraId="00553E30"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260" w:type="dxa"/>
          </w:tcPr>
          <w:p w14:paraId="613F728E"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5A1A977D" w14:textId="77777777" w:rsidR="00192013" w:rsidRPr="00C75422" w:rsidRDefault="00192013" w:rsidP="00A440CD">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49327FD6" w14:textId="77777777" w:rsidR="00192013" w:rsidRPr="00C75422" w:rsidRDefault="007B3686" w:rsidP="00A440CD">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192013" w:rsidRPr="00C75422">
              <w:rPr>
                <w:sz w:val="24"/>
                <w:szCs w:val="24"/>
              </w:rPr>
              <w:t xml:space="preserve"> (</w:t>
            </w:r>
            <w:proofErr w:type="gramStart"/>
            <w:r w:rsidR="00192013">
              <w:rPr>
                <w:sz w:val="24"/>
                <w:szCs w:val="24"/>
              </w:rPr>
              <w:t>wt</w:t>
            </w:r>
            <w:proofErr w:type="gramEnd"/>
            <w:r w:rsidR="00192013">
              <w:rPr>
                <w:sz w:val="24"/>
                <w:szCs w:val="24"/>
              </w:rPr>
              <w:t>.%</w:t>
            </w:r>
            <w:r w:rsidR="00192013" w:rsidRPr="00C75422">
              <w:rPr>
                <w:sz w:val="24"/>
                <w:szCs w:val="24"/>
              </w:rPr>
              <w:t>)</w:t>
            </w:r>
          </w:p>
        </w:tc>
        <w:tc>
          <w:tcPr>
            <w:tcW w:w="990" w:type="dxa"/>
          </w:tcPr>
          <w:p w14:paraId="315EFE06" w14:textId="089FCC54" w:rsidR="00192013" w:rsidRPr="00CE7F96" w:rsidRDefault="00192013" w:rsidP="00BB2C1B">
            <w:pPr>
              <w:pStyle w:val="Paragraph"/>
              <w:spacing w:before="120" w:after="120"/>
              <w:ind w:hanging="18"/>
              <w:jc w:val="center"/>
              <w:rPr>
                <w:sz w:val="24"/>
                <w:szCs w:val="24"/>
              </w:rPr>
            </w:pPr>
            <w:r w:rsidRPr="00AD3FCB">
              <w:rPr>
                <w:sz w:val="24"/>
                <w:szCs w:val="24"/>
              </w:rPr>
              <w:t>RMS</w:t>
            </w:r>
            <w:r w:rsidR="00995E0E">
              <w:rPr>
                <w:sz w:val="24"/>
                <w:szCs w:val="24"/>
              </w:rPr>
              <w:t>E</w:t>
            </w:r>
            <w:r w:rsidR="00BB2C1B">
              <w:rPr>
                <w:sz w:val="24"/>
                <w:szCs w:val="24"/>
              </w:rPr>
              <w:t xml:space="preserve"> </w:t>
            </w:r>
            <w:r>
              <w:rPr>
                <w:sz w:val="24"/>
                <w:szCs w:val="24"/>
              </w:rPr>
              <w:t>(%)</w:t>
            </w:r>
          </w:p>
        </w:tc>
      </w:tr>
      <w:tr w:rsidR="00192013" w:rsidRPr="005A3E52" w14:paraId="0298665E" w14:textId="77777777" w:rsidTr="003F56CD">
        <w:trPr>
          <w:trHeight w:val="350"/>
          <w:jc w:val="center"/>
        </w:trPr>
        <w:tc>
          <w:tcPr>
            <w:tcW w:w="1885" w:type="dxa"/>
          </w:tcPr>
          <w:p w14:paraId="5E9C9706" w14:textId="1AFCF1D2" w:rsidR="00192013" w:rsidRPr="00C75422" w:rsidRDefault="00BB2C1B" w:rsidP="00A440CD">
            <w:pPr>
              <w:pStyle w:val="Paragraph"/>
              <w:spacing w:before="120" w:after="120"/>
              <w:ind w:firstLine="0"/>
              <w:jc w:val="center"/>
              <w:rPr>
                <w:b/>
                <w:sz w:val="24"/>
                <w:szCs w:val="24"/>
              </w:rPr>
            </w:pPr>
            <w:r>
              <w:rPr>
                <w:b/>
                <w:sz w:val="24"/>
                <w:szCs w:val="24"/>
              </w:rPr>
              <w:t xml:space="preserve">Pure </w:t>
            </w:r>
            <w:r w:rsidR="00192013" w:rsidRPr="0081755C">
              <w:rPr>
                <w:b/>
                <w:sz w:val="24"/>
                <w:szCs w:val="24"/>
              </w:rPr>
              <w:t>EPON 862</w:t>
            </w:r>
          </w:p>
        </w:tc>
        <w:tc>
          <w:tcPr>
            <w:tcW w:w="1260" w:type="dxa"/>
            <w:vAlign w:val="center"/>
          </w:tcPr>
          <w:p w14:paraId="385AAFB3" w14:textId="5E651968"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7.50</w:t>
            </w:r>
            <w:r w:rsidR="003F56CD">
              <w:rPr>
                <w:color w:val="000000" w:themeColor="text1"/>
                <w:kern w:val="24"/>
                <w:sz w:val="24"/>
                <w:szCs w:val="24"/>
              </w:rPr>
              <w:t>×</w:t>
            </w:r>
            <w:r w:rsidRPr="00CE7F96">
              <w:rPr>
                <w:color w:val="000000" w:themeColor="text1"/>
                <w:kern w:val="24"/>
                <w:sz w:val="24"/>
                <w:szCs w:val="24"/>
              </w:rPr>
              <w:t>10</w:t>
            </w:r>
            <w:r w:rsidRPr="00CE7F96">
              <w:rPr>
                <w:color w:val="000000" w:themeColor="text1"/>
                <w:kern w:val="24"/>
                <w:position w:val="7"/>
                <w:sz w:val="24"/>
                <w:szCs w:val="24"/>
                <w:vertAlign w:val="superscript"/>
              </w:rPr>
              <w:t>-4</w:t>
            </w:r>
          </w:p>
        </w:tc>
        <w:tc>
          <w:tcPr>
            <w:tcW w:w="1350" w:type="dxa"/>
            <w:vAlign w:val="center"/>
          </w:tcPr>
          <w:p w14:paraId="0A133CCC" w14:textId="159D4FDE" w:rsidR="00192013" w:rsidRPr="00CE7F96" w:rsidRDefault="00192013" w:rsidP="00A440CD">
            <w:pPr>
              <w:pStyle w:val="Paragraph"/>
              <w:spacing w:before="120" w:after="120"/>
              <w:ind w:firstLine="0"/>
              <w:jc w:val="center"/>
              <w:rPr>
                <w:sz w:val="24"/>
                <w:szCs w:val="24"/>
              </w:rPr>
            </w:pPr>
            <w:r w:rsidRPr="00CE7F96">
              <w:rPr>
                <w:sz w:val="24"/>
                <w:szCs w:val="24"/>
              </w:rPr>
              <w:t>6.50</w:t>
            </w:r>
            <w:r w:rsidR="003F56CD">
              <w:rPr>
                <w:sz w:val="24"/>
                <w:szCs w:val="24"/>
              </w:rPr>
              <w:t>×</w:t>
            </w:r>
            <w:r w:rsidRPr="00CE7F96">
              <w:rPr>
                <w:sz w:val="24"/>
                <w:szCs w:val="24"/>
              </w:rPr>
              <w:t>10</w:t>
            </w:r>
            <w:r w:rsidRPr="00CE7F96">
              <w:rPr>
                <w:sz w:val="24"/>
                <w:szCs w:val="24"/>
                <w:vertAlign w:val="superscript"/>
              </w:rPr>
              <w:t>-4</w:t>
            </w:r>
          </w:p>
        </w:tc>
        <w:tc>
          <w:tcPr>
            <w:tcW w:w="1260" w:type="dxa"/>
            <w:vAlign w:val="center"/>
          </w:tcPr>
          <w:p w14:paraId="1F101EA0" w14:textId="5AA439B6" w:rsidR="00192013" w:rsidRPr="00CE7F96" w:rsidRDefault="00192013" w:rsidP="00A440CD">
            <w:pPr>
              <w:pStyle w:val="Paragraph"/>
              <w:spacing w:before="120" w:after="120"/>
              <w:ind w:firstLine="0"/>
              <w:jc w:val="center"/>
              <w:rPr>
                <w:sz w:val="24"/>
                <w:szCs w:val="24"/>
              </w:rPr>
            </w:pPr>
            <w:r w:rsidRPr="00CE7F96">
              <w:rPr>
                <w:sz w:val="24"/>
                <w:szCs w:val="24"/>
              </w:rPr>
              <w:t>8.56</w:t>
            </w:r>
            <w:r w:rsidR="003F56CD">
              <w:rPr>
                <w:sz w:val="24"/>
                <w:szCs w:val="24"/>
              </w:rPr>
              <w:t>×</w:t>
            </w:r>
            <w:r w:rsidRPr="00CE7F96">
              <w:rPr>
                <w:sz w:val="24"/>
                <w:szCs w:val="24"/>
              </w:rPr>
              <w:t>10</w:t>
            </w:r>
            <w:r w:rsidRPr="00CE7F96">
              <w:rPr>
                <w:sz w:val="24"/>
                <w:szCs w:val="24"/>
                <w:vertAlign w:val="superscript"/>
              </w:rPr>
              <w:t>-5</w:t>
            </w:r>
          </w:p>
        </w:tc>
        <w:tc>
          <w:tcPr>
            <w:tcW w:w="810" w:type="dxa"/>
            <w:vAlign w:val="center"/>
          </w:tcPr>
          <w:p w14:paraId="4873A2A9"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0.132</w:t>
            </w:r>
          </w:p>
        </w:tc>
        <w:tc>
          <w:tcPr>
            <w:tcW w:w="990" w:type="dxa"/>
            <w:vAlign w:val="center"/>
          </w:tcPr>
          <w:p w14:paraId="173412A0"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2.242</w:t>
            </w:r>
          </w:p>
        </w:tc>
        <w:tc>
          <w:tcPr>
            <w:tcW w:w="990" w:type="dxa"/>
            <w:vAlign w:val="center"/>
          </w:tcPr>
          <w:p w14:paraId="43BB46D0" w14:textId="77777777" w:rsidR="00192013" w:rsidRPr="00CE7F96" w:rsidRDefault="00192013" w:rsidP="00A440CD">
            <w:pPr>
              <w:pStyle w:val="Paragraph"/>
              <w:spacing w:before="120" w:after="120"/>
              <w:ind w:firstLine="0"/>
              <w:jc w:val="center"/>
              <w:rPr>
                <w:sz w:val="24"/>
                <w:szCs w:val="24"/>
              </w:rPr>
            </w:pPr>
            <w:r w:rsidRPr="00CE7F96">
              <w:rPr>
                <w:sz w:val="24"/>
                <w:szCs w:val="24"/>
              </w:rPr>
              <w:t>0.45</w:t>
            </w:r>
          </w:p>
        </w:tc>
      </w:tr>
      <w:tr w:rsidR="00192013" w:rsidRPr="005A3E52" w14:paraId="0C974BA9" w14:textId="77777777" w:rsidTr="003F56CD">
        <w:trPr>
          <w:trHeight w:val="350"/>
          <w:jc w:val="center"/>
        </w:trPr>
        <w:tc>
          <w:tcPr>
            <w:tcW w:w="1885" w:type="dxa"/>
          </w:tcPr>
          <w:p w14:paraId="2B9BDE98" w14:textId="77777777" w:rsidR="00192013" w:rsidRPr="00C75422" w:rsidRDefault="00192013" w:rsidP="00A440CD">
            <w:pPr>
              <w:pStyle w:val="Paragraph"/>
              <w:spacing w:before="120" w:after="120"/>
              <w:ind w:firstLine="0"/>
              <w:jc w:val="center"/>
              <w:rPr>
                <w:b/>
                <w:sz w:val="24"/>
                <w:szCs w:val="24"/>
              </w:rPr>
            </w:pPr>
            <w:r w:rsidRPr="0081755C">
              <w:rPr>
                <w:b/>
                <w:sz w:val="24"/>
                <w:szCs w:val="24"/>
              </w:rPr>
              <w:t xml:space="preserve">0.5 </w:t>
            </w:r>
            <w:r>
              <w:rPr>
                <w:b/>
                <w:sz w:val="24"/>
                <w:szCs w:val="24"/>
              </w:rPr>
              <w:t>wt.%</w:t>
            </w:r>
            <w:r w:rsidRPr="0081755C">
              <w:rPr>
                <w:b/>
                <w:sz w:val="24"/>
                <w:szCs w:val="24"/>
              </w:rPr>
              <w:t xml:space="preserve"> I.30E-EPON 862</w:t>
            </w:r>
          </w:p>
        </w:tc>
        <w:tc>
          <w:tcPr>
            <w:tcW w:w="1260" w:type="dxa"/>
            <w:vAlign w:val="center"/>
          </w:tcPr>
          <w:p w14:paraId="15B73AC6" w14:textId="5C78D74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7.47</w:t>
            </w:r>
            <w:r w:rsidR="003F56CD">
              <w:rPr>
                <w:color w:val="000000" w:themeColor="text1"/>
                <w:kern w:val="24"/>
                <w:sz w:val="24"/>
                <w:szCs w:val="24"/>
              </w:rPr>
              <w:t>×</w:t>
            </w:r>
            <w:r w:rsidRPr="00CE7F96">
              <w:rPr>
                <w:color w:val="000000" w:themeColor="text1"/>
                <w:kern w:val="24"/>
                <w:sz w:val="24"/>
                <w:szCs w:val="24"/>
              </w:rPr>
              <w:t>10</w:t>
            </w:r>
            <w:r w:rsidRPr="00CE7F96">
              <w:rPr>
                <w:color w:val="000000" w:themeColor="text1"/>
                <w:kern w:val="24"/>
                <w:position w:val="7"/>
                <w:sz w:val="24"/>
                <w:szCs w:val="24"/>
                <w:vertAlign w:val="superscript"/>
              </w:rPr>
              <w:t>-4</w:t>
            </w:r>
          </w:p>
        </w:tc>
        <w:tc>
          <w:tcPr>
            <w:tcW w:w="1350" w:type="dxa"/>
            <w:vAlign w:val="center"/>
          </w:tcPr>
          <w:p w14:paraId="31568856" w14:textId="2E6C1BC3" w:rsidR="00192013" w:rsidRPr="00CE7F96" w:rsidRDefault="00192013" w:rsidP="00A440CD">
            <w:pPr>
              <w:pStyle w:val="Paragraph"/>
              <w:spacing w:before="120" w:after="120"/>
              <w:ind w:firstLine="0"/>
              <w:jc w:val="center"/>
              <w:rPr>
                <w:sz w:val="24"/>
                <w:szCs w:val="24"/>
              </w:rPr>
            </w:pPr>
            <w:r w:rsidRPr="00CE7F96">
              <w:rPr>
                <w:sz w:val="24"/>
                <w:szCs w:val="24"/>
              </w:rPr>
              <w:t>1.03</w:t>
            </w:r>
            <w:r w:rsidR="003F56CD">
              <w:rPr>
                <w:sz w:val="24"/>
                <w:szCs w:val="24"/>
              </w:rPr>
              <w:t>×</w:t>
            </w:r>
            <w:r w:rsidRPr="00CE7F96">
              <w:rPr>
                <w:sz w:val="24"/>
                <w:szCs w:val="24"/>
              </w:rPr>
              <w:t>10</w:t>
            </w:r>
            <w:r w:rsidRPr="00CE7F96">
              <w:rPr>
                <w:sz w:val="24"/>
                <w:szCs w:val="24"/>
                <w:vertAlign w:val="superscript"/>
              </w:rPr>
              <w:t>-3</w:t>
            </w:r>
          </w:p>
        </w:tc>
        <w:tc>
          <w:tcPr>
            <w:tcW w:w="1260" w:type="dxa"/>
            <w:vAlign w:val="center"/>
          </w:tcPr>
          <w:p w14:paraId="5FB90CE1" w14:textId="1B17997F" w:rsidR="00192013" w:rsidRPr="00CE7F96" w:rsidRDefault="00192013" w:rsidP="00A440CD">
            <w:pPr>
              <w:pStyle w:val="Paragraph"/>
              <w:spacing w:before="120" w:after="120"/>
              <w:ind w:firstLine="0"/>
              <w:jc w:val="center"/>
              <w:rPr>
                <w:sz w:val="24"/>
                <w:szCs w:val="24"/>
              </w:rPr>
            </w:pPr>
            <w:r w:rsidRPr="00CE7F96">
              <w:rPr>
                <w:sz w:val="24"/>
                <w:szCs w:val="24"/>
              </w:rPr>
              <w:t>1.39</w:t>
            </w:r>
            <w:r w:rsidR="003F56CD">
              <w:rPr>
                <w:sz w:val="24"/>
                <w:szCs w:val="24"/>
              </w:rPr>
              <w:t>×</w:t>
            </w:r>
            <w:r w:rsidRPr="00CE7F96">
              <w:rPr>
                <w:sz w:val="24"/>
                <w:szCs w:val="24"/>
              </w:rPr>
              <w:t>10</w:t>
            </w:r>
            <w:r w:rsidRPr="00CE7F96">
              <w:rPr>
                <w:sz w:val="24"/>
                <w:szCs w:val="24"/>
                <w:vertAlign w:val="superscript"/>
              </w:rPr>
              <w:t>-4</w:t>
            </w:r>
          </w:p>
        </w:tc>
        <w:tc>
          <w:tcPr>
            <w:tcW w:w="810" w:type="dxa"/>
            <w:vAlign w:val="center"/>
          </w:tcPr>
          <w:p w14:paraId="592FF212"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0.134</w:t>
            </w:r>
          </w:p>
        </w:tc>
        <w:tc>
          <w:tcPr>
            <w:tcW w:w="990" w:type="dxa"/>
            <w:vAlign w:val="center"/>
          </w:tcPr>
          <w:p w14:paraId="1F6690AE"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2.238</w:t>
            </w:r>
          </w:p>
        </w:tc>
        <w:tc>
          <w:tcPr>
            <w:tcW w:w="990" w:type="dxa"/>
            <w:vAlign w:val="center"/>
          </w:tcPr>
          <w:p w14:paraId="3CC92B84" w14:textId="77777777" w:rsidR="00192013" w:rsidRPr="00CE7F96" w:rsidRDefault="00192013" w:rsidP="00A440CD">
            <w:pPr>
              <w:pStyle w:val="Paragraph"/>
              <w:spacing w:before="120" w:after="120"/>
              <w:ind w:firstLine="0"/>
              <w:jc w:val="center"/>
              <w:rPr>
                <w:sz w:val="24"/>
                <w:szCs w:val="24"/>
              </w:rPr>
            </w:pPr>
            <w:r w:rsidRPr="00CE7F96">
              <w:rPr>
                <w:sz w:val="24"/>
                <w:szCs w:val="24"/>
              </w:rPr>
              <w:t>0.44</w:t>
            </w:r>
          </w:p>
        </w:tc>
      </w:tr>
      <w:tr w:rsidR="00192013" w:rsidRPr="005A3E52" w14:paraId="6006F4DA" w14:textId="77777777" w:rsidTr="003F56CD">
        <w:trPr>
          <w:trHeight w:val="350"/>
          <w:jc w:val="center"/>
        </w:trPr>
        <w:tc>
          <w:tcPr>
            <w:tcW w:w="1885" w:type="dxa"/>
          </w:tcPr>
          <w:p w14:paraId="233E4AAB" w14:textId="77777777" w:rsidR="00192013" w:rsidRPr="00C75422" w:rsidRDefault="00192013" w:rsidP="00A440CD">
            <w:pPr>
              <w:pStyle w:val="Paragraph"/>
              <w:spacing w:before="120" w:after="120"/>
              <w:ind w:firstLine="0"/>
              <w:jc w:val="center"/>
              <w:rPr>
                <w:b/>
                <w:sz w:val="24"/>
                <w:szCs w:val="24"/>
              </w:rPr>
            </w:pPr>
            <w:r w:rsidRPr="0081755C">
              <w:rPr>
                <w:b/>
                <w:sz w:val="24"/>
                <w:szCs w:val="24"/>
              </w:rPr>
              <w:t xml:space="preserve">1 </w:t>
            </w:r>
            <w:r>
              <w:rPr>
                <w:b/>
                <w:sz w:val="24"/>
                <w:szCs w:val="24"/>
              </w:rPr>
              <w:t>wt.%</w:t>
            </w:r>
            <w:r w:rsidRPr="0081755C">
              <w:rPr>
                <w:b/>
                <w:sz w:val="24"/>
                <w:szCs w:val="24"/>
              </w:rPr>
              <w:t xml:space="preserve"> I.30E-EPON 862</w:t>
            </w:r>
          </w:p>
        </w:tc>
        <w:tc>
          <w:tcPr>
            <w:tcW w:w="1260" w:type="dxa"/>
            <w:vAlign w:val="center"/>
          </w:tcPr>
          <w:p w14:paraId="27C34569" w14:textId="04F1DCD0"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7.45</w:t>
            </w:r>
            <w:r w:rsidR="003F56CD">
              <w:rPr>
                <w:color w:val="000000" w:themeColor="text1"/>
                <w:kern w:val="24"/>
                <w:sz w:val="24"/>
                <w:szCs w:val="24"/>
              </w:rPr>
              <w:t>×</w:t>
            </w:r>
            <w:r w:rsidRPr="00CE7F96">
              <w:rPr>
                <w:color w:val="000000" w:themeColor="text1"/>
                <w:kern w:val="24"/>
                <w:sz w:val="24"/>
                <w:szCs w:val="24"/>
              </w:rPr>
              <w:t>10</w:t>
            </w:r>
            <w:r w:rsidRPr="00CE7F96">
              <w:rPr>
                <w:color w:val="000000" w:themeColor="text1"/>
                <w:kern w:val="24"/>
                <w:position w:val="7"/>
                <w:sz w:val="24"/>
                <w:szCs w:val="24"/>
                <w:vertAlign w:val="superscript"/>
              </w:rPr>
              <w:t>-4</w:t>
            </w:r>
          </w:p>
        </w:tc>
        <w:tc>
          <w:tcPr>
            <w:tcW w:w="1350" w:type="dxa"/>
            <w:vAlign w:val="center"/>
          </w:tcPr>
          <w:p w14:paraId="094A84F8" w14:textId="130B0911" w:rsidR="00192013" w:rsidRPr="00CE7F96" w:rsidRDefault="00192013" w:rsidP="00A440CD">
            <w:pPr>
              <w:pStyle w:val="Paragraph"/>
              <w:spacing w:before="120" w:after="120"/>
              <w:ind w:firstLine="0"/>
              <w:jc w:val="center"/>
              <w:rPr>
                <w:sz w:val="24"/>
                <w:szCs w:val="24"/>
              </w:rPr>
            </w:pPr>
            <w:r w:rsidRPr="00CE7F96">
              <w:rPr>
                <w:sz w:val="24"/>
                <w:szCs w:val="24"/>
              </w:rPr>
              <w:t>6.96</w:t>
            </w:r>
            <w:r w:rsidR="003F56CD">
              <w:rPr>
                <w:sz w:val="24"/>
                <w:szCs w:val="24"/>
              </w:rPr>
              <w:t>×</w:t>
            </w:r>
            <w:r w:rsidRPr="00CE7F96">
              <w:rPr>
                <w:sz w:val="24"/>
                <w:szCs w:val="24"/>
              </w:rPr>
              <w:t>10</w:t>
            </w:r>
            <w:r w:rsidRPr="00CE7F96">
              <w:rPr>
                <w:sz w:val="24"/>
                <w:szCs w:val="24"/>
                <w:vertAlign w:val="superscript"/>
              </w:rPr>
              <w:t>-4</w:t>
            </w:r>
          </w:p>
        </w:tc>
        <w:tc>
          <w:tcPr>
            <w:tcW w:w="1260" w:type="dxa"/>
            <w:vAlign w:val="center"/>
          </w:tcPr>
          <w:p w14:paraId="0ADBDDF0" w14:textId="03308E28" w:rsidR="00192013" w:rsidRPr="00CE7F96" w:rsidRDefault="00192013" w:rsidP="00A440CD">
            <w:pPr>
              <w:pStyle w:val="Paragraph"/>
              <w:spacing w:before="120" w:after="120"/>
              <w:ind w:firstLine="0"/>
              <w:jc w:val="center"/>
              <w:rPr>
                <w:sz w:val="24"/>
                <w:szCs w:val="24"/>
              </w:rPr>
            </w:pPr>
            <w:r w:rsidRPr="00CE7F96">
              <w:rPr>
                <w:sz w:val="24"/>
                <w:szCs w:val="24"/>
              </w:rPr>
              <w:t>9.66</w:t>
            </w:r>
            <w:r w:rsidR="003F56CD">
              <w:rPr>
                <w:sz w:val="24"/>
                <w:szCs w:val="24"/>
              </w:rPr>
              <w:t>×</w:t>
            </w:r>
            <w:r w:rsidRPr="00CE7F96">
              <w:rPr>
                <w:sz w:val="24"/>
                <w:szCs w:val="24"/>
              </w:rPr>
              <w:t>10</w:t>
            </w:r>
            <w:r w:rsidRPr="00CE7F96">
              <w:rPr>
                <w:sz w:val="24"/>
                <w:szCs w:val="24"/>
                <w:vertAlign w:val="superscript"/>
              </w:rPr>
              <w:t>-5</w:t>
            </w:r>
          </w:p>
        </w:tc>
        <w:tc>
          <w:tcPr>
            <w:tcW w:w="810" w:type="dxa"/>
            <w:vAlign w:val="center"/>
          </w:tcPr>
          <w:p w14:paraId="2FDDEA60"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0.139</w:t>
            </w:r>
          </w:p>
        </w:tc>
        <w:tc>
          <w:tcPr>
            <w:tcW w:w="990" w:type="dxa"/>
            <w:vAlign w:val="center"/>
          </w:tcPr>
          <w:p w14:paraId="6F752277"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2.211</w:t>
            </w:r>
          </w:p>
        </w:tc>
        <w:tc>
          <w:tcPr>
            <w:tcW w:w="990" w:type="dxa"/>
            <w:vAlign w:val="center"/>
          </w:tcPr>
          <w:p w14:paraId="7BB814E8" w14:textId="77777777" w:rsidR="00192013" w:rsidRPr="00CE7F96" w:rsidRDefault="00192013" w:rsidP="00A440CD">
            <w:pPr>
              <w:pStyle w:val="Paragraph"/>
              <w:spacing w:before="120" w:after="120"/>
              <w:ind w:firstLine="0"/>
              <w:jc w:val="center"/>
              <w:rPr>
                <w:sz w:val="24"/>
                <w:szCs w:val="24"/>
              </w:rPr>
            </w:pPr>
            <w:r w:rsidRPr="00CE7F96">
              <w:rPr>
                <w:sz w:val="24"/>
                <w:szCs w:val="24"/>
              </w:rPr>
              <w:t>0.44</w:t>
            </w:r>
          </w:p>
        </w:tc>
      </w:tr>
      <w:tr w:rsidR="00192013" w:rsidRPr="005A3E52" w14:paraId="182AB09A" w14:textId="77777777" w:rsidTr="003F56CD">
        <w:trPr>
          <w:trHeight w:val="350"/>
          <w:jc w:val="center"/>
        </w:trPr>
        <w:tc>
          <w:tcPr>
            <w:tcW w:w="1885" w:type="dxa"/>
          </w:tcPr>
          <w:p w14:paraId="05EC30AE" w14:textId="77777777" w:rsidR="00192013" w:rsidRPr="00C75422" w:rsidRDefault="00192013" w:rsidP="00A440CD">
            <w:pPr>
              <w:pStyle w:val="Paragraph"/>
              <w:spacing w:before="120" w:after="120"/>
              <w:ind w:firstLine="0"/>
              <w:jc w:val="center"/>
              <w:rPr>
                <w:b/>
                <w:sz w:val="24"/>
                <w:szCs w:val="24"/>
              </w:rPr>
            </w:pPr>
            <w:r w:rsidRPr="0081755C">
              <w:rPr>
                <w:b/>
                <w:sz w:val="24"/>
                <w:szCs w:val="24"/>
              </w:rPr>
              <w:t xml:space="preserve">2 </w:t>
            </w:r>
            <w:r>
              <w:rPr>
                <w:b/>
                <w:sz w:val="24"/>
                <w:szCs w:val="24"/>
              </w:rPr>
              <w:t>wt.%</w:t>
            </w:r>
            <w:r w:rsidRPr="0081755C">
              <w:rPr>
                <w:b/>
                <w:sz w:val="24"/>
                <w:szCs w:val="24"/>
              </w:rPr>
              <w:t xml:space="preserve"> I.30E-EPON 862</w:t>
            </w:r>
          </w:p>
        </w:tc>
        <w:tc>
          <w:tcPr>
            <w:tcW w:w="1260" w:type="dxa"/>
            <w:vAlign w:val="center"/>
          </w:tcPr>
          <w:p w14:paraId="511442C0" w14:textId="004DE808"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7.39</w:t>
            </w:r>
            <w:r w:rsidR="003F56CD">
              <w:rPr>
                <w:color w:val="000000" w:themeColor="text1"/>
                <w:kern w:val="24"/>
                <w:sz w:val="24"/>
                <w:szCs w:val="24"/>
              </w:rPr>
              <w:t>×</w:t>
            </w:r>
            <w:r w:rsidRPr="00CE7F96">
              <w:rPr>
                <w:color w:val="000000" w:themeColor="text1"/>
                <w:kern w:val="24"/>
                <w:sz w:val="24"/>
                <w:szCs w:val="24"/>
              </w:rPr>
              <w:t>10</w:t>
            </w:r>
            <w:r w:rsidRPr="00CE7F96">
              <w:rPr>
                <w:color w:val="000000" w:themeColor="text1"/>
                <w:kern w:val="24"/>
                <w:position w:val="7"/>
                <w:sz w:val="24"/>
                <w:szCs w:val="24"/>
                <w:vertAlign w:val="superscript"/>
              </w:rPr>
              <w:t>-4</w:t>
            </w:r>
          </w:p>
        </w:tc>
        <w:tc>
          <w:tcPr>
            <w:tcW w:w="1350" w:type="dxa"/>
            <w:vAlign w:val="center"/>
          </w:tcPr>
          <w:p w14:paraId="11519ACB" w14:textId="55FC1717" w:rsidR="00192013" w:rsidRPr="00CE7F96" w:rsidRDefault="00192013" w:rsidP="00A440CD">
            <w:pPr>
              <w:pStyle w:val="Paragraph"/>
              <w:spacing w:before="120" w:after="120"/>
              <w:ind w:firstLine="0"/>
              <w:jc w:val="center"/>
              <w:rPr>
                <w:sz w:val="24"/>
                <w:szCs w:val="24"/>
              </w:rPr>
            </w:pPr>
            <w:r w:rsidRPr="00CE7F96">
              <w:rPr>
                <w:sz w:val="24"/>
                <w:szCs w:val="24"/>
              </w:rPr>
              <w:t>4.82</w:t>
            </w:r>
            <w:r w:rsidR="003F56CD">
              <w:rPr>
                <w:sz w:val="24"/>
                <w:szCs w:val="24"/>
              </w:rPr>
              <w:t>×</w:t>
            </w:r>
            <w:r w:rsidRPr="00CE7F96">
              <w:rPr>
                <w:sz w:val="24"/>
                <w:szCs w:val="24"/>
              </w:rPr>
              <w:t>10</w:t>
            </w:r>
            <w:r w:rsidRPr="00CE7F96">
              <w:rPr>
                <w:sz w:val="24"/>
                <w:szCs w:val="24"/>
                <w:vertAlign w:val="superscript"/>
              </w:rPr>
              <w:t>-4</w:t>
            </w:r>
          </w:p>
        </w:tc>
        <w:tc>
          <w:tcPr>
            <w:tcW w:w="1260" w:type="dxa"/>
            <w:vAlign w:val="center"/>
          </w:tcPr>
          <w:p w14:paraId="02AC0576" w14:textId="22FA88CE" w:rsidR="00192013" w:rsidRPr="00CE7F96" w:rsidRDefault="00192013" w:rsidP="00A440CD">
            <w:pPr>
              <w:pStyle w:val="Paragraph"/>
              <w:spacing w:before="120" w:after="120"/>
              <w:ind w:firstLine="0"/>
              <w:jc w:val="center"/>
              <w:rPr>
                <w:sz w:val="24"/>
                <w:szCs w:val="24"/>
              </w:rPr>
            </w:pPr>
            <w:r w:rsidRPr="00CE7F96">
              <w:rPr>
                <w:sz w:val="24"/>
                <w:szCs w:val="24"/>
              </w:rPr>
              <w:t>7.20</w:t>
            </w:r>
            <w:r w:rsidR="003F56CD">
              <w:rPr>
                <w:sz w:val="24"/>
                <w:szCs w:val="24"/>
              </w:rPr>
              <w:t>×</w:t>
            </w:r>
            <w:r w:rsidRPr="00CE7F96">
              <w:rPr>
                <w:sz w:val="24"/>
                <w:szCs w:val="24"/>
              </w:rPr>
              <w:t>10</w:t>
            </w:r>
            <w:r w:rsidRPr="00CE7F96">
              <w:rPr>
                <w:sz w:val="24"/>
                <w:szCs w:val="24"/>
                <w:vertAlign w:val="superscript"/>
              </w:rPr>
              <w:t>-5</w:t>
            </w:r>
          </w:p>
        </w:tc>
        <w:tc>
          <w:tcPr>
            <w:tcW w:w="810" w:type="dxa"/>
            <w:vAlign w:val="center"/>
          </w:tcPr>
          <w:p w14:paraId="1C5A3DAF"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0.149</w:t>
            </w:r>
          </w:p>
        </w:tc>
        <w:tc>
          <w:tcPr>
            <w:tcW w:w="990" w:type="dxa"/>
            <w:vAlign w:val="center"/>
          </w:tcPr>
          <w:p w14:paraId="4CFD36CC"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2.198</w:t>
            </w:r>
          </w:p>
        </w:tc>
        <w:tc>
          <w:tcPr>
            <w:tcW w:w="990" w:type="dxa"/>
            <w:vAlign w:val="center"/>
          </w:tcPr>
          <w:p w14:paraId="292C00E2" w14:textId="77777777" w:rsidR="00192013" w:rsidRPr="00CE7F96" w:rsidRDefault="00192013" w:rsidP="00A440CD">
            <w:pPr>
              <w:pStyle w:val="Paragraph"/>
              <w:spacing w:before="120" w:after="120"/>
              <w:ind w:firstLine="0"/>
              <w:jc w:val="center"/>
              <w:rPr>
                <w:sz w:val="24"/>
                <w:szCs w:val="24"/>
              </w:rPr>
            </w:pPr>
            <w:r w:rsidRPr="00CE7F96">
              <w:rPr>
                <w:sz w:val="24"/>
                <w:szCs w:val="24"/>
              </w:rPr>
              <w:t>0.43</w:t>
            </w:r>
          </w:p>
        </w:tc>
      </w:tr>
      <w:tr w:rsidR="00192013" w:rsidRPr="005A3E52" w14:paraId="7A54D2CD" w14:textId="77777777" w:rsidTr="003F56CD">
        <w:trPr>
          <w:trHeight w:val="350"/>
          <w:jc w:val="center"/>
        </w:trPr>
        <w:tc>
          <w:tcPr>
            <w:tcW w:w="1885" w:type="dxa"/>
          </w:tcPr>
          <w:p w14:paraId="38C5B6E6" w14:textId="77777777" w:rsidR="00192013" w:rsidRPr="00C75422" w:rsidRDefault="00192013" w:rsidP="00A440CD">
            <w:pPr>
              <w:pStyle w:val="Paragraph"/>
              <w:spacing w:before="120" w:after="120"/>
              <w:ind w:firstLine="0"/>
              <w:jc w:val="center"/>
              <w:rPr>
                <w:b/>
                <w:sz w:val="24"/>
                <w:szCs w:val="24"/>
              </w:rPr>
            </w:pPr>
            <w:r w:rsidRPr="0081755C">
              <w:rPr>
                <w:b/>
                <w:sz w:val="24"/>
                <w:szCs w:val="24"/>
              </w:rPr>
              <w:t xml:space="preserve">3 </w:t>
            </w:r>
            <w:r>
              <w:rPr>
                <w:b/>
                <w:sz w:val="24"/>
                <w:szCs w:val="24"/>
              </w:rPr>
              <w:t>wt.%</w:t>
            </w:r>
            <w:r w:rsidRPr="0081755C">
              <w:rPr>
                <w:b/>
                <w:sz w:val="24"/>
                <w:szCs w:val="24"/>
              </w:rPr>
              <w:t xml:space="preserve"> I.30E-EPON 862</w:t>
            </w:r>
          </w:p>
        </w:tc>
        <w:tc>
          <w:tcPr>
            <w:tcW w:w="1260" w:type="dxa"/>
            <w:vAlign w:val="center"/>
          </w:tcPr>
          <w:p w14:paraId="14065CD1" w14:textId="5A19B9AD"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7.34</w:t>
            </w:r>
            <w:r w:rsidR="003F56CD">
              <w:rPr>
                <w:color w:val="000000" w:themeColor="text1"/>
                <w:kern w:val="24"/>
                <w:sz w:val="24"/>
                <w:szCs w:val="24"/>
              </w:rPr>
              <w:t>×</w:t>
            </w:r>
            <w:r w:rsidRPr="00CE7F96">
              <w:rPr>
                <w:color w:val="000000" w:themeColor="text1"/>
                <w:kern w:val="24"/>
                <w:sz w:val="24"/>
                <w:szCs w:val="24"/>
              </w:rPr>
              <w:t>10</w:t>
            </w:r>
            <w:r w:rsidRPr="00CE7F96">
              <w:rPr>
                <w:color w:val="000000" w:themeColor="text1"/>
                <w:kern w:val="24"/>
                <w:position w:val="7"/>
                <w:sz w:val="24"/>
                <w:szCs w:val="24"/>
                <w:vertAlign w:val="superscript"/>
              </w:rPr>
              <w:t>-4</w:t>
            </w:r>
          </w:p>
        </w:tc>
        <w:tc>
          <w:tcPr>
            <w:tcW w:w="1350" w:type="dxa"/>
            <w:vAlign w:val="center"/>
          </w:tcPr>
          <w:p w14:paraId="5323676F" w14:textId="7F8D4AC8" w:rsidR="00192013" w:rsidRPr="00CE7F96" w:rsidRDefault="00192013" w:rsidP="00A440CD">
            <w:pPr>
              <w:pStyle w:val="Paragraph"/>
              <w:spacing w:before="120" w:after="120"/>
              <w:ind w:firstLine="0"/>
              <w:jc w:val="center"/>
              <w:rPr>
                <w:sz w:val="24"/>
                <w:szCs w:val="24"/>
              </w:rPr>
            </w:pPr>
            <w:r w:rsidRPr="00CE7F96">
              <w:rPr>
                <w:sz w:val="24"/>
                <w:szCs w:val="24"/>
              </w:rPr>
              <w:t>7.20</w:t>
            </w:r>
            <w:r w:rsidR="003F56CD">
              <w:rPr>
                <w:sz w:val="24"/>
                <w:szCs w:val="24"/>
              </w:rPr>
              <w:t>×</w:t>
            </w:r>
            <w:r w:rsidRPr="00CE7F96">
              <w:rPr>
                <w:sz w:val="24"/>
                <w:szCs w:val="24"/>
              </w:rPr>
              <w:t>10</w:t>
            </w:r>
            <w:r w:rsidRPr="00CE7F96">
              <w:rPr>
                <w:sz w:val="24"/>
                <w:szCs w:val="24"/>
                <w:vertAlign w:val="superscript"/>
              </w:rPr>
              <w:t>-4</w:t>
            </w:r>
          </w:p>
        </w:tc>
        <w:tc>
          <w:tcPr>
            <w:tcW w:w="1260" w:type="dxa"/>
            <w:vAlign w:val="center"/>
          </w:tcPr>
          <w:p w14:paraId="1043FF4B" w14:textId="04EEC9E6" w:rsidR="00192013" w:rsidRPr="00CE7F96" w:rsidRDefault="00192013" w:rsidP="00A440CD">
            <w:pPr>
              <w:pStyle w:val="Paragraph"/>
              <w:spacing w:before="120" w:after="120"/>
              <w:ind w:firstLine="0"/>
              <w:jc w:val="center"/>
              <w:rPr>
                <w:sz w:val="24"/>
                <w:szCs w:val="24"/>
              </w:rPr>
            </w:pPr>
            <w:r w:rsidRPr="00CE7F96">
              <w:rPr>
                <w:sz w:val="24"/>
                <w:szCs w:val="24"/>
              </w:rPr>
              <w:t>1.10</w:t>
            </w:r>
            <w:r w:rsidR="003F56CD">
              <w:rPr>
                <w:sz w:val="24"/>
                <w:szCs w:val="24"/>
              </w:rPr>
              <w:t>×</w:t>
            </w:r>
            <w:r w:rsidRPr="00CE7F96">
              <w:rPr>
                <w:sz w:val="24"/>
                <w:szCs w:val="24"/>
              </w:rPr>
              <w:t>10</w:t>
            </w:r>
            <w:r w:rsidRPr="00CE7F96">
              <w:rPr>
                <w:sz w:val="24"/>
                <w:szCs w:val="24"/>
                <w:vertAlign w:val="superscript"/>
              </w:rPr>
              <w:t>-4</w:t>
            </w:r>
          </w:p>
        </w:tc>
        <w:tc>
          <w:tcPr>
            <w:tcW w:w="810" w:type="dxa"/>
            <w:vAlign w:val="center"/>
          </w:tcPr>
          <w:p w14:paraId="1BA59E4A"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0.153</w:t>
            </w:r>
          </w:p>
        </w:tc>
        <w:tc>
          <w:tcPr>
            <w:tcW w:w="990" w:type="dxa"/>
            <w:vAlign w:val="center"/>
          </w:tcPr>
          <w:p w14:paraId="3BB63FA5"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2.181</w:t>
            </w:r>
          </w:p>
        </w:tc>
        <w:tc>
          <w:tcPr>
            <w:tcW w:w="990" w:type="dxa"/>
            <w:vAlign w:val="center"/>
          </w:tcPr>
          <w:p w14:paraId="59B470B6" w14:textId="77777777" w:rsidR="00192013" w:rsidRPr="00CE7F96" w:rsidRDefault="00192013" w:rsidP="00A440CD">
            <w:pPr>
              <w:pStyle w:val="Paragraph"/>
              <w:spacing w:before="120" w:after="120"/>
              <w:ind w:firstLine="0"/>
              <w:jc w:val="center"/>
              <w:rPr>
                <w:sz w:val="24"/>
                <w:szCs w:val="24"/>
              </w:rPr>
            </w:pPr>
            <w:r w:rsidRPr="00CE7F96">
              <w:rPr>
                <w:sz w:val="24"/>
                <w:szCs w:val="24"/>
              </w:rPr>
              <w:t>0.44</w:t>
            </w:r>
          </w:p>
        </w:tc>
      </w:tr>
      <w:tr w:rsidR="00192013" w:rsidRPr="005A3E52" w14:paraId="01CF61D4" w14:textId="77777777" w:rsidTr="003F56CD">
        <w:trPr>
          <w:trHeight w:val="350"/>
          <w:jc w:val="center"/>
        </w:trPr>
        <w:tc>
          <w:tcPr>
            <w:tcW w:w="1885" w:type="dxa"/>
          </w:tcPr>
          <w:p w14:paraId="2327F6C3" w14:textId="77777777" w:rsidR="00192013" w:rsidRPr="00C75422" w:rsidRDefault="00192013" w:rsidP="00A440CD">
            <w:pPr>
              <w:pStyle w:val="Paragraph"/>
              <w:spacing w:before="120" w:after="120"/>
              <w:ind w:firstLine="0"/>
              <w:jc w:val="center"/>
              <w:rPr>
                <w:b/>
                <w:sz w:val="24"/>
                <w:szCs w:val="24"/>
              </w:rPr>
            </w:pPr>
            <w:r w:rsidRPr="0081755C">
              <w:rPr>
                <w:b/>
                <w:sz w:val="24"/>
                <w:szCs w:val="24"/>
              </w:rPr>
              <w:t xml:space="preserve">5 </w:t>
            </w:r>
            <w:r>
              <w:rPr>
                <w:b/>
                <w:sz w:val="24"/>
                <w:szCs w:val="24"/>
              </w:rPr>
              <w:t>wt.%</w:t>
            </w:r>
            <w:r w:rsidRPr="0081755C">
              <w:rPr>
                <w:b/>
                <w:sz w:val="24"/>
                <w:szCs w:val="24"/>
              </w:rPr>
              <w:t xml:space="preserve"> I.30E-EPON 862</w:t>
            </w:r>
          </w:p>
        </w:tc>
        <w:tc>
          <w:tcPr>
            <w:tcW w:w="1260" w:type="dxa"/>
            <w:vAlign w:val="center"/>
          </w:tcPr>
          <w:p w14:paraId="4F326D15" w14:textId="1C5F557C"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7.24</w:t>
            </w:r>
            <w:r w:rsidR="003F56CD">
              <w:rPr>
                <w:color w:val="000000" w:themeColor="text1"/>
                <w:kern w:val="24"/>
                <w:sz w:val="24"/>
                <w:szCs w:val="24"/>
              </w:rPr>
              <w:t>×</w:t>
            </w:r>
            <w:r w:rsidRPr="00CE7F96">
              <w:rPr>
                <w:color w:val="000000" w:themeColor="text1"/>
                <w:kern w:val="24"/>
                <w:sz w:val="24"/>
                <w:szCs w:val="24"/>
              </w:rPr>
              <w:t>10</w:t>
            </w:r>
            <w:r w:rsidRPr="00CE7F96">
              <w:rPr>
                <w:color w:val="000000" w:themeColor="text1"/>
                <w:kern w:val="24"/>
                <w:position w:val="7"/>
                <w:sz w:val="24"/>
                <w:szCs w:val="24"/>
                <w:vertAlign w:val="superscript"/>
              </w:rPr>
              <w:t>-4</w:t>
            </w:r>
          </w:p>
        </w:tc>
        <w:tc>
          <w:tcPr>
            <w:tcW w:w="1350" w:type="dxa"/>
            <w:vAlign w:val="center"/>
          </w:tcPr>
          <w:p w14:paraId="5C8F9B17" w14:textId="320A3A57" w:rsidR="00192013" w:rsidRPr="00CE7F96" w:rsidRDefault="00192013" w:rsidP="00A440CD">
            <w:pPr>
              <w:pStyle w:val="Paragraph"/>
              <w:spacing w:before="120" w:after="120"/>
              <w:ind w:firstLine="0"/>
              <w:jc w:val="center"/>
              <w:rPr>
                <w:sz w:val="24"/>
                <w:szCs w:val="24"/>
              </w:rPr>
            </w:pPr>
            <w:r w:rsidRPr="00CE7F96">
              <w:rPr>
                <w:sz w:val="24"/>
                <w:szCs w:val="24"/>
              </w:rPr>
              <w:t>5.84</w:t>
            </w:r>
            <w:r w:rsidR="003F56CD">
              <w:rPr>
                <w:sz w:val="24"/>
                <w:szCs w:val="24"/>
              </w:rPr>
              <w:t>×</w:t>
            </w:r>
            <w:r w:rsidRPr="00CE7F96">
              <w:rPr>
                <w:sz w:val="24"/>
                <w:szCs w:val="24"/>
              </w:rPr>
              <w:t>10</w:t>
            </w:r>
            <w:r w:rsidRPr="00CE7F96">
              <w:rPr>
                <w:sz w:val="24"/>
                <w:szCs w:val="24"/>
                <w:vertAlign w:val="superscript"/>
              </w:rPr>
              <w:t>-4</w:t>
            </w:r>
          </w:p>
        </w:tc>
        <w:tc>
          <w:tcPr>
            <w:tcW w:w="1260" w:type="dxa"/>
            <w:vAlign w:val="center"/>
          </w:tcPr>
          <w:p w14:paraId="0C3DA0BE" w14:textId="63E67810" w:rsidR="00192013" w:rsidRPr="00CE7F96" w:rsidRDefault="00192013" w:rsidP="00A440CD">
            <w:pPr>
              <w:pStyle w:val="Paragraph"/>
              <w:spacing w:before="120" w:after="120"/>
              <w:ind w:firstLine="0"/>
              <w:jc w:val="center"/>
              <w:rPr>
                <w:sz w:val="24"/>
                <w:szCs w:val="24"/>
              </w:rPr>
            </w:pPr>
            <w:r w:rsidRPr="00CE7F96">
              <w:rPr>
                <w:sz w:val="24"/>
                <w:szCs w:val="24"/>
              </w:rPr>
              <w:t>1.02</w:t>
            </w:r>
            <w:r w:rsidR="003F56CD">
              <w:rPr>
                <w:sz w:val="24"/>
                <w:szCs w:val="24"/>
              </w:rPr>
              <w:t>×</w:t>
            </w:r>
            <w:r w:rsidRPr="00CE7F96">
              <w:rPr>
                <w:sz w:val="24"/>
                <w:szCs w:val="24"/>
              </w:rPr>
              <w:t>10</w:t>
            </w:r>
            <w:r w:rsidRPr="00CE7F96">
              <w:rPr>
                <w:sz w:val="24"/>
                <w:szCs w:val="24"/>
                <w:vertAlign w:val="superscript"/>
              </w:rPr>
              <w:t>-4</w:t>
            </w:r>
          </w:p>
        </w:tc>
        <w:tc>
          <w:tcPr>
            <w:tcW w:w="810" w:type="dxa"/>
            <w:vAlign w:val="center"/>
          </w:tcPr>
          <w:p w14:paraId="334C5544"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0.174</w:t>
            </w:r>
          </w:p>
        </w:tc>
        <w:tc>
          <w:tcPr>
            <w:tcW w:w="990" w:type="dxa"/>
            <w:vAlign w:val="center"/>
          </w:tcPr>
          <w:p w14:paraId="126FED0B" w14:textId="77777777" w:rsidR="00192013" w:rsidRPr="00CE7F96" w:rsidRDefault="00192013" w:rsidP="00A440CD">
            <w:pPr>
              <w:pStyle w:val="Paragraph"/>
              <w:spacing w:before="120" w:after="120"/>
              <w:ind w:firstLine="0"/>
              <w:jc w:val="center"/>
              <w:rPr>
                <w:sz w:val="24"/>
                <w:szCs w:val="24"/>
              </w:rPr>
            </w:pPr>
            <w:r w:rsidRPr="00CE7F96">
              <w:rPr>
                <w:color w:val="000000" w:themeColor="text1"/>
                <w:kern w:val="24"/>
                <w:sz w:val="24"/>
                <w:szCs w:val="24"/>
              </w:rPr>
              <w:t>2.126</w:t>
            </w:r>
          </w:p>
        </w:tc>
        <w:tc>
          <w:tcPr>
            <w:tcW w:w="990" w:type="dxa"/>
            <w:vAlign w:val="center"/>
          </w:tcPr>
          <w:p w14:paraId="6AE58294" w14:textId="77777777" w:rsidR="00192013" w:rsidRPr="00CE7F96" w:rsidRDefault="00192013" w:rsidP="00A440CD">
            <w:pPr>
              <w:pStyle w:val="Paragraph"/>
              <w:spacing w:before="120" w:after="120"/>
              <w:ind w:firstLine="0"/>
              <w:jc w:val="center"/>
              <w:rPr>
                <w:sz w:val="24"/>
                <w:szCs w:val="24"/>
              </w:rPr>
            </w:pPr>
            <w:r w:rsidRPr="00CE7F96">
              <w:rPr>
                <w:sz w:val="24"/>
                <w:szCs w:val="24"/>
              </w:rPr>
              <w:t>0.44</w:t>
            </w:r>
          </w:p>
        </w:tc>
      </w:tr>
    </w:tbl>
    <w:p w14:paraId="0BE8B173" w14:textId="77777777" w:rsidR="00192013" w:rsidRDefault="00192013" w:rsidP="00F77E87">
      <w:r w:rsidRPr="00D87D03">
        <w:t xml:space="preserve"> </w:t>
      </w:r>
    </w:p>
    <w:p w14:paraId="78EC3B6E" w14:textId="7B6DC8D8" w:rsidR="00192013" w:rsidRDefault="0084615F" w:rsidP="00F77E87">
      <w:r>
        <w:t>Ex</w:t>
      </w:r>
      <w:r w:rsidR="00192013">
        <w:t xml:space="preserve">perimental gravimetric data and the hindered diffusion model prediction using the absorption parameters in </w:t>
      </w:r>
      <w:r w:rsidR="00192013">
        <w:fldChar w:fldCharType="begin"/>
      </w:r>
      <w:r w:rsidR="00192013">
        <w:instrText xml:space="preserve"> REF _Ref521416538 \h </w:instrText>
      </w:r>
      <w:r w:rsidR="00F77E87">
        <w:instrText xml:space="preserve"> \* MERGEFORMAT </w:instrText>
      </w:r>
      <w:r w:rsidR="00192013">
        <w:fldChar w:fldCharType="separate"/>
      </w:r>
      <w:r w:rsidR="006D52C2">
        <w:t xml:space="preserve">Table </w:t>
      </w:r>
      <w:r w:rsidR="006D52C2">
        <w:rPr>
          <w:noProof/>
        </w:rPr>
        <w:t>5</w:t>
      </w:r>
      <w:r w:rsidR="00192013">
        <w:fldChar w:fldCharType="end"/>
      </w:r>
      <w:r w:rsidR="00192013">
        <w:t xml:space="preserve"> are shown in </w:t>
      </w:r>
      <w:r w:rsidR="00192013">
        <w:rPr>
          <w:rFonts w:cs="Times New Roman"/>
        </w:rPr>
        <w:fldChar w:fldCharType="begin"/>
      </w:r>
      <w:r w:rsidR="00192013">
        <w:instrText xml:space="preserve"> REF _Ref521501364 \h </w:instrText>
      </w:r>
      <w:r w:rsidR="00F77E87">
        <w:rPr>
          <w:rFonts w:cs="Times New Roman"/>
        </w:rPr>
        <w:instrText xml:space="preserve"> \* MERGEFORMAT </w:instrText>
      </w:r>
      <w:r w:rsidR="00192013">
        <w:rPr>
          <w:rFonts w:cs="Times New Roman"/>
        </w:rPr>
      </w:r>
      <w:r w:rsidR="00192013">
        <w:rPr>
          <w:rFonts w:cs="Times New Roman"/>
        </w:rPr>
        <w:fldChar w:fldCharType="separate"/>
      </w:r>
      <w:r w:rsidR="006D52C2">
        <w:t xml:space="preserve">Figure </w:t>
      </w:r>
      <w:r w:rsidR="006D52C2">
        <w:rPr>
          <w:noProof/>
        </w:rPr>
        <w:t>26</w:t>
      </w:r>
      <w:r w:rsidR="00192013">
        <w:rPr>
          <w:rFonts w:cs="Times New Roman"/>
        </w:rPr>
        <w:fldChar w:fldCharType="end"/>
      </w:r>
      <w:r w:rsidR="00192013">
        <w:t xml:space="preserve">. As in compliance with the root </w:t>
      </w:r>
      <w:r w:rsidR="00192013">
        <w:lastRenderedPageBreak/>
        <w:t xml:space="preserve">mean square error per data point values in </w:t>
      </w:r>
      <w:r w:rsidR="00192013">
        <w:fldChar w:fldCharType="begin"/>
      </w:r>
      <w:r w:rsidR="00192013">
        <w:instrText xml:space="preserve"> REF _Ref521416538 \h </w:instrText>
      </w:r>
      <w:r w:rsidR="00F77E87">
        <w:instrText xml:space="preserve"> \* MERGEFORMAT </w:instrText>
      </w:r>
      <w:r w:rsidR="00192013">
        <w:fldChar w:fldCharType="separate"/>
      </w:r>
      <w:r w:rsidR="006D52C2">
        <w:t xml:space="preserve">Table </w:t>
      </w:r>
      <w:r w:rsidR="006D52C2">
        <w:rPr>
          <w:noProof/>
        </w:rPr>
        <w:t>5</w:t>
      </w:r>
      <w:r w:rsidR="00192013">
        <w:fldChar w:fldCharType="end"/>
      </w:r>
      <w:r w:rsidR="00192013">
        <w:t xml:space="preserve">, one-dimensional hindered diffusion model has predicted each case successfully. Moreover, the last data points around </w:t>
      </w:r>
      <m:oMath>
        <m:rad>
          <m:radPr>
            <m:degHide m:val="1"/>
            <m:ctrlPr>
              <w:rPr>
                <w:rFonts w:ascii="Cambria Math" w:hAnsi="Cambria Math"/>
                <w:i/>
              </w:rPr>
            </m:ctrlPr>
          </m:radPr>
          <m:deg/>
          <m:e>
            <m:r>
              <w:rPr>
                <w:rFonts w:ascii="Cambria Math" w:hAnsi="Cambria Math"/>
              </w:rPr>
              <m:t>time</m:t>
            </m:r>
          </m:e>
        </m:rad>
        <m:r>
          <w:rPr>
            <w:rFonts w:ascii="Cambria Math" w:hAnsi="Cambria Math"/>
          </w:rPr>
          <m:t>≈90</m:t>
        </m:r>
      </m:oMath>
      <w:r w:rsidR="00192013">
        <w:t xml:space="preserve"> shown in </w:t>
      </w:r>
      <w:r w:rsidR="00192013">
        <w:rPr>
          <w:rFonts w:cs="Times New Roman"/>
        </w:rPr>
        <w:fldChar w:fldCharType="begin"/>
      </w:r>
      <w:r w:rsidR="00192013">
        <w:instrText xml:space="preserve"> REF _Ref521501364 \h </w:instrText>
      </w:r>
      <w:r w:rsidR="00F77E87">
        <w:rPr>
          <w:rFonts w:cs="Times New Roman"/>
        </w:rPr>
        <w:instrText xml:space="preserve"> \* MERGEFORMAT </w:instrText>
      </w:r>
      <w:r w:rsidR="00192013">
        <w:rPr>
          <w:rFonts w:cs="Times New Roman"/>
        </w:rPr>
      </w:r>
      <w:r w:rsidR="00192013">
        <w:rPr>
          <w:rFonts w:cs="Times New Roman"/>
        </w:rPr>
        <w:fldChar w:fldCharType="separate"/>
      </w:r>
      <w:r w:rsidR="006D52C2">
        <w:t xml:space="preserve">Figure </w:t>
      </w:r>
      <w:r w:rsidR="006D52C2">
        <w:rPr>
          <w:noProof/>
        </w:rPr>
        <w:t>26</w:t>
      </w:r>
      <w:r w:rsidR="00192013">
        <w:rPr>
          <w:rFonts w:cs="Times New Roman"/>
        </w:rPr>
        <w:fldChar w:fldCharType="end"/>
      </w:r>
      <w:r w:rsidR="00192013">
        <w:rPr>
          <w:rFonts w:cs="Times New Roman"/>
        </w:rPr>
        <w:t xml:space="preserve"> are not used to recover the absorption parameters. The prediction of long-term absorption behavior from short-term experiment shows the capabilities of one-dimensional hindered diffusion model.</w:t>
      </w:r>
    </w:p>
    <w:p w14:paraId="19B0D3B4" w14:textId="0E0BF009" w:rsidR="00192013" w:rsidRDefault="0076629B" w:rsidP="00192013">
      <w:pPr>
        <w:pStyle w:val="NoSpacing"/>
      </w:pPr>
      <w:r>
        <w:rPr>
          <w:noProof/>
          <w:lang w:bidi="ar-SA"/>
        </w:rPr>
        <w:drawing>
          <wp:inline distT="0" distB="0" distL="0" distR="0" wp14:anchorId="5B959E04" wp14:editId="16AAF520">
            <wp:extent cx="5021421" cy="3657600"/>
            <wp:effectExtent l="0" t="0" r="8255" b="0"/>
            <wp:docPr id="4205" name="Picture 4205" descr="C:\Users\Administrator\Desktop\proje\PhD Dissertation\I30E-EPON86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descr="C:\Users\Administrator\Desktop\proje\PhD Dissertation\I30E-EPON862.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21421" cy="3657600"/>
                    </a:xfrm>
                    <a:prstGeom prst="rect">
                      <a:avLst/>
                    </a:prstGeom>
                    <a:noFill/>
                    <a:ln>
                      <a:noFill/>
                    </a:ln>
                  </pic:spPr>
                </pic:pic>
              </a:graphicData>
            </a:graphic>
          </wp:inline>
        </w:drawing>
      </w:r>
    </w:p>
    <w:p w14:paraId="2FB6688C" w14:textId="77777777" w:rsidR="00192013" w:rsidRDefault="00192013" w:rsidP="00192013">
      <w:pPr>
        <w:pStyle w:val="Caption"/>
        <w:rPr>
          <w:noProof/>
        </w:rPr>
      </w:pPr>
      <w:bookmarkStart w:id="163" w:name="_Ref521501364"/>
      <w:bookmarkStart w:id="164" w:name="_Toc405036790"/>
      <w:bookmarkStart w:id="165" w:name="_Toc449516683"/>
      <w:bookmarkStart w:id="166" w:name="_Toc530997382"/>
      <w:r>
        <w:t xml:space="preserve">Figure </w:t>
      </w:r>
      <w:r>
        <w:rPr>
          <w:noProof/>
        </w:rPr>
        <w:fldChar w:fldCharType="begin"/>
      </w:r>
      <w:r>
        <w:rPr>
          <w:noProof/>
        </w:rPr>
        <w:instrText xml:space="preserve"> SEQ Figure \* ARABIC </w:instrText>
      </w:r>
      <w:r>
        <w:rPr>
          <w:noProof/>
        </w:rPr>
        <w:fldChar w:fldCharType="separate"/>
      </w:r>
      <w:r w:rsidR="006D52C2">
        <w:rPr>
          <w:noProof/>
        </w:rPr>
        <w:t>26</w:t>
      </w:r>
      <w:r>
        <w:rPr>
          <w:noProof/>
        </w:rPr>
        <w:fldChar w:fldCharType="end"/>
      </w:r>
      <w:bookmarkEnd w:id="163"/>
      <w:r>
        <w:rPr>
          <w:noProof/>
        </w:rPr>
        <w:t>.</w:t>
      </w:r>
      <w:r w:rsidRPr="009E35F3">
        <w:rPr>
          <w:noProof/>
        </w:rPr>
        <w:t xml:space="preserve"> </w:t>
      </w:r>
      <w:r>
        <w:rPr>
          <w:noProof/>
        </w:rPr>
        <w:t>Clay loading effect on moisture absorption of I.30E nanoclay/EPON 862 epoxy composite and the hindered diffusion fit while keeping the diffusion coefficient constant.</w:t>
      </w:r>
      <w:bookmarkEnd w:id="164"/>
      <w:bookmarkEnd w:id="165"/>
      <w:bookmarkEnd w:id="166"/>
    </w:p>
    <w:p w14:paraId="03D599A1" w14:textId="77777777" w:rsidR="00192013" w:rsidRDefault="00192013" w:rsidP="00F77E87"/>
    <w:bookmarkEnd w:id="154"/>
    <w:bookmarkEnd w:id="155"/>
    <w:p w14:paraId="34737601" w14:textId="7070FEA9" w:rsidR="00192013" w:rsidRDefault="00192013" w:rsidP="00F77E87">
      <w:r>
        <w:t>Effect of nanoclay on degree of non-Fickian behavior is shown using the hindrance coefficient which describes the degree of hindered diffusion by</w:t>
      </w:r>
      <m:oMath>
        <m:r>
          <w:rPr>
            <w:rFonts w:ascii="Cambria Math" w:hAnsi="Cambria Math"/>
          </w:rPr>
          <m:t xml:space="preserve"> μ=</m:t>
        </m:r>
        <m:f>
          <m:fPr>
            <m:type m:val="skw"/>
            <m:ctrlPr>
              <w:rPr>
                <w:rFonts w:ascii="Cambria Math" w:hAnsi="Cambria Math"/>
                <w:i/>
              </w:rPr>
            </m:ctrlPr>
          </m:fPr>
          <m:num>
            <m:r>
              <w:rPr>
                <w:rFonts w:ascii="Cambria Math" w:hAnsi="Cambria Math"/>
              </w:rPr>
              <m:t>γ</m:t>
            </m:r>
          </m:num>
          <m:den>
            <m:r>
              <w:rPr>
                <w:rFonts w:ascii="Cambria Math" w:hAnsi="Cambria Math"/>
              </w:rPr>
              <m:t>β</m:t>
            </m:r>
          </m:den>
        </m:f>
      </m:oMath>
      <w:r>
        <w:t xml:space="preserve">. In addition, the </w:t>
      </w:r>
      <w:r>
        <w:rPr>
          <w:rFonts w:cs="Times New Roman"/>
        </w:rPr>
        <w:t>hindrance coefficient also gives the ratio of maximum bound moisture to unbound moisture. When the hindrance coefficient is zero, the moisture absorption is pure Fickian. As the hindrance coefficient increases, the diffusion becomes more non-Fickian.</w:t>
      </w:r>
      <w:r w:rsidRPr="00E54B9A">
        <w:rPr>
          <w:rFonts w:cs="Times New Roman"/>
        </w:rPr>
        <w:t xml:space="preserve"> </w:t>
      </w:r>
      <w:r>
        <w:rPr>
          <w:rFonts w:cs="Times New Roman"/>
        </w:rPr>
        <w:fldChar w:fldCharType="begin"/>
      </w:r>
      <w:r>
        <w:rPr>
          <w:rFonts w:cs="Times New Roman"/>
        </w:rPr>
        <w:instrText xml:space="preserve"> REF _Ref521236500 \h </w:instrText>
      </w:r>
      <w:r w:rsidR="00F77E87">
        <w:rPr>
          <w:rFonts w:cs="Times New Roman"/>
        </w:rPr>
        <w:instrText xml:space="preserve"> \* MERGEFORMAT </w:instrText>
      </w:r>
      <w:r>
        <w:rPr>
          <w:rFonts w:cs="Times New Roman"/>
        </w:rPr>
      </w:r>
      <w:r>
        <w:rPr>
          <w:rFonts w:cs="Times New Roman"/>
        </w:rPr>
        <w:fldChar w:fldCharType="separate"/>
      </w:r>
      <w:r w:rsidR="006D52C2">
        <w:t xml:space="preserve">Figure </w:t>
      </w:r>
      <w:r w:rsidR="006D52C2">
        <w:rPr>
          <w:noProof/>
        </w:rPr>
        <w:lastRenderedPageBreak/>
        <w:t>27</w:t>
      </w:r>
      <w:r>
        <w:rPr>
          <w:rFonts w:cs="Times New Roman"/>
        </w:rPr>
        <w:fldChar w:fldCharType="end"/>
      </w:r>
      <w:r>
        <w:rPr>
          <w:rFonts w:cs="Times New Roman"/>
        </w:rPr>
        <w:t xml:space="preserve"> </w:t>
      </w:r>
      <w:r w:rsidRPr="002E7C02">
        <w:t xml:space="preserve">shows the relationship between the hindrance coefficient and the nanoclay loading in EPON 862. </w:t>
      </w:r>
      <w:r>
        <w:t xml:space="preserve">Similar to the results depicted in </w:t>
      </w:r>
      <w:r>
        <w:fldChar w:fldCharType="begin"/>
      </w:r>
      <w:r>
        <w:instrText xml:space="preserve"> REF _Ref521077204 \h </w:instrText>
      </w:r>
      <w:r w:rsidR="00F77E87">
        <w:instrText xml:space="preserve"> \* MERGEFORMAT </w:instrText>
      </w:r>
      <w:r>
        <w:fldChar w:fldCharType="separate"/>
      </w:r>
      <w:r w:rsidR="006D52C2">
        <w:t xml:space="preserve">Figure </w:t>
      </w:r>
      <w:r w:rsidR="006D52C2">
        <w:rPr>
          <w:noProof/>
        </w:rPr>
        <w:t>20</w:t>
      </w:r>
      <w:r>
        <w:fldChar w:fldCharType="end"/>
      </w:r>
      <w:r>
        <w:t>, a linear relationship</w:t>
      </w:r>
      <w:r w:rsidRPr="00283778">
        <w:t xml:space="preserve"> </w:t>
      </w:r>
      <w:r>
        <w:t>is observed between the hindrance coefficient and the nanoclay loading. However, at this time, a</w:t>
      </w:r>
      <w:r w:rsidRPr="002E7C02">
        <w:t xml:space="preserve"> linear</w:t>
      </w:r>
      <w:r>
        <w:t>ly increasing trend</w:t>
      </w:r>
      <w:r w:rsidRPr="002E7C02">
        <w:t xml:space="preserve"> is observed between the hindrance coeff</w:t>
      </w:r>
      <w:r>
        <w:t xml:space="preserve">icient and the nanoclay loading, meaning that the diffusion becomes more non-Fickian with nanoclay addition. </w:t>
      </w:r>
      <w:r w:rsidRPr="00A72566">
        <w:t xml:space="preserve">These opposing trends might originate from </w:t>
      </w:r>
      <w:r>
        <w:t>the type of the epoxy used. Epoxy used in this study,</w:t>
      </w:r>
      <w:r w:rsidRPr="00A72566">
        <w:t xml:space="preserve"> EPON 862</w:t>
      </w:r>
      <w:r>
        <w:t>,</w:t>
      </w:r>
      <w:r w:rsidRPr="00A72566">
        <w:t xml:space="preserve"> is DGEBF epoxy, which has Bisphenol-F group, whereas </w:t>
      </w:r>
      <w:r>
        <w:t>epoxy used by Al-</w:t>
      </w:r>
      <w:proofErr w:type="spellStart"/>
      <w:r>
        <w:t>Qadhi</w:t>
      </w:r>
      <w:proofErr w:type="spellEnd"/>
      <w:r>
        <w:t xml:space="preserve"> et al.</w:t>
      </w:r>
      <w:r>
        <w:rPr>
          <w:rFonts w:cs="Times New Roman"/>
        </w:rPr>
        <w:t xml:space="preserve"> </w:t>
      </w:r>
      <w:r>
        <w:rPr>
          <w:rFonts w:cs="Times New Roman"/>
        </w:rPr>
        <w:fldChar w:fldCharType="begin" w:fldLock="1"/>
      </w:r>
      <w:r w:rsidR="00B274D5">
        <w:rPr>
          <w:rFonts w:cs="Times New Roman"/>
        </w:rPr>
        <w:instrText>ADDIN CSL_CITATION {"citationItems":[{"id":"ITEM-1","itemData":{"DOI":"10.1007/s10853-013-7180-5","ISBN":"1085301371805","ISSN":"00222461","author":[{"dropping-particle":"","family":"Al-Qadhi","given":"M.","non-dropping-particle":"","parse-names":false,"suffix":""},{"dropping-particle":"","family":"Merah","given":"N.","non-dropping-particle":"","parse-names":false,"suffix":""},{"dropping-particle":"","family":"Gasem","given":"Z. M.","non-dropping-particle":"","parse-names":false,"suffix":""}],"container-title":"Journal of Materials Science","id":"ITEM-1","issue":"10","issued":{"date-parts":[["2013"]]},"page":"3798-3804","title":"Mechanical properties and water uptake of epoxy-clay nanocomposites containing different clay loadings","type":"article-journal","volume":"48"},"uris":["http://www.mendeley.com/documents/?uuid=6f2c854f-86b7-4990-a430-a346c84517ac"]}],"mendeley":{"formattedCitation":"[80]","plainTextFormattedCitation":"[80]","previouslyFormattedCitation":"[80]"},"properties":{"noteIndex":0},"schema":"https://github.com/citation-style-language/schema/raw/master/csl-citation.json"}</w:instrText>
      </w:r>
      <w:r>
        <w:rPr>
          <w:rFonts w:cs="Times New Roman"/>
        </w:rPr>
        <w:fldChar w:fldCharType="separate"/>
      </w:r>
      <w:r w:rsidRPr="00D14EF2">
        <w:rPr>
          <w:rFonts w:cs="Times New Roman"/>
          <w:noProof/>
        </w:rPr>
        <w:t>[80]</w:t>
      </w:r>
      <w:r>
        <w:rPr>
          <w:rFonts w:cs="Times New Roman"/>
        </w:rPr>
        <w:fldChar w:fldCharType="end"/>
      </w:r>
      <w:r>
        <w:t xml:space="preserve">, </w:t>
      </w:r>
      <w:r w:rsidRPr="00A72566">
        <w:t>DGEBA</w:t>
      </w:r>
      <w:r>
        <w:t>,</w:t>
      </w:r>
      <w:r w:rsidRPr="00A72566">
        <w:t xml:space="preserve"> has Bisphenol-A group. These different chemical groups might interact differently with the I.30E nanoclay and </w:t>
      </w:r>
      <w:r>
        <w:t xml:space="preserve">effect </w:t>
      </w:r>
      <w:r w:rsidRPr="00A72566">
        <w:t>the diffusion</w:t>
      </w:r>
      <w:r>
        <w:t xml:space="preserve"> distinctively</w:t>
      </w:r>
      <w:r w:rsidRPr="00A72566">
        <w:t xml:space="preserve">. </w:t>
      </w:r>
    </w:p>
    <w:p w14:paraId="4C82C6E6" w14:textId="77777777" w:rsidR="00192013" w:rsidRDefault="00192013" w:rsidP="00192013">
      <w:pPr>
        <w:pStyle w:val="NoSpacing"/>
      </w:pPr>
      <w:r w:rsidRPr="00360425">
        <w:rPr>
          <w:noProof/>
          <w:lang w:bidi="ar-SA"/>
        </w:rPr>
        <w:drawing>
          <wp:inline distT="0" distB="0" distL="0" distR="0" wp14:anchorId="1994DB41" wp14:editId="7EAC07F4">
            <wp:extent cx="5394960" cy="2606040"/>
            <wp:effectExtent l="0" t="0" r="0" b="381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0154AC8" w14:textId="77777777" w:rsidR="00192013" w:rsidRDefault="00192013" w:rsidP="00192013">
      <w:pPr>
        <w:pStyle w:val="Caption"/>
      </w:pPr>
      <w:bookmarkStart w:id="167" w:name="_Ref521236500"/>
      <w:bookmarkStart w:id="168" w:name="_Toc405036788"/>
      <w:bookmarkStart w:id="169" w:name="_Toc449516678"/>
      <w:bookmarkStart w:id="170" w:name="_Toc530997383"/>
      <w:r>
        <w:t xml:space="preserve">Figure </w:t>
      </w:r>
      <w:r>
        <w:rPr>
          <w:noProof/>
        </w:rPr>
        <w:fldChar w:fldCharType="begin"/>
      </w:r>
      <w:r>
        <w:rPr>
          <w:noProof/>
        </w:rPr>
        <w:instrText xml:space="preserve"> SEQ Figure \* ARABIC </w:instrText>
      </w:r>
      <w:r>
        <w:rPr>
          <w:noProof/>
        </w:rPr>
        <w:fldChar w:fldCharType="separate"/>
      </w:r>
      <w:r w:rsidR="006D52C2">
        <w:rPr>
          <w:noProof/>
        </w:rPr>
        <w:t>27</w:t>
      </w:r>
      <w:r>
        <w:rPr>
          <w:noProof/>
        </w:rPr>
        <w:fldChar w:fldCharType="end"/>
      </w:r>
      <w:bookmarkEnd w:id="167"/>
      <w:r>
        <w:t>.</w:t>
      </w:r>
      <w:r w:rsidRPr="00783762">
        <w:t xml:space="preserve"> </w:t>
      </w:r>
      <w:r>
        <w:t>Effect of nanoclay loading in EPON 862 epoxy on hindrance coefficient.</w:t>
      </w:r>
      <w:bookmarkEnd w:id="168"/>
      <w:bookmarkEnd w:id="169"/>
      <w:bookmarkEnd w:id="170"/>
    </w:p>
    <w:p w14:paraId="5BE2C3B4" w14:textId="77777777" w:rsidR="00192013" w:rsidRPr="00E66109" w:rsidRDefault="00192013" w:rsidP="00F77E87">
      <w:pPr>
        <w:rPr>
          <w:highlight w:val="yellow"/>
        </w:rPr>
      </w:pPr>
    </w:p>
    <w:p w14:paraId="257AC38F" w14:textId="77777777" w:rsidR="00192013" w:rsidRDefault="00192013" w:rsidP="00F77E87">
      <w:pPr>
        <w:rPr>
          <w:rFonts w:cs="Times New Roman"/>
        </w:rPr>
      </w:pPr>
      <w:r w:rsidRPr="00A72566">
        <w:t xml:space="preserve">The increase in non-Fickian behavior is believed to be due to generation of new surface areas by nanoclay addition. Additional </w:t>
      </w:r>
      <w:r w:rsidRPr="00A72566">
        <w:rPr>
          <w:rFonts w:cs="Times New Roman"/>
        </w:rPr>
        <w:t>interfaces between the EPON 862 and nanoclay may have relatively higher energy than its surrounding. Thus, polar water molecules would probably prefer to bind to the rather high energy surfaces resulting in increasing non-Fickian behavior.</w:t>
      </w:r>
    </w:p>
    <w:p w14:paraId="71ACFF64" w14:textId="3DBEF404" w:rsidR="00192013" w:rsidRDefault="00192013" w:rsidP="00F77E87">
      <w:r>
        <w:lastRenderedPageBreak/>
        <w:t xml:space="preserve">In </w:t>
      </w:r>
      <w:r>
        <w:fldChar w:fldCharType="begin"/>
      </w:r>
      <w:r>
        <w:instrText xml:space="preserve"> REF _Ref521499927 \h </w:instrText>
      </w:r>
      <w:r w:rsidR="00F77E87">
        <w:instrText xml:space="preserve"> \* MERGEFORMAT </w:instrText>
      </w:r>
      <w:r>
        <w:fldChar w:fldCharType="separate"/>
      </w:r>
      <w:r w:rsidR="006D52C2">
        <w:t xml:space="preserve">Figure </w:t>
      </w:r>
      <w:r w:rsidR="006D52C2">
        <w:rPr>
          <w:noProof/>
        </w:rPr>
        <w:t>28</w:t>
      </w:r>
      <w:r>
        <w:fldChar w:fldCharType="end"/>
      </w:r>
      <w:r>
        <w:t xml:space="preserve">, the effect of nanoclay content in EPON 862 on the maximum moisture content is shown. </w:t>
      </w:r>
      <w:r w:rsidRPr="004040E5">
        <w:t xml:space="preserve">Addition of nanoclay in EPON 862 results in </w:t>
      </w:r>
      <w:r w:rsidR="0084615F">
        <w:t xml:space="preserve">a </w:t>
      </w:r>
      <w:r w:rsidRPr="004040E5">
        <w:t xml:space="preserve">linear decrease of maximum moisture that the polymer can absorb. </w:t>
      </w:r>
      <w:r>
        <w:t>The addition of 5 wt</w:t>
      </w:r>
      <w:proofErr w:type="gramStart"/>
      <w:r>
        <w:t>.%</w:t>
      </w:r>
      <w:proofErr w:type="gramEnd"/>
      <w:r>
        <w:t xml:space="preserve"> (3.5 </w:t>
      </w:r>
      <w:proofErr w:type="spellStart"/>
      <w:r>
        <w:t>vol</w:t>
      </w:r>
      <w:proofErr w:type="spellEnd"/>
      <w:r>
        <w:t>%) I.30E nanoclay to EPON 862 is observed to decrease the maximum moisture content by 5%. The maximum moisture content, on the other hand, decreased by 17% when 5 wt</w:t>
      </w:r>
      <w:proofErr w:type="gramStart"/>
      <w:r>
        <w:t>.%</w:t>
      </w:r>
      <w:proofErr w:type="gramEnd"/>
      <w:r>
        <w:t xml:space="preserve"> I.30E nanoclay is added to the DGEBA epoxy. This result clearly shows that the presence of the same type of nanoclay can have different effects on different epoxy systems.</w:t>
      </w:r>
    </w:p>
    <w:p w14:paraId="14CE933F" w14:textId="77777777" w:rsidR="00192013" w:rsidRDefault="00192013" w:rsidP="00192013">
      <w:pPr>
        <w:pStyle w:val="NoSpacing"/>
      </w:pPr>
      <w:bookmarkStart w:id="171" w:name="_Ref392068297"/>
      <w:bookmarkStart w:id="172" w:name="_Ref392068279"/>
      <w:r w:rsidRPr="00360425">
        <w:rPr>
          <w:noProof/>
          <w:lang w:bidi="ar-SA"/>
        </w:rPr>
        <w:drawing>
          <wp:inline distT="0" distB="0" distL="0" distR="0" wp14:anchorId="28BA1673" wp14:editId="05FC0888">
            <wp:extent cx="5394960" cy="2606040"/>
            <wp:effectExtent l="0" t="0" r="0" b="381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3F38B5D" w14:textId="77777777" w:rsidR="00192013" w:rsidRDefault="00192013" w:rsidP="00192013">
      <w:pPr>
        <w:pStyle w:val="Caption"/>
      </w:pPr>
      <w:bookmarkStart w:id="173" w:name="_Ref521499927"/>
      <w:bookmarkStart w:id="174" w:name="_Toc405036789"/>
      <w:bookmarkStart w:id="175" w:name="_Toc449516679"/>
      <w:bookmarkStart w:id="176" w:name="_Toc530997384"/>
      <w:bookmarkEnd w:id="171"/>
      <w:r>
        <w:t xml:space="preserve">Figure </w:t>
      </w:r>
      <w:r>
        <w:rPr>
          <w:noProof/>
        </w:rPr>
        <w:fldChar w:fldCharType="begin"/>
      </w:r>
      <w:r>
        <w:rPr>
          <w:noProof/>
        </w:rPr>
        <w:instrText xml:space="preserve"> SEQ Figure \* ARABIC </w:instrText>
      </w:r>
      <w:r>
        <w:rPr>
          <w:noProof/>
        </w:rPr>
        <w:fldChar w:fldCharType="separate"/>
      </w:r>
      <w:r w:rsidR="006D52C2">
        <w:rPr>
          <w:noProof/>
        </w:rPr>
        <w:t>28</w:t>
      </w:r>
      <w:r>
        <w:rPr>
          <w:noProof/>
        </w:rPr>
        <w:fldChar w:fldCharType="end"/>
      </w:r>
      <w:bookmarkEnd w:id="173"/>
      <w:r w:rsidRPr="007973B3">
        <w:t xml:space="preserve">. Effect of nanoclay loading in </w:t>
      </w:r>
      <w:r>
        <w:t>EPON 862</w:t>
      </w:r>
      <w:r w:rsidRPr="007973B3">
        <w:t xml:space="preserve"> epoxy on maximum moisture content</w:t>
      </w:r>
      <w:bookmarkEnd w:id="172"/>
      <w:r>
        <w:t>.</w:t>
      </w:r>
      <w:bookmarkEnd w:id="174"/>
      <w:bookmarkEnd w:id="175"/>
      <w:bookmarkEnd w:id="176"/>
    </w:p>
    <w:p w14:paraId="41364075" w14:textId="77777777" w:rsidR="00192013" w:rsidRDefault="00192013" w:rsidP="00F77E87"/>
    <w:p w14:paraId="5953A1E4" w14:textId="5BDC3424" w:rsidR="00192013" w:rsidRDefault="00192013" w:rsidP="00F77E87">
      <w:r>
        <w:fldChar w:fldCharType="begin"/>
      </w:r>
      <w:r>
        <w:instrText xml:space="preserve"> REF _Ref521501349 \h </w:instrText>
      </w:r>
      <w:r w:rsidR="00F77E87">
        <w:instrText xml:space="preserve"> \* MERGEFORMAT </w:instrText>
      </w:r>
      <w:r>
        <w:fldChar w:fldCharType="separate"/>
      </w:r>
      <w:r w:rsidR="006D52C2">
        <w:t xml:space="preserve">Figure </w:t>
      </w:r>
      <w:r w:rsidR="006D52C2">
        <w:rPr>
          <w:noProof/>
        </w:rPr>
        <w:t>29</w:t>
      </w:r>
      <w:r>
        <w:fldChar w:fldCharType="end"/>
      </w:r>
      <w:r>
        <w:t xml:space="preserve"> shows the decreasing linear trend of maximum unbound moisture content with increasing nanoclay content. The addition of 5 wt</w:t>
      </w:r>
      <w:proofErr w:type="gramStart"/>
      <w:r>
        <w:t>.%</w:t>
      </w:r>
      <w:proofErr w:type="gramEnd"/>
      <w:r>
        <w:t xml:space="preserve"> (3.5 </w:t>
      </w:r>
      <w:proofErr w:type="spellStart"/>
      <w:r>
        <w:t>vol</w:t>
      </w:r>
      <w:proofErr w:type="spellEnd"/>
      <w:r>
        <w:t xml:space="preserve">%) of I.30E nanoclay to the DGEBF epoxy caused a decrease in the equilibrium unbound moisture content by 9%. The linear decrease is again </w:t>
      </w:r>
      <w:r w:rsidRPr="0077120C">
        <w:t>conceivably</w:t>
      </w:r>
      <w:r>
        <w:t xml:space="preserve"> related to the decrease in the free volume due to nanoclay addition.</w:t>
      </w:r>
    </w:p>
    <w:p w14:paraId="78769C6A" w14:textId="77777777" w:rsidR="00192013" w:rsidRDefault="00192013" w:rsidP="00192013">
      <w:pPr>
        <w:pStyle w:val="NoSpacing"/>
      </w:pPr>
      <w:r w:rsidRPr="00360425">
        <w:rPr>
          <w:noProof/>
          <w:lang w:bidi="ar-SA"/>
        </w:rPr>
        <w:lastRenderedPageBreak/>
        <w:drawing>
          <wp:inline distT="0" distB="0" distL="0" distR="0" wp14:anchorId="30DFF936" wp14:editId="1B68621D">
            <wp:extent cx="5394960" cy="2606040"/>
            <wp:effectExtent l="0" t="0" r="0" b="381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95B809F" w14:textId="77777777" w:rsidR="00192013" w:rsidRPr="00F77E87" w:rsidRDefault="00192013" w:rsidP="00192013">
      <w:pPr>
        <w:pStyle w:val="Caption"/>
      </w:pPr>
      <w:bookmarkStart w:id="177" w:name="_Ref521501349"/>
      <w:bookmarkStart w:id="178" w:name="_Toc449516682"/>
      <w:bookmarkStart w:id="179" w:name="_Toc530997385"/>
      <w:r>
        <w:t xml:space="preserve">Figure </w:t>
      </w:r>
      <w:r>
        <w:rPr>
          <w:noProof/>
        </w:rPr>
        <w:fldChar w:fldCharType="begin"/>
      </w:r>
      <w:r>
        <w:rPr>
          <w:noProof/>
        </w:rPr>
        <w:instrText xml:space="preserve"> SEQ Figure \* ARABIC </w:instrText>
      </w:r>
      <w:r>
        <w:rPr>
          <w:noProof/>
        </w:rPr>
        <w:fldChar w:fldCharType="separate"/>
      </w:r>
      <w:r w:rsidR="006D52C2">
        <w:rPr>
          <w:noProof/>
        </w:rPr>
        <w:t>29</w:t>
      </w:r>
      <w:r>
        <w:rPr>
          <w:noProof/>
        </w:rPr>
        <w:fldChar w:fldCharType="end"/>
      </w:r>
      <w:bookmarkEnd w:id="177"/>
      <w:r>
        <w:t>. Effect of nanoclay loading in EPON 862</w:t>
      </w:r>
      <w:r w:rsidRPr="00F77E87">
        <w:t xml:space="preserve"> epoxy on maximum unbound moisture content.</w:t>
      </w:r>
      <w:bookmarkEnd w:id="178"/>
      <w:bookmarkEnd w:id="179"/>
    </w:p>
    <w:p w14:paraId="4662462D" w14:textId="77777777" w:rsidR="00192013" w:rsidRPr="007528E4" w:rsidRDefault="00192013" w:rsidP="00F77E87"/>
    <w:p w14:paraId="432B1446" w14:textId="29C939C6" w:rsidR="00192013" w:rsidRDefault="00192013" w:rsidP="00F77E87">
      <w:r>
        <w:fldChar w:fldCharType="begin"/>
      </w:r>
      <w:r>
        <w:instrText xml:space="preserve"> REF _Ref521500427 \h </w:instrText>
      </w:r>
      <w:r w:rsidR="00F77E87">
        <w:instrText xml:space="preserve"> \* MERGEFORMAT </w:instrText>
      </w:r>
      <w:r>
        <w:fldChar w:fldCharType="separate"/>
      </w:r>
      <w:r w:rsidR="006D52C2">
        <w:t xml:space="preserve">Figure </w:t>
      </w:r>
      <w:r w:rsidR="006D52C2">
        <w:rPr>
          <w:noProof/>
        </w:rPr>
        <w:t>30</w:t>
      </w:r>
      <w:r>
        <w:fldChar w:fldCharType="end"/>
      </w:r>
      <w:r>
        <w:t xml:space="preserve"> shows the effect of nanoclay content on the equilibrium bound moisture content. As expected, due to the linearity of the change in maximum moisture content and the hindrance coefficient with respect to nanoclay content, the maximum bound moisture content shows a linear trend with the nanoclay content. Interestingly, the equilibrium bound moisture content increased with increasing nanoclay content, as opposed to a decreasing trend in I.30E/DGEBA epoxy system. The only difference between the two nanoclay/epoxy systems is the epoxy resin.</w:t>
      </w:r>
    </w:p>
    <w:p w14:paraId="66B598CB" w14:textId="77777777" w:rsidR="00192013" w:rsidRDefault="00192013" w:rsidP="00192013">
      <w:pPr>
        <w:pStyle w:val="NoSpacing"/>
      </w:pPr>
      <w:r w:rsidRPr="00360425">
        <w:rPr>
          <w:noProof/>
          <w:lang w:bidi="ar-SA"/>
        </w:rPr>
        <w:lastRenderedPageBreak/>
        <w:drawing>
          <wp:inline distT="0" distB="0" distL="0" distR="0" wp14:anchorId="0E88AFAE" wp14:editId="72A0B233">
            <wp:extent cx="5394960" cy="2606040"/>
            <wp:effectExtent l="0" t="0" r="0" b="381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FB39C01" w14:textId="77777777" w:rsidR="00192013" w:rsidRDefault="00192013" w:rsidP="00192013">
      <w:pPr>
        <w:pStyle w:val="Caption"/>
      </w:pPr>
      <w:bookmarkStart w:id="180" w:name="_Ref521500427"/>
      <w:bookmarkStart w:id="181" w:name="_Toc449516680"/>
      <w:bookmarkStart w:id="182" w:name="_Toc530997386"/>
      <w:r>
        <w:t xml:space="preserve">Figure </w:t>
      </w:r>
      <w:r>
        <w:rPr>
          <w:noProof/>
        </w:rPr>
        <w:fldChar w:fldCharType="begin"/>
      </w:r>
      <w:r>
        <w:rPr>
          <w:noProof/>
        </w:rPr>
        <w:instrText xml:space="preserve"> SEQ Figure \* ARABIC </w:instrText>
      </w:r>
      <w:r>
        <w:rPr>
          <w:noProof/>
        </w:rPr>
        <w:fldChar w:fldCharType="separate"/>
      </w:r>
      <w:r w:rsidR="006D52C2">
        <w:rPr>
          <w:noProof/>
        </w:rPr>
        <w:t>30</w:t>
      </w:r>
      <w:r>
        <w:rPr>
          <w:noProof/>
        </w:rPr>
        <w:fldChar w:fldCharType="end"/>
      </w:r>
      <w:bookmarkEnd w:id="180"/>
      <w:r>
        <w:t>. Effect of nanoclay loading in EPON 862 epoxy on maximum bound moisture content.</w:t>
      </w:r>
      <w:bookmarkEnd w:id="181"/>
      <w:bookmarkEnd w:id="182"/>
    </w:p>
    <w:p w14:paraId="0874C0A9" w14:textId="77777777" w:rsidR="00192013" w:rsidRDefault="00192013" w:rsidP="00F77E87"/>
    <w:p w14:paraId="020FD543" w14:textId="77777777" w:rsidR="00192013" w:rsidRDefault="00192013" w:rsidP="00B63058">
      <w:pPr>
        <w:pStyle w:val="Heading3"/>
      </w:pPr>
      <w:bookmarkStart w:id="183" w:name="_Toc531943763"/>
      <w:r>
        <w:t>Effect of resin type on the molecular interactions between water molecules and epoxy</w:t>
      </w:r>
      <w:bookmarkEnd w:id="183"/>
    </w:p>
    <w:p w14:paraId="347511DB" w14:textId="6AC59306" w:rsidR="00192013" w:rsidRDefault="00192013" w:rsidP="00F77E87">
      <w:r>
        <w:t>The DGEBA epoxy has bisphenol-A group, whereas EPON 862 is DGEBF epoxy, which has Bisphenol-F group. Reactants of Bisphenol-</w:t>
      </w:r>
      <w:proofErr w:type="gramStart"/>
      <w:r>
        <w:t>A</w:t>
      </w:r>
      <w:proofErr w:type="gramEnd"/>
      <w:r>
        <w:t xml:space="preserve"> are phenol and acetone while reactants of Bisphenol-F are phenol and formaldehyde. Schematics of the chemical formulas of both Bisphenol-A and Bisphenol-F are shown in </w:t>
      </w:r>
      <w:r>
        <w:fldChar w:fldCharType="begin"/>
      </w:r>
      <w:r>
        <w:instrText xml:space="preserve"> REF _Ref521500513 \h </w:instrText>
      </w:r>
      <w:r w:rsidR="00F77E87">
        <w:instrText xml:space="preserve"> \* MERGEFORMAT </w:instrText>
      </w:r>
      <w:r>
        <w:fldChar w:fldCharType="separate"/>
      </w:r>
      <w:r w:rsidR="006D52C2">
        <w:t xml:space="preserve">Figure </w:t>
      </w:r>
      <w:r w:rsidR="006D52C2">
        <w:rPr>
          <w:noProof/>
        </w:rPr>
        <w:t>31</w:t>
      </w:r>
      <w: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192013" w14:paraId="57AD62E6" w14:textId="77777777" w:rsidTr="00A440CD">
        <w:trPr>
          <w:trHeight w:val="1880"/>
        </w:trPr>
        <w:tc>
          <w:tcPr>
            <w:tcW w:w="4243" w:type="dxa"/>
          </w:tcPr>
          <w:p w14:paraId="0A3ABFFA" w14:textId="77777777" w:rsidR="00192013" w:rsidRDefault="00192013" w:rsidP="00A440CD">
            <w:pPr>
              <w:spacing w:line="240" w:lineRule="auto"/>
              <w:ind w:firstLine="0"/>
            </w:pPr>
            <w:r>
              <w:t>a)</w:t>
            </w:r>
            <w:r>
              <w:rPr>
                <w:noProof/>
              </w:rPr>
              <w:drawing>
                <wp:inline distT="0" distB="0" distL="0" distR="0" wp14:anchorId="1E677821" wp14:editId="02783BD2">
                  <wp:extent cx="2651760" cy="875080"/>
                  <wp:effectExtent l="0" t="0" r="0" b="0"/>
                  <wp:docPr id="49" name="Picture 49" descr="File:Bisphenol 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isphenol A.sv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51760" cy="875080"/>
                          </a:xfrm>
                          <a:prstGeom prst="rect">
                            <a:avLst/>
                          </a:prstGeom>
                          <a:noFill/>
                          <a:ln>
                            <a:noFill/>
                          </a:ln>
                        </pic:spPr>
                      </pic:pic>
                    </a:graphicData>
                  </a:graphic>
                </wp:inline>
              </w:drawing>
            </w:r>
          </w:p>
        </w:tc>
        <w:tc>
          <w:tcPr>
            <w:tcW w:w="4243" w:type="dxa"/>
          </w:tcPr>
          <w:p w14:paraId="0AE393E5" w14:textId="77777777" w:rsidR="00192013" w:rsidRDefault="00192013" w:rsidP="00A440CD">
            <w:pPr>
              <w:spacing w:line="240" w:lineRule="auto"/>
              <w:ind w:firstLine="0"/>
            </w:pPr>
            <w:r>
              <w:rPr>
                <w:noProof/>
              </w:rPr>
              <w:t>b)</w:t>
            </w:r>
            <w:r>
              <w:rPr>
                <w:noProof/>
              </w:rPr>
              <w:drawing>
                <wp:inline distT="0" distB="0" distL="0" distR="0" wp14:anchorId="599B92BF" wp14:editId="405990B7">
                  <wp:extent cx="2651760" cy="761311"/>
                  <wp:effectExtent l="0" t="0" r="0" b="1270"/>
                  <wp:docPr id="54" name="Picture 54" descr="File:Bisphenol F.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Bisphenol F.sv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51760" cy="761311"/>
                          </a:xfrm>
                          <a:prstGeom prst="rect">
                            <a:avLst/>
                          </a:prstGeom>
                          <a:noFill/>
                          <a:ln>
                            <a:noFill/>
                          </a:ln>
                        </pic:spPr>
                      </pic:pic>
                    </a:graphicData>
                  </a:graphic>
                </wp:inline>
              </w:drawing>
            </w:r>
          </w:p>
        </w:tc>
      </w:tr>
    </w:tbl>
    <w:p w14:paraId="31B7FFED" w14:textId="77777777" w:rsidR="00192013" w:rsidRDefault="00192013" w:rsidP="00192013">
      <w:pPr>
        <w:pStyle w:val="Caption"/>
      </w:pPr>
      <w:bookmarkStart w:id="184" w:name="_Ref521500513"/>
      <w:bookmarkStart w:id="185" w:name="_Toc449516681"/>
      <w:bookmarkStart w:id="186" w:name="_Toc530997387"/>
      <w:r>
        <w:t xml:space="preserve">Figure </w:t>
      </w:r>
      <w:r>
        <w:rPr>
          <w:noProof/>
        </w:rPr>
        <w:fldChar w:fldCharType="begin"/>
      </w:r>
      <w:r>
        <w:rPr>
          <w:noProof/>
        </w:rPr>
        <w:instrText xml:space="preserve"> SEQ Figure \* ARABIC </w:instrText>
      </w:r>
      <w:r>
        <w:rPr>
          <w:noProof/>
        </w:rPr>
        <w:fldChar w:fldCharType="separate"/>
      </w:r>
      <w:r w:rsidR="006D52C2">
        <w:rPr>
          <w:noProof/>
        </w:rPr>
        <w:t>31</w:t>
      </w:r>
      <w:r>
        <w:rPr>
          <w:noProof/>
        </w:rPr>
        <w:fldChar w:fldCharType="end"/>
      </w:r>
      <w:bookmarkEnd w:id="184"/>
      <w:r>
        <w:t>. Schematics of a) Bisphenol-A and b) Bisphenol-F</w:t>
      </w:r>
      <w:bookmarkEnd w:id="185"/>
      <w:bookmarkEnd w:id="186"/>
      <w:r>
        <w:tab/>
      </w:r>
    </w:p>
    <w:p w14:paraId="7AE1EFED" w14:textId="77777777" w:rsidR="00192013" w:rsidRDefault="00192013" w:rsidP="00F77E87"/>
    <w:p w14:paraId="48BE4637" w14:textId="6733D117" w:rsidR="00192013" w:rsidRDefault="00192013" w:rsidP="00F77E87">
      <w:r w:rsidRPr="00415D50">
        <w:t xml:space="preserve">As depicted in </w:t>
      </w:r>
      <w:r w:rsidRPr="00415D50">
        <w:fldChar w:fldCharType="begin"/>
      </w:r>
      <w:r w:rsidRPr="00415D50">
        <w:instrText xml:space="preserve"> REF _Ref521500513 \h  \* MERGEFORMAT </w:instrText>
      </w:r>
      <w:r w:rsidRPr="00415D50">
        <w:fldChar w:fldCharType="separate"/>
      </w:r>
      <w:r w:rsidR="006D52C2">
        <w:t xml:space="preserve">Figure </w:t>
      </w:r>
      <w:r w:rsidR="006D52C2">
        <w:rPr>
          <w:noProof/>
        </w:rPr>
        <w:t>31</w:t>
      </w:r>
      <w:r w:rsidRPr="00415D50">
        <w:fldChar w:fldCharType="end"/>
      </w:r>
      <w:r w:rsidRPr="00415D50">
        <w:t>, the</w:t>
      </w:r>
      <w:r>
        <w:t xml:space="preserve"> only difference between Bisphenol-A and Bisphenol-F is in the group linked to Carbon (C) in the middle of the monomer. Bisphenol-A has two methyl group</w:t>
      </w:r>
      <w:r w:rsidR="00654306">
        <w:t>s</w:t>
      </w:r>
      <w:r>
        <w:t xml:space="preserve"> linked to the Carbon atom in the middle, while Bisphenol-F has two </w:t>
      </w:r>
      <w:r>
        <w:lastRenderedPageBreak/>
        <w:t xml:space="preserve">Hydrogen (H) atoms. </w:t>
      </w:r>
      <w:proofErr w:type="spellStart"/>
      <w:r>
        <w:t>Bentzl</w:t>
      </w:r>
      <w:proofErr w:type="spellEnd"/>
      <w:r>
        <w:t xml:space="preserve"> and Neville </w:t>
      </w:r>
      <w:r>
        <w:fldChar w:fldCharType="begin" w:fldLock="1"/>
      </w:r>
      <w:r w:rsidR="00B274D5">
        <w:instrText>ADDIN CSL_CITATION {"citationItems":[{"id":"ITEM-1","itemData":{"author":[{"dropping-particle":"","family":"Bentzl","given":"Ralph W","non-dropping-particle":"","parse-names":false,"suffix":""},{"dropping-particle":"","family":"Neville","given":"Harvey A","non-dropping-particle":"","parse-names":false,"suffix":""}],"id":"ITEM-1","issue":"2","issued":{"date-parts":[["1949"]]},"page":"673-688","title":"Water Content of Hydrophilic Phenol-Formaldehyde Resins : Vapor Pressure-Temperature Relationships","type":"article-journal","volume":"IV"},"uris":["http://www.mendeley.com/documents/?uuid=0af415c4-0d8c-4e9c-90d1-93961c804275"]}],"mendeley":{"formattedCitation":"[121]","plainTextFormattedCitation":"[121]","previouslyFormattedCitation":"[121]"},"properties":{"noteIndex":0},"schema":"https://github.com/citation-style-language/schema/raw/master/csl-citation.json"}</w:instrText>
      </w:r>
      <w:r>
        <w:fldChar w:fldCharType="separate"/>
      </w:r>
      <w:r w:rsidRPr="0066490A">
        <w:rPr>
          <w:noProof/>
        </w:rPr>
        <w:t>[121]</w:t>
      </w:r>
      <w:r>
        <w:fldChar w:fldCharType="end"/>
      </w:r>
      <w:r>
        <w:t xml:space="preserve"> reported that binding of the moisture molecule can be due to electromagnetic attractions between epoxy and water or </w:t>
      </w:r>
      <w:r w:rsidRPr="00D7728C">
        <w:t>residual attractive or repulsive forces between molecules or atomic groups</w:t>
      </w:r>
      <w:r>
        <w:t xml:space="preserve">. For both types of epoxy, OH </w:t>
      </w:r>
      <w:r w:rsidR="00584F2D">
        <w:t>group</w:t>
      </w:r>
      <w:r>
        <w:t xml:space="preserve"> on the left end would be the preferential moisture molecule binding site due to possible hydrogen bond formation. Additional binding of water molecules may be governed by other weaker chemical interactions. Methyl group (CH</w:t>
      </w:r>
      <w:r>
        <w:rPr>
          <w:vertAlign w:val="subscript"/>
        </w:rPr>
        <w:t>3</w:t>
      </w:r>
      <w:r>
        <w:rPr>
          <w:vertAlign w:val="superscript"/>
        </w:rPr>
        <w:t>-</w:t>
      </w:r>
      <w:r>
        <w:t xml:space="preserve">) and </w:t>
      </w:r>
      <w:r w:rsidR="007D4338">
        <w:br/>
      </w:r>
      <w:r>
        <w:t>Hydrogen</w:t>
      </w:r>
      <w:r w:rsidR="007D4338">
        <w:t xml:space="preserve"> </w:t>
      </w:r>
      <w:r>
        <w:t>(H</w:t>
      </w:r>
      <w:r>
        <w:rPr>
          <w:vertAlign w:val="superscript"/>
        </w:rPr>
        <w:t>-</w:t>
      </w:r>
      <w:r>
        <w:t>) would have Van der Waals interactions with moisture molecules although not as strong as Hydroxyl (OH</w:t>
      </w:r>
      <w:r>
        <w:rPr>
          <w:vertAlign w:val="superscript"/>
        </w:rPr>
        <w:t>-</w:t>
      </w:r>
      <w:r>
        <w:t xml:space="preserve">) </w:t>
      </w:r>
      <w:r w:rsidR="00584F2D">
        <w:t>group</w:t>
      </w:r>
      <w:r>
        <w:t xml:space="preserve">s. When comparing the Van der Waals </w:t>
      </w:r>
      <w:r w:rsidRPr="0033711D">
        <w:t xml:space="preserve">interactions, Methyl groups have a higher Van der Waals force due to longer chain than hydrogen. Therefore, the DGEBA epoxy is expected to have a higher bound moisture content. </w:t>
      </w:r>
      <w:r>
        <w:t>T</w:t>
      </w:r>
      <w:r w:rsidRPr="0033711D">
        <w:t xml:space="preserve">he DGEBF epoxy has 30% less </w:t>
      </w:r>
      <w:r>
        <w:t>maximum bound</w:t>
      </w:r>
      <w:r w:rsidRPr="0033711D">
        <w:t xml:space="preserve"> moisture content than DGEBA epoxy, which is consistent with the theory.</w:t>
      </w:r>
    </w:p>
    <w:p w14:paraId="46989435" w14:textId="49E93DEA" w:rsidR="00192013" w:rsidRDefault="00192013" w:rsidP="00F77E87">
      <w:r w:rsidRPr="0033711D">
        <w:t xml:space="preserve">Reynolds et al. </w:t>
      </w:r>
      <w:r w:rsidRPr="0033711D">
        <w:fldChar w:fldCharType="begin" w:fldLock="1"/>
      </w:r>
      <w:r w:rsidR="00B274D5">
        <w:instrText>ADDIN CSL_CITATION {"citationItems":[{"id":"ITEM-1","itemData":{"DOI":"10.1346/CCMN.2012.0600605","ISSN":"00098604","abstract":"The Brunauer-Emmett-Teller (BET) theory models the effective specific surface area and water content of solids as a function of the relative vapor pressure of water. A modified form of the BET equation has been used successfully to model water activity in concentrated electrolyte solutions as a function of electrolyte concentration. This modified form, referred to here as the Stokes-Robinson BET model, is based on the electrolyte molality rather than on the mass of solute sorbed. The present study evaluates the Stokes-Robinson form of the BET equation to model water-sorption data on two smectites with different layer charges. One smectite was saturated with Na +  and another with Na + ,Ca 2+ ,orMg 2+ . These results are compared to the Stokes-Robinson BET results of aqueous electrolyte solutions. Given published data on cation exchange capacities and water-vapor sorption isotherms for various clays, the molality of the aqueous phase in contact with the clay surface is calculated and related to water activity. The Stokes-Robinson BET model was found to describe accurately the water activity as a function of cation molality below water activities of 0.5 for the smectites. Good relative agreement was obtained between the number of water binding sites predicted by the model and the experimental data reported in the literature for other smectites. Water molecules were found to have a significantly greater affinity for montmorillonite than electrolyte solutions with the same cation molality as the montmorillonite interlayer. This modified BET approach simplifies water-activity modeling in highly saline environments because the same equation can be used for both the liquid- and mineral-surface phases.","author":[{"dropping-particle":"","family":"Reynolds","given":"Jacob G.","non-dropping-particle":"","parse-names":false,"suffix":""},{"dropping-particle":"","family":"Johnston","given":"Cliff T.","non-dropping-particle":"","parse-names":false,"suffix":""},{"dropping-particle":"","family":"Agnew","given":"Stephen F.","non-dropping-particle":"","parse-names":false,"suffix":""}],"container-title":"Clays and Clay Minerals","id":"ITEM-1","issue":"6","issued":{"date-parts":[["2012"]]},"page":"599-609","title":"A molality-based bet equation for modeling the activity of water sorbed on clay minerals","type":"article-journal","volume":"60"},"uris":["http://www.mendeley.com/documents/?uuid=ce806dd9-9cfd-4f21-b9ae-ead8002d4d69"]}],"mendeley":{"formattedCitation":"[122]","plainTextFormattedCitation":"[122]","previouslyFormattedCitation":"[122]"},"properties":{"noteIndex":0},"schema":"https://github.com/citation-style-language/schema/raw/master/csl-citation.json"}</w:instrText>
      </w:r>
      <w:r w:rsidRPr="0033711D">
        <w:fldChar w:fldCharType="separate"/>
      </w:r>
      <w:r w:rsidRPr="0033711D">
        <w:rPr>
          <w:noProof/>
        </w:rPr>
        <w:t>[122]</w:t>
      </w:r>
      <w:r w:rsidRPr="0033711D">
        <w:fldChar w:fldCharType="end"/>
      </w:r>
      <w:r w:rsidRPr="0033711D">
        <w:t xml:space="preserve"> reported that any cation or cationic species can occupy the interlayer between the nanoclay layers and these cations have relatively high enthalpies of hydration. Consequently, to satisfy the hydration conditions of cations between nanoclay layers, water is preferentially</w:t>
      </w:r>
      <w:r w:rsidRPr="00C836BD">
        <w:t xml:space="preserve"> absorbed into these layer resulting in an increase of bound moisture</w:t>
      </w:r>
      <w:r>
        <w:t xml:space="preserve">. Moreover, newly created surfaces between the nanoclay and epoxy would have higher energy levels than the surrounding. Since all systems try to achieve </w:t>
      </w:r>
      <w:r w:rsidR="00654306">
        <w:t xml:space="preserve">the </w:t>
      </w:r>
      <w:r>
        <w:t xml:space="preserve">lowest state of energy, depending on the surface chemistry, water molecules might wet the surface, as a result, increase bound moisture. </w:t>
      </w:r>
    </w:p>
    <w:p w14:paraId="667A8221" w14:textId="7693DAA9" w:rsidR="00192013" w:rsidRPr="00E167FF" w:rsidRDefault="00192013" w:rsidP="00F77E87">
      <w:pPr>
        <w:rPr>
          <w:highlight w:val="yellow"/>
        </w:rPr>
      </w:pPr>
      <w:r>
        <w:t xml:space="preserve">The increasing trend of maximum bound moisture content in I.30E/EPON862 nanoclay composites suggests that binding to interface between nanoclay and epoxy and to nanoclay interlayer overcomes the negative effects of decreasing polymer binding </w:t>
      </w:r>
      <w:r>
        <w:lastRenderedPageBreak/>
        <w:t>sites. However, for I.30E/DGEBA nanoclay composites,</w:t>
      </w:r>
      <w:r w:rsidRPr="0033711D">
        <w:t xml:space="preserve"> </w:t>
      </w:r>
      <w:r>
        <w:t xml:space="preserve">as nanoclay content increases, the epoxy content per unit volume decreases. </w:t>
      </w:r>
      <w:r w:rsidR="00654306">
        <w:t>The d</w:t>
      </w:r>
      <w:r>
        <w:t>ecreas</w:t>
      </w:r>
      <w:r w:rsidR="00654306">
        <w:t>e in</w:t>
      </w:r>
      <w:r>
        <w:t xml:space="preserve"> polymer binding sites dominates over the water molecule binding to the nanoclay interlayers and nanoclay/epoxy interfaces. Thus, a decreasing trend of maximum bound moisture content is observed in</w:t>
      </w:r>
      <w:r w:rsidRPr="0033711D">
        <w:t xml:space="preserve"> </w:t>
      </w:r>
      <w:r>
        <w:t>I.30E/DGEBA as nanoclay content increases.</w:t>
      </w:r>
    </w:p>
    <w:p w14:paraId="7D060FA1" w14:textId="77777777" w:rsidR="00192013" w:rsidRDefault="00192013" w:rsidP="00BB2C1B">
      <w:pPr>
        <w:pStyle w:val="Heading2"/>
      </w:pPr>
      <w:bookmarkStart w:id="187" w:name="_Toc531943764"/>
      <w:r>
        <w:t>3.2. Effects of Interfaces and Filler</w:t>
      </w:r>
      <w:r w:rsidRPr="00977B56">
        <w:t xml:space="preserve"> </w:t>
      </w:r>
      <w:r>
        <w:t>Types</w:t>
      </w:r>
      <w:bookmarkEnd w:id="187"/>
    </w:p>
    <w:p w14:paraId="6C9293FD" w14:textId="67EEDD78" w:rsidR="00192013" w:rsidRDefault="00192013" w:rsidP="00F77E87">
      <w:r>
        <w:t>Further study about nano-fillers on epoxy is conducted to investigate the effects of interfaces and nano-filler</w:t>
      </w:r>
      <w:r w:rsidRPr="00977B56">
        <w:t xml:space="preserve"> </w:t>
      </w:r>
      <w:r>
        <w:t>types. Glass spheres are chosen due</w:t>
      </w:r>
      <w:r w:rsidR="00654306">
        <w:t xml:space="preserve"> to</w:t>
      </w:r>
      <w:r>
        <w:t xml:space="preserve"> their excellent water resistant properties. Using glass spheres as reinforcements would help characterize the effect of the interface on moisture absorption. For that purpose, experimental moisture gravimetric data</w:t>
      </w:r>
      <w:r w:rsidRPr="00C6342A">
        <w:t xml:space="preserve"> </w:t>
      </w:r>
      <w:r>
        <w:t>of epoxy composites</w:t>
      </w:r>
      <w:r w:rsidDel="00C6342A">
        <w:t xml:space="preserve"> </w:t>
      </w:r>
      <w:r>
        <w:t>reinforced with d</w:t>
      </w:r>
      <w:r w:rsidR="00654306">
        <w:t xml:space="preserve">ifferent surface </w:t>
      </w:r>
      <w:r>
        <w:t xml:space="preserve">treated glass spheres </w:t>
      </w:r>
      <w:r>
        <w:fldChar w:fldCharType="begin" w:fldLock="1"/>
      </w:r>
      <w:r w:rsidR="00B274D5">
        <w:instrText>ADDIN CSL_CITATION {"citationItems":[{"id":"ITEM-1","itemData":{"DOI":"10.1016/S0032-3861(03)00371-9","ISBN":"0032-3861","ISSN":"00323861","abstract":"Basic properties of glass filled epoxy such as yield behavior and cohesive strength, which are important in understanding toughening mechanism, are studied using compression tests and double notch 4 point bending (DN-4PB) tests. Three different glass reinforcements, large glass spheres, small glass spheres, and glass fibers, were treated by different methods and used at different volume fractions ranging from 10 to 30 vol%. The effect of different surface treatments and moisture exposure on the yield behavior is studied. It was found that in all types of formulation the yield stress decreased after moisture exposure and that the yield stress was dependent on the surface treatment both before and after moisture exposure. No treatment and treatment of glass reinforcements with aminopropyltrimethoxysilane coupling agent resulted in relatively higher yield stress. Close observation of microstructure by transmission OM showed that the degree of debonding in the specimens for compression tests was quite dependent on the surface treatment after moisture exposure. The decrease in cohesive strength of the neat specimens were observed after moisture exposure. © 2003 Elsevier Science Ltd. All rights reserved.","author":[{"dropping-particle":"","family":"Kawaguchi","given":"Takafumi","non-dropping-particle":"","parse-names":false,"suffix":""},{"dropping-particle":"","family":"Pearson","given":"Raymond A.","non-dropping-particle":"","parse-names":false,"suffix":""}],"container-title":"Polymer","id":"ITEM-1","issue":"15","issued":{"date-parts":[["2003"]]},"page":"4229-4238","title":"The effect of particle-matrix adhesion on the mechanical behavior of glass filled epoxies: Part 1. A study on yield behavior and cohesive strength","type":"article-journal","volume":"44"},"uris":["http://www.mendeley.com/documents/?uuid=a4b42f1d-c960-432c-a276-d7919a9e4f75"]}],"mendeley":{"formattedCitation":"[81]","plainTextFormattedCitation":"[81]","previouslyFormattedCitation":"[81]"},"properties":{"noteIndex":0},"schema":"https://github.com/citation-style-language/schema/raw/master/csl-citation.json"}</w:instrText>
      </w:r>
      <w:r>
        <w:fldChar w:fldCharType="separate"/>
      </w:r>
      <w:r w:rsidRPr="00D14EF2">
        <w:rPr>
          <w:noProof/>
        </w:rPr>
        <w:t>[81]</w:t>
      </w:r>
      <w:r>
        <w:fldChar w:fldCharType="end"/>
      </w:r>
      <w:r>
        <w:t xml:space="preserve"> are used.</w:t>
      </w:r>
    </w:p>
    <w:p w14:paraId="4E443E88" w14:textId="77777777" w:rsidR="00192013" w:rsidRDefault="00192013" w:rsidP="00B63058">
      <w:pPr>
        <w:pStyle w:val="Heading3"/>
        <w:numPr>
          <w:ilvl w:val="0"/>
          <w:numId w:val="41"/>
        </w:numPr>
      </w:pPr>
      <w:bookmarkStart w:id="188" w:name="_Toc449527249"/>
      <w:r>
        <w:t xml:space="preserve"> </w:t>
      </w:r>
      <w:bookmarkStart w:id="189" w:name="_Toc531943765"/>
      <w:r w:rsidRPr="005A3E52">
        <w:t>Materials and Sample Preparation</w:t>
      </w:r>
      <w:r>
        <w:t xml:space="preserve"> of APS/DGEBA Epoxy and </w:t>
      </w:r>
      <w:proofErr w:type="spellStart"/>
      <w:r>
        <w:t>nBS</w:t>
      </w:r>
      <w:proofErr w:type="spellEnd"/>
      <w:r>
        <w:t>/DGEBA Epoxy</w:t>
      </w:r>
      <w:bookmarkEnd w:id="188"/>
      <w:bookmarkEnd w:id="189"/>
    </w:p>
    <w:p w14:paraId="2B1FB75B" w14:textId="0B9713E2" w:rsidR="00192013" w:rsidRDefault="00192013" w:rsidP="00F77E87">
      <w:r>
        <w:t xml:space="preserve">Kawaguchi and Pearson </w:t>
      </w:r>
      <w:r>
        <w:fldChar w:fldCharType="begin" w:fldLock="1"/>
      </w:r>
      <w:r w:rsidR="00B274D5">
        <w:instrText>ADDIN CSL_CITATION {"citationItems":[{"id":"ITEM-1","itemData":{"DOI":"10.1016/S0032-3861(03)00371-9","ISBN":"0032-3861","ISSN":"00323861","abstract":"Basic properties of glass filled epoxy such as yield behavior and cohesive strength, which are important in understanding toughening mechanism, are studied using compression tests and double notch 4 point bending (DN-4PB) tests. Three different glass reinforcements, large glass spheres, small glass spheres, and glass fibers, were treated by different methods and used at different volume fractions ranging from 10 to 30 vol%. The effect of different surface treatments and moisture exposure on the yield behavior is studied. It was found that in all types of formulation the yield stress decreased after moisture exposure and that the yield stress was dependent on the surface treatment both before and after moisture exposure. No treatment and treatment of glass reinforcements with aminopropyltrimethoxysilane coupling agent resulted in relatively higher yield stress. Close observation of microstructure by transmission OM showed that the degree of debonding in the specimens for compression tests was quite dependent on the surface treatment after moisture exposure. The decrease in cohesive strength of the neat specimens were observed after moisture exposure. © 2003 Elsevier Science Ltd. All rights reserved.","author":[{"dropping-particle":"","family":"Kawaguchi","given":"Takafumi","non-dropping-particle":"","parse-names":false,"suffix":""},{"dropping-particle":"","family":"Pearson","given":"Raymond A.","non-dropping-particle":"","parse-names":false,"suffix":""}],"container-title":"Polymer","id":"ITEM-1","issue":"15","issued":{"date-parts":[["2003"]]},"page":"4229-4238","title":"The effect of particle-matrix adhesion on the mechanical behavior of glass filled epoxies: Part 1. A study on yield behavior and cohesive strength","type":"article-journal","volume":"44"},"uris":["http://www.mendeley.com/documents/?uuid=a4b42f1d-c960-432c-a276-d7919a9e4f75"]}],"mendeley":{"formattedCitation":"[81]","plainTextFormattedCitation":"[81]","previouslyFormattedCitation":"[81]"},"properties":{"noteIndex":0},"schema":"https://github.com/citation-style-language/schema/raw/master/csl-citation.json"}</w:instrText>
      </w:r>
      <w:r>
        <w:fldChar w:fldCharType="separate"/>
      </w:r>
      <w:r w:rsidRPr="00D14EF2">
        <w:rPr>
          <w:noProof/>
        </w:rPr>
        <w:t>[81]</w:t>
      </w:r>
      <w:r>
        <w:fldChar w:fldCharType="end"/>
      </w:r>
      <w:r>
        <w:t xml:space="preserve"> used </w:t>
      </w:r>
      <w:proofErr w:type="spellStart"/>
      <w:r>
        <w:t>diglycidyl</w:t>
      </w:r>
      <w:proofErr w:type="spellEnd"/>
      <w:r>
        <w:t xml:space="preserve"> ether of bisphenol-A (DGEBA) based epoxy resin (Dow Chemical DERw331) and bisphenol-A (resin modifier) cured with </w:t>
      </w:r>
      <w:proofErr w:type="spellStart"/>
      <w:r>
        <w:t>piperidine</w:t>
      </w:r>
      <w:proofErr w:type="spellEnd"/>
      <w:r>
        <w:t xml:space="preserve">. Glass spheres from Potters Industry </w:t>
      </w:r>
      <w:proofErr w:type="spellStart"/>
      <w:r>
        <w:t>Spheriglass</w:t>
      </w:r>
      <w:proofErr w:type="spellEnd"/>
      <w:r>
        <w:t xml:space="preserve"> w2900 with mean diameter of 42µm were used as reinforcements. </w:t>
      </w:r>
    </w:p>
    <w:p w14:paraId="7AC9F0A0" w14:textId="6551D88E" w:rsidR="00192013" w:rsidRDefault="00192013" w:rsidP="00F77E87">
      <w:r>
        <w:t>The glass spheres were surface treated with 1 wt</w:t>
      </w:r>
      <w:proofErr w:type="gramStart"/>
      <w:r>
        <w:t>.%</w:t>
      </w:r>
      <w:proofErr w:type="gramEnd"/>
      <w:r>
        <w:t xml:space="preserve"> </w:t>
      </w:r>
      <w:proofErr w:type="spellStart"/>
      <w:r>
        <w:t>aminopropyltrimethoxysilane</w:t>
      </w:r>
      <w:proofErr w:type="spellEnd"/>
      <w:r>
        <w:t xml:space="preserve"> (APS) or 1 wt.% n-</w:t>
      </w:r>
      <w:proofErr w:type="spellStart"/>
      <w:r>
        <w:t>butyltrimethoxysilane</w:t>
      </w:r>
      <w:proofErr w:type="spellEnd"/>
      <w:r>
        <w:t xml:space="preserve"> (</w:t>
      </w:r>
      <w:proofErr w:type="spellStart"/>
      <w:r>
        <w:t>nBS</w:t>
      </w:r>
      <w:proofErr w:type="spellEnd"/>
      <w:r>
        <w:t>) and rinsed with methanol. Amine compounds are commonly used as</w:t>
      </w:r>
      <w:r w:rsidR="00654306">
        <w:t xml:space="preserve"> a</w:t>
      </w:r>
      <w:r>
        <w:t xml:space="preserve"> curing agent for epoxy. Therefore, Kawaguchi and Pearson </w:t>
      </w:r>
      <w:r>
        <w:fldChar w:fldCharType="begin" w:fldLock="1"/>
      </w:r>
      <w:r w:rsidR="00B274D5">
        <w:instrText>ADDIN CSL_CITATION {"citationItems":[{"id":"ITEM-1","itemData":{"DOI":"10.1016/S0032-3861(03)00371-9","ISBN":"0032-3861","ISSN":"00323861","abstract":"Basic properties of glass filled epoxy such as yield behavior and cohesive strength, which are important in understanding toughening mechanism, are studied using compression tests and double notch 4 point bending (DN-4PB) tests. Three different glass reinforcements, large glass spheres, small glass spheres, and glass fibers, were treated by different methods and used at different volume fractions ranging from 10 to 30 vol%. The effect of different surface treatments and moisture exposure on the yield behavior is studied. It was found that in all types of formulation the yield stress decreased after moisture exposure and that the yield stress was dependent on the surface treatment both before and after moisture exposure. No treatment and treatment of glass reinforcements with aminopropyltrimethoxysilane coupling agent resulted in relatively higher yield stress. Close observation of microstructure by transmission OM showed that the degree of debonding in the specimens for compression tests was quite dependent on the surface treatment after moisture exposure. The decrease in cohesive strength of the neat specimens were observed after moisture exposure. © 2003 Elsevier Science Ltd. All rights reserved.","author":[{"dropping-particle":"","family":"Kawaguchi","given":"Takafumi","non-dropping-particle":"","parse-names":false,"suffix":""},{"dropping-particle":"","family":"Pearson","given":"Raymond A.","non-dropping-particle":"","parse-names":false,"suffix":""}],"container-title":"Polymer","id":"ITEM-1","issue":"15","issued":{"date-parts":[["2003"]]},"page":"4229-4238","title":"The effect of particle-matrix adhesion on the mechanical behavior of glass filled epoxies: Part 1. A study on yield behavior and cohesive strength","type":"article-journal","volume":"44"},"uris":["http://www.mendeley.com/documents/?uuid=a4b42f1d-c960-432c-a276-d7919a9e4f75"]}],"mendeley":{"formattedCitation":"[81]","plainTextFormattedCitation":"[81]","previouslyFormattedCitation":"[81]"},"properties":{"noteIndex":0},"schema":"https://github.com/citation-style-language/schema/raw/master/csl-citation.json"}</w:instrText>
      </w:r>
      <w:r>
        <w:fldChar w:fldCharType="separate"/>
      </w:r>
      <w:r w:rsidRPr="00D14EF2">
        <w:rPr>
          <w:noProof/>
        </w:rPr>
        <w:t>[81]</w:t>
      </w:r>
      <w:r>
        <w:fldChar w:fldCharType="end"/>
      </w:r>
      <w:r>
        <w:t xml:space="preserve"> expected high adhesion between APS treated glass which has amine compound and DGEBA epoxy due to covalent bond formation. Methyl group of </w:t>
      </w:r>
      <w:proofErr w:type="spellStart"/>
      <w:r>
        <w:t>nBS</w:t>
      </w:r>
      <w:proofErr w:type="spellEnd"/>
      <w:r>
        <w:t xml:space="preserve"> </w:t>
      </w:r>
      <w:r>
        <w:lastRenderedPageBreak/>
        <w:t>do</w:t>
      </w:r>
      <w:r w:rsidR="00654306">
        <w:t>es</w:t>
      </w:r>
      <w:r>
        <w:t xml:space="preserve"> not chemically react with epoxy, thus, only Van der Waals interactions were expected between the </w:t>
      </w:r>
      <w:proofErr w:type="spellStart"/>
      <w:r>
        <w:t>nBS</w:t>
      </w:r>
      <w:proofErr w:type="spellEnd"/>
      <w:r>
        <w:t xml:space="preserve"> glass spheres and epoxy.</w:t>
      </w:r>
    </w:p>
    <w:p w14:paraId="302130C6" w14:textId="294BC60A" w:rsidR="00192013" w:rsidRDefault="00192013" w:rsidP="00F77E87">
      <w:pPr>
        <w:rPr>
          <w:szCs w:val="24"/>
        </w:rPr>
      </w:pPr>
      <w:r>
        <w:t>DGEBA epoxy and Bisphenol-A were mixed in a ratio of (100:24) at 180</w:t>
      </w:r>
      <w:r w:rsidRPr="00145FCF">
        <w:rPr>
          <w:rFonts w:ascii="Cambria Math" w:hAnsi="Cambria Math" w:cs="Cambria Math"/>
          <w:szCs w:val="24"/>
        </w:rPr>
        <w:t>℃</w:t>
      </w:r>
      <w:r>
        <w:rPr>
          <w:rFonts w:cs="Times New Roman"/>
          <w:szCs w:val="24"/>
        </w:rPr>
        <w:t xml:space="preserve"> (356</w:t>
      </w:r>
      <w:r w:rsidRPr="00145FCF">
        <w:rPr>
          <w:rFonts w:ascii="Cambria Math" w:hAnsi="Cambria Math" w:cs="Cambria Math"/>
          <w:szCs w:val="24"/>
        </w:rPr>
        <w:t>℉</w:t>
      </w:r>
      <w:r w:rsidRPr="00145FCF">
        <w:rPr>
          <w:rFonts w:cs="Times New Roman"/>
          <w:szCs w:val="24"/>
        </w:rPr>
        <w:t>)</w:t>
      </w:r>
      <w:r>
        <w:rPr>
          <w:szCs w:val="24"/>
        </w:rPr>
        <w:t xml:space="preserve"> under vacuum and cooled down to 80</w:t>
      </w:r>
      <w:r w:rsidRPr="00145FCF">
        <w:rPr>
          <w:rFonts w:ascii="Cambria Math" w:hAnsi="Cambria Math" w:cs="Cambria Math"/>
          <w:szCs w:val="24"/>
        </w:rPr>
        <w:t>℃</w:t>
      </w:r>
      <w:r>
        <w:rPr>
          <w:rFonts w:cs="Times New Roman"/>
          <w:szCs w:val="24"/>
        </w:rPr>
        <w:t xml:space="preserve"> (176</w:t>
      </w:r>
      <w:r w:rsidRPr="00145FCF">
        <w:rPr>
          <w:rFonts w:ascii="Cambria Math" w:hAnsi="Cambria Math" w:cs="Cambria Math"/>
          <w:szCs w:val="24"/>
        </w:rPr>
        <w:t>℉</w:t>
      </w:r>
      <w:r w:rsidRPr="00145FCF">
        <w:rPr>
          <w:rFonts w:cs="Times New Roman"/>
          <w:szCs w:val="24"/>
        </w:rPr>
        <w:t>)</w:t>
      </w:r>
      <w:r>
        <w:rPr>
          <w:szCs w:val="24"/>
        </w:rPr>
        <w:t>. Glass spheres of 10%, 20%</w:t>
      </w:r>
      <w:r w:rsidR="007D4338">
        <w:rPr>
          <w:szCs w:val="24"/>
        </w:rPr>
        <w:t>,</w:t>
      </w:r>
      <w:r>
        <w:rPr>
          <w:szCs w:val="24"/>
        </w:rPr>
        <w:t xml:space="preserve"> and 30% by volume is added to epoxy and mixed under vacuum. 5 wt</w:t>
      </w:r>
      <w:proofErr w:type="gramStart"/>
      <w:r>
        <w:rPr>
          <w:szCs w:val="24"/>
        </w:rPr>
        <w:t>.%</w:t>
      </w:r>
      <w:proofErr w:type="gramEnd"/>
      <w:r>
        <w:rPr>
          <w:szCs w:val="24"/>
        </w:rPr>
        <w:t xml:space="preserve"> </w:t>
      </w:r>
      <w:proofErr w:type="spellStart"/>
      <w:r>
        <w:rPr>
          <w:szCs w:val="24"/>
        </w:rPr>
        <w:t>Piperidine</w:t>
      </w:r>
      <w:proofErr w:type="spellEnd"/>
      <w:r>
        <w:rPr>
          <w:szCs w:val="24"/>
        </w:rPr>
        <w:t xml:space="preserve"> curing agent is added and mixed for 10 minutes. Resulting mixture is poured onto an aluminum mold at 160</w:t>
      </w:r>
      <w:r w:rsidRPr="00145FCF">
        <w:rPr>
          <w:rFonts w:ascii="Cambria Math" w:hAnsi="Cambria Math" w:cs="Cambria Math"/>
          <w:szCs w:val="24"/>
        </w:rPr>
        <w:t>℃</w:t>
      </w:r>
      <w:r>
        <w:rPr>
          <w:rFonts w:cs="Times New Roman"/>
          <w:szCs w:val="24"/>
        </w:rPr>
        <w:t xml:space="preserve"> (320</w:t>
      </w:r>
      <w:r w:rsidRPr="00145FCF">
        <w:rPr>
          <w:rFonts w:ascii="Cambria Math" w:hAnsi="Cambria Math" w:cs="Cambria Math"/>
          <w:szCs w:val="24"/>
        </w:rPr>
        <w:t>℉</w:t>
      </w:r>
      <w:r w:rsidRPr="00145FCF">
        <w:rPr>
          <w:rFonts w:cs="Times New Roman"/>
          <w:szCs w:val="24"/>
        </w:rPr>
        <w:t>)</w:t>
      </w:r>
      <w:r w:rsidR="00C62852">
        <w:rPr>
          <w:szCs w:val="24"/>
        </w:rPr>
        <w:t xml:space="preserve"> </w:t>
      </w:r>
      <w:r>
        <w:rPr>
          <w:szCs w:val="24"/>
        </w:rPr>
        <w:t>and cured for 6 hours. The cured composite is cut into 30.5</w:t>
      </w:r>
      <w:r w:rsidR="00072ACC">
        <w:rPr>
          <w:szCs w:val="24"/>
        </w:rPr>
        <w:t xml:space="preserve"> × </w:t>
      </w:r>
      <w:r>
        <w:rPr>
          <w:szCs w:val="24"/>
        </w:rPr>
        <w:t>30.5 mm specimens having thickness of 6 mm.</w:t>
      </w:r>
    </w:p>
    <w:p w14:paraId="0458DF25" w14:textId="77777777" w:rsidR="00192013" w:rsidRDefault="00192013" w:rsidP="00B63058">
      <w:pPr>
        <w:pStyle w:val="Heading3"/>
      </w:pPr>
      <w:bookmarkStart w:id="190" w:name="_Toc449527250"/>
      <w:bookmarkStart w:id="191" w:name="_Toc531943766"/>
      <w:r>
        <w:t xml:space="preserve">Experimental Results of APS/DGEBA Epoxy and </w:t>
      </w:r>
      <w:proofErr w:type="spellStart"/>
      <w:r>
        <w:t>nBS</w:t>
      </w:r>
      <w:proofErr w:type="spellEnd"/>
      <w:r>
        <w:t>/DGEBA Epoxy and Discussion</w:t>
      </w:r>
      <w:bookmarkEnd w:id="190"/>
      <w:bookmarkEnd w:id="191"/>
    </w:p>
    <w:p w14:paraId="39392618" w14:textId="2CC7125F" w:rsidR="00192013" w:rsidRPr="00995E0E" w:rsidRDefault="00192013" w:rsidP="00995E0E">
      <w:pPr>
        <w:rPr>
          <w:szCs w:val="24"/>
        </w:rPr>
      </w:pPr>
      <w:r>
        <w:t xml:space="preserve">Kawaguchi and Pearson </w:t>
      </w:r>
      <w:r>
        <w:fldChar w:fldCharType="begin" w:fldLock="1"/>
      </w:r>
      <w:r w:rsidR="00B274D5">
        <w:instrText>ADDIN CSL_CITATION {"citationItems":[{"id":"ITEM-1","itemData":{"DOI":"10.1016/S0032-3861(03)00371-9","ISBN":"0032-3861","ISSN":"00323861","abstract":"Basic properties of glass filled epoxy such as yield behavior and cohesive strength, which are important in understanding toughening mechanism, are studied using compression tests and double notch 4 point bending (DN-4PB) tests. Three different glass reinforcements, large glass spheres, small glass spheres, and glass fibers, were treated by different methods and used at different volume fractions ranging from 10 to 30 vol%. The effect of different surface treatments and moisture exposure on the yield behavior is studied. It was found that in all types of formulation the yield stress decreased after moisture exposure and that the yield stress was dependent on the surface treatment both before and after moisture exposure. No treatment and treatment of glass reinforcements with aminopropyltrimethoxysilane coupling agent resulted in relatively higher yield stress. Close observation of microstructure by transmission OM showed that the degree of debonding in the specimens for compression tests was quite dependent on the surface treatment after moisture exposure. The decrease in cohesive strength of the neat specimens were observed after moisture exposure. © 2003 Elsevier Science Ltd. All rights reserved.","author":[{"dropping-particle":"","family":"Kawaguchi","given":"Takafumi","non-dropping-particle":"","parse-names":false,"suffix":""},{"dropping-particle":"","family":"Pearson","given":"Raymond A.","non-dropping-particle":"","parse-names":false,"suffix":""}],"container-title":"Polymer","id":"ITEM-1","issue":"15","issued":{"date-parts":[["2003"]]},"page":"4229-4238","title":"The effect of particle-matrix adhesion on the mechanical behavior of glass filled epoxies: Part 1. A study on yield behavior and cohesive strength","type":"article-journal","volume":"44"},"uris":["http://www.mendeley.com/documents/?uuid=a4b42f1d-c960-432c-a276-d7919a9e4f75"]}],"mendeley":{"formattedCitation":"[81]","plainTextFormattedCitation":"[81]","previouslyFormattedCitation":"[81]"},"properties":{"noteIndex":0},"schema":"https://github.com/citation-style-language/schema/raw/master/csl-citation.json"}</w:instrText>
      </w:r>
      <w:r>
        <w:fldChar w:fldCharType="separate"/>
      </w:r>
      <w:r w:rsidRPr="00D14EF2">
        <w:rPr>
          <w:noProof/>
        </w:rPr>
        <w:t>[81]</w:t>
      </w:r>
      <w:r>
        <w:fldChar w:fldCharType="end"/>
      </w:r>
      <w:r>
        <w:t xml:space="preserve"> kept all samples in an environmental chamber at 85% relative humidity and 85</w:t>
      </w:r>
      <w:r w:rsidRPr="00145FCF">
        <w:rPr>
          <w:rFonts w:ascii="Cambria Math" w:hAnsi="Cambria Math" w:cs="Cambria Math"/>
          <w:szCs w:val="24"/>
        </w:rPr>
        <w:t>℃</w:t>
      </w:r>
      <w:r>
        <w:rPr>
          <w:rFonts w:cs="Times New Roman"/>
          <w:szCs w:val="24"/>
        </w:rPr>
        <w:t xml:space="preserve"> (185</w:t>
      </w:r>
      <w:r w:rsidRPr="00145FCF">
        <w:rPr>
          <w:rFonts w:ascii="Cambria Math" w:hAnsi="Cambria Math" w:cs="Cambria Math"/>
          <w:szCs w:val="24"/>
        </w:rPr>
        <w:t>℉</w:t>
      </w:r>
      <w:r w:rsidRPr="00145FCF">
        <w:rPr>
          <w:rFonts w:cs="Times New Roman"/>
          <w:szCs w:val="24"/>
        </w:rPr>
        <w:t>)</w:t>
      </w:r>
      <w:r>
        <w:rPr>
          <w:szCs w:val="24"/>
        </w:rPr>
        <w:t xml:space="preserve"> for 1350 hours. Similar to I.30E/DGEBA and I.30E/EPON 862 composites, the diffusion coefficients of the epoxy with inclusions are calculated to linearly vary starting from the recovered diffusion coefficient of pure epoxy. The linear variation of diffusi</w:t>
      </w:r>
      <w:r w:rsidR="00654306">
        <w:rPr>
          <w:szCs w:val="24"/>
        </w:rPr>
        <w:t>on coefficients is</w:t>
      </w:r>
      <w:r>
        <w:rPr>
          <w:szCs w:val="24"/>
        </w:rPr>
        <w:t xml:space="preserve"> shown in </w:t>
      </w:r>
      <w:r>
        <w:rPr>
          <w:szCs w:val="24"/>
        </w:rPr>
        <w:fldChar w:fldCharType="begin"/>
      </w:r>
      <w:r>
        <w:rPr>
          <w:szCs w:val="24"/>
        </w:rPr>
        <w:instrText xml:space="preserve"> REF _Ref449116771 \h </w:instrText>
      </w:r>
      <w:r w:rsidR="00F77E87">
        <w:rPr>
          <w:szCs w:val="24"/>
        </w:rPr>
        <w:instrText xml:space="preserve"> \* MERGEFORMAT </w:instrText>
      </w:r>
      <w:r>
        <w:rPr>
          <w:szCs w:val="24"/>
        </w:rPr>
      </w:r>
      <w:r>
        <w:rPr>
          <w:szCs w:val="24"/>
        </w:rPr>
        <w:fldChar w:fldCharType="separate"/>
      </w:r>
      <w:r w:rsidR="006D52C2">
        <w:t xml:space="preserve">Figure </w:t>
      </w:r>
      <w:r w:rsidR="006D52C2">
        <w:rPr>
          <w:noProof/>
        </w:rPr>
        <w:t>32</w:t>
      </w:r>
      <w:r>
        <w:rPr>
          <w:szCs w:val="24"/>
        </w:rPr>
        <w:fldChar w:fldCharType="end"/>
      </w:r>
      <w:r w:rsidR="00995E0E">
        <w:rPr>
          <w:szCs w:val="24"/>
        </w:rPr>
        <w:t>.</w:t>
      </w:r>
    </w:p>
    <w:p w14:paraId="60773AA3" w14:textId="4103FCEB" w:rsidR="00192013" w:rsidRDefault="00192013" w:rsidP="00F77E87">
      <w:r>
        <w:t xml:space="preserve">Using the diffusion coefficients in </w:t>
      </w:r>
      <w:r>
        <w:fldChar w:fldCharType="begin"/>
      </w:r>
      <w:r>
        <w:instrText xml:space="preserve"> REF _Ref449116771 \h </w:instrText>
      </w:r>
      <w:r w:rsidR="00F77E87">
        <w:instrText xml:space="preserve"> \* MERGEFORMAT </w:instrText>
      </w:r>
      <w:r>
        <w:fldChar w:fldCharType="separate"/>
      </w:r>
      <w:r w:rsidR="006D52C2">
        <w:t xml:space="preserve">Figure </w:t>
      </w:r>
      <w:r w:rsidR="006D52C2">
        <w:rPr>
          <w:noProof/>
        </w:rPr>
        <w:t>32</w:t>
      </w:r>
      <w:r>
        <w:fldChar w:fldCharType="end"/>
      </w:r>
      <w:r>
        <w:t xml:space="preserve"> and Eqs. (39-41), remaining absorption parameters </w:t>
      </w:r>
      <w:r w:rsidRPr="00D87D03">
        <w:rPr>
          <w:rFonts w:cs="Times New Roman"/>
        </w:rPr>
        <w:t>(</w:t>
      </w:r>
      <m:oMath>
        <m:r>
          <w:rPr>
            <w:rFonts w:ascii="Cambria Math" w:hAnsi="Cambria Math" w:cs="Times New Roman"/>
          </w:rPr>
          <m:t>γ,</m:t>
        </m:r>
        <m:r>
          <m:rPr>
            <m:sty m:val="p"/>
          </m:rPr>
          <w:rPr>
            <w:rFonts w:ascii="Cambria Math" w:hAnsi="Cambria Math" w:cs="Times New Roman"/>
          </w:rPr>
          <m:t xml:space="preserve"> </m:t>
        </m:r>
        <m:r>
          <w:rPr>
            <w:rFonts w:ascii="Cambria Math" w:hAnsi="Cambria Math" w:cs="Times New Roman"/>
          </w:rPr>
          <m:t>β,  and</m:t>
        </m:r>
      </m:oMath>
      <w:r w:rsidRPr="00D87D03">
        <w:rPr>
          <w:rFonts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oMath>
      <w:r w:rsidRPr="00D87D03">
        <w:rPr>
          <w:rFonts w:cs="Times New Roman"/>
        </w:rPr>
        <w:t xml:space="preserve">) </w:t>
      </w:r>
      <w:r>
        <w:t xml:space="preserve">of APS treated glass sphere/epoxy composite are recovered and given in </w:t>
      </w:r>
      <w:r>
        <w:fldChar w:fldCharType="begin"/>
      </w:r>
      <w:r>
        <w:instrText xml:space="preserve"> REF _Ref449117029 \h </w:instrText>
      </w:r>
      <w:r w:rsidR="00F77E87">
        <w:instrText xml:space="preserve"> \* MERGEFORMAT </w:instrText>
      </w:r>
      <w:r>
        <w:fldChar w:fldCharType="separate"/>
      </w:r>
      <w:r w:rsidR="006D52C2">
        <w:t xml:space="preserve">Table </w:t>
      </w:r>
      <w:r w:rsidR="006D52C2">
        <w:rPr>
          <w:noProof/>
        </w:rPr>
        <w:t>6</w:t>
      </w:r>
      <w:r>
        <w:fldChar w:fldCharType="end"/>
      </w:r>
      <w:r>
        <w:t xml:space="preserve">. </w:t>
      </w:r>
    </w:p>
    <w:p w14:paraId="21C70409" w14:textId="77777777" w:rsidR="00995E0E" w:rsidRDefault="00995E0E" w:rsidP="00995E0E">
      <w:pPr>
        <w:pStyle w:val="NoSpacing"/>
      </w:pPr>
      <w:r>
        <w:rPr>
          <w:noProof/>
          <w:lang w:bidi="ar-SA"/>
        </w:rPr>
        <w:lastRenderedPageBreak/>
        <w:drawing>
          <wp:inline distT="0" distB="0" distL="0" distR="0" wp14:anchorId="78977F23" wp14:editId="66F54FA2">
            <wp:extent cx="5394960" cy="2606040"/>
            <wp:effectExtent l="0" t="0" r="0" b="381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AF29DAA" w14:textId="77777777" w:rsidR="00995E0E" w:rsidRDefault="00995E0E" w:rsidP="00995E0E">
      <w:pPr>
        <w:pStyle w:val="Caption"/>
      </w:pPr>
      <w:bookmarkStart w:id="192" w:name="_Ref449116771"/>
      <w:bookmarkStart w:id="193" w:name="_Ref449116755"/>
      <w:bookmarkStart w:id="194" w:name="_Toc449516684"/>
      <w:bookmarkStart w:id="195" w:name="_Toc530997388"/>
      <w:r>
        <w:t xml:space="preserve">Figure </w:t>
      </w:r>
      <w:r>
        <w:rPr>
          <w:noProof/>
        </w:rPr>
        <w:fldChar w:fldCharType="begin"/>
      </w:r>
      <w:r>
        <w:rPr>
          <w:noProof/>
        </w:rPr>
        <w:instrText xml:space="preserve"> SEQ Figure \* ARABIC </w:instrText>
      </w:r>
      <w:r>
        <w:rPr>
          <w:noProof/>
        </w:rPr>
        <w:fldChar w:fldCharType="separate"/>
      </w:r>
      <w:r w:rsidR="006D52C2">
        <w:rPr>
          <w:noProof/>
        </w:rPr>
        <w:t>32</w:t>
      </w:r>
      <w:r>
        <w:rPr>
          <w:noProof/>
        </w:rPr>
        <w:fldChar w:fldCharType="end"/>
      </w:r>
      <w:bookmarkEnd w:id="192"/>
      <w:r>
        <w:t xml:space="preserve">. Linear change of diffusion coefficients of APS glass/DGEBA and </w:t>
      </w:r>
      <w:proofErr w:type="spellStart"/>
      <w:r>
        <w:t>nBS</w:t>
      </w:r>
      <w:proofErr w:type="spellEnd"/>
      <w:r>
        <w:t xml:space="preserve"> glass/DGEBA composite with glass volume fraction</w:t>
      </w:r>
      <w:bookmarkEnd w:id="193"/>
      <w:bookmarkEnd w:id="194"/>
      <w:bookmarkEnd w:id="195"/>
    </w:p>
    <w:p w14:paraId="1CC08BFC" w14:textId="77777777" w:rsidR="00995E0E" w:rsidRDefault="00995E0E" w:rsidP="00F77E87"/>
    <w:p w14:paraId="591169D6" w14:textId="00EC8FC8" w:rsidR="00192013" w:rsidRDefault="00192013" w:rsidP="00F77E87">
      <w:r>
        <w:t xml:space="preserve">In </w:t>
      </w:r>
      <w:r>
        <w:fldChar w:fldCharType="begin"/>
      </w:r>
      <w:r>
        <w:instrText xml:space="preserve"> REF _Ref449117029 \h </w:instrText>
      </w:r>
      <w:r w:rsidR="00F77E87">
        <w:instrText xml:space="preserve"> \* MERGEFORMAT </w:instrText>
      </w:r>
      <w:r>
        <w:fldChar w:fldCharType="separate"/>
      </w:r>
      <w:r w:rsidR="006D52C2">
        <w:t xml:space="preserve">Table </w:t>
      </w:r>
      <w:r w:rsidR="006D52C2">
        <w:rPr>
          <w:noProof/>
        </w:rPr>
        <w:t>6</w:t>
      </w:r>
      <w:r>
        <w:fldChar w:fldCharType="end"/>
      </w:r>
      <w:r>
        <w:t xml:space="preserve">, through-the-thickness diffusion coefficients (already determined), the hindrance coefficients, the maximum moisture content of APS treated glass sphere/epoxy composites and the root mean square error between the experimental data and model prediction per data point are presented. In </w:t>
      </w:r>
      <w:r>
        <w:fldChar w:fldCharType="begin"/>
      </w:r>
      <w:r>
        <w:instrText xml:space="preserve"> REF _Ref449117029 \h </w:instrText>
      </w:r>
      <w:r w:rsidR="00F77E87">
        <w:instrText xml:space="preserve"> \* MERGEFORMAT </w:instrText>
      </w:r>
      <w:r>
        <w:fldChar w:fldCharType="separate"/>
      </w:r>
      <w:r w:rsidR="006D52C2">
        <w:t xml:space="preserve">Table </w:t>
      </w:r>
      <w:r w:rsidR="006D52C2">
        <w:rPr>
          <w:noProof/>
        </w:rPr>
        <w:t>6</w:t>
      </w:r>
      <w:r>
        <w:fldChar w:fldCharType="end"/>
      </w:r>
      <w:r>
        <w:t xml:space="preserve">, the increase in hindrance coefficient and decrease in maximum moisture content can easily be seen. </w:t>
      </w:r>
      <w:r w:rsidRPr="00E13CE5">
        <w:rPr>
          <w:rFonts w:cs="Times New Roman"/>
        </w:rPr>
        <w:t xml:space="preserve">The addition of 30 </w:t>
      </w:r>
      <w:proofErr w:type="spellStart"/>
      <w:r w:rsidRPr="00E13CE5">
        <w:rPr>
          <w:rFonts w:cs="Times New Roman"/>
        </w:rPr>
        <w:t>vol</w:t>
      </w:r>
      <w:proofErr w:type="spellEnd"/>
      <w:r w:rsidRPr="00E13CE5">
        <w:rPr>
          <w:rFonts w:cs="Times New Roman"/>
        </w:rPr>
        <w:t xml:space="preserve">% APS glass sphere in DGEBA epoxy </w:t>
      </w:r>
      <w:r>
        <w:rPr>
          <w:rFonts w:cs="Times New Roman"/>
        </w:rPr>
        <w:t>induced</w:t>
      </w:r>
      <w:r w:rsidRPr="00E13CE5">
        <w:rPr>
          <w:rFonts w:cs="Times New Roman"/>
        </w:rPr>
        <w:t xml:space="preserve"> in an 11% decrease in the maximum moisture content</w:t>
      </w:r>
      <w:r>
        <w:rPr>
          <w:rFonts w:cs="Times New Roman"/>
        </w:rPr>
        <w:t>. Similarly,</w:t>
      </w:r>
      <w:r w:rsidRPr="00E13CE5">
        <w:rPr>
          <w:rFonts w:cs="Times New Roman"/>
        </w:rPr>
        <w:t xml:space="preserve"> </w:t>
      </w:r>
      <w:r>
        <w:rPr>
          <w:rFonts w:cs="Times New Roman"/>
        </w:rPr>
        <w:t>t</w:t>
      </w:r>
      <w:r w:rsidRPr="00E13CE5">
        <w:rPr>
          <w:rFonts w:cs="Times New Roman"/>
        </w:rPr>
        <w:t xml:space="preserve">he addition of APS glass sphere in DGEBA epoxy </w:t>
      </w:r>
      <w:r>
        <w:rPr>
          <w:rFonts w:cs="Times New Roman"/>
        </w:rPr>
        <w:t xml:space="preserve">caused </w:t>
      </w:r>
      <w:r w:rsidRPr="00E13CE5">
        <w:rPr>
          <w:rFonts w:cs="Times New Roman"/>
        </w:rPr>
        <w:t xml:space="preserve">a </w:t>
      </w:r>
      <w:r>
        <w:rPr>
          <w:rFonts w:cs="Times New Roman"/>
        </w:rPr>
        <w:t>steady in</w:t>
      </w:r>
      <w:r w:rsidRPr="00E13CE5">
        <w:rPr>
          <w:rFonts w:cs="Times New Roman"/>
        </w:rPr>
        <w:t xml:space="preserve">crease in the hindrance </w:t>
      </w:r>
      <w:r>
        <w:rPr>
          <w:rFonts w:cs="Times New Roman"/>
        </w:rPr>
        <w:t xml:space="preserve">coefficient. </w:t>
      </w:r>
      <w:r>
        <w:t xml:space="preserve">Moreover, the root mean square error per data point is fairly small, indicating that the absorption parameters accurately represent the absorption behavior. The gravimetric experimental data and the one-dimensional hindered diffusion model predictions are illustrated in </w:t>
      </w:r>
      <w:r>
        <w:fldChar w:fldCharType="begin"/>
      </w:r>
      <w:r>
        <w:instrText xml:space="preserve"> REF _Ref449117871 \h </w:instrText>
      </w:r>
      <w:r w:rsidR="00F77E87">
        <w:instrText xml:space="preserve"> \* MERGEFORMAT </w:instrText>
      </w:r>
      <w:r>
        <w:fldChar w:fldCharType="separate"/>
      </w:r>
      <w:r w:rsidR="006D52C2">
        <w:t xml:space="preserve">Figure </w:t>
      </w:r>
      <w:r w:rsidR="006D52C2">
        <w:rPr>
          <w:noProof/>
        </w:rPr>
        <w:t>33</w:t>
      </w:r>
      <w:r>
        <w:fldChar w:fldCharType="end"/>
      </w:r>
      <w:r>
        <w:t xml:space="preserve">. </w:t>
      </w:r>
    </w:p>
    <w:p w14:paraId="7CE0158A" w14:textId="77777777" w:rsidR="00995E0E" w:rsidRDefault="00995E0E" w:rsidP="00F77E87"/>
    <w:p w14:paraId="0C1622CB" w14:textId="77777777" w:rsidR="00192013" w:rsidRDefault="00192013" w:rsidP="00192013">
      <w:pPr>
        <w:pStyle w:val="Caption"/>
      </w:pPr>
      <w:bookmarkStart w:id="196" w:name="_Ref449117029"/>
      <w:bookmarkStart w:id="197" w:name="_Toc449516698"/>
      <w:bookmarkStart w:id="198" w:name="_Toc530997321"/>
      <w:r>
        <w:lastRenderedPageBreak/>
        <w:t xml:space="preserve">Table </w:t>
      </w:r>
      <w:r>
        <w:rPr>
          <w:noProof/>
        </w:rPr>
        <w:fldChar w:fldCharType="begin"/>
      </w:r>
      <w:r>
        <w:rPr>
          <w:noProof/>
        </w:rPr>
        <w:instrText xml:space="preserve"> SEQ Table \* ARABIC </w:instrText>
      </w:r>
      <w:r>
        <w:rPr>
          <w:noProof/>
        </w:rPr>
        <w:fldChar w:fldCharType="separate"/>
      </w:r>
      <w:r w:rsidR="006D52C2">
        <w:rPr>
          <w:noProof/>
        </w:rPr>
        <w:t>6</w:t>
      </w:r>
      <w:r>
        <w:rPr>
          <w:noProof/>
        </w:rPr>
        <w:fldChar w:fldCharType="end"/>
      </w:r>
      <w:bookmarkEnd w:id="196"/>
      <w:r>
        <w:t xml:space="preserve">. </w:t>
      </w:r>
      <w:r w:rsidRPr="005A3E52">
        <w:t xml:space="preserve">Moisture absorption parameters </w:t>
      </w:r>
      <w:r>
        <w:t>of DGEBA epoxy with different APS treated glass loading where diffusion coefficient kept linearly decreasing.</w:t>
      </w:r>
      <w:bookmarkEnd w:id="197"/>
      <w:bookmarkEnd w:id="198"/>
    </w:p>
    <w:tbl>
      <w:tblPr>
        <w:tblStyle w:val="PlainTable21"/>
        <w:tblW w:w="8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95"/>
        <w:gridCol w:w="1260"/>
        <w:gridCol w:w="1350"/>
        <w:gridCol w:w="1350"/>
        <w:gridCol w:w="810"/>
        <w:gridCol w:w="990"/>
        <w:gridCol w:w="931"/>
      </w:tblGrid>
      <w:tr w:rsidR="00192013" w:rsidRPr="005A3E52" w14:paraId="032A74E6" w14:textId="77777777" w:rsidTr="003F56CD">
        <w:trPr>
          <w:cnfStyle w:val="100000000000" w:firstRow="1" w:lastRow="0" w:firstColumn="0" w:lastColumn="0" w:oddVBand="0" w:evenVBand="0" w:oddHBand="0" w:evenHBand="0" w:firstRowFirstColumn="0" w:firstRowLastColumn="0" w:lastRowFirstColumn="0" w:lastRowLastColumn="0"/>
          <w:trHeight w:val="350"/>
          <w:jc w:val="center"/>
        </w:trPr>
        <w:tc>
          <w:tcPr>
            <w:tcW w:w="1795" w:type="dxa"/>
          </w:tcPr>
          <w:p w14:paraId="48417660" w14:textId="77777777" w:rsidR="00192013" w:rsidRPr="00C75422" w:rsidRDefault="00192013" w:rsidP="00A440CD">
            <w:pPr>
              <w:pStyle w:val="Paragraph"/>
              <w:spacing w:before="120" w:after="120"/>
              <w:ind w:firstLine="0"/>
              <w:jc w:val="center"/>
              <w:rPr>
                <w:sz w:val="24"/>
                <w:szCs w:val="24"/>
              </w:rPr>
            </w:pPr>
            <w:r w:rsidRPr="00C75422">
              <w:rPr>
                <w:sz w:val="24"/>
                <w:szCs w:val="24"/>
              </w:rPr>
              <w:t>Material Systems</w:t>
            </w:r>
          </w:p>
        </w:tc>
        <w:tc>
          <w:tcPr>
            <w:tcW w:w="1260" w:type="dxa"/>
          </w:tcPr>
          <w:p w14:paraId="1267164C" w14:textId="77777777" w:rsidR="00192013" w:rsidRPr="00C75422" w:rsidRDefault="007B3686" w:rsidP="00A440CD">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192013" w:rsidRPr="00C75422">
              <w:rPr>
                <w:sz w:val="24"/>
                <w:szCs w:val="24"/>
              </w:rPr>
              <w:t xml:space="preserve"> (mm</w:t>
            </w:r>
            <w:r w:rsidR="00192013" w:rsidRPr="00C75422">
              <w:rPr>
                <w:sz w:val="24"/>
                <w:szCs w:val="24"/>
                <w:vertAlign w:val="superscript"/>
              </w:rPr>
              <w:t>2</w:t>
            </w:r>
            <w:r w:rsidR="00192013" w:rsidRPr="00C75422">
              <w:rPr>
                <w:sz w:val="24"/>
                <w:szCs w:val="24"/>
              </w:rPr>
              <w:t>/h)</w:t>
            </w:r>
          </w:p>
        </w:tc>
        <w:tc>
          <w:tcPr>
            <w:tcW w:w="1350" w:type="dxa"/>
          </w:tcPr>
          <w:p w14:paraId="17CF17C9"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350" w:type="dxa"/>
          </w:tcPr>
          <w:p w14:paraId="7ED03A01"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154E3D37" w14:textId="77777777" w:rsidR="00192013" w:rsidRPr="00C75422" w:rsidRDefault="00192013" w:rsidP="00A440CD">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758F1C67" w14:textId="77777777" w:rsidR="00192013" w:rsidRPr="00C75422" w:rsidRDefault="007B3686" w:rsidP="00A440CD">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192013" w:rsidRPr="00C75422">
              <w:rPr>
                <w:sz w:val="24"/>
                <w:szCs w:val="24"/>
              </w:rPr>
              <w:t xml:space="preserve"> (</w:t>
            </w:r>
            <w:proofErr w:type="gramStart"/>
            <w:r w:rsidR="00192013">
              <w:rPr>
                <w:sz w:val="24"/>
                <w:szCs w:val="24"/>
              </w:rPr>
              <w:t>wt</w:t>
            </w:r>
            <w:proofErr w:type="gramEnd"/>
            <w:r w:rsidR="00192013">
              <w:rPr>
                <w:sz w:val="24"/>
                <w:szCs w:val="24"/>
              </w:rPr>
              <w:t>.%</w:t>
            </w:r>
            <w:r w:rsidR="00192013" w:rsidRPr="00C75422">
              <w:rPr>
                <w:sz w:val="24"/>
                <w:szCs w:val="24"/>
              </w:rPr>
              <w:t>)</w:t>
            </w:r>
          </w:p>
        </w:tc>
        <w:tc>
          <w:tcPr>
            <w:tcW w:w="931" w:type="dxa"/>
          </w:tcPr>
          <w:p w14:paraId="0E4188D1" w14:textId="3FC43E5B" w:rsidR="00192013" w:rsidRPr="00CE7F96" w:rsidRDefault="00192013" w:rsidP="00995E0E">
            <w:pPr>
              <w:pStyle w:val="Paragraph"/>
              <w:spacing w:before="120" w:after="120"/>
              <w:ind w:hanging="18"/>
              <w:jc w:val="center"/>
              <w:rPr>
                <w:sz w:val="24"/>
                <w:szCs w:val="24"/>
              </w:rPr>
            </w:pPr>
            <w:r w:rsidRPr="00AD3FCB">
              <w:rPr>
                <w:sz w:val="24"/>
                <w:szCs w:val="24"/>
              </w:rPr>
              <w:t>RMS</w:t>
            </w:r>
            <w:r w:rsidR="00995E0E">
              <w:rPr>
                <w:sz w:val="24"/>
                <w:szCs w:val="24"/>
              </w:rPr>
              <w:t>E</w:t>
            </w:r>
            <w:r>
              <w:rPr>
                <w:sz w:val="24"/>
                <w:szCs w:val="24"/>
              </w:rPr>
              <w:t xml:space="preserve"> (%)</w:t>
            </w:r>
          </w:p>
        </w:tc>
      </w:tr>
      <w:tr w:rsidR="00192013" w:rsidRPr="005A3E52" w14:paraId="10C37A44" w14:textId="77777777" w:rsidTr="003F56CD">
        <w:trPr>
          <w:trHeight w:val="350"/>
          <w:jc w:val="center"/>
        </w:trPr>
        <w:tc>
          <w:tcPr>
            <w:tcW w:w="1795" w:type="dxa"/>
          </w:tcPr>
          <w:p w14:paraId="0ED34D29" w14:textId="3BA745D2" w:rsidR="00192013" w:rsidRPr="00C75422" w:rsidRDefault="00192013" w:rsidP="00995E0E">
            <w:pPr>
              <w:pStyle w:val="Paragraph"/>
              <w:spacing w:before="120" w:after="120"/>
              <w:ind w:firstLine="0"/>
              <w:jc w:val="center"/>
              <w:rPr>
                <w:b/>
                <w:sz w:val="24"/>
                <w:szCs w:val="24"/>
              </w:rPr>
            </w:pPr>
            <w:r w:rsidRPr="00F82E20">
              <w:rPr>
                <w:b/>
                <w:sz w:val="24"/>
                <w:szCs w:val="24"/>
              </w:rPr>
              <w:t xml:space="preserve">Pure DGEBA </w:t>
            </w:r>
          </w:p>
        </w:tc>
        <w:tc>
          <w:tcPr>
            <w:tcW w:w="1260" w:type="dxa"/>
            <w:vAlign w:val="center"/>
          </w:tcPr>
          <w:p w14:paraId="5B43DAD0" w14:textId="566CDB99" w:rsidR="00192013" w:rsidRPr="00295EB6" w:rsidRDefault="00192013" w:rsidP="00A440CD">
            <w:pPr>
              <w:pStyle w:val="Paragraph"/>
              <w:spacing w:before="120" w:after="120"/>
              <w:ind w:firstLine="0"/>
              <w:jc w:val="center"/>
              <w:rPr>
                <w:sz w:val="24"/>
                <w:szCs w:val="24"/>
              </w:rPr>
            </w:pPr>
            <w:r w:rsidRPr="00295EB6">
              <w:rPr>
                <w:sz w:val="24"/>
                <w:szCs w:val="24"/>
              </w:rPr>
              <w:t>5.82</w:t>
            </w:r>
            <w:r w:rsidR="003F56CD">
              <w:rPr>
                <w:sz w:val="24"/>
                <w:szCs w:val="24"/>
              </w:rPr>
              <w:t>×</w:t>
            </w:r>
            <w:r w:rsidRPr="00295EB6">
              <w:rPr>
                <w:sz w:val="24"/>
                <w:szCs w:val="24"/>
              </w:rPr>
              <w:t>10</w:t>
            </w:r>
            <w:r w:rsidRPr="00295EB6">
              <w:rPr>
                <w:sz w:val="24"/>
                <w:szCs w:val="24"/>
                <w:vertAlign w:val="superscript"/>
              </w:rPr>
              <w:t>-2</w:t>
            </w:r>
          </w:p>
        </w:tc>
        <w:tc>
          <w:tcPr>
            <w:tcW w:w="1350" w:type="dxa"/>
            <w:vAlign w:val="center"/>
          </w:tcPr>
          <w:p w14:paraId="552E41E4" w14:textId="68C3F141" w:rsidR="00192013" w:rsidRPr="00295EB6" w:rsidRDefault="00192013" w:rsidP="00A440CD">
            <w:pPr>
              <w:pStyle w:val="Paragraph"/>
              <w:spacing w:before="120" w:after="120"/>
              <w:ind w:firstLine="0"/>
              <w:jc w:val="center"/>
              <w:rPr>
                <w:sz w:val="24"/>
                <w:szCs w:val="24"/>
              </w:rPr>
            </w:pPr>
            <w:r w:rsidRPr="00295EB6">
              <w:rPr>
                <w:sz w:val="24"/>
                <w:szCs w:val="24"/>
              </w:rPr>
              <w:t>4.38</w:t>
            </w:r>
            <w:r w:rsidR="003F56CD">
              <w:rPr>
                <w:sz w:val="24"/>
                <w:szCs w:val="24"/>
              </w:rPr>
              <w:t>×</w:t>
            </w:r>
            <w:r w:rsidRPr="00295EB6">
              <w:rPr>
                <w:sz w:val="24"/>
                <w:szCs w:val="24"/>
              </w:rPr>
              <w:t>10</w:t>
            </w:r>
            <w:r w:rsidRPr="00295EB6">
              <w:rPr>
                <w:sz w:val="24"/>
                <w:szCs w:val="24"/>
                <w:vertAlign w:val="superscript"/>
              </w:rPr>
              <w:t>-3</w:t>
            </w:r>
          </w:p>
        </w:tc>
        <w:tc>
          <w:tcPr>
            <w:tcW w:w="1350" w:type="dxa"/>
            <w:vAlign w:val="center"/>
          </w:tcPr>
          <w:p w14:paraId="6AA2A9FB" w14:textId="06E6E34A" w:rsidR="00192013" w:rsidRPr="00295EB6" w:rsidRDefault="00192013" w:rsidP="00A440CD">
            <w:pPr>
              <w:pStyle w:val="Paragraph"/>
              <w:spacing w:before="120" w:after="120"/>
              <w:ind w:firstLine="0"/>
              <w:jc w:val="center"/>
              <w:rPr>
                <w:sz w:val="24"/>
                <w:szCs w:val="24"/>
              </w:rPr>
            </w:pPr>
            <w:r w:rsidRPr="00295EB6">
              <w:rPr>
                <w:sz w:val="24"/>
                <w:szCs w:val="24"/>
              </w:rPr>
              <w:t>9.10</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7D60006F" w14:textId="77777777" w:rsidR="00192013" w:rsidRPr="00295EB6" w:rsidRDefault="00192013" w:rsidP="00A440CD">
            <w:pPr>
              <w:pStyle w:val="Paragraph"/>
              <w:spacing w:before="120" w:after="120"/>
              <w:ind w:firstLine="0"/>
              <w:jc w:val="center"/>
              <w:rPr>
                <w:sz w:val="24"/>
                <w:szCs w:val="24"/>
              </w:rPr>
            </w:pPr>
            <w:r w:rsidRPr="00295EB6">
              <w:rPr>
                <w:sz w:val="24"/>
                <w:szCs w:val="24"/>
              </w:rPr>
              <w:t>0.208</w:t>
            </w:r>
          </w:p>
        </w:tc>
        <w:tc>
          <w:tcPr>
            <w:tcW w:w="990" w:type="dxa"/>
            <w:vAlign w:val="center"/>
          </w:tcPr>
          <w:p w14:paraId="66FDA4FF" w14:textId="77777777" w:rsidR="00192013" w:rsidRPr="00295EB6" w:rsidRDefault="00192013" w:rsidP="00A440CD">
            <w:pPr>
              <w:pStyle w:val="Paragraph"/>
              <w:spacing w:before="120" w:after="120"/>
              <w:ind w:firstLine="0"/>
              <w:jc w:val="center"/>
              <w:rPr>
                <w:sz w:val="24"/>
                <w:szCs w:val="24"/>
              </w:rPr>
            </w:pPr>
            <w:r w:rsidRPr="00295EB6">
              <w:rPr>
                <w:sz w:val="24"/>
                <w:szCs w:val="24"/>
              </w:rPr>
              <w:t>1.36</w:t>
            </w:r>
          </w:p>
        </w:tc>
        <w:tc>
          <w:tcPr>
            <w:tcW w:w="931" w:type="dxa"/>
            <w:vAlign w:val="center"/>
          </w:tcPr>
          <w:p w14:paraId="2BAFC273" w14:textId="77777777" w:rsidR="00192013" w:rsidRPr="00295EB6" w:rsidRDefault="00192013" w:rsidP="00A440CD">
            <w:pPr>
              <w:pStyle w:val="Paragraph"/>
              <w:spacing w:before="120" w:after="120"/>
              <w:ind w:firstLine="0"/>
              <w:jc w:val="center"/>
              <w:rPr>
                <w:sz w:val="24"/>
                <w:szCs w:val="24"/>
              </w:rPr>
            </w:pPr>
            <w:r w:rsidRPr="00295EB6">
              <w:rPr>
                <w:sz w:val="24"/>
                <w:szCs w:val="24"/>
              </w:rPr>
              <w:t>0.37</w:t>
            </w:r>
          </w:p>
        </w:tc>
      </w:tr>
      <w:tr w:rsidR="00192013" w:rsidRPr="005A3E52" w14:paraId="6AB79268" w14:textId="77777777" w:rsidTr="003F56CD">
        <w:trPr>
          <w:trHeight w:val="350"/>
          <w:jc w:val="center"/>
        </w:trPr>
        <w:tc>
          <w:tcPr>
            <w:tcW w:w="1795" w:type="dxa"/>
          </w:tcPr>
          <w:p w14:paraId="363636EE" w14:textId="1B2E5857" w:rsidR="00192013" w:rsidRPr="00C75422" w:rsidRDefault="00192013" w:rsidP="00995E0E">
            <w:pPr>
              <w:pStyle w:val="Paragraph"/>
              <w:spacing w:before="120" w:after="120"/>
              <w:ind w:firstLine="0"/>
              <w:jc w:val="center"/>
              <w:rPr>
                <w:b/>
                <w:sz w:val="24"/>
                <w:szCs w:val="24"/>
              </w:rPr>
            </w:pPr>
            <w:r>
              <w:rPr>
                <w:b/>
                <w:sz w:val="24"/>
                <w:szCs w:val="24"/>
              </w:rPr>
              <w:t xml:space="preserve">10 </w:t>
            </w:r>
            <w:proofErr w:type="spellStart"/>
            <w:r>
              <w:rPr>
                <w:b/>
                <w:sz w:val="24"/>
                <w:szCs w:val="24"/>
              </w:rPr>
              <w:t>vol</w:t>
            </w:r>
            <w:proofErr w:type="spellEnd"/>
            <w:r>
              <w:rPr>
                <w:b/>
                <w:sz w:val="24"/>
                <w:szCs w:val="24"/>
              </w:rPr>
              <w:t>% AP</w:t>
            </w:r>
            <w:r w:rsidRPr="00F82E20">
              <w:rPr>
                <w:b/>
                <w:sz w:val="24"/>
                <w:szCs w:val="24"/>
              </w:rPr>
              <w:t xml:space="preserve">S Glass-DGEBA </w:t>
            </w:r>
          </w:p>
        </w:tc>
        <w:tc>
          <w:tcPr>
            <w:tcW w:w="1260" w:type="dxa"/>
            <w:vAlign w:val="center"/>
          </w:tcPr>
          <w:p w14:paraId="58E61317" w14:textId="39EA88F7" w:rsidR="00192013" w:rsidRPr="00295EB6" w:rsidRDefault="00192013" w:rsidP="00A440CD">
            <w:pPr>
              <w:pStyle w:val="Paragraph"/>
              <w:spacing w:before="120" w:after="120"/>
              <w:ind w:firstLine="0"/>
              <w:jc w:val="center"/>
              <w:rPr>
                <w:sz w:val="24"/>
                <w:szCs w:val="24"/>
              </w:rPr>
            </w:pPr>
            <w:r w:rsidRPr="00295EB6">
              <w:rPr>
                <w:sz w:val="24"/>
                <w:szCs w:val="24"/>
              </w:rPr>
              <w:t>5.24</w:t>
            </w:r>
            <w:r w:rsidR="003F56CD">
              <w:rPr>
                <w:sz w:val="24"/>
                <w:szCs w:val="24"/>
              </w:rPr>
              <w:t>×</w:t>
            </w:r>
            <w:r w:rsidRPr="00295EB6">
              <w:rPr>
                <w:sz w:val="24"/>
                <w:szCs w:val="24"/>
              </w:rPr>
              <w:t>10</w:t>
            </w:r>
            <w:r w:rsidRPr="00295EB6">
              <w:rPr>
                <w:sz w:val="24"/>
                <w:szCs w:val="24"/>
                <w:vertAlign w:val="superscript"/>
              </w:rPr>
              <w:t>-2</w:t>
            </w:r>
          </w:p>
        </w:tc>
        <w:tc>
          <w:tcPr>
            <w:tcW w:w="1350" w:type="dxa"/>
            <w:vAlign w:val="center"/>
          </w:tcPr>
          <w:p w14:paraId="0D772FE7" w14:textId="77450A1E" w:rsidR="00192013" w:rsidRPr="00295EB6" w:rsidRDefault="00192013" w:rsidP="00A440CD">
            <w:pPr>
              <w:pStyle w:val="Paragraph"/>
              <w:spacing w:before="120" w:after="120"/>
              <w:ind w:firstLine="0"/>
              <w:jc w:val="center"/>
              <w:rPr>
                <w:sz w:val="24"/>
                <w:szCs w:val="24"/>
              </w:rPr>
            </w:pPr>
            <w:r w:rsidRPr="00295EB6">
              <w:rPr>
                <w:sz w:val="24"/>
                <w:szCs w:val="24"/>
              </w:rPr>
              <w:t>1.22</w:t>
            </w:r>
            <w:r w:rsidR="003F56CD">
              <w:rPr>
                <w:sz w:val="24"/>
                <w:szCs w:val="24"/>
              </w:rPr>
              <w:t>×</w:t>
            </w:r>
            <w:r w:rsidRPr="00295EB6">
              <w:rPr>
                <w:sz w:val="24"/>
                <w:szCs w:val="24"/>
              </w:rPr>
              <w:t>10</w:t>
            </w:r>
            <w:r w:rsidRPr="00295EB6">
              <w:rPr>
                <w:sz w:val="24"/>
                <w:szCs w:val="24"/>
                <w:vertAlign w:val="superscript"/>
              </w:rPr>
              <w:t>-3</w:t>
            </w:r>
          </w:p>
        </w:tc>
        <w:tc>
          <w:tcPr>
            <w:tcW w:w="1350" w:type="dxa"/>
            <w:vAlign w:val="center"/>
          </w:tcPr>
          <w:p w14:paraId="30755C87" w14:textId="1C417B2E" w:rsidR="00192013" w:rsidRPr="00295EB6" w:rsidRDefault="00192013" w:rsidP="00A440CD">
            <w:pPr>
              <w:pStyle w:val="Paragraph"/>
              <w:spacing w:before="120" w:after="120"/>
              <w:ind w:firstLine="0"/>
              <w:jc w:val="center"/>
              <w:rPr>
                <w:sz w:val="24"/>
                <w:szCs w:val="24"/>
              </w:rPr>
            </w:pPr>
            <w:r w:rsidRPr="00295EB6">
              <w:rPr>
                <w:sz w:val="24"/>
                <w:szCs w:val="24"/>
              </w:rPr>
              <w:t>4.43</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216B75F2" w14:textId="77777777" w:rsidR="00192013" w:rsidRPr="00295EB6" w:rsidRDefault="00192013" w:rsidP="00A440CD">
            <w:pPr>
              <w:pStyle w:val="Paragraph"/>
              <w:spacing w:before="120" w:after="120"/>
              <w:ind w:firstLine="0"/>
              <w:jc w:val="center"/>
              <w:rPr>
                <w:sz w:val="24"/>
                <w:szCs w:val="24"/>
              </w:rPr>
            </w:pPr>
            <w:r w:rsidRPr="00295EB6">
              <w:rPr>
                <w:sz w:val="24"/>
                <w:szCs w:val="24"/>
              </w:rPr>
              <w:t>0.364</w:t>
            </w:r>
          </w:p>
        </w:tc>
        <w:tc>
          <w:tcPr>
            <w:tcW w:w="990" w:type="dxa"/>
            <w:vAlign w:val="center"/>
          </w:tcPr>
          <w:p w14:paraId="329882A8" w14:textId="77777777" w:rsidR="00192013" w:rsidRPr="00295EB6" w:rsidRDefault="00192013" w:rsidP="00A440CD">
            <w:pPr>
              <w:pStyle w:val="Paragraph"/>
              <w:spacing w:before="120" w:after="120"/>
              <w:ind w:firstLine="0"/>
              <w:jc w:val="center"/>
              <w:rPr>
                <w:sz w:val="24"/>
                <w:szCs w:val="24"/>
              </w:rPr>
            </w:pPr>
            <w:r w:rsidRPr="00295EB6">
              <w:rPr>
                <w:sz w:val="24"/>
                <w:szCs w:val="24"/>
              </w:rPr>
              <w:t>1.31</w:t>
            </w:r>
          </w:p>
        </w:tc>
        <w:tc>
          <w:tcPr>
            <w:tcW w:w="931" w:type="dxa"/>
            <w:vAlign w:val="center"/>
          </w:tcPr>
          <w:p w14:paraId="1FD93449" w14:textId="77777777" w:rsidR="00192013" w:rsidRPr="00295EB6" w:rsidRDefault="00192013" w:rsidP="00A440CD">
            <w:pPr>
              <w:pStyle w:val="Paragraph"/>
              <w:spacing w:before="120" w:after="120"/>
              <w:ind w:firstLine="0"/>
              <w:jc w:val="center"/>
              <w:rPr>
                <w:sz w:val="24"/>
                <w:szCs w:val="24"/>
              </w:rPr>
            </w:pPr>
            <w:r w:rsidRPr="00295EB6">
              <w:rPr>
                <w:sz w:val="24"/>
                <w:szCs w:val="24"/>
              </w:rPr>
              <w:t>0.55</w:t>
            </w:r>
          </w:p>
        </w:tc>
      </w:tr>
      <w:tr w:rsidR="00192013" w:rsidRPr="005A3E52" w14:paraId="4FF1F0EF" w14:textId="77777777" w:rsidTr="003F56CD">
        <w:trPr>
          <w:trHeight w:val="350"/>
          <w:jc w:val="center"/>
        </w:trPr>
        <w:tc>
          <w:tcPr>
            <w:tcW w:w="1795" w:type="dxa"/>
          </w:tcPr>
          <w:p w14:paraId="1F78A156" w14:textId="5BFFCD48" w:rsidR="00192013" w:rsidRPr="00C75422" w:rsidRDefault="00192013" w:rsidP="00995E0E">
            <w:pPr>
              <w:pStyle w:val="Paragraph"/>
              <w:spacing w:before="120" w:after="120"/>
              <w:ind w:firstLine="0"/>
              <w:jc w:val="center"/>
              <w:rPr>
                <w:b/>
                <w:sz w:val="24"/>
                <w:szCs w:val="24"/>
              </w:rPr>
            </w:pPr>
            <w:r>
              <w:rPr>
                <w:b/>
                <w:sz w:val="24"/>
                <w:szCs w:val="24"/>
              </w:rPr>
              <w:t xml:space="preserve">20 </w:t>
            </w:r>
            <w:proofErr w:type="spellStart"/>
            <w:r>
              <w:rPr>
                <w:b/>
                <w:sz w:val="24"/>
                <w:szCs w:val="24"/>
              </w:rPr>
              <w:t>vol</w:t>
            </w:r>
            <w:proofErr w:type="spellEnd"/>
            <w:r>
              <w:rPr>
                <w:b/>
                <w:sz w:val="24"/>
                <w:szCs w:val="24"/>
              </w:rPr>
              <w:t>% AP</w:t>
            </w:r>
            <w:r w:rsidRPr="00F82E20">
              <w:rPr>
                <w:b/>
                <w:sz w:val="24"/>
                <w:szCs w:val="24"/>
              </w:rPr>
              <w:t xml:space="preserve">S Glass-DGEBA </w:t>
            </w:r>
          </w:p>
        </w:tc>
        <w:tc>
          <w:tcPr>
            <w:tcW w:w="1260" w:type="dxa"/>
            <w:vAlign w:val="center"/>
          </w:tcPr>
          <w:p w14:paraId="71D215E3" w14:textId="25CFB00D" w:rsidR="00192013" w:rsidRPr="00295EB6" w:rsidRDefault="00192013" w:rsidP="00A440CD">
            <w:pPr>
              <w:pStyle w:val="Paragraph"/>
              <w:spacing w:before="120" w:after="120"/>
              <w:ind w:firstLine="0"/>
              <w:jc w:val="center"/>
              <w:rPr>
                <w:sz w:val="24"/>
                <w:szCs w:val="24"/>
              </w:rPr>
            </w:pPr>
            <w:r w:rsidRPr="00295EB6">
              <w:rPr>
                <w:sz w:val="24"/>
                <w:szCs w:val="24"/>
              </w:rPr>
              <w:t>4.66</w:t>
            </w:r>
            <w:r w:rsidR="003F56CD">
              <w:rPr>
                <w:sz w:val="24"/>
                <w:szCs w:val="24"/>
              </w:rPr>
              <w:t>×</w:t>
            </w:r>
            <w:r w:rsidRPr="00295EB6">
              <w:rPr>
                <w:sz w:val="24"/>
                <w:szCs w:val="24"/>
              </w:rPr>
              <w:t>10</w:t>
            </w:r>
            <w:r w:rsidRPr="00295EB6">
              <w:rPr>
                <w:sz w:val="24"/>
                <w:szCs w:val="24"/>
                <w:vertAlign w:val="superscript"/>
              </w:rPr>
              <w:t>-2</w:t>
            </w:r>
          </w:p>
        </w:tc>
        <w:tc>
          <w:tcPr>
            <w:tcW w:w="1350" w:type="dxa"/>
            <w:vAlign w:val="center"/>
          </w:tcPr>
          <w:p w14:paraId="239EA7C4" w14:textId="747E6C7E" w:rsidR="00192013" w:rsidRPr="00295EB6" w:rsidRDefault="00192013" w:rsidP="00A440CD">
            <w:pPr>
              <w:pStyle w:val="Paragraph"/>
              <w:spacing w:before="120" w:after="120"/>
              <w:ind w:firstLine="0"/>
              <w:jc w:val="center"/>
              <w:rPr>
                <w:sz w:val="24"/>
                <w:szCs w:val="24"/>
              </w:rPr>
            </w:pPr>
            <w:r w:rsidRPr="00295EB6">
              <w:rPr>
                <w:sz w:val="24"/>
                <w:szCs w:val="24"/>
              </w:rPr>
              <w:t>1.01</w:t>
            </w:r>
            <w:r w:rsidR="003F56CD">
              <w:rPr>
                <w:sz w:val="24"/>
                <w:szCs w:val="24"/>
              </w:rPr>
              <w:t>×</w:t>
            </w:r>
            <w:r w:rsidRPr="00295EB6">
              <w:rPr>
                <w:sz w:val="24"/>
                <w:szCs w:val="24"/>
              </w:rPr>
              <w:t>10</w:t>
            </w:r>
            <w:r w:rsidRPr="00295EB6">
              <w:rPr>
                <w:sz w:val="24"/>
                <w:szCs w:val="24"/>
                <w:vertAlign w:val="superscript"/>
              </w:rPr>
              <w:t>-3</w:t>
            </w:r>
          </w:p>
        </w:tc>
        <w:tc>
          <w:tcPr>
            <w:tcW w:w="1350" w:type="dxa"/>
            <w:vAlign w:val="center"/>
          </w:tcPr>
          <w:p w14:paraId="1896DF40" w14:textId="123A30D9" w:rsidR="00192013" w:rsidRPr="00295EB6" w:rsidRDefault="00192013" w:rsidP="00A440CD">
            <w:pPr>
              <w:pStyle w:val="Paragraph"/>
              <w:spacing w:before="120" w:after="120"/>
              <w:ind w:firstLine="0"/>
              <w:jc w:val="center"/>
              <w:rPr>
                <w:sz w:val="24"/>
                <w:szCs w:val="24"/>
              </w:rPr>
            </w:pPr>
            <w:r w:rsidRPr="00295EB6">
              <w:rPr>
                <w:sz w:val="24"/>
                <w:szCs w:val="24"/>
              </w:rPr>
              <w:t>5.51</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6EFF53F1" w14:textId="77777777" w:rsidR="00192013" w:rsidRPr="00295EB6" w:rsidRDefault="00192013" w:rsidP="00A440CD">
            <w:pPr>
              <w:pStyle w:val="Paragraph"/>
              <w:spacing w:before="120" w:after="120"/>
              <w:ind w:firstLine="0"/>
              <w:jc w:val="center"/>
              <w:rPr>
                <w:sz w:val="24"/>
                <w:szCs w:val="24"/>
              </w:rPr>
            </w:pPr>
            <w:r w:rsidRPr="00295EB6">
              <w:rPr>
                <w:sz w:val="24"/>
                <w:szCs w:val="24"/>
              </w:rPr>
              <w:t>0.545</w:t>
            </w:r>
          </w:p>
        </w:tc>
        <w:tc>
          <w:tcPr>
            <w:tcW w:w="990" w:type="dxa"/>
            <w:vAlign w:val="center"/>
          </w:tcPr>
          <w:p w14:paraId="54443F82" w14:textId="77777777" w:rsidR="00192013" w:rsidRPr="00295EB6" w:rsidRDefault="00192013" w:rsidP="00A440CD">
            <w:pPr>
              <w:pStyle w:val="Paragraph"/>
              <w:spacing w:before="120" w:after="120"/>
              <w:ind w:firstLine="0"/>
              <w:jc w:val="center"/>
              <w:rPr>
                <w:sz w:val="24"/>
                <w:szCs w:val="24"/>
              </w:rPr>
            </w:pPr>
            <w:r w:rsidRPr="00295EB6">
              <w:rPr>
                <w:sz w:val="24"/>
                <w:szCs w:val="24"/>
              </w:rPr>
              <w:t>1.26</w:t>
            </w:r>
          </w:p>
        </w:tc>
        <w:tc>
          <w:tcPr>
            <w:tcW w:w="931" w:type="dxa"/>
            <w:vAlign w:val="center"/>
          </w:tcPr>
          <w:p w14:paraId="59453AE9" w14:textId="77777777" w:rsidR="00192013" w:rsidRPr="00295EB6" w:rsidRDefault="00192013" w:rsidP="00A440CD">
            <w:pPr>
              <w:pStyle w:val="Paragraph"/>
              <w:spacing w:before="120" w:after="120"/>
              <w:ind w:firstLine="0"/>
              <w:jc w:val="center"/>
              <w:rPr>
                <w:sz w:val="24"/>
                <w:szCs w:val="24"/>
              </w:rPr>
            </w:pPr>
            <w:r w:rsidRPr="00295EB6">
              <w:rPr>
                <w:sz w:val="24"/>
                <w:szCs w:val="24"/>
              </w:rPr>
              <w:t>0.32</w:t>
            </w:r>
          </w:p>
        </w:tc>
      </w:tr>
      <w:tr w:rsidR="00192013" w:rsidRPr="005A3E52" w14:paraId="6F50271D" w14:textId="77777777" w:rsidTr="003F56CD">
        <w:trPr>
          <w:trHeight w:val="350"/>
          <w:jc w:val="center"/>
        </w:trPr>
        <w:tc>
          <w:tcPr>
            <w:tcW w:w="1795" w:type="dxa"/>
          </w:tcPr>
          <w:p w14:paraId="0FB4D712" w14:textId="7F732E86" w:rsidR="00192013" w:rsidRPr="00C75422" w:rsidRDefault="00192013" w:rsidP="00995E0E">
            <w:pPr>
              <w:pStyle w:val="Paragraph"/>
              <w:spacing w:before="120" w:after="120"/>
              <w:ind w:firstLine="0"/>
              <w:jc w:val="center"/>
              <w:rPr>
                <w:b/>
                <w:sz w:val="24"/>
                <w:szCs w:val="24"/>
              </w:rPr>
            </w:pPr>
            <w:r>
              <w:rPr>
                <w:b/>
                <w:sz w:val="24"/>
                <w:szCs w:val="24"/>
              </w:rPr>
              <w:t xml:space="preserve">30 </w:t>
            </w:r>
            <w:proofErr w:type="spellStart"/>
            <w:r>
              <w:rPr>
                <w:b/>
                <w:sz w:val="24"/>
                <w:szCs w:val="24"/>
              </w:rPr>
              <w:t>vol</w:t>
            </w:r>
            <w:proofErr w:type="spellEnd"/>
            <w:r>
              <w:rPr>
                <w:b/>
                <w:sz w:val="24"/>
                <w:szCs w:val="24"/>
              </w:rPr>
              <w:t>% AP</w:t>
            </w:r>
            <w:r w:rsidRPr="00F82E20">
              <w:rPr>
                <w:b/>
                <w:sz w:val="24"/>
                <w:szCs w:val="24"/>
              </w:rPr>
              <w:t xml:space="preserve">S Glass-DGEBA </w:t>
            </w:r>
          </w:p>
        </w:tc>
        <w:tc>
          <w:tcPr>
            <w:tcW w:w="1260" w:type="dxa"/>
            <w:vAlign w:val="center"/>
          </w:tcPr>
          <w:p w14:paraId="27AB83A4" w14:textId="488DB27F" w:rsidR="00192013" w:rsidRPr="00295EB6" w:rsidRDefault="00192013" w:rsidP="00A440CD">
            <w:pPr>
              <w:pStyle w:val="Paragraph"/>
              <w:spacing w:before="120" w:after="120"/>
              <w:ind w:firstLine="0"/>
              <w:jc w:val="center"/>
              <w:rPr>
                <w:sz w:val="24"/>
                <w:szCs w:val="24"/>
              </w:rPr>
            </w:pPr>
            <w:r w:rsidRPr="00295EB6">
              <w:rPr>
                <w:sz w:val="24"/>
                <w:szCs w:val="24"/>
              </w:rPr>
              <w:t>4.08</w:t>
            </w:r>
            <w:r w:rsidR="003F56CD">
              <w:rPr>
                <w:sz w:val="24"/>
                <w:szCs w:val="24"/>
              </w:rPr>
              <w:t>×</w:t>
            </w:r>
            <w:r w:rsidRPr="00295EB6">
              <w:rPr>
                <w:sz w:val="24"/>
                <w:szCs w:val="24"/>
              </w:rPr>
              <w:t>10</w:t>
            </w:r>
            <w:r w:rsidRPr="00295EB6">
              <w:rPr>
                <w:sz w:val="24"/>
                <w:szCs w:val="24"/>
                <w:vertAlign w:val="superscript"/>
              </w:rPr>
              <w:t>-2</w:t>
            </w:r>
          </w:p>
        </w:tc>
        <w:tc>
          <w:tcPr>
            <w:tcW w:w="1350" w:type="dxa"/>
            <w:vAlign w:val="center"/>
          </w:tcPr>
          <w:p w14:paraId="79E5E398" w14:textId="13D79BFC" w:rsidR="00192013" w:rsidRPr="00295EB6" w:rsidRDefault="00192013" w:rsidP="00A440CD">
            <w:pPr>
              <w:pStyle w:val="Paragraph"/>
              <w:spacing w:before="120" w:after="120"/>
              <w:ind w:firstLine="0"/>
              <w:jc w:val="center"/>
              <w:rPr>
                <w:sz w:val="24"/>
                <w:szCs w:val="24"/>
              </w:rPr>
            </w:pPr>
            <w:r w:rsidRPr="00295EB6">
              <w:rPr>
                <w:sz w:val="24"/>
                <w:szCs w:val="24"/>
              </w:rPr>
              <w:t>7.24</w:t>
            </w:r>
            <w:r w:rsidR="003F56CD">
              <w:rPr>
                <w:sz w:val="24"/>
                <w:szCs w:val="24"/>
              </w:rPr>
              <w:t>×</w:t>
            </w:r>
            <w:r w:rsidRPr="00295EB6">
              <w:rPr>
                <w:sz w:val="24"/>
                <w:szCs w:val="24"/>
              </w:rPr>
              <w:t>10</w:t>
            </w:r>
            <w:r w:rsidRPr="00295EB6">
              <w:rPr>
                <w:sz w:val="24"/>
                <w:szCs w:val="24"/>
                <w:vertAlign w:val="superscript"/>
              </w:rPr>
              <w:t>-4</w:t>
            </w:r>
          </w:p>
        </w:tc>
        <w:tc>
          <w:tcPr>
            <w:tcW w:w="1350" w:type="dxa"/>
            <w:vAlign w:val="center"/>
          </w:tcPr>
          <w:p w14:paraId="03594731" w14:textId="633D0966" w:rsidR="00192013" w:rsidRPr="00295EB6" w:rsidRDefault="00192013" w:rsidP="00A440CD">
            <w:pPr>
              <w:pStyle w:val="Paragraph"/>
              <w:spacing w:before="120" w:after="120"/>
              <w:ind w:firstLine="0"/>
              <w:jc w:val="center"/>
              <w:rPr>
                <w:sz w:val="24"/>
                <w:szCs w:val="24"/>
              </w:rPr>
            </w:pPr>
            <w:r w:rsidRPr="00295EB6">
              <w:rPr>
                <w:sz w:val="24"/>
                <w:szCs w:val="24"/>
              </w:rPr>
              <w:t>5.59</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130CD7C7" w14:textId="77777777" w:rsidR="00192013" w:rsidRPr="00295EB6" w:rsidRDefault="00192013" w:rsidP="00A440CD">
            <w:pPr>
              <w:pStyle w:val="Paragraph"/>
              <w:spacing w:before="120" w:after="120"/>
              <w:ind w:firstLine="0"/>
              <w:jc w:val="center"/>
              <w:rPr>
                <w:sz w:val="24"/>
                <w:szCs w:val="24"/>
              </w:rPr>
            </w:pPr>
            <w:r w:rsidRPr="00295EB6">
              <w:rPr>
                <w:sz w:val="24"/>
                <w:szCs w:val="24"/>
              </w:rPr>
              <w:t>0.773</w:t>
            </w:r>
          </w:p>
        </w:tc>
        <w:tc>
          <w:tcPr>
            <w:tcW w:w="990" w:type="dxa"/>
            <w:vAlign w:val="center"/>
          </w:tcPr>
          <w:p w14:paraId="6EBEB0E0" w14:textId="77777777" w:rsidR="00192013" w:rsidRPr="00295EB6" w:rsidRDefault="00192013" w:rsidP="00A440CD">
            <w:pPr>
              <w:pStyle w:val="Paragraph"/>
              <w:spacing w:before="120" w:after="120"/>
              <w:ind w:firstLine="0"/>
              <w:jc w:val="center"/>
              <w:rPr>
                <w:sz w:val="24"/>
                <w:szCs w:val="24"/>
              </w:rPr>
            </w:pPr>
            <w:r w:rsidRPr="00295EB6">
              <w:rPr>
                <w:sz w:val="24"/>
                <w:szCs w:val="24"/>
              </w:rPr>
              <w:t>1.21</w:t>
            </w:r>
          </w:p>
        </w:tc>
        <w:tc>
          <w:tcPr>
            <w:tcW w:w="931" w:type="dxa"/>
            <w:vAlign w:val="center"/>
          </w:tcPr>
          <w:p w14:paraId="24947B6F" w14:textId="77777777" w:rsidR="00192013" w:rsidRPr="00295EB6" w:rsidRDefault="00192013" w:rsidP="00A440CD">
            <w:pPr>
              <w:pStyle w:val="Paragraph"/>
              <w:spacing w:before="120" w:after="120"/>
              <w:ind w:firstLine="0"/>
              <w:jc w:val="center"/>
              <w:rPr>
                <w:sz w:val="24"/>
                <w:szCs w:val="24"/>
              </w:rPr>
            </w:pPr>
            <w:r w:rsidRPr="00295EB6">
              <w:rPr>
                <w:sz w:val="24"/>
                <w:szCs w:val="24"/>
              </w:rPr>
              <w:t>0.35</w:t>
            </w:r>
          </w:p>
        </w:tc>
      </w:tr>
    </w:tbl>
    <w:p w14:paraId="70F982E9" w14:textId="77777777" w:rsidR="00192013" w:rsidRDefault="00192013" w:rsidP="00F77E87"/>
    <w:p w14:paraId="2F201CC2" w14:textId="2F81B89B" w:rsidR="00192013" w:rsidRDefault="00192013" w:rsidP="00F77E87">
      <w:r>
        <w:t xml:space="preserve">In </w:t>
      </w:r>
      <w:r>
        <w:fldChar w:fldCharType="begin"/>
      </w:r>
      <w:r>
        <w:instrText xml:space="preserve"> REF _Ref449117871 \h </w:instrText>
      </w:r>
      <w:r w:rsidR="00F77E87">
        <w:instrText xml:space="preserve"> \* MERGEFORMAT </w:instrText>
      </w:r>
      <w:r>
        <w:fldChar w:fldCharType="separate"/>
      </w:r>
      <w:r w:rsidR="006D52C2">
        <w:t xml:space="preserve">Figure </w:t>
      </w:r>
      <w:r w:rsidR="006D52C2">
        <w:rPr>
          <w:noProof/>
        </w:rPr>
        <w:t>33</w:t>
      </w:r>
      <w:r>
        <w:fldChar w:fldCharType="end"/>
      </w:r>
      <w:r>
        <w:t>, the effect of glass sph</w:t>
      </w:r>
      <w:r w:rsidR="00654306">
        <w:t>eres on diffusion kinetics can be</w:t>
      </w:r>
      <w:r>
        <w:t xml:space="preserve"> depicted. Around</w:t>
      </w:r>
      <m:oMath>
        <m:r>
          <w:rPr>
            <w:rFonts w:ascii="Cambria Math" w:hAnsi="Cambria Math"/>
          </w:rPr>
          <m:t xml:space="preserve"> </m:t>
        </m:r>
        <m:rad>
          <m:radPr>
            <m:degHide m:val="1"/>
            <m:ctrlPr>
              <w:rPr>
                <w:rFonts w:ascii="Cambria Math" w:hAnsi="Cambria Math"/>
                <w:i/>
              </w:rPr>
            </m:ctrlPr>
          </m:radPr>
          <m:deg/>
          <m:e>
            <m:r>
              <w:rPr>
                <w:rFonts w:ascii="Cambria Math" w:hAnsi="Cambria Math"/>
              </w:rPr>
              <m:t>time</m:t>
            </m:r>
          </m:e>
        </m:rad>
        <m:r>
          <w:rPr>
            <w:rFonts w:ascii="Cambria Math" w:hAnsi="Cambria Math"/>
          </w:rPr>
          <m:t>=13</m:t>
        </m:r>
      </m:oMath>
      <w:r>
        <w:t xml:space="preserve">, the diffusion behavior begins to change for different glass volume fraction. For neat epoxy, the diffusion behavior after initial uptake shows more Fickian behavior where moisture diffusion extremely slows down right after the initial uptake. However, in the case of glass/epoxy composites, after </w:t>
      </w:r>
      <w:r w:rsidR="00654306">
        <w:t xml:space="preserve">the </w:t>
      </w:r>
      <w:r>
        <w:t xml:space="preserve">initial uptake, lower rate of deceleration of absorption is observed. This phenomenon is predicted by the increase of hindrance coefficient of the one-dimensional hindered model. Moreover, the decrease in the maximum moisture content can also be observed in </w:t>
      </w:r>
      <w:r>
        <w:fldChar w:fldCharType="begin"/>
      </w:r>
      <w:r>
        <w:instrText xml:space="preserve"> REF _Ref449117871 \h </w:instrText>
      </w:r>
      <w:r w:rsidR="00F77E87">
        <w:instrText xml:space="preserve"> \* MERGEFORMAT </w:instrText>
      </w:r>
      <w:r>
        <w:fldChar w:fldCharType="separate"/>
      </w:r>
      <w:r w:rsidR="006D52C2">
        <w:t xml:space="preserve">Figure </w:t>
      </w:r>
      <w:r w:rsidR="006D52C2">
        <w:rPr>
          <w:noProof/>
        </w:rPr>
        <w:t>33</w:t>
      </w:r>
      <w:r>
        <w:fldChar w:fldCharType="end"/>
      </w:r>
      <w:r>
        <w:t xml:space="preserve">. Low RMS error values shown in </w:t>
      </w:r>
      <w:r>
        <w:rPr>
          <w:szCs w:val="24"/>
        </w:rPr>
        <w:fldChar w:fldCharType="begin"/>
      </w:r>
      <w:r>
        <w:rPr>
          <w:szCs w:val="24"/>
        </w:rPr>
        <w:instrText xml:space="preserve"> REF _Ref449117029 \h </w:instrText>
      </w:r>
      <w:r w:rsidR="00F77E87">
        <w:rPr>
          <w:szCs w:val="24"/>
        </w:rPr>
        <w:instrText xml:space="preserve"> \* MERGEFORMAT </w:instrText>
      </w:r>
      <w:r>
        <w:rPr>
          <w:szCs w:val="24"/>
        </w:rPr>
      </w:r>
      <w:r>
        <w:rPr>
          <w:szCs w:val="24"/>
        </w:rPr>
        <w:fldChar w:fldCharType="separate"/>
      </w:r>
      <w:r w:rsidR="006D52C2">
        <w:t xml:space="preserve">Table </w:t>
      </w:r>
      <w:r w:rsidR="006D52C2">
        <w:rPr>
          <w:noProof/>
        </w:rPr>
        <w:t>6</w:t>
      </w:r>
      <w:r>
        <w:rPr>
          <w:szCs w:val="24"/>
        </w:rPr>
        <w:fldChar w:fldCharType="end"/>
      </w:r>
      <w:r>
        <w:rPr>
          <w:szCs w:val="24"/>
        </w:rPr>
        <w:t xml:space="preserve"> do also agree with the 1D-HDM recovery presented in </w:t>
      </w:r>
      <w:r>
        <w:fldChar w:fldCharType="begin"/>
      </w:r>
      <w:r>
        <w:instrText xml:space="preserve"> REF _Ref449117871 \h </w:instrText>
      </w:r>
      <w:r w:rsidR="00F77E87">
        <w:instrText xml:space="preserve"> \* MERGEFORMAT </w:instrText>
      </w:r>
      <w:r>
        <w:fldChar w:fldCharType="separate"/>
      </w:r>
      <w:r w:rsidR="006D52C2">
        <w:t xml:space="preserve">Figure </w:t>
      </w:r>
      <w:r w:rsidR="006D52C2">
        <w:rPr>
          <w:noProof/>
        </w:rPr>
        <w:t>33</w:t>
      </w:r>
      <w:r>
        <w:fldChar w:fldCharType="end"/>
      </w:r>
      <w:r>
        <w:t>.</w:t>
      </w:r>
    </w:p>
    <w:p w14:paraId="7DFBF88B" w14:textId="77777777" w:rsidR="00192013" w:rsidRDefault="00192013" w:rsidP="00192013">
      <w:pPr>
        <w:pStyle w:val="NoSpacing"/>
      </w:pPr>
      <w:r>
        <w:rPr>
          <w:noProof/>
          <w:lang w:bidi="ar-SA"/>
        </w:rPr>
        <w:lastRenderedPageBreak/>
        <w:drawing>
          <wp:inline distT="0" distB="0" distL="0" distR="0" wp14:anchorId="77597CA9" wp14:editId="3F1063B8">
            <wp:extent cx="5027186" cy="3657600"/>
            <wp:effectExtent l="0" t="0" r="2540" b="0"/>
            <wp:docPr id="56" name="Picture 56" descr="C:\Users\Administrator\Desktop\proje\General Exam\Glass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proje\General Exam\Glass A.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7186" cy="3657600"/>
                    </a:xfrm>
                    <a:prstGeom prst="rect">
                      <a:avLst/>
                    </a:prstGeom>
                    <a:noFill/>
                    <a:ln>
                      <a:noFill/>
                    </a:ln>
                  </pic:spPr>
                </pic:pic>
              </a:graphicData>
            </a:graphic>
          </wp:inline>
        </w:drawing>
      </w:r>
    </w:p>
    <w:p w14:paraId="467AE3EF" w14:textId="77777777" w:rsidR="00192013" w:rsidRDefault="00192013" w:rsidP="00192013">
      <w:pPr>
        <w:pStyle w:val="Caption"/>
        <w:rPr>
          <w:noProof/>
        </w:rPr>
      </w:pPr>
      <w:bookmarkStart w:id="199" w:name="_Ref449117871"/>
      <w:bookmarkStart w:id="200" w:name="_Toc449516685"/>
      <w:bookmarkStart w:id="201" w:name="_Toc530997389"/>
      <w:r>
        <w:t xml:space="preserve">Figure </w:t>
      </w:r>
      <w:r>
        <w:rPr>
          <w:noProof/>
        </w:rPr>
        <w:fldChar w:fldCharType="begin"/>
      </w:r>
      <w:r>
        <w:rPr>
          <w:noProof/>
        </w:rPr>
        <w:instrText xml:space="preserve"> SEQ Figure \* ARABIC </w:instrText>
      </w:r>
      <w:r>
        <w:rPr>
          <w:noProof/>
        </w:rPr>
        <w:fldChar w:fldCharType="separate"/>
      </w:r>
      <w:r w:rsidR="006D52C2">
        <w:rPr>
          <w:noProof/>
        </w:rPr>
        <w:t>33</w:t>
      </w:r>
      <w:r>
        <w:rPr>
          <w:noProof/>
        </w:rPr>
        <w:fldChar w:fldCharType="end"/>
      </w:r>
      <w:bookmarkEnd w:id="199"/>
      <w:r>
        <w:rPr>
          <w:noProof/>
        </w:rPr>
        <w:t>. APS glass sphere loading effect on moisture absorption of DGEBA epoxy and the hindered diffusion recovery while keeping the diffusion coefficient linearly decreasing.</w:t>
      </w:r>
      <w:bookmarkEnd w:id="200"/>
      <w:bookmarkEnd w:id="201"/>
    </w:p>
    <w:p w14:paraId="73870FFA" w14:textId="77777777" w:rsidR="00192013" w:rsidRPr="003B7962" w:rsidRDefault="00192013" w:rsidP="00F77E87"/>
    <w:p w14:paraId="1F7CE6F4" w14:textId="67AED0B8" w:rsidR="00192013" w:rsidRDefault="00192013" w:rsidP="00F77E87">
      <w:r>
        <w:t xml:space="preserve">Once again, using the diffusion coefficients shown in </w:t>
      </w:r>
      <w:r>
        <w:fldChar w:fldCharType="begin"/>
      </w:r>
      <w:r>
        <w:instrText xml:space="preserve"> REF _Ref449116771 \h </w:instrText>
      </w:r>
      <w:r w:rsidR="00F77E87">
        <w:instrText xml:space="preserve"> \* MERGEFORMAT </w:instrText>
      </w:r>
      <w:r>
        <w:fldChar w:fldCharType="separate"/>
      </w:r>
      <w:r w:rsidR="006D52C2">
        <w:t xml:space="preserve">Figure </w:t>
      </w:r>
      <w:r w:rsidR="006D52C2">
        <w:rPr>
          <w:noProof/>
        </w:rPr>
        <w:t>32</w:t>
      </w:r>
      <w:r>
        <w:fldChar w:fldCharType="end"/>
      </w:r>
      <w:r>
        <w:t xml:space="preserve">, the absorption parameters </w:t>
      </w:r>
      <w:r w:rsidRPr="00D87D03">
        <w:rPr>
          <w:rFonts w:cs="Times New Roman"/>
          <w:szCs w:val="24"/>
        </w:rPr>
        <w:t>(</w:t>
      </w:r>
      <m:oMath>
        <m:r>
          <w:rPr>
            <w:rFonts w:ascii="Cambria Math" w:hAnsi="Cambria Math" w:cs="Times New Roman"/>
          </w:rPr>
          <m:t>γ,</m:t>
        </m:r>
        <m:r>
          <m:rPr>
            <m:sty m:val="p"/>
          </m:rPr>
          <w:rPr>
            <w:rFonts w:ascii="Cambria Math" w:hAnsi="Cambria Math" w:cs="Times New Roman"/>
          </w:rPr>
          <m:t xml:space="preserve"> </m:t>
        </m:r>
        <m:r>
          <w:rPr>
            <w:rFonts w:ascii="Cambria Math" w:hAnsi="Cambria Math" w:cs="Times New Roman"/>
          </w:rPr>
          <m:t>β,  and</m:t>
        </m:r>
      </m:oMath>
      <w:r w:rsidRPr="00D87D03">
        <w:rPr>
          <w:rFonts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oMath>
      <w:r w:rsidRPr="00D87D03">
        <w:rPr>
          <w:rFonts w:cs="Times New Roman"/>
        </w:rPr>
        <w:t xml:space="preserve">) </w:t>
      </w:r>
      <w:r>
        <w:t>of DGEBA epoxy</w:t>
      </w:r>
      <w:r w:rsidRPr="002E655D">
        <w:t xml:space="preserve"> </w:t>
      </w:r>
      <w:r>
        <w:t xml:space="preserve">reinforced with </w:t>
      </w:r>
      <w:proofErr w:type="spellStart"/>
      <w:r>
        <w:t>nBS</w:t>
      </w:r>
      <w:proofErr w:type="spellEnd"/>
      <w:r>
        <w:t xml:space="preserve"> surface-treated glass spheres are recovered and shown in </w:t>
      </w:r>
      <w:r>
        <w:fldChar w:fldCharType="begin"/>
      </w:r>
      <w:r>
        <w:instrText xml:space="preserve"> REF _Ref449181679 \h </w:instrText>
      </w:r>
      <w:r w:rsidR="00F77E87">
        <w:instrText xml:space="preserve"> \* MERGEFORMAT </w:instrText>
      </w:r>
      <w:r>
        <w:fldChar w:fldCharType="separate"/>
      </w:r>
      <w:r w:rsidR="006D52C2">
        <w:t xml:space="preserve">Table </w:t>
      </w:r>
      <w:r w:rsidR="006D52C2">
        <w:rPr>
          <w:noProof/>
        </w:rPr>
        <w:t>7</w:t>
      </w:r>
      <w:r>
        <w:fldChar w:fldCharType="end"/>
      </w:r>
      <w:r>
        <w:t xml:space="preserve">. In </w:t>
      </w:r>
      <w:r>
        <w:fldChar w:fldCharType="begin"/>
      </w:r>
      <w:r>
        <w:instrText xml:space="preserve"> REF _Ref449181679 \h </w:instrText>
      </w:r>
      <w:r w:rsidR="00F77E87">
        <w:instrText xml:space="preserve"> \* MERGEFORMAT </w:instrText>
      </w:r>
      <w:r>
        <w:fldChar w:fldCharType="separate"/>
      </w:r>
      <w:r w:rsidR="006D52C2">
        <w:t xml:space="preserve">Table </w:t>
      </w:r>
      <w:r w:rsidR="006D52C2">
        <w:rPr>
          <w:noProof/>
        </w:rPr>
        <w:t>7</w:t>
      </w:r>
      <w:r>
        <w:fldChar w:fldCharType="end"/>
      </w:r>
      <w:r>
        <w:t xml:space="preserve">, through-the-thickness diffusion coefficients (already determined), the hindrance coefficients, the maximum moisture content and the root mean square error per data point are presented. As in APS treated glass sphere/epoxy, decreasing trend for the maximum moisture content and increasing trend for the hindrance coefficient of </w:t>
      </w:r>
      <w:proofErr w:type="spellStart"/>
      <w:r>
        <w:t>nBS</w:t>
      </w:r>
      <w:proofErr w:type="spellEnd"/>
      <w:r>
        <w:t xml:space="preserve"> treated glass sphere/epoxy laminates</w:t>
      </w:r>
      <w:r w:rsidRPr="00DC1F1E">
        <w:t xml:space="preserve"> </w:t>
      </w:r>
      <w:r>
        <w:t xml:space="preserve">are observed. Furthermore, small RMS error values (order of </w:t>
      </w:r>
      <w:r w:rsidRPr="00F82E20">
        <w:rPr>
          <w:szCs w:val="24"/>
        </w:rPr>
        <w:t>10</w:t>
      </w:r>
      <w:r w:rsidRPr="00F82E20">
        <w:rPr>
          <w:szCs w:val="24"/>
          <w:vertAlign w:val="superscript"/>
        </w:rPr>
        <w:t>-3</w:t>
      </w:r>
      <w:r>
        <w:t xml:space="preserve">) indicate an accurate recovery of the absorption parameters. </w:t>
      </w:r>
    </w:p>
    <w:p w14:paraId="15B4DF4F" w14:textId="77777777" w:rsidR="00192013" w:rsidRDefault="00192013" w:rsidP="00192013">
      <w:pPr>
        <w:pStyle w:val="Caption"/>
      </w:pPr>
      <w:bookmarkStart w:id="202" w:name="_Ref449181679"/>
      <w:bookmarkStart w:id="203" w:name="_Toc449516699"/>
      <w:bookmarkStart w:id="204" w:name="_Toc530997322"/>
      <w:r>
        <w:lastRenderedPageBreak/>
        <w:t xml:space="preserve">Table </w:t>
      </w:r>
      <w:r>
        <w:rPr>
          <w:noProof/>
        </w:rPr>
        <w:fldChar w:fldCharType="begin"/>
      </w:r>
      <w:r>
        <w:rPr>
          <w:noProof/>
        </w:rPr>
        <w:instrText xml:space="preserve"> SEQ Table \* ARABIC </w:instrText>
      </w:r>
      <w:r>
        <w:rPr>
          <w:noProof/>
        </w:rPr>
        <w:fldChar w:fldCharType="separate"/>
      </w:r>
      <w:r w:rsidR="006D52C2">
        <w:rPr>
          <w:noProof/>
        </w:rPr>
        <w:t>7</w:t>
      </w:r>
      <w:r>
        <w:rPr>
          <w:noProof/>
        </w:rPr>
        <w:fldChar w:fldCharType="end"/>
      </w:r>
      <w:bookmarkEnd w:id="202"/>
      <w:r>
        <w:t xml:space="preserve">. </w:t>
      </w:r>
      <w:r w:rsidRPr="005A3E52">
        <w:t xml:space="preserve">Moisture absorption parameters </w:t>
      </w:r>
      <w:r>
        <w:t xml:space="preserve">of DGEBA epoxy with different </w:t>
      </w:r>
      <w:proofErr w:type="spellStart"/>
      <w:r>
        <w:t>nBS</w:t>
      </w:r>
      <w:proofErr w:type="spellEnd"/>
      <w:r>
        <w:t xml:space="preserve"> treated glass loading where diffusion coefficient kept linearly decreasing.</w:t>
      </w:r>
      <w:bookmarkEnd w:id="203"/>
      <w:bookmarkEnd w:id="204"/>
    </w:p>
    <w:tbl>
      <w:tblPr>
        <w:tblStyle w:val="PlainTable21"/>
        <w:tblW w:w="8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95"/>
        <w:gridCol w:w="1260"/>
        <w:gridCol w:w="1260"/>
        <w:gridCol w:w="1260"/>
        <w:gridCol w:w="810"/>
        <w:gridCol w:w="990"/>
        <w:gridCol w:w="1111"/>
      </w:tblGrid>
      <w:tr w:rsidR="00192013" w:rsidRPr="005A3E52" w14:paraId="145B1595" w14:textId="77777777" w:rsidTr="00A440CD">
        <w:trPr>
          <w:cnfStyle w:val="100000000000" w:firstRow="1" w:lastRow="0" w:firstColumn="0" w:lastColumn="0" w:oddVBand="0" w:evenVBand="0" w:oddHBand="0" w:evenHBand="0" w:firstRowFirstColumn="0" w:firstRowLastColumn="0" w:lastRowFirstColumn="0" w:lastRowLastColumn="0"/>
          <w:trHeight w:val="350"/>
          <w:jc w:val="center"/>
        </w:trPr>
        <w:tc>
          <w:tcPr>
            <w:tcW w:w="1795" w:type="dxa"/>
          </w:tcPr>
          <w:p w14:paraId="56E783CF" w14:textId="77777777" w:rsidR="00192013" w:rsidRPr="00C75422" w:rsidRDefault="00192013" w:rsidP="00A440CD">
            <w:pPr>
              <w:pStyle w:val="Paragraph"/>
              <w:spacing w:before="120" w:after="120"/>
              <w:ind w:firstLine="0"/>
              <w:jc w:val="center"/>
              <w:rPr>
                <w:sz w:val="24"/>
                <w:szCs w:val="24"/>
              </w:rPr>
            </w:pPr>
            <w:r w:rsidRPr="00C75422">
              <w:rPr>
                <w:sz w:val="24"/>
                <w:szCs w:val="24"/>
              </w:rPr>
              <w:t>Material Systems</w:t>
            </w:r>
          </w:p>
        </w:tc>
        <w:tc>
          <w:tcPr>
            <w:tcW w:w="1260" w:type="dxa"/>
          </w:tcPr>
          <w:p w14:paraId="0AB87930" w14:textId="77777777" w:rsidR="00192013" w:rsidRPr="00C75422" w:rsidRDefault="007B3686" w:rsidP="00A440CD">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192013" w:rsidRPr="00C75422">
              <w:rPr>
                <w:sz w:val="24"/>
                <w:szCs w:val="24"/>
              </w:rPr>
              <w:t xml:space="preserve"> (mm</w:t>
            </w:r>
            <w:r w:rsidR="00192013" w:rsidRPr="00C75422">
              <w:rPr>
                <w:sz w:val="24"/>
                <w:szCs w:val="24"/>
                <w:vertAlign w:val="superscript"/>
              </w:rPr>
              <w:t>2</w:t>
            </w:r>
            <w:r w:rsidR="00192013" w:rsidRPr="00C75422">
              <w:rPr>
                <w:sz w:val="24"/>
                <w:szCs w:val="24"/>
              </w:rPr>
              <w:t>/h)</w:t>
            </w:r>
          </w:p>
        </w:tc>
        <w:tc>
          <w:tcPr>
            <w:tcW w:w="1260" w:type="dxa"/>
          </w:tcPr>
          <w:p w14:paraId="620DE9DF"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260" w:type="dxa"/>
          </w:tcPr>
          <w:p w14:paraId="4AD1FC22"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74C2824F" w14:textId="77777777" w:rsidR="00192013" w:rsidRPr="00C75422" w:rsidRDefault="00192013" w:rsidP="00A440CD">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650E085C" w14:textId="77777777" w:rsidR="00192013" w:rsidRPr="00C75422" w:rsidRDefault="007B3686" w:rsidP="00A440CD">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192013" w:rsidRPr="00C75422">
              <w:rPr>
                <w:sz w:val="24"/>
                <w:szCs w:val="24"/>
              </w:rPr>
              <w:t xml:space="preserve"> (</w:t>
            </w:r>
            <w:proofErr w:type="gramStart"/>
            <w:r w:rsidR="00192013">
              <w:rPr>
                <w:sz w:val="24"/>
                <w:szCs w:val="24"/>
              </w:rPr>
              <w:t>wt</w:t>
            </w:r>
            <w:proofErr w:type="gramEnd"/>
            <w:r w:rsidR="00192013">
              <w:rPr>
                <w:sz w:val="24"/>
                <w:szCs w:val="24"/>
              </w:rPr>
              <w:t>.%</w:t>
            </w:r>
            <w:r w:rsidR="00192013" w:rsidRPr="00C75422">
              <w:rPr>
                <w:sz w:val="24"/>
                <w:szCs w:val="24"/>
              </w:rPr>
              <w:t>)</w:t>
            </w:r>
          </w:p>
        </w:tc>
        <w:tc>
          <w:tcPr>
            <w:tcW w:w="1111" w:type="dxa"/>
          </w:tcPr>
          <w:p w14:paraId="66638E68" w14:textId="7E954933" w:rsidR="00192013" w:rsidRPr="00CE7F96" w:rsidRDefault="00192013" w:rsidP="00A440CD">
            <w:pPr>
              <w:pStyle w:val="Paragraph"/>
              <w:spacing w:before="120" w:after="120"/>
              <w:ind w:hanging="18"/>
              <w:jc w:val="center"/>
              <w:rPr>
                <w:sz w:val="24"/>
                <w:szCs w:val="24"/>
              </w:rPr>
            </w:pPr>
            <w:r w:rsidRPr="00AD3FCB">
              <w:rPr>
                <w:sz w:val="24"/>
                <w:szCs w:val="24"/>
              </w:rPr>
              <w:t>RMS</w:t>
            </w:r>
            <w:r w:rsidR="003F56CD">
              <w:rPr>
                <w:sz w:val="24"/>
                <w:szCs w:val="24"/>
              </w:rPr>
              <w:t>E</w:t>
            </w:r>
            <w:r>
              <w:rPr>
                <w:sz w:val="24"/>
                <w:szCs w:val="24"/>
              </w:rPr>
              <w:t xml:space="preserve"> (%)</w:t>
            </w:r>
          </w:p>
        </w:tc>
      </w:tr>
      <w:tr w:rsidR="00192013" w:rsidRPr="005A3E52" w14:paraId="029F681A" w14:textId="77777777" w:rsidTr="00A440CD">
        <w:trPr>
          <w:trHeight w:val="350"/>
          <w:jc w:val="center"/>
        </w:trPr>
        <w:tc>
          <w:tcPr>
            <w:tcW w:w="1795" w:type="dxa"/>
          </w:tcPr>
          <w:p w14:paraId="0557BAE4" w14:textId="10FC7533" w:rsidR="00192013" w:rsidRPr="00C75422" w:rsidRDefault="00192013" w:rsidP="003F56CD">
            <w:pPr>
              <w:pStyle w:val="Paragraph"/>
              <w:spacing w:before="120" w:after="120"/>
              <w:ind w:firstLine="0"/>
              <w:jc w:val="center"/>
              <w:rPr>
                <w:b/>
                <w:sz w:val="24"/>
                <w:szCs w:val="24"/>
              </w:rPr>
            </w:pPr>
            <w:r w:rsidRPr="00F82E20">
              <w:rPr>
                <w:b/>
                <w:sz w:val="24"/>
                <w:szCs w:val="24"/>
              </w:rPr>
              <w:t xml:space="preserve">Pure DGEBA </w:t>
            </w:r>
          </w:p>
        </w:tc>
        <w:tc>
          <w:tcPr>
            <w:tcW w:w="1260" w:type="dxa"/>
            <w:vAlign w:val="center"/>
          </w:tcPr>
          <w:p w14:paraId="11A9746E" w14:textId="550FB653" w:rsidR="00192013" w:rsidRPr="00824DA7" w:rsidRDefault="00192013" w:rsidP="00A440CD">
            <w:pPr>
              <w:pStyle w:val="Paragraph"/>
              <w:spacing w:before="120" w:after="120"/>
              <w:ind w:firstLine="0"/>
              <w:jc w:val="center"/>
              <w:rPr>
                <w:sz w:val="24"/>
                <w:szCs w:val="24"/>
              </w:rPr>
            </w:pPr>
            <w:r w:rsidRPr="00824DA7">
              <w:rPr>
                <w:sz w:val="24"/>
                <w:szCs w:val="24"/>
              </w:rPr>
              <w:t>5.82</w:t>
            </w:r>
            <w:r w:rsidR="003F56CD">
              <w:rPr>
                <w:sz w:val="24"/>
                <w:szCs w:val="24"/>
              </w:rPr>
              <w:t>×</w:t>
            </w:r>
            <w:r w:rsidRPr="00824DA7">
              <w:rPr>
                <w:sz w:val="24"/>
                <w:szCs w:val="24"/>
              </w:rPr>
              <w:t>10</w:t>
            </w:r>
            <w:r w:rsidRPr="00824DA7">
              <w:rPr>
                <w:sz w:val="24"/>
                <w:szCs w:val="24"/>
                <w:vertAlign w:val="superscript"/>
              </w:rPr>
              <w:t>-2</w:t>
            </w:r>
          </w:p>
        </w:tc>
        <w:tc>
          <w:tcPr>
            <w:tcW w:w="1260" w:type="dxa"/>
            <w:vAlign w:val="center"/>
          </w:tcPr>
          <w:p w14:paraId="2CE44AE5" w14:textId="63702FF9" w:rsidR="00192013" w:rsidRPr="00824DA7" w:rsidRDefault="00192013" w:rsidP="00A440CD">
            <w:pPr>
              <w:pStyle w:val="Paragraph"/>
              <w:spacing w:before="120" w:after="120"/>
              <w:ind w:firstLine="0"/>
              <w:jc w:val="center"/>
              <w:rPr>
                <w:sz w:val="24"/>
                <w:szCs w:val="24"/>
              </w:rPr>
            </w:pPr>
            <w:r w:rsidRPr="00824DA7">
              <w:rPr>
                <w:sz w:val="24"/>
                <w:szCs w:val="24"/>
              </w:rPr>
              <w:t>4.38</w:t>
            </w:r>
            <w:r w:rsidR="003F56CD">
              <w:rPr>
                <w:sz w:val="24"/>
                <w:szCs w:val="24"/>
              </w:rPr>
              <w:t>×</w:t>
            </w:r>
            <w:r w:rsidRPr="00824DA7">
              <w:rPr>
                <w:sz w:val="24"/>
                <w:szCs w:val="24"/>
              </w:rPr>
              <w:t>10</w:t>
            </w:r>
            <w:r w:rsidRPr="00824DA7">
              <w:rPr>
                <w:sz w:val="24"/>
                <w:szCs w:val="24"/>
                <w:vertAlign w:val="superscript"/>
              </w:rPr>
              <w:t>-3</w:t>
            </w:r>
          </w:p>
        </w:tc>
        <w:tc>
          <w:tcPr>
            <w:tcW w:w="1260" w:type="dxa"/>
            <w:vAlign w:val="center"/>
          </w:tcPr>
          <w:p w14:paraId="4D1A101A" w14:textId="6AA7E0FA" w:rsidR="00192013" w:rsidRPr="00824DA7" w:rsidRDefault="00192013" w:rsidP="00A440CD">
            <w:pPr>
              <w:pStyle w:val="Paragraph"/>
              <w:spacing w:before="120" w:after="120"/>
              <w:ind w:firstLine="0"/>
              <w:jc w:val="center"/>
              <w:rPr>
                <w:sz w:val="24"/>
                <w:szCs w:val="24"/>
              </w:rPr>
            </w:pPr>
            <w:r w:rsidRPr="00824DA7">
              <w:rPr>
                <w:sz w:val="24"/>
                <w:szCs w:val="24"/>
              </w:rPr>
              <w:t>9.10</w:t>
            </w:r>
            <w:r w:rsidR="003F56CD">
              <w:rPr>
                <w:sz w:val="24"/>
                <w:szCs w:val="24"/>
              </w:rPr>
              <w:t>×</w:t>
            </w:r>
            <w:r w:rsidRPr="00824DA7">
              <w:rPr>
                <w:sz w:val="24"/>
                <w:szCs w:val="24"/>
              </w:rPr>
              <w:t>10</w:t>
            </w:r>
            <w:r w:rsidRPr="00824DA7">
              <w:rPr>
                <w:sz w:val="24"/>
                <w:szCs w:val="24"/>
                <w:vertAlign w:val="superscript"/>
              </w:rPr>
              <w:t>-4</w:t>
            </w:r>
          </w:p>
        </w:tc>
        <w:tc>
          <w:tcPr>
            <w:tcW w:w="810" w:type="dxa"/>
            <w:vAlign w:val="center"/>
          </w:tcPr>
          <w:p w14:paraId="7BE89846" w14:textId="77777777" w:rsidR="00192013" w:rsidRPr="00824DA7" w:rsidRDefault="00192013" w:rsidP="00A440CD">
            <w:pPr>
              <w:pStyle w:val="Paragraph"/>
              <w:spacing w:before="120" w:after="120"/>
              <w:ind w:firstLine="0"/>
              <w:jc w:val="center"/>
              <w:rPr>
                <w:sz w:val="24"/>
                <w:szCs w:val="24"/>
              </w:rPr>
            </w:pPr>
            <w:r w:rsidRPr="00824DA7">
              <w:rPr>
                <w:sz w:val="24"/>
                <w:szCs w:val="24"/>
              </w:rPr>
              <w:t>0.208</w:t>
            </w:r>
          </w:p>
        </w:tc>
        <w:tc>
          <w:tcPr>
            <w:tcW w:w="990" w:type="dxa"/>
            <w:vAlign w:val="center"/>
          </w:tcPr>
          <w:p w14:paraId="2526A5AD" w14:textId="77777777" w:rsidR="00192013" w:rsidRPr="00824DA7" w:rsidRDefault="00192013" w:rsidP="00A440CD">
            <w:pPr>
              <w:pStyle w:val="Paragraph"/>
              <w:spacing w:before="120" w:after="120"/>
              <w:ind w:firstLine="0"/>
              <w:jc w:val="center"/>
              <w:rPr>
                <w:sz w:val="24"/>
                <w:szCs w:val="24"/>
              </w:rPr>
            </w:pPr>
            <w:r w:rsidRPr="00824DA7">
              <w:rPr>
                <w:sz w:val="24"/>
                <w:szCs w:val="24"/>
              </w:rPr>
              <w:t>1.36</w:t>
            </w:r>
          </w:p>
        </w:tc>
        <w:tc>
          <w:tcPr>
            <w:tcW w:w="1111" w:type="dxa"/>
            <w:vAlign w:val="center"/>
          </w:tcPr>
          <w:p w14:paraId="56AE9538" w14:textId="77777777" w:rsidR="00192013" w:rsidRPr="00824DA7" w:rsidRDefault="00192013" w:rsidP="00A440CD">
            <w:pPr>
              <w:pStyle w:val="Paragraph"/>
              <w:spacing w:before="120" w:after="120"/>
              <w:ind w:firstLine="0"/>
              <w:jc w:val="center"/>
              <w:rPr>
                <w:sz w:val="24"/>
                <w:szCs w:val="24"/>
              </w:rPr>
            </w:pPr>
            <w:r w:rsidRPr="00824DA7">
              <w:rPr>
                <w:sz w:val="24"/>
                <w:szCs w:val="24"/>
              </w:rPr>
              <w:t>0.37</w:t>
            </w:r>
          </w:p>
        </w:tc>
      </w:tr>
      <w:tr w:rsidR="00192013" w:rsidRPr="005A3E52" w14:paraId="7ABD5759" w14:textId="77777777" w:rsidTr="00A440CD">
        <w:trPr>
          <w:trHeight w:val="350"/>
          <w:jc w:val="center"/>
        </w:trPr>
        <w:tc>
          <w:tcPr>
            <w:tcW w:w="1795" w:type="dxa"/>
          </w:tcPr>
          <w:p w14:paraId="3869705B" w14:textId="40261B92" w:rsidR="00192013" w:rsidRPr="00C75422" w:rsidRDefault="00192013" w:rsidP="003F56CD">
            <w:pPr>
              <w:pStyle w:val="Paragraph"/>
              <w:spacing w:before="120" w:after="120"/>
              <w:ind w:firstLine="0"/>
              <w:jc w:val="center"/>
              <w:rPr>
                <w:b/>
                <w:sz w:val="24"/>
                <w:szCs w:val="24"/>
              </w:rPr>
            </w:pPr>
            <w:r>
              <w:rPr>
                <w:b/>
                <w:sz w:val="24"/>
                <w:szCs w:val="24"/>
              </w:rPr>
              <w:t xml:space="preserve">10 </w:t>
            </w:r>
            <w:proofErr w:type="spellStart"/>
            <w:r>
              <w:rPr>
                <w:b/>
                <w:sz w:val="24"/>
                <w:szCs w:val="24"/>
              </w:rPr>
              <w:t>vol</w:t>
            </w:r>
            <w:proofErr w:type="spellEnd"/>
            <w:r>
              <w:rPr>
                <w:b/>
                <w:sz w:val="24"/>
                <w:szCs w:val="24"/>
              </w:rPr>
              <w:t xml:space="preserve">% </w:t>
            </w:r>
            <w:proofErr w:type="spellStart"/>
            <w:r>
              <w:rPr>
                <w:b/>
                <w:sz w:val="24"/>
                <w:szCs w:val="24"/>
              </w:rPr>
              <w:t>nB</w:t>
            </w:r>
            <w:r w:rsidRPr="00F82E20">
              <w:rPr>
                <w:b/>
                <w:sz w:val="24"/>
                <w:szCs w:val="24"/>
              </w:rPr>
              <w:t>S</w:t>
            </w:r>
            <w:proofErr w:type="spellEnd"/>
            <w:r w:rsidRPr="00F82E20">
              <w:rPr>
                <w:b/>
                <w:sz w:val="24"/>
                <w:szCs w:val="24"/>
              </w:rPr>
              <w:t xml:space="preserve"> Glass-DGEBA </w:t>
            </w:r>
          </w:p>
        </w:tc>
        <w:tc>
          <w:tcPr>
            <w:tcW w:w="1260" w:type="dxa"/>
            <w:vAlign w:val="center"/>
          </w:tcPr>
          <w:p w14:paraId="400834C5" w14:textId="48A34E32" w:rsidR="00192013" w:rsidRPr="00824DA7" w:rsidRDefault="00192013" w:rsidP="00A440CD">
            <w:pPr>
              <w:pStyle w:val="Paragraph"/>
              <w:spacing w:before="120" w:after="120"/>
              <w:ind w:firstLine="0"/>
              <w:jc w:val="center"/>
              <w:rPr>
                <w:sz w:val="24"/>
                <w:szCs w:val="24"/>
              </w:rPr>
            </w:pPr>
            <w:r w:rsidRPr="00824DA7">
              <w:rPr>
                <w:sz w:val="24"/>
                <w:szCs w:val="24"/>
              </w:rPr>
              <w:t>5.24</w:t>
            </w:r>
            <w:r w:rsidR="003F56CD">
              <w:rPr>
                <w:sz w:val="24"/>
                <w:szCs w:val="24"/>
              </w:rPr>
              <w:t>×</w:t>
            </w:r>
            <w:r w:rsidRPr="00824DA7">
              <w:rPr>
                <w:sz w:val="24"/>
                <w:szCs w:val="24"/>
              </w:rPr>
              <w:t>10</w:t>
            </w:r>
            <w:r w:rsidRPr="00824DA7">
              <w:rPr>
                <w:sz w:val="24"/>
                <w:szCs w:val="24"/>
                <w:vertAlign w:val="superscript"/>
              </w:rPr>
              <w:t>-2</w:t>
            </w:r>
          </w:p>
        </w:tc>
        <w:tc>
          <w:tcPr>
            <w:tcW w:w="1260" w:type="dxa"/>
            <w:vAlign w:val="center"/>
          </w:tcPr>
          <w:p w14:paraId="15DD2EA7" w14:textId="42016604" w:rsidR="00192013" w:rsidRPr="00824DA7" w:rsidRDefault="00192013" w:rsidP="00A440CD">
            <w:pPr>
              <w:pStyle w:val="Paragraph"/>
              <w:spacing w:before="120" w:after="120"/>
              <w:ind w:firstLine="0"/>
              <w:jc w:val="center"/>
              <w:rPr>
                <w:sz w:val="24"/>
                <w:szCs w:val="24"/>
              </w:rPr>
            </w:pPr>
            <w:r w:rsidRPr="00824DA7">
              <w:rPr>
                <w:sz w:val="24"/>
                <w:szCs w:val="24"/>
              </w:rPr>
              <w:t>3.34</w:t>
            </w:r>
            <w:r w:rsidR="003F56CD">
              <w:rPr>
                <w:sz w:val="24"/>
                <w:szCs w:val="24"/>
              </w:rPr>
              <w:t>×</w:t>
            </w:r>
            <w:r w:rsidRPr="00824DA7">
              <w:rPr>
                <w:sz w:val="24"/>
                <w:szCs w:val="24"/>
              </w:rPr>
              <w:t>10</w:t>
            </w:r>
            <w:r w:rsidRPr="00824DA7">
              <w:rPr>
                <w:sz w:val="24"/>
                <w:szCs w:val="24"/>
                <w:vertAlign w:val="superscript"/>
              </w:rPr>
              <w:t>-3</w:t>
            </w:r>
          </w:p>
        </w:tc>
        <w:tc>
          <w:tcPr>
            <w:tcW w:w="1260" w:type="dxa"/>
            <w:vAlign w:val="center"/>
          </w:tcPr>
          <w:p w14:paraId="61538246" w14:textId="6556D630" w:rsidR="00192013" w:rsidRPr="00824DA7" w:rsidRDefault="00192013" w:rsidP="00A440CD">
            <w:pPr>
              <w:pStyle w:val="Paragraph"/>
              <w:spacing w:before="120" w:after="120"/>
              <w:ind w:firstLine="0"/>
              <w:jc w:val="center"/>
              <w:rPr>
                <w:sz w:val="24"/>
                <w:szCs w:val="24"/>
              </w:rPr>
            </w:pPr>
            <w:r w:rsidRPr="00824DA7">
              <w:rPr>
                <w:sz w:val="24"/>
                <w:szCs w:val="24"/>
              </w:rPr>
              <w:t>8.80</w:t>
            </w:r>
            <w:r w:rsidR="003F56CD">
              <w:rPr>
                <w:sz w:val="24"/>
                <w:szCs w:val="24"/>
              </w:rPr>
              <w:t>×</w:t>
            </w:r>
            <w:r w:rsidRPr="00824DA7">
              <w:rPr>
                <w:sz w:val="24"/>
                <w:szCs w:val="24"/>
              </w:rPr>
              <w:t>10</w:t>
            </w:r>
            <w:r w:rsidRPr="00824DA7">
              <w:rPr>
                <w:sz w:val="24"/>
                <w:szCs w:val="24"/>
                <w:vertAlign w:val="superscript"/>
              </w:rPr>
              <w:t>-4</w:t>
            </w:r>
          </w:p>
        </w:tc>
        <w:tc>
          <w:tcPr>
            <w:tcW w:w="810" w:type="dxa"/>
            <w:vAlign w:val="center"/>
          </w:tcPr>
          <w:p w14:paraId="5BB9ADD1" w14:textId="77777777" w:rsidR="00192013" w:rsidRPr="00824DA7" w:rsidRDefault="00192013" w:rsidP="00A440CD">
            <w:pPr>
              <w:pStyle w:val="Paragraph"/>
              <w:spacing w:before="120" w:after="120"/>
              <w:ind w:firstLine="0"/>
              <w:jc w:val="center"/>
              <w:rPr>
                <w:sz w:val="24"/>
                <w:szCs w:val="24"/>
              </w:rPr>
            </w:pPr>
            <w:r w:rsidRPr="00824DA7">
              <w:rPr>
                <w:sz w:val="24"/>
                <w:szCs w:val="24"/>
              </w:rPr>
              <w:t>0.264</w:t>
            </w:r>
          </w:p>
        </w:tc>
        <w:tc>
          <w:tcPr>
            <w:tcW w:w="990" w:type="dxa"/>
            <w:vAlign w:val="center"/>
          </w:tcPr>
          <w:p w14:paraId="7D4E0476" w14:textId="77777777" w:rsidR="00192013" w:rsidRPr="00824DA7" w:rsidRDefault="00192013" w:rsidP="00A440CD">
            <w:pPr>
              <w:pStyle w:val="Paragraph"/>
              <w:spacing w:before="120" w:after="120"/>
              <w:ind w:firstLine="0"/>
              <w:jc w:val="center"/>
              <w:rPr>
                <w:sz w:val="24"/>
                <w:szCs w:val="24"/>
              </w:rPr>
            </w:pPr>
            <w:r w:rsidRPr="00824DA7">
              <w:rPr>
                <w:sz w:val="24"/>
                <w:szCs w:val="24"/>
              </w:rPr>
              <w:t>1.17</w:t>
            </w:r>
          </w:p>
        </w:tc>
        <w:tc>
          <w:tcPr>
            <w:tcW w:w="1111" w:type="dxa"/>
            <w:vAlign w:val="center"/>
          </w:tcPr>
          <w:p w14:paraId="350E2565" w14:textId="77777777" w:rsidR="00192013" w:rsidRPr="00824DA7" w:rsidRDefault="00192013" w:rsidP="00A440CD">
            <w:pPr>
              <w:pStyle w:val="Paragraph"/>
              <w:spacing w:before="120" w:after="120"/>
              <w:ind w:firstLine="0"/>
              <w:jc w:val="center"/>
              <w:rPr>
                <w:sz w:val="24"/>
                <w:szCs w:val="24"/>
              </w:rPr>
            </w:pPr>
            <w:r w:rsidRPr="00824DA7">
              <w:rPr>
                <w:sz w:val="24"/>
                <w:szCs w:val="24"/>
              </w:rPr>
              <w:t>0.36</w:t>
            </w:r>
          </w:p>
        </w:tc>
      </w:tr>
      <w:tr w:rsidR="00192013" w:rsidRPr="005A3E52" w14:paraId="346DB5C7" w14:textId="77777777" w:rsidTr="00A440CD">
        <w:trPr>
          <w:trHeight w:val="350"/>
          <w:jc w:val="center"/>
        </w:trPr>
        <w:tc>
          <w:tcPr>
            <w:tcW w:w="1795" w:type="dxa"/>
          </w:tcPr>
          <w:p w14:paraId="4CCCF25C" w14:textId="4028F21B" w:rsidR="00192013" w:rsidRPr="00C75422" w:rsidRDefault="00192013" w:rsidP="003F56CD">
            <w:pPr>
              <w:pStyle w:val="Paragraph"/>
              <w:spacing w:before="120" w:after="120"/>
              <w:ind w:firstLine="0"/>
              <w:jc w:val="center"/>
              <w:rPr>
                <w:b/>
                <w:sz w:val="24"/>
                <w:szCs w:val="24"/>
              </w:rPr>
            </w:pPr>
            <w:r>
              <w:rPr>
                <w:b/>
                <w:sz w:val="24"/>
                <w:szCs w:val="24"/>
              </w:rPr>
              <w:t xml:space="preserve">20 </w:t>
            </w:r>
            <w:proofErr w:type="spellStart"/>
            <w:r>
              <w:rPr>
                <w:b/>
                <w:sz w:val="24"/>
                <w:szCs w:val="24"/>
              </w:rPr>
              <w:t>vol</w:t>
            </w:r>
            <w:proofErr w:type="spellEnd"/>
            <w:r>
              <w:rPr>
                <w:b/>
                <w:sz w:val="24"/>
                <w:szCs w:val="24"/>
              </w:rPr>
              <w:t xml:space="preserve">% </w:t>
            </w:r>
            <w:proofErr w:type="spellStart"/>
            <w:r>
              <w:rPr>
                <w:b/>
                <w:sz w:val="24"/>
                <w:szCs w:val="24"/>
              </w:rPr>
              <w:t>nB</w:t>
            </w:r>
            <w:r w:rsidRPr="00F82E20">
              <w:rPr>
                <w:b/>
                <w:sz w:val="24"/>
                <w:szCs w:val="24"/>
              </w:rPr>
              <w:t>S</w:t>
            </w:r>
            <w:proofErr w:type="spellEnd"/>
            <w:r w:rsidRPr="00F82E20">
              <w:rPr>
                <w:b/>
                <w:sz w:val="24"/>
                <w:szCs w:val="24"/>
              </w:rPr>
              <w:t xml:space="preserve"> Glass-DGEBA </w:t>
            </w:r>
          </w:p>
        </w:tc>
        <w:tc>
          <w:tcPr>
            <w:tcW w:w="1260" w:type="dxa"/>
            <w:vAlign w:val="center"/>
          </w:tcPr>
          <w:p w14:paraId="6D7A852B" w14:textId="4796FC21" w:rsidR="00192013" w:rsidRPr="00824DA7" w:rsidRDefault="00192013" w:rsidP="00A440CD">
            <w:pPr>
              <w:pStyle w:val="Paragraph"/>
              <w:spacing w:before="120" w:after="120"/>
              <w:ind w:firstLine="0"/>
              <w:jc w:val="center"/>
              <w:rPr>
                <w:sz w:val="24"/>
                <w:szCs w:val="24"/>
              </w:rPr>
            </w:pPr>
            <w:r w:rsidRPr="00824DA7">
              <w:rPr>
                <w:sz w:val="24"/>
                <w:szCs w:val="24"/>
              </w:rPr>
              <w:t>4.66</w:t>
            </w:r>
            <w:r w:rsidR="003F56CD">
              <w:rPr>
                <w:sz w:val="24"/>
                <w:szCs w:val="24"/>
              </w:rPr>
              <w:t>×</w:t>
            </w:r>
            <w:r w:rsidRPr="00824DA7">
              <w:rPr>
                <w:sz w:val="24"/>
                <w:szCs w:val="24"/>
              </w:rPr>
              <w:t>10</w:t>
            </w:r>
            <w:r w:rsidRPr="00824DA7">
              <w:rPr>
                <w:sz w:val="24"/>
                <w:szCs w:val="24"/>
                <w:vertAlign w:val="superscript"/>
              </w:rPr>
              <w:t>-2</w:t>
            </w:r>
          </w:p>
        </w:tc>
        <w:tc>
          <w:tcPr>
            <w:tcW w:w="1260" w:type="dxa"/>
            <w:vAlign w:val="center"/>
          </w:tcPr>
          <w:p w14:paraId="1053A2FB" w14:textId="4793A3B8" w:rsidR="00192013" w:rsidRPr="00824DA7" w:rsidRDefault="00192013" w:rsidP="00A440CD">
            <w:pPr>
              <w:pStyle w:val="Paragraph"/>
              <w:spacing w:before="120" w:after="120"/>
              <w:ind w:firstLine="0"/>
              <w:jc w:val="center"/>
              <w:rPr>
                <w:sz w:val="24"/>
                <w:szCs w:val="24"/>
              </w:rPr>
            </w:pPr>
            <w:r w:rsidRPr="00824DA7">
              <w:rPr>
                <w:sz w:val="24"/>
                <w:szCs w:val="24"/>
              </w:rPr>
              <w:t>9.23</w:t>
            </w:r>
            <w:r w:rsidR="003F56CD">
              <w:rPr>
                <w:sz w:val="24"/>
                <w:szCs w:val="24"/>
              </w:rPr>
              <w:t>×</w:t>
            </w:r>
            <w:r w:rsidRPr="00824DA7">
              <w:rPr>
                <w:sz w:val="24"/>
                <w:szCs w:val="24"/>
              </w:rPr>
              <w:t>10</w:t>
            </w:r>
            <w:r w:rsidRPr="00824DA7">
              <w:rPr>
                <w:sz w:val="24"/>
                <w:szCs w:val="24"/>
                <w:vertAlign w:val="superscript"/>
              </w:rPr>
              <w:t>-4</w:t>
            </w:r>
          </w:p>
        </w:tc>
        <w:tc>
          <w:tcPr>
            <w:tcW w:w="1260" w:type="dxa"/>
            <w:vAlign w:val="center"/>
          </w:tcPr>
          <w:p w14:paraId="73A0416F" w14:textId="4A5968A4" w:rsidR="00192013" w:rsidRPr="00824DA7" w:rsidRDefault="00192013" w:rsidP="00A440CD">
            <w:pPr>
              <w:pStyle w:val="Paragraph"/>
              <w:spacing w:before="120" w:after="120"/>
              <w:ind w:firstLine="0"/>
              <w:jc w:val="center"/>
              <w:rPr>
                <w:sz w:val="24"/>
                <w:szCs w:val="24"/>
              </w:rPr>
            </w:pPr>
            <w:r w:rsidRPr="00824DA7">
              <w:rPr>
                <w:sz w:val="24"/>
                <w:szCs w:val="24"/>
              </w:rPr>
              <w:t>3.19</w:t>
            </w:r>
            <w:r w:rsidR="003F56CD">
              <w:rPr>
                <w:sz w:val="24"/>
                <w:szCs w:val="24"/>
              </w:rPr>
              <w:t>×</w:t>
            </w:r>
            <w:r w:rsidRPr="00824DA7">
              <w:rPr>
                <w:sz w:val="24"/>
                <w:szCs w:val="24"/>
              </w:rPr>
              <w:t>10</w:t>
            </w:r>
            <w:r w:rsidRPr="00824DA7">
              <w:rPr>
                <w:sz w:val="24"/>
                <w:szCs w:val="24"/>
                <w:vertAlign w:val="superscript"/>
              </w:rPr>
              <w:t>-4</w:t>
            </w:r>
          </w:p>
        </w:tc>
        <w:tc>
          <w:tcPr>
            <w:tcW w:w="810" w:type="dxa"/>
            <w:vAlign w:val="center"/>
          </w:tcPr>
          <w:p w14:paraId="65FB3FC0" w14:textId="77777777" w:rsidR="00192013" w:rsidRPr="00824DA7" w:rsidRDefault="00192013" w:rsidP="00A440CD">
            <w:pPr>
              <w:pStyle w:val="Paragraph"/>
              <w:spacing w:before="120" w:after="120"/>
              <w:ind w:firstLine="0"/>
              <w:jc w:val="center"/>
              <w:rPr>
                <w:sz w:val="24"/>
                <w:szCs w:val="24"/>
              </w:rPr>
            </w:pPr>
            <w:r w:rsidRPr="00824DA7">
              <w:rPr>
                <w:sz w:val="24"/>
                <w:szCs w:val="24"/>
              </w:rPr>
              <w:t>0.345</w:t>
            </w:r>
          </w:p>
        </w:tc>
        <w:tc>
          <w:tcPr>
            <w:tcW w:w="990" w:type="dxa"/>
            <w:vAlign w:val="center"/>
          </w:tcPr>
          <w:p w14:paraId="72C98F79" w14:textId="77777777" w:rsidR="00192013" w:rsidRPr="00824DA7" w:rsidRDefault="00192013" w:rsidP="00A440CD">
            <w:pPr>
              <w:pStyle w:val="Paragraph"/>
              <w:spacing w:before="120" w:after="120"/>
              <w:ind w:firstLine="0"/>
              <w:jc w:val="center"/>
              <w:rPr>
                <w:sz w:val="24"/>
                <w:szCs w:val="24"/>
              </w:rPr>
            </w:pPr>
            <w:r w:rsidRPr="00824DA7">
              <w:rPr>
                <w:sz w:val="24"/>
                <w:szCs w:val="24"/>
              </w:rPr>
              <w:t>1.08</w:t>
            </w:r>
          </w:p>
        </w:tc>
        <w:tc>
          <w:tcPr>
            <w:tcW w:w="1111" w:type="dxa"/>
            <w:vAlign w:val="center"/>
          </w:tcPr>
          <w:p w14:paraId="39921649" w14:textId="77777777" w:rsidR="00192013" w:rsidRPr="00824DA7" w:rsidRDefault="00192013" w:rsidP="00A440CD">
            <w:pPr>
              <w:pStyle w:val="Paragraph"/>
              <w:spacing w:before="120" w:after="120"/>
              <w:ind w:firstLine="0"/>
              <w:jc w:val="center"/>
              <w:rPr>
                <w:sz w:val="24"/>
                <w:szCs w:val="24"/>
              </w:rPr>
            </w:pPr>
            <w:r w:rsidRPr="00824DA7">
              <w:rPr>
                <w:sz w:val="24"/>
                <w:szCs w:val="24"/>
              </w:rPr>
              <w:t>0.36</w:t>
            </w:r>
          </w:p>
        </w:tc>
      </w:tr>
      <w:tr w:rsidR="00192013" w:rsidRPr="005A3E52" w14:paraId="7B22FA59" w14:textId="77777777" w:rsidTr="00A440CD">
        <w:trPr>
          <w:trHeight w:val="350"/>
          <w:jc w:val="center"/>
        </w:trPr>
        <w:tc>
          <w:tcPr>
            <w:tcW w:w="1795" w:type="dxa"/>
          </w:tcPr>
          <w:p w14:paraId="6FE3632A" w14:textId="7DDCC1B5" w:rsidR="00192013" w:rsidRPr="00C75422" w:rsidRDefault="00192013" w:rsidP="003F56CD">
            <w:pPr>
              <w:pStyle w:val="Paragraph"/>
              <w:spacing w:before="120" w:after="120"/>
              <w:ind w:firstLine="0"/>
              <w:jc w:val="center"/>
              <w:rPr>
                <w:b/>
                <w:sz w:val="24"/>
                <w:szCs w:val="24"/>
              </w:rPr>
            </w:pPr>
            <w:r>
              <w:rPr>
                <w:b/>
                <w:sz w:val="24"/>
                <w:szCs w:val="24"/>
              </w:rPr>
              <w:t xml:space="preserve">30 </w:t>
            </w:r>
            <w:proofErr w:type="spellStart"/>
            <w:r>
              <w:rPr>
                <w:b/>
                <w:sz w:val="24"/>
                <w:szCs w:val="24"/>
              </w:rPr>
              <w:t>vol</w:t>
            </w:r>
            <w:proofErr w:type="spellEnd"/>
            <w:r>
              <w:rPr>
                <w:b/>
                <w:sz w:val="24"/>
                <w:szCs w:val="24"/>
              </w:rPr>
              <w:t xml:space="preserve">% </w:t>
            </w:r>
            <w:proofErr w:type="spellStart"/>
            <w:r>
              <w:rPr>
                <w:b/>
                <w:sz w:val="24"/>
                <w:szCs w:val="24"/>
              </w:rPr>
              <w:t>nB</w:t>
            </w:r>
            <w:r w:rsidRPr="00F82E20">
              <w:rPr>
                <w:b/>
                <w:sz w:val="24"/>
                <w:szCs w:val="24"/>
              </w:rPr>
              <w:t>S</w:t>
            </w:r>
            <w:proofErr w:type="spellEnd"/>
            <w:r w:rsidRPr="00F82E20">
              <w:rPr>
                <w:b/>
                <w:sz w:val="24"/>
                <w:szCs w:val="24"/>
              </w:rPr>
              <w:t xml:space="preserve"> Glass-DGEBA </w:t>
            </w:r>
          </w:p>
        </w:tc>
        <w:tc>
          <w:tcPr>
            <w:tcW w:w="1260" w:type="dxa"/>
            <w:vAlign w:val="center"/>
          </w:tcPr>
          <w:p w14:paraId="0160343A" w14:textId="7E402E2A" w:rsidR="00192013" w:rsidRPr="00824DA7" w:rsidRDefault="00192013" w:rsidP="00A440CD">
            <w:pPr>
              <w:pStyle w:val="Paragraph"/>
              <w:spacing w:before="120" w:after="120"/>
              <w:ind w:firstLine="0"/>
              <w:jc w:val="center"/>
              <w:rPr>
                <w:sz w:val="24"/>
                <w:szCs w:val="24"/>
              </w:rPr>
            </w:pPr>
            <w:r w:rsidRPr="00824DA7">
              <w:rPr>
                <w:sz w:val="24"/>
                <w:szCs w:val="24"/>
              </w:rPr>
              <w:t>4.08</w:t>
            </w:r>
            <w:r w:rsidR="003F56CD">
              <w:rPr>
                <w:sz w:val="24"/>
                <w:szCs w:val="24"/>
              </w:rPr>
              <w:t>×</w:t>
            </w:r>
            <w:r w:rsidRPr="00824DA7">
              <w:rPr>
                <w:sz w:val="24"/>
                <w:szCs w:val="24"/>
              </w:rPr>
              <w:t>10</w:t>
            </w:r>
            <w:r w:rsidRPr="00824DA7">
              <w:rPr>
                <w:sz w:val="24"/>
                <w:szCs w:val="24"/>
                <w:vertAlign w:val="superscript"/>
              </w:rPr>
              <w:t>-2</w:t>
            </w:r>
          </w:p>
        </w:tc>
        <w:tc>
          <w:tcPr>
            <w:tcW w:w="1260" w:type="dxa"/>
            <w:vAlign w:val="center"/>
          </w:tcPr>
          <w:p w14:paraId="62C0532F" w14:textId="1F7DC192" w:rsidR="00192013" w:rsidRPr="00824DA7" w:rsidRDefault="00192013" w:rsidP="00A440CD">
            <w:pPr>
              <w:pStyle w:val="Paragraph"/>
              <w:spacing w:before="120" w:after="120"/>
              <w:ind w:firstLine="0"/>
              <w:jc w:val="center"/>
              <w:rPr>
                <w:sz w:val="24"/>
                <w:szCs w:val="24"/>
              </w:rPr>
            </w:pPr>
            <w:r w:rsidRPr="00824DA7">
              <w:rPr>
                <w:sz w:val="24"/>
                <w:szCs w:val="24"/>
              </w:rPr>
              <w:t>6.32</w:t>
            </w:r>
            <w:r w:rsidR="003F56CD">
              <w:rPr>
                <w:sz w:val="24"/>
                <w:szCs w:val="24"/>
              </w:rPr>
              <w:t>×</w:t>
            </w:r>
            <w:r w:rsidRPr="00824DA7">
              <w:rPr>
                <w:sz w:val="24"/>
                <w:szCs w:val="24"/>
              </w:rPr>
              <w:t>10</w:t>
            </w:r>
            <w:r w:rsidRPr="00824DA7">
              <w:rPr>
                <w:sz w:val="24"/>
                <w:szCs w:val="24"/>
                <w:vertAlign w:val="superscript"/>
              </w:rPr>
              <w:t>-4</w:t>
            </w:r>
          </w:p>
        </w:tc>
        <w:tc>
          <w:tcPr>
            <w:tcW w:w="1260" w:type="dxa"/>
            <w:vAlign w:val="center"/>
          </w:tcPr>
          <w:p w14:paraId="0744222C" w14:textId="2915A44C" w:rsidR="00192013" w:rsidRPr="00824DA7" w:rsidRDefault="00192013" w:rsidP="00A440CD">
            <w:pPr>
              <w:pStyle w:val="Paragraph"/>
              <w:spacing w:before="120" w:after="120"/>
              <w:ind w:firstLine="0"/>
              <w:jc w:val="center"/>
              <w:rPr>
                <w:sz w:val="24"/>
                <w:szCs w:val="24"/>
              </w:rPr>
            </w:pPr>
            <w:r w:rsidRPr="00824DA7">
              <w:rPr>
                <w:sz w:val="24"/>
                <w:szCs w:val="24"/>
              </w:rPr>
              <w:t>3.04</w:t>
            </w:r>
            <w:r w:rsidR="003F56CD">
              <w:rPr>
                <w:sz w:val="24"/>
                <w:szCs w:val="24"/>
              </w:rPr>
              <w:t>×</w:t>
            </w:r>
            <w:r w:rsidRPr="00824DA7">
              <w:rPr>
                <w:sz w:val="24"/>
                <w:szCs w:val="24"/>
              </w:rPr>
              <w:t>10</w:t>
            </w:r>
            <w:r w:rsidRPr="00824DA7">
              <w:rPr>
                <w:sz w:val="24"/>
                <w:szCs w:val="24"/>
                <w:vertAlign w:val="superscript"/>
              </w:rPr>
              <w:t>-4</w:t>
            </w:r>
          </w:p>
        </w:tc>
        <w:tc>
          <w:tcPr>
            <w:tcW w:w="810" w:type="dxa"/>
            <w:vAlign w:val="center"/>
          </w:tcPr>
          <w:p w14:paraId="5BDFA6BC" w14:textId="77777777" w:rsidR="00192013" w:rsidRPr="00824DA7" w:rsidRDefault="00192013" w:rsidP="00A440CD">
            <w:pPr>
              <w:pStyle w:val="Paragraph"/>
              <w:spacing w:before="120" w:after="120"/>
              <w:ind w:firstLine="0"/>
              <w:jc w:val="center"/>
              <w:rPr>
                <w:sz w:val="24"/>
                <w:szCs w:val="24"/>
              </w:rPr>
            </w:pPr>
            <w:r w:rsidRPr="00824DA7">
              <w:rPr>
                <w:sz w:val="24"/>
                <w:szCs w:val="24"/>
              </w:rPr>
              <w:t>0.482</w:t>
            </w:r>
          </w:p>
        </w:tc>
        <w:tc>
          <w:tcPr>
            <w:tcW w:w="990" w:type="dxa"/>
            <w:vAlign w:val="center"/>
          </w:tcPr>
          <w:p w14:paraId="2E0C4F58" w14:textId="77777777" w:rsidR="00192013" w:rsidRPr="00824DA7" w:rsidRDefault="00192013" w:rsidP="00A440CD">
            <w:pPr>
              <w:pStyle w:val="Paragraph"/>
              <w:spacing w:before="120" w:after="120"/>
              <w:ind w:firstLine="0"/>
              <w:jc w:val="center"/>
              <w:rPr>
                <w:sz w:val="24"/>
                <w:szCs w:val="24"/>
              </w:rPr>
            </w:pPr>
            <w:r w:rsidRPr="00824DA7">
              <w:rPr>
                <w:sz w:val="24"/>
                <w:szCs w:val="24"/>
              </w:rPr>
              <w:t>0.98</w:t>
            </w:r>
          </w:p>
        </w:tc>
        <w:tc>
          <w:tcPr>
            <w:tcW w:w="1111" w:type="dxa"/>
            <w:vAlign w:val="center"/>
          </w:tcPr>
          <w:p w14:paraId="294C9CAA" w14:textId="77777777" w:rsidR="00192013" w:rsidRPr="00824DA7" w:rsidRDefault="00192013" w:rsidP="00A440CD">
            <w:pPr>
              <w:pStyle w:val="Paragraph"/>
              <w:spacing w:before="120" w:after="120"/>
              <w:ind w:firstLine="0"/>
              <w:jc w:val="center"/>
              <w:rPr>
                <w:sz w:val="24"/>
                <w:szCs w:val="24"/>
              </w:rPr>
            </w:pPr>
            <w:r w:rsidRPr="00824DA7">
              <w:rPr>
                <w:sz w:val="24"/>
                <w:szCs w:val="24"/>
              </w:rPr>
              <w:t>0.33</w:t>
            </w:r>
          </w:p>
        </w:tc>
      </w:tr>
    </w:tbl>
    <w:p w14:paraId="07EB2B4F" w14:textId="77777777" w:rsidR="00192013" w:rsidRDefault="00192013" w:rsidP="00F77E87"/>
    <w:p w14:paraId="63E93CA8" w14:textId="6E3FC523" w:rsidR="00192013" w:rsidRDefault="00192013" w:rsidP="00F77E87">
      <w:r>
        <w:t>In</w:t>
      </w:r>
      <w:r>
        <w:rPr>
          <w:szCs w:val="24"/>
        </w:rPr>
        <w:t xml:space="preserve"> </w:t>
      </w:r>
      <w:r>
        <w:rPr>
          <w:szCs w:val="24"/>
        </w:rPr>
        <w:fldChar w:fldCharType="begin"/>
      </w:r>
      <w:r>
        <w:rPr>
          <w:szCs w:val="24"/>
        </w:rPr>
        <w:instrText xml:space="preserve"> REF _Ref449516553 \h </w:instrText>
      </w:r>
      <w:r w:rsidR="00F77E87">
        <w:rPr>
          <w:szCs w:val="24"/>
        </w:rPr>
        <w:instrText xml:space="preserve"> \* MERGEFORMAT </w:instrText>
      </w:r>
      <w:r>
        <w:rPr>
          <w:szCs w:val="24"/>
        </w:rPr>
      </w:r>
      <w:r>
        <w:rPr>
          <w:szCs w:val="24"/>
        </w:rPr>
        <w:fldChar w:fldCharType="separate"/>
      </w:r>
      <w:r w:rsidR="006D52C2">
        <w:t xml:space="preserve">Figure </w:t>
      </w:r>
      <w:r w:rsidR="006D52C2">
        <w:rPr>
          <w:noProof/>
        </w:rPr>
        <w:t>34</w:t>
      </w:r>
      <w:r>
        <w:rPr>
          <w:szCs w:val="24"/>
        </w:rPr>
        <w:fldChar w:fldCharType="end"/>
      </w:r>
      <w:r>
        <w:t xml:space="preserve">, experimental mass gain data of </w:t>
      </w:r>
      <w:proofErr w:type="spellStart"/>
      <w:r>
        <w:t>nBS</w:t>
      </w:r>
      <w:proofErr w:type="spellEnd"/>
      <w:r>
        <w:t xml:space="preserve"> treated glass sphere/epoxy and 1D HDM model recovery is illustrated. As in </w:t>
      </w:r>
      <w:r>
        <w:fldChar w:fldCharType="begin"/>
      </w:r>
      <w:r>
        <w:instrText xml:space="preserve"> REF _Ref449117871 \h </w:instrText>
      </w:r>
      <w:r w:rsidR="00F77E87">
        <w:instrText xml:space="preserve"> \* MERGEFORMAT </w:instrText>
      </w:r>
      <w:r>
        <w:fldChar w:fldCharType="separate"/>
      </w:r>
      <w:r w:rsidR="006D52C2">
        <w:t xml:space="preserve">Figure </w:t>
      </w:r>
      <w:r w:rsidR="006D52C2">
        <w:rPr>
          <w:noProof/>
        </w:rPr>
        <w:t>33</w:t>
      </w:r>
      <w:r>
        <w:fldChar w:fldCharType="end"/>
      </w:r>
      <w:r>
        <w:t xml:space="preserve">, the decrease in maximum moisture content and slight change in diffusion behavior can be observed. Comparing </w:t>
      </w:r>
      <w:r>
        <w:rPr>
          <w:szCs w:val="24"/>
        </w:rPr>
        <w:fldChar w:fldCharType="begin"/>
      </w:r>
      <w:r>
        <w:rPr>
          <w:szCs w:val="24"/>
        </w:rPr>
        <w:instrText xml:space="preserve"> REF _Ref449516553 \h </w:instrText>
      </w:r>
      <w:r w:rsidR="00F77E87">
        <w:rPr>
          <w:szCs w:val="24"/>
        </w:rPr>
        <w:instrText xml:space="preserve"> \* MERGEFORMAT </w:instrText>
      </w:r>
      <w:r>
        <w:rPr>
          <w:szCs w:val="24"/>
        </w:rPr>
      </w:r>
      <w:r>
        <w:rPr>
          <w:szCs w:val="24"/>
        </w:rPr>
        <w:fldChar w:fldCharType="separate"/>
      </w:r>
      <w:r w:rsidR="006D52C2">
        <w:t xml:space="preserve">Figure </w:t>
      </w:r>
      <w:r w:rsidR="006D52C2">
        <w:rPr>
          <w:noProof/>
        </w:rPr>
        <w:t>34</w:t>
      </w:r>
      <w:r>
        <w:rPr>
          <w:szCs w:val="24"/>
        </w:rPr>
        <w:fldChar w:fldCharType="end"/>
      </w:r>
      <w:r>
        <w:t xml:space="preserve"> and </w:t>
      </w:r>
      <w:r>
        <w:fldChar w:fldCharType="begin"/>
      </w:r>
      <w:r>
        <w:instrText xml:space="preserve"> REF _Ref449117871 \h </w:instrText>
      </w:r>
      <w:r w:rsidR="00F77E87">
        <w:instrText xml:space="preserve"> \* MERGEFORMAT </w:instrText>
      </w:r>
      <w:r>
        <w:fldChar w:fldCharType="separate"/>
      </w:r>
      <w:r w:rsidR="006D52C2">
        <w:t xml:space="preserve">Figure </w:t>
      </w:r>
      <w:r w:rsidR="006D52C2">
        <w:rPr>
          <w:noProof/>
        </w:rPr>
        <w:t>33</w:t>
      </w:r>
      <w:r>
        <w:fldChar w:fldCharType="end"/>
      </w:r>
      <w:r>
        <w:t xml:space="preserve"> yields that </w:t>
      </w:r>
      <w:proofErr w:type="spellStart"/>
      <w:r>
        <w:t>nBS</w:t>
      </w:r>
      <w:proofErr w:type="spellEnd"/>
      <w:r>
        <w:t xml:space="preserve"> treatment on glass sphere causes a higher reduction of maximum moisture content than APS treatment. Remarkably, the one-dimensional hindered diffusion model is shown to accurately represent the anomalous diffusion behavior for any glass content. </w:t>
      </w:r>
    </w:p>
    <w:p w14:paraId="05C8D366" w14:textId="77777777" w:rsidR="00192013" w:rsidRDefault="00192013" w:rsidP="00192013">
      <w:pPr>
        <w:pStyle w:val="NoSpacing"/>
      </w:pPr>
      <w:r>
        <w:rPr>
          <w:noProof/>
          <w:lang w:bidi="ar-SA"/>
        </w:rPr>
        <w:lastRenderedPageBreak/>
        <w:drawing>
          <wp:inline distT="0" distB="0" distL="0" distR="0" wp14:anchorId="72CE5B4A" wp14:editId="719110BA">
            <wp:extent cx="5027185" cy="3657600"/>
            <wp:effectExtent l="0" t="0" r="2540" b="0"/>
            <wp:docPr id="58" name="Picture 58" descr="C:\Users\Administrator\Desktop\proje\General Exam\Glass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proje\General Exam\Glass B.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7185" cy="3657600"/>
                    </a:xfrm>
                    <a:prstGeom prst="rect">
                      <a:avLst/>
                    </a:prstGeom>
                    <a:noFill/>
                    <a:ln>
                      <a:noFill/>
                    </a:ln>
                  </pic:spPr>
                </pic:pic>
              </a:graphicData>
            </a:graphic>
          </wp:inline>
        </w:drawing>
      </w:r>
    </w:p>
    <w:p w14:paraId="0462A5C8" w14:textId="77777777" w:rsidR="00192013" w:rsidRDefault="00192013" w:rsidP="00192013">
      <w:pPr>
        <w:pStyle w:val="Caption"/>
      </w:pPr>
      <w:bookmarkStart w:id="205" w:name="_Ref449516553"/>
      <w:bookmarkStart w:id="206" w:name="_Toc449516690"/>
      <w:bookmarkStart w:id="207" w:name="_Toc530997390"/>
      <w:r>
        <w:t xml:space="preserve">Figure </w:t>
      </w:r>
      <w:r>
        <w:rPr>
          <w:noProof/>
        </w:rPr>
        <w:fldChar w:fldCharType="begin"/>
      </w:r>
      <w:r>
        <w:rPr>
          <w:noProof/>
        </w:rPr>
        <w:instrText xml:space="preserve"> SEQ Figure \* ARABIC </w:instrText>
      </w:r>
      <w:r>
        <w:rPr>
          <w:noProof/>
        </w:rPr>
        <w:fldChar w:fldCharType="separate"/>
      </w:r>
      <w:r w:rsidR="006D52C2">
        <w:rPr>
          <w:noProof/>
        </w:rPr>
        <w:t>34</w:t>
      </w:r>
      <w:r>
        <w:rPr>
          <w:noProof/>
        </w:rPr>
        <w:fldChar w:fldCharType="end"/>
      </w:r>
      <w:bookmarkEnd w:id="205"/>
      <w:r>
        <w:t xml:space="preserve">. </w:t>
      </w:r>
      <w:proofErr w:type="spellStart"/>
      <w:proofErr w:type="gramStart"/>
      <w:r>
        <w:t>nB</w:t>
      </w:r>
      <w:r w:rsidRPr="00F37BBD">
        <w:t>S</w:t>
      </w:r>
      <w:proofErr w:type="spellEnd"/>
      <w:proofErr w:type="gramEnd"/>
      <w:r w:rsidRPr="00F37BBD">
        <w:t xml:space="preserve"> glass sphere loading effect on moisture absorption of DGEBA epoxy and the hindered diffusion recovery while keeping the diffusion coefficient linearly decreasing.</w:t>
      </w:r>
      <w:bookmarkEnd w:id="206"/>
      <w:bookmarkEnd w:id="207"/>
    </w:p>
    <w:p w14:paraId="577EA632" w14:textId="77777777" w:rsidR="00192013" w:rsidRDefault="00192013" w:rsidP="00F77E87"/>
    <w:p w14:paraId="30BAC360" w14:textId="42654BAA" w:rsidR="00192013" w:rsidRDefault="00192013" w:rsidP="00F77E87">
      <w:r w:rsidRPr="003D7758">
        <w:t xml:space="preserve">In </w:t>
      </w:r>
      <w:r w:rsidRPr="003D7758">
        <w:fldChar w:fldCharType="begin"/>
      </w:r>
      <w:r w:rsidRPr="003D7758">
        <w:instrText xml:space="preserve"> REF _Ref449123629 \h </w:instrText>
      </w:r>
      <w:r>
        <w:instrText xml:space="preserve"> \* MERGEFORMAT </w:instrText>
      </w:r>
      <w:r w:rsidRPr="003D7758">
        <w:fldChar w:fldCharType="separate"/>
      </w:r>
      <w:r w:rsidR="006D52C2">
        <w:t>Figure 35</w:t>
      </w:r>
      <w:r w:rsidRPr="003D7758">
        <w:fldChar w:fldCharType="end"/>
      </w:r>
      <w:r w:rsidRPr="003D7758">
        <w:t xml:space="preserve">, the linear </w:t>
      </w:r>
      <w:r>
        <w:t>increase</w:t>
      </w:r>
      <w:r w:rsidRPr="003D7758">
        <w:t xml:space="preserve"> in hindrance coefficient with increasing glass content can be seen. As </w:t>
      </w:r>
      <w:r>
        <w:t>shown</w:t>
      </w:r>
      <w:r w:rsidRPr="003D7758">
        <w:t xml:space="preserve"> in</w:t>
      </w:r>
      <w:r>
        <w:t xml:space="preserve"> </w:t>
      </w:r>
      <w:r>
        <w:fldChar w:fldCharType="begin"/>
      </w:r>
      <w:r>
        <w:instrText xml:space="preserve"> REF _Ref521077204 \h </w:instrText>
      </w:r>
      <w:r w:rsidR="00F77E87">
        <w:instrText xml:space="preserve"> \* MERGEFORMAT </w:instrText>
      </w:r>
      <w:r>
        <w:fldChar w:fldCharType="separate"/>
      </w:r>
      <w:r w:rsidR="006D52C2">
        <w:t xml:space="preserve">Figure </w:t>
      </w:r>
      <w:r w:rsidR="006D52C2">
        <w:rPr>
          <w:noProof/>
        </w:rPr>
        <w:t>20</w:t>
      </w:r>
      <w:r>
        <w:fldChar w:fldCharType="end"/>
      </w:r>
      <w:r>
        <w:t xml:space="preserve"> and </w:t>
      </w:r>
      <w:r>
        <w:fldChar w:fldCharType="begin"/>
      </w:r>
      <w:r>
        <w:instrText xml:space="preserve"> REF _Ref521236500 \h </w:instrText>
      </w:r>
      <w:r w:rsidR="00F77E87">
        <w:instrText xml:space="preserve"> \* MERGEFORMAT </w:instrText>
      </w:r>
      <w:r>
        <w:fldChar w:fldCharType="separate"/>
      </w:r>
      <w:r w:rsidR="006D52C2">
        <w:t xml:space="preserve">Figure </w:t>
      </w:r>
      <w:r w:rsidR="006D52C2">
        <w:rPr>
          <w:noProof/>
        </w:rPr>
        <w:t>27</w:t>
      </w:r>
      <w:r>
        <w:fldChar w:fldCharType="end"/>
      </w:r>
      <w:r>
        <w:t xml:space="preserve"> </w:t>
      </w:r>
      <w:r w:rsidRPr="003D7758">
        <w:t xml:space="preserve">the linear trend of </w:t>
      </w:r>
      <w:r>
        <w:t xml:space="preserve">the </w:t>
      </w:r>
      <w:r w:rsidRPr="003D7758">
        <w:t>hindrance coefficient</w:t>
      </w:r>
      <w:r>
        <w:t>s</w:t>
      </w:r>
      <w:r w:rsidRPr="003D7758">
        <w:t xml:space="preserve"> is</w:t>
      </w:r>
      <w:r>
        <w:t xml:space="preserve"> consistent.</w:t>
      </w:r>
      <w:r w:rsidRPr="003D7758">
        <w:t xml:space="preserve"> </w:t>
      </w:r>
      <w:r>
        <w:t>As</w:t>
      </w:r>
      <w:r w:rsidRPr="003D7758">
        <w:t xml:space="preserve"> in the case of I.30E/EPON 862, </w:t>
      </w:r>
      <w:r>
        <w:t>the in</w:t>
      </w:r>
      <w:r w:rsidRPr="003D7758">
        <w:t>creasing linear trend is</w:t>
      </w:r>
      <w:r>
        <w:t xml:space="preserve"> observed</w:t>
      </w:r>
      <w:r w:rsidRPr="003D7758">
        <w:t xml:space="preserve"> </w:t>
      </w:r>
      <w:r>
        <w:t>with increasing nanoclay content</w:t>
      </w:r>
      <w:r w:rsidRPr="003D7758">
        <w:t>.</w:t>
      </w:r>
      <w:r>
        <w:t xml:space="preserve"> Increasing linear trend shows that the absorption kinetics are governed not only by epoxy type, but the type of the nano-filler as well. </w:t>
      </w:r>
      <w:r w:rsidRPr="003D7758">
        <w:t xml:space="preserve">The compatibility between the nano-filler and the epoxy is </w:t>
      </w:r>
      <w:r>
        <w:t xml:space="preserve">one of the most important </w:t>
      </w:r>
      <w:r w:rsidRPr="003D7758">
        <w:t xml:space="preserve">influence on moisture absorption. Moreover, since the glass spheres are absolutely impermeable, </w:t>
      </w:r>
      <w:r>
        <w:t xml:space="preserve">the </w:t>
      </w:r>
      <w:r w:rsidRPr="003D7758">
        <w:t>coefficient of determination</w:t>
      </w:r>
      <w:proofErr w:type="gramStart"/>
      <w:r w:rsidRPr="003D7758">
        <w:t xml:space="preserve">, </w:t>
      </w:r>
      <w:proofErr w:type="gramEnd"/>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t>, is exceptionally close to unity.</w:t>
      </w:r>
    </w:p>
    <w:p w14:paraId="07E61358" w14:textId="77777777" w:rsidR="00192013" w:rsidRDefault="00192013" w:rsidP="00192013">
      <w:pPr>
        <w:pStyle w:val="NoSpacing"/>
      </w:pPr>
      <w:r>
        <w:rPr>
          <w:noProof/>
          <w:lang w:bidi="ar-SA"/>
        </w:rPr>
        <w:lastRenderedPageBreak/>
        <w:drawing>
          <wp:inline distT="0" distB="0" distL="0" distR="0" wp14:anchorId="653BB0AB" wp14:editId="7D4FD607">
            <wp:extent cx="5394960" cy="2926080"/>
            <wp:effectExtent l="0" t="0" r="0" b="7620"/>
            <wp:docPr id="4128" name="Chart 4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080C5CD" w14:textId="77777777" w:rsidR="00192013" w:rsidRDefault="00192013" w:rsidP="00192013">
      <w:pPr>
        <w:pStyle w:val="Caption"/>
      </w:pPr>
      <w:bookmarkStart w:id="208" w:name="_Ref449123629"/>
      <w:bookmarkStart w:id="209" w:name="_Toc449516686"/>
      <w:bookmarkStart w:id="210" w:name="_Toc530997391"/>
      <w:r>
        <w:t xml:space="preserve">Figure </w:t>
      </w:r>
      <w:r>
        <w:rPr>
          <w:noProof/>
        </w:rPr>
        <w:fldChar w:fldCharType="begin"/>
      </w:r>
      <w:r>
        <w:rPr>
          <w:noProof/>
        </w:rPr>
        <w:instrText xml:space="preserve"> SEQ Figure \* ARABIC </w:instrText>
      </w:r>
      <w:r>
        <w:rPr>
          <w:noProof/>
        </w:rPr>
        <w:fldChar w:fldCharType="separate"/>
      </w:r>
      <w:r w:rsidR="006D52C2">
        <w:rPr>
          <w:noProof/>
        </w:rPr>
        <w:t>35</w:t>
      </w:r>
      <w:r>
        <w:rPr>
          <w:noProof/>
        </w:rPr>
        <w:fldChar w:fldCharType="end"/>
      </w:r>
      <w:bookmarkEnd w:id="208"/>
      <w:r>
        <w:t xml:space="preserve">. </w:t>
      </w:r>
      <w:r w:rsidRPr="00F37BBD">
        <w:t xml:space="preserve">Effect of </w:t>
      </w:r>
      <w:r>
        <w:t>APS</w:t>
      </w:r>
      <w:r w:rsidRPr="00196B5E">
        <w:t xml:space="preserve"> </w:t>
      </w:r>
      <w:r>
        <w:t xml:space="preserve">and </w:t>
      </w:r>
      <w:proofErr w:type="spellStart"/>
      <w:r>
        <w:t>nBS</w:t>
      </w:r>
      <w:proofErr w:type="spellEnd"/>
      <w:r>
        <w:t xml:space="preserve"> glass sphere</w:t>
      </w:r>
      <w:r w:rsidRPr="00F37BBD">
        <w:t xml:space="preserve"> loading in </w:t>
      </w:r>
      <w:r>
        <w:t xml:space="preserve">DGEBA </w:t>
      </w:r>
      <w:r w:rsidRPr="00F37BBD">
        <w:t xml:space="preserve">epoxy on </w:t>
      </w:r>
      <w:r>
        <w:t>hindrance coefficient.</w:t>
      </w:r>
      <w:bookmarkEnd w:id="209"/>
      <w:bookmarkEnd w:id="210"/>
    </w:p>
    <w:p w14:paraId="0731111C" w14:textId="77777777" w:rsidR="00192013" w:rsidRDefault="00192013" w:rsidP="00F77E87"/>
    <w:p w14:paraId="006A052A" w14:textId="298FB9BB" w:rsidR="00192013" w:rsidRDefault="00192013" w:rsidP="00F77E87">
      <w:r>
        <w:t xml:space="preserve">The addition of 30 </w:t>
      </w:r>
      <w:proofErr w:type="spellStart"/>
      <w:r>
        <w:t>vol</w:t>
      </w:r>
      <w:proofErr w:type="spellEnd"/>
      <w:r>
        <w:t xml:space="preserve">% </w:t>
      </w:r>
      <w:proofErr w:type="spellStart"/>
      <w:r>
        <w:t>nBS</w:t>
      </w:r>
      <w:proofErr w:type="spellEnd"/>
      <w:r>
        <w:t xml:space="preserve">-treated glass spheres to the DGEBA epoxy causes a 132% increase in the hindrance coefficient whereas 271% increase in hindrance coefficient is observed for the 30 </w:t>
      </w:r>
      <w:proofErr w:type="spellStart"/>
      <w:r>
        <w:t>vol</w:t>
      </w:r>
      <w:proofErr w:type="spellEnd"/>
      <w:r>
        <w:t xml:space="preserve">% APS-treated glass case. When the </w:t>
      </w:r>
      <w:proofErr w:type="spellStart"/>
      <w:r>
        <w:t>nBS</w:t>
      </w:r>
      <w:proofErr w:type="spellEnd"/>
      <w:r>
        <w:t xml:space="preserve"> and APS treatments are compared, APS treated glass/epoxy causes 109% higher hindered diffusion than </w:t>
      </w:r>
      <w:proofErr w:type="spellStart"/>
      <w:r>
        <w:t>nBS</w:t>
      </w:r>
      <w:proofErr w:type="spellEnd"/>
      <w:r w:rsidRPr="003B3554">
        <w:t xml:space="preserve"> </w:t>
      </w:r>
      <w:r>
        <w:t>treated glass/epoxy. The increase in the hindrance coefficient can be explained by the creation of new interfaces as glass content increases. These interfaces may act as binding zones for moisture molecules depending on the surface energy between glass/epoxy, glass/water and water/epoxy. As additional binding zones (i.e. glass/epoxy surfaces) exist in the material system, hindrance coefficient is expected to increase. Moreover, different surface chemi</w:t>
      </w:r>
      <w:r w:rsidR="00654306">
        <w:t>stry</w:t>
      </w:r>
      <w:r>
        <w:t xml:space="preserve"> due to surface coatings (i.e. </w:t>
      </w:r>
      <w:proofErr w:type="spellStart"/>
      <w:r>
        <w:t>nBS</w:t>
      </w:r>
      <w:proofErr w:type="spellEnd"/>
      <w:r>
        <w:t xml:space="preserve"> and APS) lead to distinct chemical interaction between the glass, water</w:t>
      </w:r>
      <w:r w:rsidR="007D4338">
        <w:t>,</w:t>
      </w:r>
      <w:r>
        <w:t xml:space="preserve"> and epoxy resulting in difference between the slopes of change in hindrance coefficient trends.</w:t>
      </w:r>
    </w:p>
    <w:p w14:paraId="7E54D340" w14:textId="5C41EF9B" w:rsidR="00192013" w:rsidRDefault="00192013" w:rsidP="00F77E87">
      <w:r>
        <w:lastRenderedPageBreak/>
        <w:fldChar w:fldCharType="begin"/>
      </w:r>
      <w:r>
        <w:instrText xml:space="preserve"> REF _Ref449124513 \h </w:instrText>
      </w:r>
      <w:r w:rsidR="00F77E87">
        <w:instrText xml:space="preserve"> \* MERGEFORMAT </w:instrText>
      </w:r>
      <w:r>
        <w:fldChar w:fldCharType="separate"/>
      </w:r>
      <w:r w:rsidR="006D52C2">
        <w:t xml:space="preserve">Figure </w:t>
      </w:r>
      <w:r w:rsidR="006D52C2">
        <w:rPr>
          <w:noProof/>
        </w:rPr>
        <w:t>36</w:t>
      </w:r>
      <w:r>
        <w:fldChar w:fldCharType="end"/>
      </w:r>
      <w:r>
        <w:t xml:space="preserve"> shows the decreasing linear trend of maximum moisture content with increasing glass content. In all four cases, I.30E/DGEBA, I.30E/EPON 862, APS glass sphere/DGEBA</w:t>
      </w:r>
      <w:r w:rsidR="007D4338">
        <w:t>,</w:t>
      </w:r>
      <w:r>
        <w:t xml:space="preserve"> and </w:t>
      </w:r>
      <w:proofErr w:type="spellStart"/>
      <w:r>
        <w:t>nBS</w:t>
      </w:r>
      <w:proofErr w:type="spellEnd"/>
      <w:r>
        <w:t xml:space="preserve"> glass sphere/DGEBA, the addition of fillers lead to decrease in the maximum moisture content. However, different slopes suggest that the decrease in maximum moisture content is not only governed by the amount of nano- micro- fillers. Type of epoxy and nano- micro- fillers may have various impact on the maximum moisture content.</w:t>
      </w:r>
    </w:p>
    <w:p w14:paraId="17394AE5" w14:textId="77777777" w:rsidR="00192013" w:rsidRDefault="00192013" w:rsidP="00192013">
      <w:pPr>
        <w:pStyle w:val="NoSpacing"/>
      </w:pPr>
      <w:r>
        <w:rPr>
          <w:noProof/>
          <w:lang w:bidi="ar-SA"/>
        </w:rPr>
        <w:drawing>
          <wp:inline distT="0" distB="0" distL="0" distR="0" wp14:anchorId="108093E6" wp14:editId="6CBF4C52">
            <wp:extent cx="5394960" cy="2926080"/>
            <wp:effectExtent l="0" t="0" r="0" b="7620"/>
            <wp:docPr id="4129" name="Chart 4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BFAF2CF" w14:textId="77777777" w:rsidR="00192013" w:rsidRDefault="00192013" w:rsidP="00192013">
      <w:pPr>
        <w:pStyle w:val="Caption"/>
      </w:pPr>
      <w:bookmarkStart w:id="211" w:name="_Ref449124513"/>
      <w:bookmarkStart w:id="212" w:name="_Toc449516687"/>
      <w:bookmarkStart w:id="213" w:name="_Toc530997392"/>
      <w:r>
        <w:t xml:space="preserve">Figure </w:t>
      </w:r>
      <w:r>
        <w:rPr>
          <w:noProof/>
        </w:rPr>
        <w:fldChar w:fldCharType="begin"/>
      </w:r>
      <w:r>
        <w:rPr>
          <w:noProof/>
        </w:rPr>
        <w:instrText xml:space="preserve"> SEQ Figure \* ARABIC </w:instrText>
      </w:r>
      <w:r>
        <w:rPr>
          <w:noProof/>
        </w:rPr>
        <w:fldChar w:fldCharType="separate"/>
      </w:r>
      <w:r w:rsidR="006D52C2">
        <w:rPr>
          <w:noProof/>
        </w:rPr>
        <w:t>36</w:t>
      </w:r>
      <w:r>
        <w:rPr>
          <w:noProof/>
        </w:rPr>
        <w:fldChar w:fldCharType="end"/>
      </w:r>
      <w:bookmarkEnd w:id="211"/>
      <w:r>
        <w:t xml:space="preserve">. </w:t>
      </w:r>
      <w:r w:rsidRPr="00F37BBD">
        <w:t xml:space="preserve">Effect of </w:t>
      </w:r>
      <w:r>
        <w:t>APS</w:t>
      </w:r>
      <w:r w:rsidRPr="00196B5E">
        <w:t xml:space="preserve"> </w:t>
      </w:r>
      <w:r>
        <w:t xml:space="preserve">and </w:t>
      </w:r>
      <w:proofErr w:type="spellStart"/>
      <w:r>
        <w:t>nBS</w:t>
      </w:r>
      <w:proofErr w:type="spellEnd"/>
      <w:r>
        <w:t xml:space="preserve"> glass sphere</w:t>
      </w:r>
      <w:r w:rsidRPr="00F37BBD">
        <w:t xml:space="preserve"> loading in </w:t>
      </w:r>
      <w:r>
        <w:t xml:space="preserve">DGEBA </w:t>
      </w:r>
      <w:r w:rsidRPr="00F37BBD">
        <w:t>epoxy on maximum moisture content.</w:t>
      </w:r>
      <w:bookmarkEnd w:id="212"/>
      <w:bookmarkEnd w:id="213"/>
    </w:p>
    <w:p w14:paraId="3541AAD8" w14:textId="77777777" w:rsidR="00192013" w:rsidRDefault="00192013" w:rsidP="00F77E87"/>
    <w:p w14:paraId="3343EA6D" w14:textId="0C766E2E" w:rsidR="00192013" w:rsidRDefault="00192013" w:rsidP="00F77E87">
      <w:r>
        <w:t xml:space="preserve">Addition of 30 </w:t>
      </w:r>
      <w:proofErr w:type="spellStart"/>
      <w:r>
        <w:t>vol</w:t>
      </w:r>
      <w:proofErr w:type="spellEnd"/>
      <w:r>
        <w:t xml:space="preserve">% glass into epoxy leads to 12% and 28% decrease in maximum moisture content for APS and </w:t>
      </w:r>
      <w:proofErr w:type="spellStart"/>
      <w:r>
        <w:t>nBS</w:t>
      </w:r>
      <w:proofErr w:type="spellEnd"/>
      <w:r>
        <w:t xml:space="preserve"> treated glass sphere epox</w:t>
      </w:r>
      <w:r w:rsidR="00654306">
        <w:t xml:space="preserve">ies, respectively. Comparing </w:t>
      </w:r>
      <w:r>
        <w:t xml:space="preserve">APS- and </w:t>
      </w:r>
      <w:proofErr w:type="spellStart"/>
      <w:r>
        <w:t>nBS</w:t>
      </w:r>
      <w:proofErr w:type="spellEnd"/>
      <w:r>
        <w:t xml:space="preserve">-glass sphere/epoxy, the decrease in the maximum moisture content in the </w:t>
      </w:r>
      <w:proofErr w:type="spellStart"/>
      <w:r>
        <w:t>nBS</w:t>
      </w:r>
      <w:proofErr w:type="spellEnd"/>
      <w:r>
        <w:t xml:space="preserve">-glass sphere/epoxy is 145% more than in the APS-glass sphere/epoxy. Although the same amount of </w:t>
      </w:r>
      <w:proofErr w:type="spellStart"/>
      <w:r>
        <w:t>nBS</w:t>
      </w:r>
      <w:proofErr w:type="spellEnd"/>
      <w:r>
        <w:t xml:space="preserve">-glass sphere/epoxy can absorb less amount of moisture at </w:t>
      </w:r>
      <w:r>
        <w:lastRenderedPageBreak/>
        <w:t>equilibrium than the APS-glass sphere/epoxy, reaching the equilibrium moisture content will be faster</w:t>
      </w:r>
      <w:r w:rsidRPr="00DC1F1E">
        <w:t xml:space="preserve"> </w:t>
      </w:r>
      <w:r>
        <w:t xml:space="preserve">for </w:t>
      </w:r>
      <w:proofErr w:type="spellStart"/>
      <w:r>
        <w:t>nBS</w:t>
      </w:r>
      <w:proofErr w:type="spellEnd"/>
      <w:r>
        <w:t>-glass sphere/epoxy due its higher hindrance coefficient.</w:t>
      </w:r>
    </w:p>
    <w:p w14:paraId="4F8515CA" w14:textId="5B975B8C" w:rsidR="00192013" w:rsidRDefault="00192013" w:rsidP="00F77E87">
      <w:r>
        <w:fldChar w:fldCharType="begin"/>
      </w:r>
      <w:r>
        <w:instrText xml:space="preserve"> REF _Ref449179524 \h  \* MERGEFORMAT </w:instrText>
      </w:r>
      <w:r>
        <w:fldChar w:fldCharType="separate"/>
      </w:r>
      <w:r w:rsidR="006D52C2">
        <w:t>Figure 37</w:t>
      </w:r>
      <w:r>
        <w:fldChar w:fldCharType="end"/>
      </w:r>
      <w:r>
        <w:t xml:space="preserve"> shows the decreasing linear trend of maximum unbound moisture content with increasing glass volume fraction similar to the other two material systems (I.30E/DGEBA and I30.E/EPON 862). Enhancement on DGEBA epoxy by 30% vol. of APS and </w:t>
      </w:r>
      <w:proofErr w:type="spellStart"/>
      <w:r>
        <w:t>nBS</w:t>
      </w:r>
      <w:proofErr w:type="spellEnd"/>
      <w:r>
        <w:t xml:space="preserve"> glass results in a 40% decrease in equilibrium unbound moisture content. Glass sphere inclusion reduces the available free volume where normally epoxy would reside. Since the unbound moisture only diffuses through the epoxy, addition of any glass sphere or any nano-fillers will </w:t>
      </w:r>
      <w:r w:rsidR="00654306">
        <w:t>reduce</w:t>
      </w:r>
      <w:r>
        <w:t xml:space="preserve"> the equilibrium unbound moisture content.</w:t>
      </w:r>
      <w:r w:rsidRPr="00A43E16">
        <w:t xml:space="preserve"> </w:t>
      </w:r>
      <w:r>
        <w:t xml:space="preserve">Since the maximum unbound moisture content is directly related to the free volume, the same amount of glass should affect the maximum unbound moisture content the same. </w:t>
      </w:r>
    </w:p>
    <w:p w14:paraId="3FA1B715" w14:textId="77777777" w:rsidR="00192013" w:rsidRDefault="00192013" w:rsidP="00192013">
      <w:pPr>
        <w:pStyle w:val="NoSpacing"/>
      </w:pPr>
      <w:r>
        <w:rPr>
          <w:noProof/>
          <w:lang w:bidi="ar-SA"/>
        </w:rPr>
        <w:drawing>
          <wp:inline distT="0" distB="0" distL="0" distR="0" wp14:anchorId="085DE1FB" wp14:editId="06058D55">
            <wp:extent cx="5394960" cy="2926080"/>
            <wp:effectExtent l="0" t="0" r="0" b="7620"/>
            <wp:docPr id="4136" name="Chart 4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9F96C28" w14:textId="77777777" w:rsidR="00192013" w:rsidRDefault="00192013" w:rsidP="00192013">
      <w:pPr>
        <w:pStyle w:val="Caption"/>
      </w:pPr>
      <w:bookmarkStart w:id="214" w:name="_Ref449179524"/>
      <w:bookmarkStart w:id="215" w:name="_Toc449516689"/>
      <w:bookmarkStart w:id="216" w:name="_Toc530997393"/>
      <w:r>
        <w:t xml:space="preserve">Figure </w:t>
      </w:r>
      <w:r>
        <w:rPr>
          <w:noProof/>
        </w:rPr>
        <w:fldChar w:fldCharType="begin"/>
      </w:r>
      <w:r>
        <w:rPr>
          <w:noProof/>
        </w:rPr>
        <w:instrText xml:space="preserve"> SEQ Figure \* ARABIC </w:instrText>
      </w:r>
      <w:r>
        <w:rPr>
          <w:noProof/>
        </w:rPr>
        <w:fldChar w:fldCharType="separate"/>
      </w:r>
      <w:r w:rsidR="006D52C2">
        <w:rPr>
          <w:noProof/>
        </w:rPr>
        <w:t>37</w:t>
      </w:r>
      <w:r>
        <w:rPr>
          <w:noProof/>
        </w:rPr>
        <w:fldChar w:fldCharType="end"/>
      </w:r>
      <w:bookmarkEnd w:id="214"/>
      <w:r>
        <w:t xml:space="preserve">. </w:t>
      </w:r>
      <w:r w:rsidRPr="00F37BBD">
        <w:t xml:space="preserve">Effect of </w:t>
      </w:r>
      <w:r>
        <w:t xml:space="preserve">APS and </w:t>
      </w:r>
      <w:proofErr w:type="spellStart"/>
      <w:r>
        <w:t>nBS</w:t>
      </w:r>
      <w:proofErr w:type="spellEnd"/>
      <w:r>
        <w:t xml:space="preserve"> glass sphere</w:t>
      </w:r>
      <w:r w:rsidRPr="00F37BBD">
        <w:t xml:space="preserve"> loading in </w:t>
      </w:r>
      <w:r>
        <w:t xml:space="preserve">DGEBA </w:t>
      </w:r>
      <w:r w:rsidRPr="00F37BBD">
        <w:t xml:space="preserve">epoxy on </w:t>
      </w:r>
      <w:r>
        <w:t>maximum unbound</w:t>
      </w:r>
      <w:r w:rsidRPr="00F37BBD">
        <w:t xml:space="preserve"> moisture content.</w:t>
      </w:r>
      <w:bookmarkEnd w:id="215"/>
      <w:bookmarkEnd w:id="216"/>
    </w:p>
    <w:p w14:paraId="30B717F8" w14:textId="77777777" w:rsidR="00192013" w:rsidRDefault="00192013" w:rsidP="00F77E87"/>
    <w:p w14:paraId="7B1F4BF9" w14:textId="06E42DC9" w:rsidR="00192013" w:rsidRDefault="00192013" w:rsidP="00F77E87">
      <w:r>
        <w:fldChar w:fldCharType="begin"/>
      </w:r>
      <w:r>
        <w:instrText xml:space="preserve"> REF _Ref449125105 \h </w:instrText>
      </w:r>
      <w:r w:rsidR="00F77E87">
        <w:instrText xml:space="preserve"> \* MERGEFORMAT </w:instrText>
      </w:r>
      <w:r>
        <w:fldChar w:fldCharType="separate"/>
      </w:r>
      <w:r w:rsidR="006D52C2">
        <w:t xml:space="preserve">Figure </w:t>
      </w:r>
      <w:r w:rsidR="006D52C2">
        <w:rPr>
          <w:noProof/>
        </w:rPr>
        <w:t>38</w:t>
      </w:r>
      <w:r>
        <w:fldChar w:fldCharType="end"/>
      </w:r>
      <w:r>
        <w:t xml:space="preserve"> shows the trend of the bound equilibrium moisture content with respect to the glass sphere content. The addition of 30 </w:t>
      </w:r>
      <w:proofErr w:type="spellStart"/>
      <w:r>
        <w:t>vol</w:t>
      </w:r>
      <w:proofErr w:type="spellEnd"/>
      <w:r>
        <w:t xml:space="preserve">% </w:t>
      </w:r>
      <w:proofErr w:type="spellStart"/>
      <w:r>
        <w:t>nBS</w:t>
      </w:r>
      <w:proofErr w:type="spellEnd"/>
      <w:r>
        <w:t xml:space="preserve">-glass sphere causes 36% increase </w:t>
      </w:r>
      <w:r>
        <w:lastRenderedPageBreak/>
        <w:t xml:space="preserve">in maximum bound moisture whereas 125% increase in maximum bound moisture content with 30 </w:t>
      </w:r>
      <w:proofErr w:type="spellStart"/>
      <w:r>
        <w:t>vol</w:t>
      </w:r>
      <w:proofErr w:type="spellEnd"/>
      <w:r>
        <w:t>% APS glass addition is noticed which suggests that the APS glass spheres highly hinder the moisture intake.</w:t>
      </w:r>
      <w:r w:rsidRPr="00AF377F">
        <w:t xml:space="preserve"> </w:t>
      </w:r>
      <w:r>
        <w:t xml:space="preserve">Comparison between the </w:t>
      </w:r>
      <w:proofErr w:type="spellStart"/>
      <w:r>
        <w:t>nBS</w:t>
      </w:r>
      <w:proofErr w:type="spellEnd"/>
      <w:r>
        <w:t xml:space="preserve">-glass/epoxy and the APS-glass/epoxy shows a 242% higher increase in the maximum bound moisture content for the APS system. To reach the equilibrium shown in Eq. (8), continuous transformation of unbound moisture to bound moisture is required. The availability of additional binding sites also leads to longer period of time required to reach the equilibrium due to continuous transformation between the unbound and bound moisture. </w:t>
      </w:r>
    </w:p>
    <w:p w14:paraId="7AB28936" w14:textId="77777777" w:rsidR="00192013" w:rsidRDefault="00192013" w:rsidP="00192013">
      <w:pPr>
        <w:pStyle w:val="NoSpacing"/>
      </w:pPr>
      <w:r>
        <w:rPr>
          <w:noProof/>
          <w:lang w:bidi="ar-SA"/>
        </w:rPr>
        <w:drawing>
          <wp:inline distT="0" distB="0" distL="0" distR="0" wp14:anchorId="34B55758" wp14:editId="76CBB5D3">
            <wp:extent cx="5394960" cy="2926080"/>
            <wp:effectExtent l="0" t="0" r="0" b="7620"/>
            <wp:docPr id="4130" name="Chart 4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E46E344" w14:textId="77777777" w:rsidR="00192013" w:rsidRDefault="00192013" w:rsidP="00192013">
      <w:pPr>
        <w:pStyle w:val="Caption"/>
      </w:pPr>
      <w:bookmarkStart w:id="217" w:name="_Ref449125105"/>
      <w:bookmarkStart w:id="218" w:name="_Toc449516688"/>
      <w:bookmarkStart w:id="219" w:name="_Toc530997394"/>
      <w:r>
        <w:t xml:space="preserve">Figure </w:t>
      </w:r>
      <w:r>
        <w:rPr>
          <w:noProof/>
        </w:rPr>
        <w:fldChar w:fldCharType="begin"/>
      </w:r>
      <w:r>
        <w:rPr>
          <w:noProof/>
        </w:rPr>
        <w:instrText xml:space="preserve"> SEQ Figure \* ARABIC </w:instrText>
      </w:r>
      <w:r>
        <w:rPr>
          <w:noProof/>
        </w:rPr>
        <w:fldChar w:fldCharType="separate"/>
      </w:r>
      <w:r w:rsidR="006D52C2">
        <w:rPr>
          <w:noProof/>
        </w:rPr>
        <w:t>38</w:t>
      </w:r>
      <w:r>
        <w:rPr>
          <w:noProof/>
        </w:rPr>
        <w:fldChar w:fldCharType="end"/>
      </w:r>
      <w:bookmarkEnd w:id="217"/>
      <w:r>
        <w:t xml:space="preserve">. </w:t>
      </w:r>
      <w:r w:rsidRPr="00F37BBD">
        <w:t xml:space="preserve">Effect of </w:t>
      </w:r>
      <w:r>
        <w:t xml:space="preserve">APS and </w:t>
      </w:r>
      <w:proofErr w:type="spellStart"/>
      <w:r>
        <w:t>nBS</w:t>
      </w:r>
      <w:proofErr w:type="spellEnd"/>
      <w:r>
        <w:t xml:space="preserve"> glass sphere</w:t>
      </w:r>
      <w:r w:rsidRPr="00F37BBD">
        <w:t xml:space="preserve"> loading in </w:t>
      </w:r>
      <w:r>
        <w:t xml:space="preserve">DGEBA </w:t>
      </w:r>
      <w:r w:rsidRPr="00F37BBD">
        <w:t>epoxy on maximum bound moisture content.</w:t>
      </w:r>
      <w:bookmarkEnd w:id="218"/>
      <w:bookmarkEnd w:id="219"/>
    </w:p>
    <w:p w14:paraId="70896AE9" w14:textId="77777777" w:rsidR="00192013" w:rsidRPr="003B7962" w:rsidRDefault="00192013" w:rsidP="00F77E87"/>
    <w:p w14:paraId="62D76A39" w14:textId="32AF2FCF" w:rsidR="00192013" w:rsidRDefault="00192013" w:rsidP="00F77E87">
      <w:proofErr w:type="spellStart"/>
      <w:r>
        <w:t>Bentzl</w:t>
      </w:r>
      <w:proofErr w:type="spellEnd"/>
      <w:r>
        <w:t xml:space="preserve"> and Neville </w:t>
      </w:r>
      <w:r>
        <w:fldChar w:fldCharType="begin" w:fldLock="1"/>
      </w:r>
      <w:r w:rsidR="00B274D5">
        <w:instrText>ADDIN CSL_CITATION {"citationItems":[{"id":"ITEM-1","itemData":{"author":[{"dropping-particle":"","family":"Bentzl","given":"Ralph W","non-dropping-particle":"","parse-names":false,"suffix":""},{"dropping-particle":"","family":"Neville","given":"Harvey A","non-dropping-particle":"","parse-names":false,"suffix":""}],"id":"ITEM-1","issue":"2","issued":{"date-parts":[["1949"]]},"page":"673-688","title":"Water Content of Hydrophilic Phenol-Formaldehyde Resins : Vapor Pressure-Temperature Relationships","type":"article-journal","volume":"IV"},"uris":["http://www.mendeley.com/documents/?uuid=0af415c4-0d8c-4e9c-90d1-93961c804275"]}],"mendeley":{"formattedCitation":"[121]","plainTextFormattedCitation":"[121]","previouslyFormattedCitation":"[121]"},"properties":{"noteIndex":0},"schema":"https://github.com/citation-style-language/schema/raw/master/csl-citation.json"}</w:instrText>
      </w:r>
      <w:r>
        <w:fldChar w:fldCharType="separate"/>
      </w:r>
      <w:r w:rsidRPr="0066490A">
        <w:rPr>
          <w:noProof/>
        </w:rPr>
        <w:t>[121]</w:t>
      </w:r>
      <w:r>
        <w:fldChar w:fldCharType="end"/>
      </w:r>
      <w:r>
        <w:t xml:space="preserve"> reported that hydrogen bonding can hold water molecules. As shown in </w:t>
      </w:r>
      <w:r>
        <w:fldChar w:fldCharType="begin"/>
      </w:r>
      <w:r>
        <w:instrText xml:space="preserve"> REF _Ref449516616 \h </w:instrText>
      </w:r>
      <w:r w:rsidR="00F77E87">
        <w:instrText xml:space="preserve"> \* MERGEFORMAT </w:instrText>
      </w:r>
      <w:r>
        <w:fldChar w:fldCharType="separate"/>
      </w:r>
      <w:r w:rsidR="006D52C2">
        <w:t xml:space="preserve">Figure </w:t>
      </w:r>
      <w:r w:rsidR="006D52C2">
        <w:rPr>
          <w:noProof/>
        </w:rPr>
        <w:t>39</w:t>
      </w:r>
      <w:r>
        <w:fldChar w:fldCharType="end"/>
      </w:r>
      <w:r>
        <w:t>-a, APS</w:t>
      </w:r>
      <w:r w:rsidRPr="00212570">
        <w:t xml:space="preserve"> </w:t>
      </w:r>
      <w:r>
        <w:t>(</w:t>
      </w:r>
      <w:proofErr w:type="spellStart"/>
      <w:r>
        <w:t>aminopropyltrimethoxysilane</w:t>
      </w:r>
      <w:proofErr w:type="spellEnd"/>
      <w:r>
        <w:t>) has an amine group (NH</w:t>
      </w:r>
      <w:r w:rsidRPr="008D4339">
        <w:rPr>
          <w:vertAlign w:val="subscript"/>
        </w:rPr>
        <w:t>2</w:t>
      </w:r>
      <w:r>
        <w:t xml:space="preserve"> </w:t>
      </w:r>
      <w:r w:rsidR="00584F2D">
        <w:t>group</w:t>
      </w:r>
      <w:r>
        <w:t xml:space="preserve">), which </w:t>
      </w:r>
      <w:r w:rsidR="007D4338">
        <w:t>may</w:t>
      </w:r>
      <w:r>
        <w:t xml:space="preserve"> create hydrogen bonding with H</w:t>
      </w:r>
      <w:r w:rsidRPr="00C5486E">
        <w:rPr>
          <w:vertAlign w:val="subscript"/>
        </w:rPr>
        <w:t>2</w:t>
      </w:r>
      <w:r>
        <w:t>O molecules</w:t>
      </w:r>
      <w:r w:rsidR="007D4338">
        <w:t xml:space="preserve">. </w:t>
      </w:r>
      <w:r>
        <w:t>On the other hand,</w:t>
      </w:r>
      <w:r w:rsidRPr="00212570">
        <w:t xml:space="preserve"> </w:t>
      </w:r>
      <w:proofErr w:type="spellStart"/>
      <w:r>
        <w:t>nBS</w:t>
      </w:r>
      <w:proofErr w:type="spellEnd"/>
      <w:r>
        <w:t xml:space="preserve"> (n-</w:t>
      </w:r>
      <w:proofErr w:type="spellStart"/>
      <w:r>
        <w:t>butyltrimethoxysilane</w:t>
      </w:r>
      <w:proofErr w:type="spellEnd"/>
      <w:r>
        <w:t xml:space="preserve">), shown in </w:t>
      </w:r>
      <w:r>
        <w:fldChar w:fldCharType="begin"/>
      </w:r>
      <w:r>
        <w:instrText xml:space="preserve"> REF _Ref449516616 \h </w:instrText>
      </w:r>
      <w:r w:rsidR="00F77E87">
        <w:instrText xml:space="preserve"> \* MERGEFORMAT </w:instrText>
      </w:r>
      <w:r>
        <w:fldChar w:fldCharType="separate"/>
      </w:r>
      <w:r w:rsidR="006D52C2">
        <w:t xml:space="preserve">Figure </w:t>
      </w:r>
      <w:r w:rsidR="006D52C2">
        <w:rPr>
          <w:noProof/>
        </w:rPr>
        <w:t>39</w:t>
      </w:r>
      <w:r>
        <w:fldChar w:fldCharType="end"/>
      </w:r>
      <w:r>
        <w:t>-b, does not have any hydrogen bond. Hence, the epoxy</w:t>
      </w:r>
      <w:r w:rsidR="007D4338">
        <w:t>/water interaction</w:t>
      </w:r>
      <w:r>
        <w:t xml:space="preserve"> is</w:t>
      </w:r>
      <w:r w:rsidR="007D4338">
        <w:t xml:space="preserve"> assumed to be</w:t>
      </w:r>
      <w:r>
        <w:t xml:space="preserve"> governed by the weak Van der Waals </w:t>
      </w:r>
      <w:r>
        <w:lastRenderedPageBreak/>
        <w:t xml:space="preserve">interactions. </w:t>
      </w:r>
      <w:r w:rsidRPr="00415D50">
        <w:t xml:space="preserve">Moreover, free electron of </w:t>
      </w:r>
      <w:r>
        <w:t>nitrogen of amine group of APS</w:t>
      </w:r>
      <w:r w:rsidRPr="00415D50">
        <w:t xml:space="preserve"> and hydrogen of the highly polarized water molecules </w:t>
      </w:r>
      <w:r w:rsidR="007D4338">
        <w:t>may</w:t>
      </w:r>
      <w:r w:rsidRPr="00415D50">
        <w:t xml:space="preserve"> be electromagnetically bound and hold indefinite number of moisture molecules</w:t>
      </w:r>
      <w:r>
        <w:t>. Thus, addition of APS treated glass spheres are</w:t>
      </w:r>
      <w:r w:rsidR="007D4338">
        <w:t xml:space="preserve"> assumed to</w:t>
      </w:r>
      <w:r>
        <w:t xml:space="preserve"> act</w:t>
      </w:r>
      <w:r w:rsidR="007D4338">
        <w:t xml:space="preserve"> as a </w:t>
      </w:r>
      <w:r>
        <w:t>better</w:t>
      </w:r>
      <w:r w:rsidR="007D4338">
        <w:t xml:space="preserve"> water</w:t>
      </w:r>
      <w:r>
        <w:t xml:space="preserve"> bonding sites than </w:t>
      </w:r>
      <w:proofErr w:type="spellStart"/>
      <w:r>
        <w:t>nBS</w:t>
      </w:r>
      <w:proofErr w:type="spellEnd"/>
      <w:r>
        <w:t xml:space="preserve"> treated glass spheres. Additional bonding sites </w:t>
      </w:r>
      <w:r w:rsidR="007D4338">
        <w:t>are anticipated to cause</w:t>
      </w:r>
      <w:r>
        <w:t xml:space="preserve"> retardation in reaching the equilibrium; which in turn results in a higher increase in the hindrance coefficient. For the </w:t>
      </w:r>
      <w:proofErr w:type="spellStart"/>
      <w:r>
        <w:t>nBS</w:t>
      </w:r>
      <w:proofErr w:type="spellEnd"/>
      <w:r>
        <w:t xml:space="preserve"> case, weak Van der Waals attractions between the </w:t>
      </w:r>
      <w:proofErr w:type="spellStart"/>
      <w:r>
        <w:t>nBS</w:t>
      </w:r>
      <w:proofErr w:type="spellEnd"/>
      <w:r>
        <w:t xml:space="preserve"> and the moisture molecules create faster conversion between bound and unbound moisture. The fast transformation between bound and unbound moisture leads to early dynamic equilibrium, which can be seen in samples with lower hindrance coefficient.</w:t>
      </w:r>
    </w:p>
    <w:p w14:paraId="7D12F707" w14:textId="77777777" w:rsidR="00192013" w:rsidRDefault="00192013" w:rsidP="00192013">
      <w:pPr>
        <w:spacing w:line="360" w:lineRule="auto"/>
        <w:ind w:firstLine="0"/>
        <w:jc w:val="center"/>
      </w:pPr>
      <w:proofErr w:type="gramStart"/>
      <w:r>
        <w:t>a</w:t>
      </w:r>
      <w:proofErr w:type="gramEnd"/>
      <w:r>
        <w:t>)</w:t>
      </w:r>
      <w:r>
        <w:rPr>
          <w:noProof/>
        </w:rPr>
        <w:drawing>
          <wp:inline distT="0" distB="0" distL="0" distR="0" wp14:anchorId="7A23D271" wp14:editId="4B4D33DC">
            <wp:extent cx="2602444" cy="1554480"/>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02444" cy="1554480"/>
                    </a:xfrm>
                    <a:prstGeom prst="rect">
                      <a:avLst/>
                    </a:prstGeom>
                    <a:noFill/>
                    <a:ln>
                      <a:noFill/>
                    </a:ln>
                  </pic:spPr>
                </pic:pic>
              </a:graphicData>
            </a:graphic>
          </wp:inline>
        </w:drawing>
      </w:r>
      <w:r>
        <w:t>b)</w:t>
      </w:r>
      <w:r>
        <w:rPr>
          <w:noProof/>
        </w:rPr>
        <w:drawing>
          <wp:inline distT="0" distB="0" distL="0" distR="0" wp14:anchorId="6BCB4DAB" wp14:editId="716F95A6">
            <wp:extent cx="2151681" cy="1554480"/>
            <wp:effectExtent l="0" t="0" r="127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51681" cy="1554480"/>
                    </a:xfrm>
                    <a:prstGeom prst="rect">
                      <a:avLst/>
                    </a:prstGeom>
                    <a:noFill/>
                    <a:ln>
                      <a:noFill/>
                    </a:ln>
                  </pic:spPr>
                </pic:pic>
              </a:graphicData>
            </a:graphic>
          </wp:inline>
        </w:drawing>
      </w:r>
    </w:p>
    <w:p w14:paraId="5B9BBE14" w14:textId="77777777" w:rsidR="00192013" w:rsidRDefault="00192013" w:rsidP="00192013">
      <w:pPr>
        <w:pStyle w:val="Caption"/>
      </w:pPr>
      <w:bookmarkStart w:id="220" w:name="_Ref449516616"/>
      <w:bookmarkStart w:id="221" w:name="_Toc449516693"/>
      <w:bookmarkStart w:id="222" w:name="_Toc530997395"/>
      <w:r>
        <w:t xml:space="preserve">Figure </w:t>
      </w:r>
      <w:r>
        <w:rPr>
          <w:noProof/>
        </w:rPr>
        <w:fldChar w:fldCharType="begin"/>
      </w:r>
      <w:r>
        <w:rPr>
          <w:noProof/>
        </w:rPr>
        <w:instrText xml:space="preserve"> SEQ Figure \* ARABIC </w:instrText>
      </w:r>
      <w:r>
        <w:rPr>
          <w:noProof/>
        </w:rPr>
        <w:fldChar w:fldCharType="separate"/>
      </w:r>
      <w:r w:rsidR="006D52C2">
        <w:rPr>
          <w:noProof/>
        </w:rPr>
        <w:t>39</w:t>
      </w:r>
      <w:r>
        <w:rPr>
          <w:noProof/>
        </w:rPr>
        <w:fldChar w:fldCharType="end"/>
      </w:r>
      <w:bookmarkEnd w:id="220"/>
      <w:r>
        <w:t>. 2D chemical representation of a) APS,</w:t>
      </w:r>
      <w:r w:rsidRPr="00652137">
        <w:t xml:space="preserve"> </w:t>
      </w:r>
      <w:proofErr w:type="spellStart"/>
      <w:r>
        <w:t>aminopropyltrimethoxysilane</w:t>
      </w:r>
      <w:proofErr w:type="spellEnd"/>
      <w:r>
        <w:t xml:space="preserve"> and b) </w:t>
      </w:r>
      <w:proofErr w:type="spellStart"/>
      <w:r>
        <w:t>nBS</w:t>
      </w:r>
      <w:proofErr w:type="spellEnd"/>
      <w:r>
        <w:t>, n-</w:t>
      </w:r>
      <w:proofErr w:type="spellStart"/>
      <w:r>
        <w:t>butyltrimethoxysilane</w:t>
      </w:r>
      <w:bookmarkEnd w:id="221"/>
      <w:proofErr w:type="spellEnd"/>
      <w:r>
        <w:t>.</w:t>
      </w:r>
      <w:bookmarkEnd w:id="222"/>
    </w:p>
    <w:p w14:paraId="00D7ECE5" w14:textId="77777777" w:rsidR="00192013" w:rsidRDefault="00192013" w:rsidP="00192013">
      <w:pPr>
        <w:spacing w:after="120"/>
      </w:pPr>
    </w:p>
    <w:p w14:paraId="76A7C8AE" w14:textId="77777777" w:rsidR="00192013" w:rsidRDefault="00192013" w:rsidP="00BB2C1B">
      <w:pPr>
        <w:pStyle w:val="Heading2"/>
      </w:pPr>
      <w:bookmarkStart w:id="223" w:name="_Toc531943767"/>
      <w:r>
        <w:t>3.3. Hollow Micro Glass Sphere/Epoxy Composite Layer on Neat Epoxy</w:t>
      </w:r>
      <w:bookmarkEnd w:id="223"/>
    </w:p>
    <w:p w14:paraId="1DCAC3F5" w14:textId="77777777" w:rsidR="00192013" w:rsidRDefault="00192013" w:rsidP="00F77E87">
      <w:r>
        <w:t>In this study, glass sphere/epoxy layer has been formed on epoxy to seek the moisture absorption kinetics of the layers and the composite and validate multilayer hindered diffusion model.</w:t>
      </w:r>
    </w:p>
    <w:p w14:paraId="06CC600E" w14:textId="77777777" w:rsidR="00192013" w:rsidRDefault="00192013" w:rsidP="00B63058">
      <w:pPr>
        <w:pStyle w:val="Heading3"/>
        <w:numPr>
          <w:ilvl w:val="0"/>
          <w:numId w:val="42"/>
        </w:numPr>
      </w:pPr>
      <w:bookmarkStart w:id="224" w:name="_Toc531943768"/>
      <w:r w:rsidRPr="005A3E52">
        <w:lastRenderedPageBreak/>
        <w:t>Materials and Sample Preparation</w:t>
      </w:r>
      <w:r>
        <w:t xml:space="preserve"> of </w:t>
      </w:r>
      <w:r w:rsidRPr="00B63058">
        <w:rPr>
          <w:rFonts w:cs="Times New Roman"/>
        </w:rPr>
        <w:t xml:space="preserve">Micro Glass Sphere/EPON 862-EPON 862 </w:t>
      </w:r>
      <w:r>
        <w:t>Multilayer Composite</w:t>
      </w:r>
      <w:bookmarkEnd w:id="224"/>
    </w:p>
    <w:p w14:paraId="698DA897" w14:textId="396E92E5" w:rsidR="00192013" w:rsidRDefault="00192013" w:rsidP="00F77E87">
      <w:r w:rsidRPr="005A3E52">
        <w:t xml:space="preserve">The epoxy resin and curing agent used in this study </w:t>
      </w:r>
      <w:r>
        <w:t>i</w:t>
      </w:r>
      <w:r w:rsidRPr="005A3E52">
        <w:t xml:space="preserve">s </w:t>
      </w:r>
      <w:r>
        <w:t xml:space="preserve">selected as </w:t>
      </w:r>
      <w:r w:rsidRPr="005A3E52">
        <w:t xml:space="preserve">EPON 862 and </w:t>
      </w:r>
      <w:proofErr w:type="spellStart"/>
      <w:r w:rsidRPr="005A3E52">
        <w:t>Epikure</w:t>
      </w:r>
      <w:proofErr w:type="spellEnd"/>
      <w:r w:rsidRPr="005A3E52">
        <w:t xml:space="preserve"> W (Momentive Performance Materials Inc.), respectively. </w:t>
      </w:r>
      <w:r>
        <w:t>To produce a glass sphere/epoxy layer on top of the epoxy, 3M IM30K hollow micro glass spheres are chosen due to their low density (</w:t>
      </w:r>
      <m:oMath>
        <m:r>
          <w:rPr>
            <w:rFonts w:ascii="Cambria Math" w:hAnsi="Cambria Math"/>
          </w:rPr>
          <m:t>ρ=0.6 g/cc</m:t>
        </m:r>
      </m:oMath>
      <w:r>
        <w:t xml:space="preserve">). First, SEM images of glass sphere powder are taken to observe the size distribution of the spheres. A representative SEM image of the glass sphere powder as received is shown in </w:t>
      </w:r>
      <w:r>
        <w:fldChar w:fldCharType="begin"/>
      </w:r>
      <w:r>
        <w:instrText xml:space="preserve"> REF _Ref521942195 \h </w:instrText>
      </w:r>
      <w:r w:rsidR="00F77E87">
        <w:instrText xml:space="preserve"> \* MERGEFORMAT </w:instrText>
      </w:r>
      <w:r>
        <w:fldChar w:fldCharType="separate"/>
      </w:r>
      <w:r w:rsidR="006D52C2">
        <w:t xml:space="preserve">Figure </w:t>
      </w:r>
      <w:r w:rsidR="006D52C2">
        <w:rPr>
          <w:noProof/>
        </w:rPr>
        <w:t>40</w:t>
      </w:r>
      <w:r>
        <w:fldChar w:fldCharType="end"/>
      </w:r>
      <w:r>
        <w:t xml:space="preserve">a. As seen in </w:t>
      </w:r>
      <w:r>
        <w:fldChar w:fldCharType="begin"/>
      </w:r>
      <w:r>
        <w:instrText xml:space="preserve"> REF _Ref521942195 \h </w:instrText>
      </w:r>
      <w:r w:rsidR="00F77E87">
        <w:instrText xml:space="preserve"> \* MERGEFORMAT </w:instrText>
      </w:r>
      <w:r>
        <w:fldChar w:fldCharType="separate"/>
      </w:r>
      <w:r w:rsidR="006D52C2">
        <w:t xml:space="preserve">Figure </w:t>
      </w:r>
      <w:r w:rsidR="006D52C2">
        <w:rPr>
          <w:noProof/>
        </w:rPr>
        <w:t>40</w:t>
      </w:r>
      <w:r>
        <w:fldChar w:fldCharType="end"/>
      </w:r>
      <w:r>
        <w:t xml:space="preserve">a, spheres have a wide range of size distribution which correlates well with the diameter distribution given by the manufacturer. To have a more uniform size distribution, the glass sphere powder is further sieved using </w:t>
      </w:r>
      <w:r w:rsidR="00E454F6">
        <w:t xml:space="preserve">a </w:t>
      </w:r>
      <w:r>
        <w:t>mechanical sieve shaker (Gilson Performer III).</w:t>
      </w:r>
      <w:r w:rsidRPr="00D82D44">
        <w:t xml:space="preserve"> </w:t>
      </w:r>
      <w:r>
        <w:t xml:space="preserve">Glass spheres greater than 45µm and smaller than 20µm are discarded. The purpose is to better characterize the moisture absorption behavior by having more uniform glass sphere size. </w:t>
      </w:r>
      <w:r>
        <w:fldChar w:fldCharType="begin"/>
      </w:r>
      <w:r>
        <w:instrText xml:space="preserve"> REF _Ref521942195 \h </w:instrText>
      </w:r>
      <w:r w:rsidR="00F77E87">
        <w:instrText xml:space="preserve"> \* MERGEFORMAT </w:instrText>
      </w:r>
      <w:r>
        <w:fldChar w:fldCharType="separate"/>
      </w:r>
      <w:r w:rsidR="006D52C2">
        <w:t xml:space="preserve">Figure </w:t>
      </w:r>
      <w:r w:rsidR="006D52C2">
        <w:rPr>
          <w:noProof/>
        </w:rPr>
        <w:t>40</w:t>
      </w:r>
      <w:r>
        <w:fldChar w:fldCharType="end"/>
      </w:r>
      <w:r>
        <w:t xml:space="preserve">b illustrates a representative SEM image of glass spheres after sieving. Sieved glass size distribution is estimated by using SEM images of approximately 500 spheres. Size histogram is illustrated in </w:t>
      </w:r>
      <w:r>
        <w:fldChar w:fldCharType="begin"/>
      </w:r>
      <w:r>
        <w:instrText xml:space="preserve"> REF _Ref521942257 \h </w:instrText>
      </w:r>
      <w:r w:rsidR="00F77E87">
        <w:instrText xml:space="preserve"> \* MERGEFORMAT </w:instrText>
      </w:r>
      <w:r>
        <w:fldChar w:fldCharType="separate"/>
      </w:r>
      <w:r w:rsidR="006D52C2">
        <w:t xml:space="preserve">Figure </w:t>
      </w:r>
      <w:r w:rsidR="006D52C2">
        <w:rPr>
          <w:noProof/>
        </w:rPr>
        <w:t>41</w:t>
      </w:r>
      <w:r>
        <w:fldChar w:fldCharType="end"/>
      </w:r>
      <w:r>
        <w:t>. Sieved glass spheres have more concentrated size distribution having average sphere size of 25 ± 0.44</w:t>
      </w:r>
      <w:r w:rsidRPr="00262B1B">
        <w:t xml:space="preserve"> </w:t>
      </w:r>
      <w:r>
        <w:t>µm. Density of the sieved hollow glass spheres are measured using pycnometer as 0.44 g/cc.</w:t>
      </w:r>
      <w:r w:rsidRPr="00E25B03">
        <w:rPr>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192013" w14:paraId="60A57FAA" w14:textId="77777777" w:rsidTr="00A440CD">
        <w:tc>
          <w:tcPr>
            <w:tcW w:w="4243" w:type="dxa"/>
          </w:tcPr>
          <w:p w14:paraId="7A8988D6" w14:textId="77777777" w:rsidR="00192013" w:rsidRDefault="00192013" w:rsidP="00A440CD">
            <w:pPr>
              <w:pStyle w:val="NoSpacing"/>
            </w:pPr>
            <w:r>
              <w:rPr>
                <w:noProof/>
                <w:lang w:bidi="ar-SA"/>
              </w:rPr>
              <w:lastRenderedPageBreak/>
              <mc:AlternateContent>
                <mc:Choice Requires="wps">
                  <w:drawing>
                    <wp:anchor distT="45720" distB="45720" distL="114300" distR="114300" simplePos="0" relativeHeight="251676672" behindDoc="0" locked="0" layoutInCell="1" allowOverlap="1" wp14:anchorId="60CCFD4F" wp14:editId="331EB137">
                      <wp:simplePos x="0" y="0"/>
                      <wp:positionH relativeFrom="column">
                        <wp:posOffset>-1905</wp:posOffset>
                      </wp:positionH>
                      <wp:positionV relativeFrom="paragraph">
                        <wp:posOffset>-635</wp:posOffset>
                      </wp:positionV>
                      <wp:extent cx="323850" cy="1404620"/>
                      <wp:effectExtent l="0" t="0" r="0" b="0"/>
                      <wp:wrapNone/>
                      <wp:docPr id="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2600849C" w14:textId="77777777" w:rsidR="000A15D2" w:rsidRDefault="000A15D2" w:rsidP="00192013">
                                  <w:pPr>
                                    <w:spacing w:line="240" w:lineRule="auto"/>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CCFD4F" id="_x0000_s1034" type="#_x0000_t202" style="position:absolute;left:0;text-align:left;margin-left:-.15pt;margin-top:-.05pt;width:25.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" stroked="f">
                      <v:textbox style="mso-fit-shape-to-text:t">
                        <w:txbxContent>
                          <w:p w14:paraId="2600849C" w14:textId="77777777" w:rsidR="000A15D2" w:rsidRDefault="000A15D2" w:rsidP="00192013">
                            <w:pPr>
                              <w:spacing w:line="240" w:lineRule="auto"/>
                              <w:ind w:firstLine="0"/>
                            </w:pPr>
                            <w:r>
                              <w:t>a)</w:t>
                            </w:r>
                          </w:p>
                        </w:txbxContent>
                      </v:textbox>
                    </v:shape>
                  </w:pict>
                </mc:Fallback>
              </mc:AlternateContent>
            </w:r>
            <w:r>
              <w:rPr>
                <w:noProof/>
                <w:lang w:bidi="ar-SA"/>
              </w:rPr>
              <w:drawing>
                <wp:inline distT="0" distB="0" distL="0" distR="0" wp14:anchorId="3B816BF0" wp14:editId="6F16B1AC">
                  <wp:extent cx="2508322" cy="2743200"/>
                  <wp:effectExtent l="0" t="0" r="6350" b="0"/>
                  <wp:docPr id="2" name="Picture 2" descr="C:\Users\Administrator\Desktop\proje\PhD Dissertation\3M glass-epoxy multilayuer\Figures on Dissertation\Glass-Untreated-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proje\PhD Dissertation\3M glass-epoxy multilayuer\Figures on Dissertation\Glass-Untreated-5.t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08322" cy="2743200"/>
                          </a:xfrm>
                          <a:prstGeom prst="rect">
                            <a:avLst/>
                          </a:prstGeom>
                          <a:noFill/>
                          <a:ln>
                            <a:noFill/>
                          </a:ln>
                        </pic:spPr>
                      </pic:pic>
                    </a:graphicData>
                  </a:graphic>
                </wp:inline>
              </w:drawing>
            </w:r>
          </w:p>
        </w:tc>
        <w:tc>
          <w:tcPr>
            <w:tcW w:w="4243" w:type="dxa"/>
          </w:tcPr>
          <w:p w14:paraId="09536DBC" w14:textId="77777777" w:rsidR="00192013" w:rsidRDefault="00192013" w:rsidP="00A440CD">
            <w:pPr>
              <w:pStyle w:val="NoSpacing"/>
            </w:pPr>
            <w:r>
              <w:rPr>
                <w:noProof/>
                <w:lang w:bidi="ar-SA"/>
              </w:rPr>
              <mc:AlternateContent>
                <mc:Choice Requires="wps">
                  <w:drawing>
                    <wp:anchor distT="45720" distB="45720" distL="114300" distR="114300" simplePos="0" relativeHeight="251677696" behindDoc="0" locked="0" layoutInCell="1" allowOverlap="1" wp14:anchorId="54AB0B5E" wp14:editId="40E006F7">
                      <wp:simplePos x="0" y="0"/>
                      <wp:positionH relativeFrom="column">
                        <wp:posOffset>-635</wp:posOffset>
                      </wp:positionH>
                      <wp:positionV relativeFrom="paragraph">
                        <wp:posOffset>-635</wp:posOffset>
                      </wp:positionV>
                      <wp:extent cx="323850" cy="1404620"/>
                      <wp:effectExtent l="0" t="0" r="0" b="0"/>
                      <wp:wrapNone/>
                      <wp:docPr id="4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079C78FD" w14:textId="77777777" w:rsidR="000A15D2" w:rsidRDefault="000A15D2" w:rsidP="00192013">
                                  <w:pPr>
                                    <w:spacing w:line="240" w:lineRule="auto"/>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B0B5E" id="_x0000_s1035" type="#_x0000_t202" style="position:absolute;left:0;text-align:left;margin-left:-.05pt;margin-top:-.05pt;width:25.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JAJAIAACUEAAAOAAAAZHJzL2Uyb0RvYy54bWysU9uO2yAQfa/Uf0C8N76sky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" stroked="f">
                      <v:textbox style="mso-fit-shape-to-text:t">
                        <w:txbxContent>
                          <w:p w14:paraId="079C78FD" w14:textId="77777777" w:rsidR="000A15D2" w:rsidRDefault="000A15D2" w:rsidP="00192013">
                            <w:pPr>
                              <w:spacing w:line="240" w:lineRule="auto"/>
                              <w:ind w:firstLine="0"/>
                            </w:pPr>
                            <w:r>
                              <w:t>b)</w:t>
                            </w:r>
                          </w:p>
                        </w:txbxContent>
                      </v:textbox>
                    </v:shape>
                  </w:pict>
                </mc:Fallback>
              </mc:AlternateContent>
            </w:r>
            <w:r>
              <w:rPr>
                <w:noProof/>
                <w:lang w:bidi="ar-SA"/>
              </w:rPr>
              <w:drawing>
                <wp:inline distT="0" distB="0" distL="0" distR="0" wp14:anchorId="6D780832" wp14:editId="30DF5788">
                  <wp:extent cx="2508322" cy="2743200"/>
                  <wp:effectExtent l="0" t="0" r="6350" b="0"/>
                  <wp:docPr id="21" name="Picture 21" descr="C:\Users\Administrator\Desktop\proje\PhD Dissertation\3M glass-epoxy multilayuer\Figures on Dissertation\20-45-top-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proje\PhD Dissertation\3M glass-epoxy multilayuer\Figures on Dissertation\20-45-top-2.t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08322" cy="2743200"/>
                          </a:xfrm>
                          <a:prstGeom prst="rect">
                            <a:avLst/>
                          </a:prstGeom>
                          <a:noFill/>
                          <a:ln>
                            <a:noFill/>
                          </a:ln>
                        </pic:spPr>
                      </pic:pic>
                    </a:graphicData>
                  </a:graphic>
                </wp:inline>
              </w:drawing>
            </w:r>
          </w:p>
        </w:tc>
      </w:tr>
    </w:tbl>
    <w:p w14:paraId="481F89B4" w14:textId="77777777" w:rsidR="00192013" w:rsidRDefault="00192013" w:rsidP="00192013">
      <w:pPr>
        <w:pStyle w:val="Caption"/>
      </w:pPr>
      <w:bookmarkStart w:id="225" w:name="_Ref521942195"/>
      <w:bookmarkStart w:id="226" w:name="_Toc530997396"/>
      <w:r>
        <w:t xml:space="preserve">Figure </w:t>
      </w:r>
      <w:r>
        <w:rPr>
          <w:noProof/>
        </w:rPr>
        <w:fldChar w:fldCharType="begin"/>
      </w:r>
      <w:r>
        <w:rPr>
          <w:noProof/>
        </w:rPr>
        <w:instrText xml:space="preserve"> SEQ Figure \* ARABIC </w:instrText>
      </w:r>
      <w:r>
        <w:rPr>
          <w:noProof/>
        </w:rPr>
        <w:fldChar w:fldCharType="separate"/>
      </w:r>
      <w:r w:rsidR="006D52C2">
        <w:rPr>
          <w:noProof/>
        </w:rPr>
        <w:t>40</w:t>
      </w:r>
      <w:r>
        <w:rPr>
          <w:noProof/>
        </w:rPr>
        <w:fldChar w:fldCharType="end"/>
      </w:r>
      <w:bookmarkEnd w:id="225"/>
      <w:r>
        <w:t xml:space="preserve">. Representative SEM image of glass spheres </w:t>
      </w:r>
      <w:r w:rsidRPr="00B61EB0">
        <w:rPr>
          <w:i/>
        </w:rPr>
        <w:t xml:space="preserve">a) </w:t>
      </w:r>
      <w:r>
        <w:t xml:space="preserve">as received </w:t>
      </w:r>
      <w:r w:rsidRPr="00B61EB0">
        <w:rPr>
          <w:i/>
        </w:rPr>
        <w:t>b)</w:t>
      </w:r>
      <w:r>
        <w:t xml:space="preserve"> sieved.</w:t>
      </w:r>
      <w:bookmarkEnd w:id="226"/>
    </w:p>
    <w:p w14:paraId="7CF29C46" w14:textId="77777777" w:rsidR="00192013" w:rsidRPr="00B61EB0" w:rsidRDefault="00192013" w:rsidP="00192013"/>
    <w:p w14:paraId="02621A20" w14:textId="0CE74A2D" w:rsidR="00192013" w:rsidRDefault="00E454F6" w:rsidP="00F77E87">
      <w:r>
        <w:t>Glass spheres are</w:t>
      </w:r>
      <w:r w:rsidR="00192013">
        <w:t xml:space="preserve"> mixed with epoxy at 100 RPM for 5 minutes to obtain 9.2, 19.7, and 50.0 wt</w:t>
      </w:r>
      <w:proofErr w:type="gramStart"/>
      <w:r w:rsidR="00192013">
        <w:t>.%</w:t>
      </w:r>
      <w:proofErr w:type="gramEnd"/>
      <w:r w:rsidR="00192013">
        <w:t xml:space="preserve"> (21, 40, and 71 </w:t>
      </w:r>
      <w:proofErr w:type="spellStart"/>
      <w:r w:rsidR="00192013">
        <w:t>vol</w:t>
      </w:r>
      <w:proofErr w:type="spellEnd"/>
      <w:r w:rsidR="00192013">
        <w:t>%). Then, the mixture is sonicated at 42 kHz for 1 hour in 5 second on, 5 second off cycles. Throughout the sonication process, the mixture is kept in an icy water bath to eliminate the localized overheating or resin degradation.</w:t>
      </w:r>
    </w:p>
    <w:p w14:paraId="0890F84C" w14:textId="77777777" w:rsidR="00192013" w:rsidRDefault="00192013" w:rsidP="00192013">
      <w:pPr>
        <w:pStyle w:val="NoSpacing"/>
      </w:pPr>
      <w:r>
        <w:rPr>
          <w:noProof/>
          <w:lang w:bidi="ar-SA"/>
        </w:rPr>
        <w:drawing>
          <wp:inline distT="0" distB="0" distL="0" distR="0" wp14:anchorId="032DCF81" wp14:editId="0F7E4C34">
            <wp:extent cx="5394960" cy="24574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C9237B4" w14:textId="77777777" w:rsidR="00192013" w:rsidRDefault="00192013" w:rsidP="00192013">
      <w:pPr>
        <w:pStyle w:val="Caption"/>
      </w:pPr>
      <w:bookmarkStart w:id="227" w:name="_Ref521942257"/>
      <w:bookmarkStart w:id="228" w:name="_Toc530997397"/>
      <w:r>
        <w:t xml:space="preserve">Figure </w:t>
      </w:r>
      <w:r>
        <w:rPr>
          <w:noProof/>
        </w:rPr>
        <w:fldChar w:fldCharType="begin"/>
      </w:r>
      <w:r>
        <w:rPr>
          <w:noProof/>
        </w:rPr>
        <w:instrText xml:space="preserve"> SEQ Figure \* ARABIC </w:instrText>
      </w:r>
      <w:r>
        <w:rPr>
          <w:noProof/>
        </w:rPr>
        <w:fldChar w:fldCharType="separate"/>
      </w:r>
      <w:r w:rsidR="006D52C2">
        <w:rPr>
          <w:noProof/>
        </w:rPr>
        <w:t>41</w:t>
      </w:r>
      <w:r>
        <w:rPr>
          <w:noProof/>
        </w:rPr>
        <w:fldChar w:fldCharType="end"/>
      </w:r>
      <w:bookmarkEnd w:id="227"/>
      <w:r>
        <w:t>. Hollow glass sphere size distribution.</w:t>
      </w:r>
      <w:bookmarkEnd w:id="228"/>
    </w:p>
    <w:p w14:paraId="506FD8C9" w14:textId="77777777" w:rsidR="00192013" w:rsidRDefault="00192013" w:rsidP="00192013">
      <w:pPr>
        <w:spacing w:after="120"/>
        <w:rPr>
          <w:rFonts w:cs="Times New Roman"/>
          <w:szCs w:val="24"/>
        </w:rPr>
      </w:pPr>
    </w:p>
    <w:p w14:paraId="57E10FA6" w14:textId="05C9E382" w:rsidR="00F77E87" w:rsidRDefault="00192013" w:rsidP="003F56CD">
      <w:r>
        <w:lastRenderedPageBreak/>
        <w:t>After the sonication, t</w:t>
      </w:r>
      <w:r w:rsidRPr="005A3E52">
        <w:t>he epoxy resin</w:t>
      </w:r>
      <w:r>
        <w:t>-nanoclay mixture</w:t>
      </w:r>
      <w:r w:rsidRPr="005A3E52">
        <w:t xml:space="preserve"> and curing agent is mixed at a ratio of 100:26.4 by weight</w:t>
      </w:r>
      <w:r>
        <w:t xml:space="preserve"> at 100 RPM for 15 minutes</w:t>
      </w:r>
      <w:r w:rsidRPr="005A3E52">
        <w:t>. The mixture is then degassed f</w:t>
      </w:r>
      <w:r>
        <w:t>or 1</w:t>
      </w:r>
      <w:r w:rsidRPr="005A3E52">
        <w:t xml:space="preserve"> hour at room temperature to remove the trapped air. </w:t>
      </w:r>
      <w:r>
        <w:t>Subsequently, curing, cutting, drying</w:t>
      </w:r>
      <w:r w:rsidR="007D4338">
        <w:t>,</w:t>
      </w:r>
      <w:r>
        <w:t xml:space="preserve"> and moisture absorption testing procedures described in section 3.1.</w:t>
      </w:r>
      <w:r>
        <w:fldChar w:fldCharType="begin"/>
      </w:r>
      <w:r>
        <w:instrText xml:space="preserve"> REF _Ref521933631 \r \h </w:instrText>
      </w:r>
      <w:r w:rsidR="00F77E87">
        <w:instrText xml:space="preserve"> \* MERGEFORMAT </w:instrText>
      </w:r>
      <w:r>
        <w:fldChar w:fldCharType="separate"/>
      </w:r>
      <w:proofErr w:type="gramStart"/>
      <w:r w:rsidR="006D52C2">
        <w:t>iii</w:t>
      </w:r>
      <w:proofErr w:type="gramEnd"/>
      <w:r>
        <w:fldChar w:fldCharType="end"/>
      </w:r>
      <w:r>
        <w:t xml:space="preserve"> are applied. Average thickness of each set of samples with layer thickness of 31%, 57%, and 100% were measured as 1.15, 0.90, and 0.93 mm, respectively. The samples are thin enough to assume no moisture ingress through </w:t>
      </w:r>
      <w:r w:rsidR="003F56CD">
        <w:t>the much smaller side surfaces.</w:t>
      </w:r>
    </w:p>
    <w:p w14:paraId="3CE27998" w14:textId="77777777" w:rsidR="00192013" w:rsidRDefault="00192013" w:rsidP="00B63058">
      <w:pPr>
        <w:pStyle w:val="Heading3"/>
        <w:numPr>
          <w:ilvl w:val="0"/>
          <w:numId w:val="2"/>
        </w:numPr>
      </w:pPr>
      <w:bookmarkStart w:id="229" w:name="_Toc531943769"/>
      <w:r>
        <w:t xml:space="preserve">Moisture Absorption Test Results of </w:t>
      </w:r>
      <w:r w:rsidRPr="00B63058">
        <w:rPr>
          <w:rFonts w:cs="Times New Roman"/>
        </w:rPr>
        <w:t xml:space="preserve">Micro Glass Sphere/EPON 862-EPON 862 </w:t>
      </w:r>
      <w:r>
        <w:t>Multilayer Composite and Validation of Multilayer Absorption Model</w:t>
      </w:r>
      <w:bookmarkEnd w:id="229"/>
    </w:p>
    <w:p w14:paraId="575F95C2" w14:textId="6F993C2A" w:rsidR="00192013" w:rsidRDefault="00192013" w:rsidP="00F77E87">
      <w:r>
        <w:t xml:space="preserve">In order to utilize multilayer hindered diffusion model, thickness of the glass sphere layer in each laminate is determined using SEM imaging. In </w:t>
      </w:r>
      <w:r>
        <w:fldChar w:fldCharType="begin"/>
      </w:r>
      <w:r>
        <w:instrText xml:space="preserve"> REF _Ref522009253 \h </w:instrText>
      </w:r>
      <w:r w:rsidR="00F77E87">
        <w:instrText xml:space="preserve"> \* MERGEFORMAT </w:instrText>
      </w:r>
      <w:r>
        <w:fldChar w:fldCharType="separate"/>
      </w:r>
      <w:r w:rsidR="006D52C2">
        <w:t xml:space="preserve">Figure </w:t>
      </w:r>
      <w:r w:rsidR="006D52C2">
        <w:rPr>
          <w:noProof/>
        </w:rPr>
        <w:t>42</w:t>
      </w:r>
      <w:r>
        <w:fldChar w:fldCharType="end"/>
      </w:r>
      <w:r>
        <w:fldChar w:fldCharType="begin"/>
      </w:r>
      <w:r>
        <w:instrText xml:space="preserve"> REF _Ref522009257 \h </w:instrText>
      </w:r>
      <w:r w:rsidR="00F77E87">
        <w:instrText xml:space="preserve"> \* MERGEFORMAT </w:instrText>
      </w:r>
      <w:r>
        <w:fldChar w:fldCharType="separate"/>
      </w:r>
      <w:r w:rsidR="006D52C2">
        <w:t xml:space="preserve">Figure </w:t>
      </w:r>
      <w:r w:rsidR="006D52C2">
        <w:rPr>
          <w:noProof/>
        </w:rPr>
        <w:t>44</w:t>
      </w:r>
      <w:r>
        <w:fldChar w:fldCharType="end"/>
      </w:r>
      <w:r>
        <w:t>, glass sphere/epoxy layer formation on the neat epoxy can be observed. Due to its low density (</w:t>
      </w:r>
      <m:oMath>
        <m:r>
          <w:rPr>
            <w:rFonts w:ascii="Cambria Math" w:hAnsi="Cambria Math"/>
          </w:rPr>
          <m:t>ρ=0.44 g/cc</m:t>
        </m:r>
      </m:oMath>
      <w:r>
        <w:t xml:space="preserve">), glass spheres float on the epoxy resin when gravity cast, thus forming a layer. </w:t>
      </w:r>
      <w:r>
        <w:fldChar w:fldCharType="begin"/>
      </w:r>
      <w:r>
        <w:instrText xml:space="preserve"> REF _Ref522009253 \h </w:instrText>
      </w:r>
      <w:r w:rsidR="00F77E87">
        <w:instrText xml:space="preserve"> \* MERGEFORMAT </w:instrText>
      </w:r>
      <w:r>
        <w:fldChar w:fldCharType="separate"/>
      </w:r>
      <w:r w:rsidR="006D52C2">
        <w:t xml:space="preserve">Figure </w:t>
      </w:r>
      <w:r w:rsidR="006D52C2">
        <w:rPr>
          <w:noProof/>
        </w:rPr>
        <w:t>42</w:t>
      </w:r>
      <w:r>
        <w:fldChar w:fldCharType="end"/>
      </w:r>
      <w:r>
        <w:t>-</w:t>
      </w:r>
      <w:r>
        <w:fldChar w:fldCharType="begin"/>
      </w:r>
      <w:r>
        <w:instrText xml:space="preserve"> REF _Ref522009257 \h </w:instrText>
      </w:r>
      <w:r w:rsidR="00F77E87">
        <w:instrText xml:space="preserve"> \* MERGEFORMAT </w:instrText>
      </w:r>
      <w:r>
        <w:fldChar w:fldCharType="separate"/>
      </w:r>
      <w:r w:rsidR="006D52C2">
        <w:rPr>
          <w:noProof/>
        </w:rPr>
        <w:t>Figure</w:t>
      </w:r>
      <w:r w:rsidR="006D52C2">
        <w:t xml:space="preserve"> </w:t>
      </w:r>
      <w:r w:rsidR="006D52C2">
        <w:rPr>
          <w:noProof/>
        </w:rPr>
        <w:t>44</w:t>
      </w:r>
      <w:r>
        <w:fldChar w:fldCharType="end"/>
      </w:r>
      <w:proofErr w:type="gramStart"/>
      <w:r>
        <w:t>a illustrate</w:t>
      </w:r>
      <w:proofErr w:type="gramEnd"/>
      <w:r>
        <w:t xml:space="preserve"> the optical microscopy images of the multilayer composite samples for absorption experiments. White regions show the glass sphere/epoxy layer while grey regions are neat epoxy without glass spheres. It should be noted here that the glass sphere/epoxy layer formation caused slight bending of the laminates during cure due to non-zero coupling stiffness matrix. </w:t>
      </w:r>
      <w:r>
        <w:fldChar w:fldCharType="begin"/>
      </w:r>
      <w:r>
        <w:instrText xml:space="preserve"> REF _Ref522009253 \h </w:instrText>
      </w:r>
      <w:r w:rsidR="00F77E87">
        <w:instrText xml:space="preserve"> \* MERGEFORMAT </w:instrText>
      </w:r>
      <w:r>
        <w:fldChar w:fldCharType="separate"/>
      </w:r>
      <w:r w:rsidR="006D52C2">
        <w:t xml:space="preserve">Figure </w:t>
      </w:r>
      <w:r w:rsidR="006D52C2">
        <w:rPr>
          <w:noProof/>
        </w:rPr>
        <w:t>42</w:t>
      </w:r>
      <w:r>
        <w:fldChar w:fldCharType="end"/>
      </w:r>
      <w:r>
        <w:fldChar w:fldCharType="begin"/>
      </w:r>
      <w:r>
        <w:instrText xml:space="preserve"> REF _Ref522009257 \h </w:instrText>
      </w:r>
      <w:r w:rsidR="00F77E87">
        <w:instrText xml:space="preserve"> \* MERGEFORMAT </w:instrText>
      </w:r>
      <w:r>
        <w:fldChar w:fldCharType="separate"/>
      </w:r>
      <w:r w:rsidR="006D52C2">
        <w:t xml:space="preserve">Figure </w:t>
      </w:r>
      <w:r w:rsidR="006D52C2">
        <w:rPr>
          <w:noProof/>
        </w:rPr>
        <w:t>44</w:t>
      </w:r>
      <w:r>
        <w:fldChar w:fldCharType="end"/>
      </w:r>
      <w:r>
        <w:t>b show representative SEM images of the multilayer composite samples having glass sphere/epoxy layer thickness of 31%, 57%</w:t>
      </w:r>
      <w:r w:rsidR="007D4338">
        <w:t>,</w:t>
      </w:r>
      <w:r>
        <w:t xml:space="preserve"> and 100%, respectively. SEM images clearly show the highly-packed, uniform layer formation of the surface for each case. Thus, multilayer hindered diffusion model can be utilized to characterize the moisture absorption behavior of these laminates.</w:t>
      </w:r>
      <w:r w:rsidRPr="004C2563">
        <w:rPr>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536"/>
      </w:tblGrid>
      <w:tr w:rsidR="00192013" w14:paraId="0D72A116" w14:textId="77777777" w:rsidTr="00A440CD">
        <w:tc>
          <w:tcPr>
            <w:tcW w:w="3960" w:type="dxa"/>
          </w:tcPr>
          <w:p w14:paraId="09010FA4" w14:textId="77777777" w:rsidR="00192013" w:rsidRDefault="00192013" w:rsidP="00A440CD">
            <w:pPr>
              <w:pStyle w:val="NoSpacing"/>
            </w:pPr>
            <w:r>
              <w:rPr>
                <w:noProof/>
                <w:lang w:bidi="ar-SA"/>
              </w:rPr>
              <w:lastRenderedPageBreak/>
              <mc:AlternateContent>
                <mc:Choice Requires="wps">
                  <w:drawing>
                    <wp:anchor distT="45720" distB="45720" distL="114300" distR="114300" simplePos="0" relativeHeight="251670528" behindDoc="0" locked="0" layoutInCell="1" allowOverlap="1" wp14:anchorId="7B3E0D2E" wp14:editId="168C8796">
                      <wp:simplePos x="0" y="0"/>
                      <wp:positionH relativeFrom="column">
                        <wp:posOffset>2002155</wp:posOffset>
                      </wp:positionH>
                      <wp:positionV relativeFrom="paragraph">
                        <wp:posOffset>1792605</wp:posOffset>
                      </wp:positionV>
                      <wp:extent cx="323850" cy="1404620"/>
                      <wp:effectExtent l="0" t="0" r="0" b="0"/>
                      <wp:wrapNone/>
                      <wp:docPr id="4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041CC136" w14:textId="77777777" w:rsidR="000A15D2" w:rsidRDefault="000A15D2" w:rsidP="00192013">
                                  <w:pPr>
                                    <w:spacing w:line="240" w:lineRule="auto"/>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3E0D2E" id="_x0000_s1036" type="#_x0000_t202" style="position:absolute;left:0;text-align:left;margin-left:157.65pt;margin-top:141.15pt;width:25.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" stroked="f">
                      <v:textbox style="mso-fit-shape-to-text:t">
                        <w:txbxContent>
                          <w:p w14:paraId="041CC136" w14:textId="77777777" w:rsidR="000A15D2" w:rsidRDefault="000A15D2" w:rsidP="00192013">
                            <w:pPr>
                              <w:spacing w:line="240" w:lineRule="auto"/>
                              <w:ind w:firstLine="0"/>
                            </w:pPr>
                            <w:r>
                              <w:t>a)</w:t>
                            </w:r>
                          </w:p>
                        </w:txbxContent>
                      </v:textbox>
                    </v:shape>
                  </w:pict>
                </mc:Fallback>
              </mc:AlternateContent>
            </w:r>
            <w:r>
              <w:rPr>
                <w:noProof/>
                <w:lang w:bidi="ar-SA"/>
              </w:rPr>
              <w:drawing>
                <wp:inline distT="0" distB="0" distL="0" distR="0" wp14:anchorId="283A524C" wp14:editId="6073E80D">
                  <wp:extent cx="2066141" cy="2285062"/>
                  <wp:effectExtent l="4763" t="0" r="0" b="0"/>
                  <wp:docPr id="35" name="Picture 35" descr="C:\Users\Administrator\Desktop\proje\PhD Dissertation\3M glass-epoxy multilayuer\Figures on Dissertation\.25-polis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3M glass-epoxy multilayuer\Figures on Dissertation\.25-polish.tif"/>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5279" r="17147"/>
                          <a:stretch/>
                        </pic:blipFill>
                        <pic:spPr bwMode="auto">
                          <a:xfrm rot="16200000">
                            <a:off x="0" y="0"/>
                            <a:ext cx="2066990" cy="228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08C1CA18" w14:textId="77777777" w:rsidR="00192013" w:rsidRDefault="00192013" w:rsidP="00A440CD">
            <w:pPr>
              <w:pStyle w:val="NoSpacing"/>
            </w:pPr>
            <w:r>
              <w:rPr>
                <w:noProof/>
                <w:lang w:bidi="ar-SA"/>
              </w:rPr>
              <mc:AlternateContent>
                <mc:Choice Requires="wps">
                  <w:drawing>
                    <wp:anchor distT="45720" distB="45720" distL="114300" distR="114300" simplePos="0" relativeHeight="251671552" behindDoc="0" locked="0" layoutInCell="1" allowOverlap="1" wp14:anchorId="599A2EA3" wp14:editId="0AFBFCFC">
                      <wp:simplePos x="0" y="0"/>
                      <wp:positionH relativeFrom="column">
                        <wp:posOffset>2417445</wp:posOffset>
                      </wp:positionH>
                      <wp:positionV relativeFrom="paragraph">
                        <wp:posOffset>1784350</wp:posOffset>
                      </wp:positionV>
                      <wp:extent cx="323850" cy="1404620"/>
                      <wp:effectExtent l="0" t="0" r="0" b="0"/>
                      <wp:wrapNone/>
                      <wp:docPr id="4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7E1B1801" w14:textId="77777777" w:rsidR="000A15D2" w:rsidRDefault="000A15D2" w:rsidP="00192013">
                                  <w:pPr>
                                    <w:spacing w:line="240" w:lineRule="auto"/>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9A2EA3" id="_x0000_s1037" type="#_x0000_t202" style="position:absolute;left:0;text-align:left;margin-left:190.35pt;margin-top:140.5pt;width:25.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" stroked="f">
                      <v:textbox style="mso-fit-shape-to-text:t">
                        <w:txbxContent>
                          <w:p w14:paraId="7E1B1801" w14:textId="77777777" w:rsidR="000A15D2" w:rsidRDefault="000A15D2" w:rsidP="00192013">
                            <w:pPr>
                              <w:spacing w:line="240" w:lineRule="auto"/>
                              <w:ind w:firstLine="0"/>
                            </w:pPr>
                            <w:r>
                              <w:t>b)</w:t>
                            </w:r>
                          </w:p>
                        </w:txbxContent>
                      </v:textbox>
                    </v:shape>
                  </w:pict>
                </mc:Fallback>
              </mc:AlternateContent>
            </w:r>
            <w:r>
              <w:rPr>
                <w:noProof/>
                <w:lang w:bidi="ar-SA"/>
              </w:rPr>
              <w:drawing>
                <wp:inline distT="0" distB="0" distL="0" distR="0" wp14:anchorId="0024F3E4" wp14:editId="24AD28FA">
                  <wp:extent cx="2743200" cy="2058614"/>
                  <wp:effectExtent l="0" t="0" r="0" b="0"/>
                  <wp:docPr id="53" name="Picture 53" descr="C:\Users\Administrator\Desktop\proje\PhD Dissertation\3M glass-epoxy multilayuer\Figures on Dissertation\S25-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3M glass-epoxy multilayuer\Figures on Dissertation\S25-3.t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43200" cy="2058614"/>
                          </a:xfrm>
                          <a:prstGeom prst="rect">
                            <a:avLst/>
                          </a:prstGeom>
                          <a:noFill/>
                          <a:ln>
                            <a:noFill/>
                          </a:ln>
                        </pic:spPr>
                      </pic:pic>
                    </a:graphicData>
                  </a:graphic>
                </wp:inline>
              </w:drawing>
            </w:r>
          </w:p>
        </w:tc>
      </w:tr>
    </w:tbl>
    <w:p w14:paraId="019A7C79" w14:textId="77777777" w:rsidR="00192013" w:rsidRDefault="00192013" w:rsidP="00192013">
      <w:pPr>
        <w:pStyle w:val="Caption"/>
        <w:spacing w:after="120"/>
      </w:pPr>
      <w:bookmarkStart w:id="230" w:name="_Ref522009253"/>
      <w:bookmarkStart w:id="231" w:name="_Toc530997398"/>
      <w:r>
        <w:t xml:space="preserve">Figure </w:t>
      </w:r>
      <w:r>
        <w:rPr>
          <w:noProof/>
        </w:rPr>
        <w:fldChar w:fldCharType="begin"/>
      </w:r>
      <w:r>
        <w:rPr>
          <w:noProof/>
        </w:rPr>
        <w:instrText xml:space="preserve"> SEQ Figure \* ARABIC </w:instrText>
      </w:r>
      <w:r>
        <w:rPr>
          <w:noProof/>
        </w:rPr>
        <w:fldChar w:fldCharType="separate"/>
      </w:r>
      <w:r w:rsidR="006D52C2">
        <w:rPr>
          <w:noProof/>
        </w:rPr>
        <w:t>42</w:t>
      </w:r>
      <w:r>
        <w:rPr>
          <w:noProof/>
        </w:rPr>
        <w:fldChar w:fldCharType="end"/>
      </w:r>
      <w:bookmarkEnd w:id="230"/>
      <w:r>
        <w:t xml:space="preserve">. </w:t>
      </w:r>
      <w:r w:rsidRPr="000C364A">
        <w:rPr>
          <w:i/>
        </w:rPr>
        <w:t>a)</w:t>
      </w:r>
      <w:r>
        <w:t xml:space="preserve"> Optical microscopy image of 6 immersion samples showing multilayer of 31% thick glass sphere/epoxy, and 69% thick epoxy </w:t>
      </w:r>
      <w:r w:rsidRPr="000C364A">
        <w:rPr>
          <w:i/>
        </w:rPr>
        <w:t>b)</w:t>
      </w:r>
      <w:r>
        <w:rPr>
          <w:i/>
        </w:rPr>
        <w:t xml:space="preserve"> </w:t>
      </w:r>
      <w:r>
        <w:t>a representative SEM image of a sample.</w:t>
      </w:r>
      <w:bookmarkEnd w:id="231"/>
    </w:p>
    <w:p w14:paraId="1EA5D945" w14:textId="77777777" w:rsidR="00192013" w:rsidRPr="00F75A9F" w:rsidRDefault="00192013" w:rsidP="00192013">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0"/>
        <w:gridCol w:w="4536"/>
      </w:tblGrid>
      <w:tr w:rsidR="00192013" w14:paraId="244170C8" w14:textId="77777777" w:rsidTr="00A440CD">
        <w:tc>
          <w:tcPr>
            <w:tcW w:w="3950" w:type="dxa"/>
          </w:tcPr>
          <w:p w14:paraId="5B8CDF18" w14:textId="77777777" w:rsidR="00192013" w:rsidRDefault="00192013" w:rsidP="00A440CD">
            <w:pPr>
              <w:pStyle w:val="NoSpacing"/>
            </w:pPr>
            <w:r>
              <w:rPr>
                <w:noProof/>
                <w:lang w:bidi="ar-SA"/>
              </w:rPr>
              <mc:AlternateContent>
                <mc:Choice Requires="wps">
                  <w:drawing>
                    <wp:anchor distT="45720" distB="45720" distL="114300" distR="114300" simplePos="0" relativeHeight="251672576" behindDoc="0" locked="0" layoutInCell="1" allowOverlap="1" wp14:anchorId="2209CCAD" wp14:editId="6CFDC024">
                      <wp:simplePos x="0" y="0"/>
                      <wp:positionH relativeFrom="column">
                        <wp:posOffset>2009775</wp:posOffset>
                      </wp:positionH>
                      <wp:positionV relativeFrom="paragraph">
                        <wp:posOffset>1778635</wp:posOffset>
                      </wp:positionV>
                      <wp:extent cx="323850" cy="1404620"/>
                      <wp:effectExtent l="0" t="0" r="0" b="0"/>
                      <wp:wrapNone/>
                      <wp:docPr id="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4EF86D82" w14:textId="77777777" w:rsidR="000A15D2" w:rsidRDefault="000A15D2" w:rsidP="00192013">
                                  <w:pPr>
                                    <w:spacing w:line="240" w:lineRule="auto"/>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09CCAD" id="_x0000_s1038" type="#_x0000_t202" style="position:absolute;left:0;text-align:left;margin-left:158.25pt;margin-top:140.05pt;width:25.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" stroked="f">
                      <v:textbox style="mso-fit-shape-to-text:t">
                        <w:txbxContent>
                          <w:p w14:paraId="4EF86D82" w14:textId="77777777" w:rsidR="000A15D2" w:rsidRDefault="000A15D2" w:rsidP="00192013">
                            <w:pPr>
                              <w:spacing w:line="240" w:lineRule="auto"/>
                              <w:ind w:firstLine="0"/>
                            </w:pPr>
                            <w:r>
                              <w:t>a)</w:t>
                            </w:r>
                          </w:p>
                        </w:txbxContent>
                      </v:textbox>
                    </v:shape>
                  </w:pict>
                </mc:Fallback>
              </mc:AlternateContent>
            </w:r>
            <w:r>
              <w:rPr>
                <w:noProof/>
                <w:lang w:bidi="ar-SA"/>
              </w:rPr>
              <w:drawing>
                <wp:inline distT="0" distB="0" distL="0" distR="0" wp14:anchorId="5DC1273A" wp14:editId="560AC98A">
                  <wp:extent cx="2043391" cy="2285365"/>
                  <wp:effectExtent l="0" t="6985" r="7620" b="7620"/>
                  <wp:docPr id="57" name="Picture 57" descr="C:\Users\Administrator\Desktop\proje\PhD Dissertation\3M glass-epoxy multilayuer\Figures on Dissertation\.50-polis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proje\PhD Dissertation\3M glass-epoxy multilayuer\Figures on Dissertation\.50-polish.tif"/>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8210" r="14968"/>
                          <a:stretch/>
                        </pic:blipFill>
                        <pic:spPr bwMode="auto">
                          <a:xfrm rot="16200000">
                            <a:off x="0" y="0"/>
                            <a:ext cx="2043959" cy="228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46577572" w14:textId="77777777" w:rsidR="00192013" w:rsidRDefault="00192013" w:rsidP="00A440CD">
            <w:pPr>
              <w:pStyle w:val="NoSpacing"/>
            </w:pPr>
            <w:r>
              <w:rPr>
                <w:noProof/>
                <w:lang w:bidi="ar-SA"/>
              </w:rPr>
              <mc:AlternateContent>
                <mc:Choice Requires="wps">
                  <w:drawing>
                    <wp:anchor distT="45720" distB="45720" distL="114300" distR="114300" simplePos="0" relativeHeight="251674624" behindDoc="0" locked="0" layoutInCell="1" allowOverlap="1" wp14:anchorId="76E29B6E" wp14:editId="6E71C52B">
                      <wp:simplePos x="0" y="0"/>
                      <wp:positionH relativeFrom="column">
                        <wp:posOffset>2414270</wp:posOffset>
                      </wp:positionH>
                      <wp:positionV relativeFrom="paragraph">
                        <wp:posOffset>1783080</wp:posOffset>
                      </wp:positionV>
                      <wp:extent cx="323850" cy="1404620"/>
                      <wp:effectExtent l="0" t="0" r="0" b="0"/>
                      <wp:wrapNone/>
                      <wp:docPr id="4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7F770DE5" w14:textId="77777777" w:rsidR="000A15D2" w:rsidRDefault="000A15D2" w:rsidP="00192013">
                                  <w:pPr>
                                    <w:spacing w:line="240" w:lineRule="auto"/>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29B6E" id="_x0000_s1039" type="#_x0000_t202" style="position:absolute;left:0;text-align:left;margin-left:190.1pt;margin-top:140.4pt;width:25.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" stroked="f">
                      <v:textbox style="mso-fit-shape-to-text:t">
                        <w:txbxContent>
                          <w:p w14:paraId="7F770DE5" w14:textId="77777777" w:rsidR="000A15D2" w:rsidRDefault="000A15D2" w:rsidP="00192013">
                            <w:pPr>
                              <w:spacing w:line="240" w:lineRule="auto"/>
                              <w:ind w:firstLine="0"/>
                            </w:pPr>
                            <w:r>
                              <w:t>b)</w:t>
                            </w:r>
                          </w:p>
                        </w:txbxContent>
                      </v:textbox>
                    </v:shape>
                  </w:pict>
                </mc:Fallback>
              </mc:AlternateContent>
            </w:r>
            <w:r>
              <w:rPr>
                <w:noProof/>
                <w:lang w:bidi="ar-SA"/>
              </w:rPr>
              <w:drawing>
                <wp:inline distT="0" distB="0" distL="0" distR="0" wp14:anchorId="1DA5E65A" wp14:editId="0082DB8C">
                  <wp:extent cx="2743200" cy="2058614"/>
                  <wp:effectExtent l="0" t="0" r="0" b="0"/>
                  <wp:docPr id="62" name="Picture 62" descr="C:\Users\Administrator\Desktop\proje\PhD Dissertation\3M glass-epoxy multilayuer\Figures on Dissertation\B5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proje\PhD Dissertation\3M glass-epoxy multilayuer\Figures on Dissertation\B50-5.t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43200" cy="2058614"/>
                          </a:xfrm>
                          <a:prstGeom prst="rect">
                            <a:avLst/>
                          </a:prstGeom>
                          <a:noFill/>
                          <a:ln>
                            <a:noFill/>
                          </a:ln>
                        </pic:spPr>
                      </pic:pic>
                    </a:graphicData>
                  </a:graphic>
                </wp:inline>
              </w:drawing>
            </w:r>
          </w:p>
        </w:tc>
      </w:tr>
    </w:tbl>
    <w:p w14:paraId="7D905E60" w14:textId="77777777" w:rsidR="00192013" w:rsidRDefault="00192013" w:rsidP="00192013">
      <w:pPr>
        <w:pStyle w:val="Caption"/>
      </w:pPr>
      <w:bookmarkStart w:id="232" w:name="_Ref522009255"/>
      <w:bookmarkStart w:id="233" w:name="_Toc530997399"/>
      <w:r>
        <w:t xml:space="preserve">Figure </w:t>
      </w:r>
      <w:r>
        <w:rPr>
          <w:noProof/>
        </w:rPr>
        <w:fldChar w:fldCharType="begin"/>
      </w:r>
      <w:r>
        <w:rPr>
          <w:noProof/>
        </w:rPr>
        <w:instrText xml:space="preserve"> SEQ Figure \* ARABIC </w:instrText>
      </w:r>
      <w:r>
        <w:rPr>
          <w:noProof/>
        </w:rPr>
        <w:fldChar w:fldCharType="separate"/>
      </w:r>
      <w:r w:rsidR="006D52C2">
        <w:rPr>
          <w:noProof/>
        </w:rPr>
        <w:t>43</w:t>
      </w:r>
      <w:r>
        <w:rPr>
          <w:noProof/>
        </w:rPr>
        <w:fldChar w:fldCharType="end"/>
      </w:r>
      <w:bookmarkEnd w:id="232"/>
      <w:r>
        <w:t xml:space="preserve">. </w:t>
      </w:r>
      <w:r w:rsidRPr="000C364A">
        <w:rPr>
          <w:i/>
        </w:rPr>
        <w:t>a)</w:t>
      </w:r>
      <w:r>
        <w:t xml:space="preserve"> Optical microscopy image of 5 immersion samples showing multilayer of 57% thick glass sphere/epoxy, and 43% thick epoxy </w:t>
      </w:r>
      <w:r w:rsidRPr="000C364A">
        <w:rPr>
          <w:i/>
        </w:rPr>
        <w:t>b)</w:t>
      </w:r>
      <w:r>
        <w:rPr>
          <w:i/>
        </w:rPr>
        <w:t xml:space="preserve"> </w:t>
      </w:r>
      <w:r>
        <w:t>a representative SEM image of a sample.</w:t>
      </w:r>
      <w:bookmarkEnd w:id="233"/>
      <w:r>
        <w:t xml:space="preserve"> </w:t>
      </w:r>
    </w:p>
    <w:p w14:paraId="26819225" w14:textId="77777777" w:rsidR="00192013" w:rsidRPr="00F75A9F" w:rsidRDefault="00192013" w:rsidP="00192013">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0"/>
        <w:gridCol w:w="4536"/>
      </w:tblGrid>
      <w:tr w:rsidR="00192013" w14:paraId="445A7187" w14:textId="77777777" w:rsidTr="00A440CD">
        <w:tc>
          <w:tcPr>
            <w:tcW w:w="3950" w:type="dxa"/>
          </w:tcPr>
          <w:p w14:paraId="53D0664A" w14:textId="77777777" w:rsidR="00192013" w:rsidRDefault="00192013" w:rsidP="00A440CD">
            <w:pPr>
              <w:pStyle w:val="NoSpacing"/>
            </w:pPr>
            <w:r>
              <w:rPr>
                <w:noProof/>
                <w:lang w:bidi="ar-SA"/>
              </w:rPr>
              <mc:AlternateContent>
                <mc:Choice Requires="wps">
                  <w:drawing>
                    <wp:anchor distT="45720" distB="45720" distL="114300" distR="114300" simplePos="0" relativeHeight="251673600" behindDoc="0" locked="0" layoutInCell="1" allowOverlap="1" wp14:anchorId="372D3CF6" wp14:editId="5D887E8F">
                      <wp:simplePos x="0" y="0"/>
                      <wp:positionH relativeFrom="column">
                        <wp:posOffset>2000250</wp:posOffset>
                      </wp:positionH>
                      <wp:positionV relativeFrom="paragraph">
                        <wp:posOffset>1778635</wp:posOffset>
                      </wp:positionV>
                      <wp:extent cx="323850" cy="1404620"/>
                      <wp:effectExtent l="0" t="0" r="0" b="0"/>
                      <wp:wrapNone/>
                      <wp:docPr id="4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2DA99356" w14:textId="77777777" w:rsidR="000A15D2" w:rsidRDefault="000A15D2" w:rsidP="00192013">
                                  <w:pPr>
                                    <w:spacing w:line="240" w:lineRule="auto"/>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2D3CF6" id="_x0000_s1040" type="#_x0000_t202" style="position:absolute;left:0;text-align:left;margin-left:157.5pt;margin-top:140.05pt;width:25.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" stroked="f">
                      <v:textbox style="mso-fit-shape-to-text:t">
                        <w:txbxContent>
                          <w:p w14:paraId="2DA99356" w14:textId="77777777" w:rsidR="000A15D2" w:rsidRDefault="000A15D2" w:rsidP="00192013">
                            <w:pPr>
                              <w:spacing w:line="240" w:lineRule="auto"/>
                              <w:ind w:firstLine="0"/>
                            </w:pPr>
                            <w:r>
                              <w:t>a)</w:t>
                            </w:r>
                          </w:p>
                        </w:txbxContent>
                      </v:textbox>
                    </v:shape>
                  </w:pict>
                </mc:Fallback>
              </mc:AlternateContent>
            </w:r>
            <w:r>
              <w:rPr>
                <w:noProof/>
                <w:lang w:bidi="ar-SA"/>
              </w:rPr>
              <w:drawing>
                <wp:inline distT="0" distB="0" distL="0" distR="0" wp14:anchorId="586C2D68" wp14:editId="4916D97B">
                  <wp:extent cx="2058361" cy="2285348"/>
                  <wp:effectExtent l="953" t="0" r="317" b="318"/>
                  <wp:docPr id="4131" name="Picture 4131" descr="C:\Users\Administrator\Desktop\proje\PhD Dissertation\3M glass-epoxy multilayuer\Figures on Dissertation\.75-polis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proje\PhD Dissertation\3M glass-epoxy multilayuer\Figures on Dissertation\.75-polish.tif"/>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6198" r="26490"/>
                          <a:stretch/>
                        </pic:blipFill>
                        <pic:spPr bwMode="auto">
                          <a:xfrm rot="16200000">
                            <a:off x="0" y="0"/>
                            <a:ext cx="2058948" cy="228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7CF0FE58" w14:textId="77777777" w:rsidR="00192013" w:rsidRDefault="00192013" w:rsidP="00A440CD">
            <w:pPr>
              <w:pStyle w:val="NoSpacing"/>
            </w:pPr>
            <w:r>
              <w:rPr>
                <w:noProof/>
                <w:lang w:bidi="ar-SA"/>
              </w:rPr>
              <mc:AlternateContent>
                <mc:Choice Requires="wps">
                  <w:drawing>
                    <wp:anchor distT="45720" distB="45720" distL="114300" distR="114300" simplePos="0" relativeHeight="251675648" behindDoc="0" locked="0" layoutInCell="1" allowOverlap="1" wp14:anchorId="0CA21057" wp14:editId="4059861D">
                      <wp:simplePos x="0" y="0"/>
                      <wp:positionH relativeFrom="column">
                        <wp:posOffset>2416175</wp:posOffset>
                      </wp:positionH>
                      <wp:positionV relativeFrom="paragraph">
                        <wp:posOffset>1778635</wp:posOffset>
                      </wp:positionV>
                      <wp:extent cx="323850" cy="1404620"/>
                      <wp:effectExtent l="0" t="0" r="0" b="0"/>
                      <wp:wrapNone/>
                      <wp:docPr id="4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noFill/>
                                <a:miter lim="800000"/>
                                <a:headEnd/>
                                <a:tailEnd/>
                              </a:ln>
                            </wps:spPr>
                            <wps:txbx>
                              <w:txbxContent>
                                <w:p w14:paraId="7BCA4654" w14:textId="77777777" w:rsidR="000A15D2" w:rsidRDefault="000A15D2" w:rsidP="00192013">
                                  <w:pPr>
                                    <w:spacing w:line="240" w:lineRule="auto"/>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A21057" id="_x0000_s1041" type="#_x0000_t202" style="position:absolute;left:0;text-align:left;margin-left:190.25pt;margin-top:140.05pt;width:25.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" stroked="f">
                      <v:textbox style="mso-fit-shape-to-text:t">
                        <w:txbxContent>
                          <w:p w14:paraId="7BCA4654" w14:textId="77777777" w:rsidR="000A15D2" w:rsidRDefault="000A15D2" w:rsidP="00192013">
                            <w:pPr>
                              <w:spacing w:line="240" w:lineRule="auto"/>
                              <w:ind w:firstLine="0"/>
                            </w:pPr>
                            <w:r>
                              <w:t>b)</w:t>
                            </w:r>
                          </w:p>
                        </w:txbxContent>
                      </v:textbox>
                    </v:shape>
                  </w:pict>
                </mc:Fallback>
              </mc:AlternateContent>
            </w:r>
            <w:r>
              <w:rPr>
                <w:noProof/>
                <w:lang w:bidi="ar-SA"/>
              </w:rPr>
              <w:drawing>
                <wp:inline distT="0" distB="0" distL="0" distR="0" wp14:anchorId="457ADC54" wp14:editId="15635B89">
                  <wp:extent cx="2743200" cy="2058614"/>
                  <wp:effectExtent l="0" t="0" r="0" b="0"/>
                  <wp:docPr id="63" name="Picture 63" descr="C:\Users\Administrator\Desktop\proje\PhD Dissertation\3M glass-epoxy multilayuer\Figures on Dissertation\B75-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proje\PhD Dissertation\3M glass-epoxy multilayuer\Figures on Dissertation\B75-4.t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43200" cy="2058614"/>
                          </a:xfrm>
                          <a:prstGeom prst="rect">
                            <a:avLst/>
                          </a:prstGeom>
                          <a:noFill/>
                          <a:ln>
                            <a:noFill/>
                          </a:ln>
                        </pic:spPr>
                      </pic:pic>
                    </a:graphicData>
                  </a:graphic>
                </wp:inline>
              </w:drawing>
            </w:r>
          </w:p>
        </w:tc>
      </w:tr>
    </w:tbl>
    <w:p w14:paraId="5CC20FBF" w14:textId="77777777" w:rsidR="00192013" w:rsidRDefault="00192013" w:rsidP="00192013">
      <w:pPr>
        <w:pStyle w:val="Caption"/>
      </w:pPr>
      <w:bookmarkStart w:id="234" w:name="_Ref522009257"/>
      <w:bookmarkStart w:id="235" w:name="_Toc530997400"/>
      <w:r>
        <w:t xml:space="preserve">Figure </w:t>
      </w:r>
      <w:r>
        <w:rPr>
          <w:noProof/>
        </w:rPr>
        <w:fldChar w:fldCharType="begin"/>
      </w:r>
      <w:r>
        <w:rPr>
          <w:noProof/>
        </w:rPr>
        <w:instrText xml:space="preserve"> SEQ Figure \* ARABIC </w:instrText>
      </w:r>
      <w:r>
        <w:rPr>
          <w:noProof/>
        </w:rPr>
        <w:fldChar w:fldCharType="separate"/>
      </w:r>
      <w:r w:rsidR="006D52C2">
        <w:rPr>
          <w:noProof/>
        </w:rPr>
        <w:t>44</w:t>
      </w:r>
      <w:r>
        <w:rPr>
          <w:noProof/>
        </w:rPr>
        <w:fldChar w:fldCharType="end"/>
      </w:r>
      <w:bookmarkEnd w:id="234"/>
      <w:r>
        <w:t xml:space="preserve">. </w:t>
      </w:r>
      <w:r w:rsidRPr="000C364A">
        <w:rPr>
          <w:i/>
        </w:rPr>
        <w:t>a)</w:t>
      </w:r>
      <w:r>
        <w:t xml:space="preserve"> Optical microscopy image of 6 immersion samples of 100% thick glass sphere/epoxy </w:t>
      </w:r>
      <w:r w:rsidRPr="000C364A">
        <w:rPr>
          <w:i/>
        </w:rPr>
        <w:t>b)</w:t>
      </w:r>
      <w:r>
        <w:rPr>
          <w:i/>
        </w:rPr>
        <w:t xml:space="preserve"> </w:t>
      </w:r>
      <w:r>
        <w:t>a representative SEM image of a sample.</w:t>
      </w:r>
      <w:bookmarkEnd w:id="235"/>
      <w:r>
        <w:t xml:space="preserve"> </w:t>
      </w:r>
    </w:p>
    <w:p w14:paraId="1BE30C13" w14:textId="77777777" w:rsidR="00192013" w:rsidRDefault="00192013" w:rsidP="00192013">
      <w:pPr>
        <w:spacing w:after="120"/>
      </w:pPr>
    </w:p>
    <w:p w14:paraId="7052E7C7" w14:textId="4CF4987E" w:rsidR="00192013" w:rsidRDefault="00192013" w:rsidP="00F77E87">
      <w:pPr>
        <w:rPr>
          <w:rFonts w:cs="Times New Roman"/>
        </w:rPr>
      </w:pPr>
      <w:r>
        <w:lastRenderedPageBreak/>
        <w:t>Multilayer hindered diffusion model is applied to recover the absorption parameters of the glass sphere/epoxy layer. If absorption parameters of both glass sphere/epoxy layer and neat epoxy layer were to be recovered simultaneously, eight absorption parameters would have needed to be recovered (i.e</w:t>
      </w:r>
      <w:proofErr w:type="gramStart"/>
      <w:r>
        <w:t xml:space="preserve">. </w:t>
      </w:r>
      <w:proofErr w:type="gramEnd"/>
      <m:oMath>
        <m:sSub>
          <m:sSubPr>
            <m:ctrlPr>
              <w:rPr>
                <w:rFonts w:ascii="Cambria Math" w:hAnsi="Cambria Math"/>
                <w:i/>
              </w:rPr>
            </m:ctrlPr>
          </m:sSubPr>
          <m:e>
            <m:r>
              <w:rPr>
                <w:rFonts w:ascii="Cambria Math" w:hAnsi="Cambria Math"/>
              </w:rPr>
              <m:t>D</m:t>
            </m:r>
          </m:e>
          <m:sub>
            <m:r>
              <w:rPr>
                <w:rFonts w:ascii="Cambria Math" w:hAnsi="Cambria Math"/>
              </w:rPr>
              <m:t>e</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e</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e,∞</m:t>
            </m:r>
          </m:sub>
        </m:sSub>
        <m:r>
          <w:rPr>
            <w:rFonts w:ascii="Cambria Math" w:hAnsi="Cambria Math" w:cs="Times New Roman"/>
          </w:rPr>
          <m:t>,</m:t>
        </m:r>
        <m:sSub>
          <m:sSubPr>
            <m:ctrlPr>
              <w:rPr>
                <w:rFonts w:ascii="Cambria Math" w:hAnsi="Cambria Math"/>
                <w:i/>
              </w:rPr>
            </m:ctrlPr>
          </m:sSubPr>
          <m:e>
            <m:r>
              <w:rPr>
                <w:rFonts w:ascii="Cambria Math" w:hAnsi="Cambria Math"/>
              </w:rPr>
              <m:t>D</m:t>
            </m:r>
          </m:e>
          <m:sub>
            <m:r>
              <w:rPr>
                <w:rFonts w:ascii="Cambria Math" w:hAnsi="Cambria Math"/>
              </w:rPr>
              <m:t>g/e</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rPr>
              <m:t>g/e</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rPr>
              <m:t>g/e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m:t>
            </m:r>
          </m:e>
          <m:sub>
            <m:r>
              <w:rPr>
                <w:rFonts w:ascii="Cambria Math" w:hAnsi="Cambria Math"/>
              </w:rPr>
              <m:t>g/e</m:t>
            </m:r>
            <m:r>
              <w:rPr>
                <w:rFonts w:ascii="Cambria Math" w:hAnsi="Cambria Math" w:cs="Times New Roman"/>
              </w:rPr>
              <m:t>,∞</m:t>
            </m:r>
          </m:sub>
        </m:sSub>
      </m:oMath>
      <w:r w:rsidRPr="00D87D03">
        <w:rPr>
          <w:rFonts w:cs="Times New Roman"/>
        </w:rPr>
        <w:t>)</w:t>
      </w:r>
      <w:r>
        <w:rPr>
          <w:rFonts w:cs="Times New Roman"/>
        </w:rPr>
        <w:t>. Thus, a</w:t>
      </w:r>
      <w:r>
        <w:t>bsorption parameters of the neat epoxy layer ha</w:t>
      </w:r>
      <w:r w:rsidR="00E454F6">
        <w:t>ve</w:t>
      </w:r>
      <w:r>
        <w:t xml:space="preserve"> been found by hindered diffusion model in order to decrease computational cost, and tabulated in </w:t>
      </w:r>
      <w:r>
        <w:fldChar w:fldCharType="begin"/>
      </w:r>
      <w:r>
        <w:instrText xml:space="preserve"> REF _Ref522021331 \h </w:instrText>
      </w:r>
      <w:r w:rsidR="00F77E87">
        <w:instrText xml:space="preserve"> \* MERGEFORMAT </w:instrText>
      </w:r>
      <w:r>
        <w:fldChar w:fldCharType="separate"/>
      </w:r>
      <w:r w:rsidR="006D52C2">
        <w:t xml:space="preserve">Table </w:t>
      </w:r>
      <w:r w:rsidR="006D52C2">
        <w:rPr>
          <w:noProof/>
        </w:rPr>
        <w:t>8</w:t>
      </w:r>
      <w:r>
        <w:fldChar w:fldCharType="end"/>
      </w:r>
      <w:r>
        <w:t xml:space="preserve">. </w:t>
      </w:r>
      <w:r>
        <w:rPr>
          <w:rFonts w:cs="Times New Roman"/>
        </w:rPr>
        <w:t>Solving the eigenvalue problem for one-layer coating in Eq. (54a) and using the multilayer hindered diffusion model in Eq. (56), absorption parameters o</w:t>
      </w:r>
      <w:r w:rsidR="00E454F6">
        <w:rPr>
          <w:rFonts w:cs="Times New Roman"/>
        </w:rPr>
        <w:t>f the glass sphere/epoxy layer are</w:t>
      </w:r>
      <w:r>
        <w:rPr>
          <w:rFonts w:cs="Times New Roman"/>
        </w:rPr>
        <w:t xml:space="preserve"> recovered and tabulated in </w:t>
      </w:r>
      <w:r>
        <w:fldChar w:fldCharType="begin"/>
      </w:r>
      <w:r>
        <w:instrText xml:space="preserve"> REF _Ref522021331 \h </w:instrText>
      </w:r>
      <w:r w:rsidR="00F77E87">
        <w:instrText xml:space="preserve"> \* MERGEFORMAT </w:instrText>
      </w:r>
      <w:r>
        <w:fldChar w:fldCharType="separate"/>
      </w:r>
      <w:r w:rsidR="006D52C2">
        <w:t xml:space="preserve">Table </w:t>
      </w:r>
      <w:r w:rsidR="006D52C2">
        <w:rPr>
          <w:noProof/>
        </w:rPr>
        <w:t>8</w:t>
      </w:r>
      <w:r>
        <w:fldChar w:fldCharType="end"/>
      </w:r>
      <w:r>
        <w:t>.</w:t>
      </w:r>
    </w:p>
    <w:p w14:paraId="3792A3F2" w14:textId="77777777" w:rsidR="00192013" w:rsidRDefault="00192013" w:rsidP="00192013">
      <w:pPr>
        <w:pStyle w:val="Caption"/>
      </w:pPr>
      <w:bookmarkStart w:id="236" w:name="_Ref522021331"/>
      <w:bookmarkStart w:id="237" w:name="_Toc530997323"/>
      <w:r>
        <w:t xml:space="preserve">Table </w:t>
      </w:r>
      <w:r>
        <w:rPr>
          <w:noProof/>
        </w:rPr>
        <w:fldChar w:fldCharType="begin"/>
      </w:r>
      <w:r>
        <w:rPr>
          <w:noProof/>
        </w:rPr>
        <w:instrText xml:space="preserve"> SEQ Table \* ARABIC </w:instrText>
      </w:r>
      <w:r>
        <w:rPr>
          <w:noProof/>
        </w:rPr>
        <w:fldChar w:fldCharType="separate"/>
      </w:r>
      <w:r w:rsidR="006D52C2">
        <w:rPr>
          <w:noProof/>
        </w:rPr>
        <w:t>8</w:t>
      </w:r>
      <w:r>
        <w:rPr>
          <w:noProof/>
        </w:rPr>
        <w:fldChar w:fldCharType="end"/>
      </w:r>
      <w:bookmarkEnd w:id="236"/>
      <w:r>
        <w:t xml:space="preserve">. </w:t>
      </w:r>
      <w:r w:rsidRPr="005A3E52">
        <w:t xml:space="preserve">Moisture absorption parameters </w:t>
      </w:r>
      <w:r>
        <w:t>of glass sphere/epoxy layer and neat epoxy layer.</w:t>
      </w:r>
      <w:bookmarkEnd w:id="237"/>
    </w:p>
    <w:tbl>
      <w:tblPr>
        <w:tblStyle w:val="PlainTable21"/>
        <w:tblW w:w="8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95"/>
        <w:gridCol w:w="1260"/>
        <w:gridCol w:w="1260"/>
        <w:gridCol w:w="1260"/>
        <w:gridCol w:w="810"/>
        <w:gridCol w:w="990"/>
        <w:gridCol w:w="1111"/>
      </w:tblGrid>
      <w:tr w:rsidR="00192013" w:rsidRPr="005A3E52" w14:paraId="15BF5A16" w14:textId="77777777" w:rsidTr="00A440CD">
        <w:trPr>
          <w:cnfStyle w:val="100000000000" w:firstRow="1" w:lastRow="0" w:firstColumn="0" w:lastColumn="0" w:oddVBand="0" w:evenVBand="0" w:oddHBand="0" w:evenHBand="0" w:firstRowFirstColumn="0" w:firstRowLastColumn="0" w:lastRowFirstColumn="0" w:lastRowLastColumn="0"/>
          <w:trHeight w:val="350"/>
          <w:jc w:val="center"/>
        </w:trPr>
        <w:tc>
          <w:tcPr>
            <w:tcW w:w="1795" w:type="dxa"/>
          </w:tcPr>
          <w:p w14:paraId="0FA84F10" w14:textId="77777777" w:rsidR="00192013" w:rsidRPr="00C75422" w:rsidRDefault="00192013" w:rsidP="00A440CD">
            <w:pPr>
              <w:pStyle w:val="Paragraph"/>
              <w:spacing w:before="120" w:after="120"/>
              <w:ind w:firstLine="0"/>
              <w:jc w:val="center"/>
              <w:rPr>
                <w:sz w:val="24"/>
                <w:szCs w:val="24"/>
              </w:rPr>
            </w:pPr>
            <w:r w:rsidRPr="0081755C">
              <w:rPr>
                <w:sz w:val="24"/>
                <w:szCs w:val="24"/>
              </w:rPr>
              <w:t>Material Systems</w:t>
            </w:r>
          </w:p>
        </w:tc>
        <w:tc>
          <w:tcPr>
            <w:tcW w:w="1260" w:type="dxa"/>
          </w:tcPr>
          <w:p w14:paraId="46EDCB9D" w14:textId="77777777" w:rsidR="00192013" w:rsidRPr="00C75422" w:rsidRDefault="007B3686" w:rsidP="00A440CD">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192013" w:rsidRPr="00C75422">
              <w:rPr>
                <w:sz w:val="24"/>
                <w:szCs w:val="24"/>
              </w:rPr>
              <w:t xml:space="preserve"> (mm</w:t>
            </w:r>
            <w:r w:rsidR="00192013" w:rsidRPr="00C75422">
              <w:rPr>
                <w:sz w:val="24"/>
                <w:szCs w:val="24"/>
                <w:vertAlign w:val="superscript"/>
              </w:rPr>
              <w:t>2</w:t>
            </w:r>
            <w:r w:rsidR="00192013" w:rsidRPr="00C75422">
              <w:rPr>
                <w:sz w:val="24"/>
                <w:szCs w:val="24"/>
              </w:rPr>
              <w:t>/h)</w:t>
            </w:r>
          </w:p>
        </w:tc>
        <w:tc>
          <w:tcPr>
            <w:tcW w:w="1260" w:type="dxa"/>
          </w:tcPr>
          <w:p w14:paraId="2BA925B8"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260" w:type="dxa"/>
          </w:tcPr>
          <w:p w14:paraId="1318DBF6"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3BBB3739" w14:textId="77777777" w:rsidR="00192013" w:rsidRPr="00C75422" w:rsidRDefault="00192013" w:rsidP="00A440CD">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18424ACB" w14:textId="77777777" w:rsidR="00192013" w:rsidRPr="00C75422" w:rsidRDefault="007B3686" w:rsidP="00A440CD">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192013" w:rsidRPr="00C75422">
              <w:rPr>
                <w:sz w:val="24"/>
                <w:szCs w:val="24"/>
              </w:rPr>
              <w:t xml:space="preserve"> (</w:t>
            </w:r>
            <w:proofErr w:type="gramStart"/>
            <w:r w:rsidR="00192013">
              <w:rPr>
                <w:sz w:val="24"/>
                <w:szCs w:val="24"/>
              </w:rPr>
              <w:t>wt</w:t>
            </w:r>
            <w:proofErr w:type="gramEnd"/>
            <w:r w:rsidR="00192013">
              <w:rPr>
                <w:sz w:val="24"/>
                <w:szCs w:val="24"/>
              </w:rPr>
              <w:t>.%</w:t>
            </w:r>
            <w:r w:rsidR="00192013" w:rsidRPr="00C75422">
              <w:rPr>
                <w:sz w:val="24"/>
                <w:szCs w:val="24"/>
              </w:rPr>
              <w:t>)</w:t>
            </w:r>
          </w:p>
        </w:tc>
        <w:tc>
          <w:tcPr>
            <w:tcW w:w="1111" w:type="dxa"/>
          </w:tcPr>
          <w:p w14:paraId="423C135B" w14:textId="5297FDDE" w:rsidR="00192013" w:rsidRPr="00CE7F96" w:rsidRDefault="00192013" w:rsidP="003F56CD">
            <w:pPr>
              <w:pStyle w:val="Paragraph"/>
              <w:spacing w:before="120" w:after="120"/>
              <w:ind w:hanging="18"/>
              <w:jc w:val="center"/>
              <w:rPr>
                <w:sz w:val="24"/>
                <w:szCs w:val="24"/>
              </w:rPr>
            </w:pPr>
            <w:r w:rsidRPr="00AD3FCB">
              <w:rPr>
                <w:sz w:val="24"/>
                <w:szCs w:val="24"/>
              </w:rPr>
              <w:t>RMS</w:t>
            </w:r>
            <w:r w:rsidR="003F56CD">
              <w:rPr>
                <w:sz w:val="24"/>
                <w:szCs w:val="24"/>
              </w:rPr>
              <w:t>E</w:t>
            </w:r>
            <w:r>
              <w:rPr>
                <w:sz w:val="24"/>
                <w:szCs w:val="24"/>
              </w:rPr>
              <w:t xml:space="preserve"> (%)</w:t>
            </w:r>
          </w:p>
        </w:tc>
      </w:tr>
      <w:tr w:rsidR="00192013" w:rsidRPr="005A3E52" w14:paraId="23657A9A" w14:textId="77777777" w:rsidTr="00A440CD">
        <w:trPr>
          <w:trHeight w:val="350"/>
          <w:jc w:val="center"/>
        </w:trPr>
        <w:tc>
          <w:tcPr>
            <w:tcW w:w="1795" w:type="dxa"/>
          </w:tcPr>
          <w:p w14:paraId="68EFB12B" w14:textId="77777777" w:rsidR="00192013" w:rsidRPr="00C75422" w:rsidRDefault="00192013" w:rsidP="00A440CD">
            <w:pPr>
              <w:pStyle w:val="Paragraph"/>
              <w:spacing w:before="120" w:after="120"/>
              <w:ind w:firstLine="0"/>
              <w:jc w:val="center"/>
              <w:rPr>
                <w:b/>
                <w:sz w:val="24"/>
                <w:szCs w:val="24"/>
              </w:rPr>
            </w:pPr>
            <w:r w:rsidRPr="00C94070">
              <w:rPr>
                <w:b/>
                <w:sz w:val="24"/>
                <w:szCs w:val="24"/>
              </w:rPr>
              <w:t>Neat epoxy layer</w:t>
            </w:r>
          </w:p>
        </w:tc>
        <w:tc>
          <w:tcPr>
            <w:tcW w:w="1260" w:type="dxa"/>
            <w:vAlign w:val="center"/>
          </w:tcPr>
          <w:p w14:paraId="4E6C9AC8" w14:textId="245C76D4" w:rsidR="00192013" w:rsidRPr="008365E2" w:rsidRDefault="00192013" w:rsidP="00A440CD">
            <w:pPr>
              <w:pStyle w:val="Paragraph"/>
              <w:spacing w:before="120" w:after="120"/>
              <w:ind w:firstLine="0"/>
              <w:jc w:val="center"/>
              <w:rPr>
                <w:sz w:val="24"/>
                <w:szCs w:val="24"/>
              </w:rPr>
            </w:pPr>
            <w:r w:rsidRPr="008365E2">
              <w:rPr>
                <w:sz w:val="24"/>
                <w:szCs w:val="24"/>
              </w:rPr>
              <w:t>8.59</w:t>
            </w:r>
            <w:r w:rsidR="003F56CD">
              <w:rPr>
                <w:sz w:val="24"/>
                <w:szCs w:val="24"/>
              </w:rPr>
              <w:t>×</w:t>
            </w:r>
            <w:r w:rsidRPr="008365E2">
              <w:rPr>
                <w:sz w:val="24"/>
                <w:szCs w:val="24"/>
              </w:rPr>
              <w:t>10</w:t>
            </w:r>
            <w:r>
              <w:rPr>
                <w:sz w:val="24"/>
                <w:szCs w:val="24"/>
                <w:vertAlign w:val="superscript"/>
              </w:rPr>
              <w:t>-4</w:t>
            </w:r>
          </w:p>
        </w:tc>
        <w:tc>
          <w:tcPr>
            <w:tcW w:w="1260" w:type="dxa"/>
            <w:vAlign w:val="center"/>
          </w:tcPr>
          <w:p w14:paraId="377AD488" w14:textId="7370F085" w:rsidR="00192013" w:rsidRPr="008365E2" w:rsidRDefault="00192013" w:rsidP="00A440CD">
            <w:pPr>
              <w:pStyle w:val="Paragraph"/>
              <w:spacing w:before="120" w:after="120"/>
              <w:ind w:firstLine="0"/>
              <w:jc w:val="center"/>
              <w:rPr>
                <w:sz w:val="24"/>
                <w:szCs w:val="24"/>
              </w:rPr>
            </w:pPr>
            <w:r w:rsidRPr="008365E2">
              <w:rPr>
                <w:sz w:val="24"/>
                <w:szCs w:val="24"/>
              </w:rPr>
              <w:t>1.35</w:t>
            </w:r>
            <w:r w:rsidR="003F56CD">
              <w:rPr>
                <w:sz w:val="24"/>
                <w:szCs w:val="24"/>
              </w:rPr>
              <w:t>×</w:t>
            </w:r>
            <w:r w:rsidRPr="008365E2">
              <w:rPr>
                <w:sz w:val="24"/>
                <w:szCs w:val="24"/>
              </w:rPr>
              <w:t>10</w:t>
            </w:r>
            <w:r>
              <w:rPr>
                <w:sz w:val="24"/>
                <w:szCs w:val="24"/>
                <w:vertAlign w:val="superscript"/>
              </w:rPr>
              <w:t>-3</w:t>
            </w:r>
          </w:p>
        </w:tc>
        <w:tc>
          <w:tcPr>
            <w:tcW w:w="1260" w:type="dxa"/>
            <w:vAlign w:val="center"/>
          </w:tcPr>
          <w:p w14:paraId="7E383221" w14:textId="6EA3A1EC" w:rsidR="00192013" w:rsidRPr="008365E2" w:rsidRDefault="00192013" w:rsidP="00A440CD">
            <w:pPr>
              <w:pStyle w:val="Paragraph"/>
              <w:spacing w:before="120" w:after="120"/>
              <w:ind w:firstLine="0"/>
              <w:jc w:val="center"/>
              <w:rPr>
                <w:sz w:val="24"/>
                <w:szCs w:val="24"/>
              </w:rPr>
            </w:pPr>
            <w:r w:rsidRPr="008365E2">
              <w:rPr>
                <w:sz w:val="24"/>
                <w:szCs w:val="24"/>
              </w:rPr>
              <w:t>2.59</w:t>
            </w:r>
            <w:r w:rsidR="003F56CD">
              <w:rPr>
                <w:sz w:val="24"/>
                <w:szCs w:val="24"/>
              </w:rPr>
              <w:t>×</w:t>
            </w:r>
            <w:r w:rsidRPr="008365E2">
              <w:rPr>
                <w:sz w:val="24"/>
                <w:szCs w:val="24"/>
              </w:rPr>
              <w:t>10</w:t>
            </w:r>
            <w:r>
              <w:rPr>
                <w:sz w:val="24"/>
                <w:szCs w:val="24"/>
                <w:vertAlign w:val="superscript"/>
              </w:rPr>
              <w:t>-4</w:t>
            </w:r>
          </w:p>
        </w:tc>
        <w:tc>
          <w:tcPr>
            <w:tcW w:w="810" w:type="dxa"/>
            <w:vAlign w:val="center"/>
          </w:tcPr>
          <w:p w14:paraId="4CE81C31" w14:textId="77777777" w:rsidR="00192013" w:rsidRPr="008365E2" w:rsidRDefault="00192013" w:rsidP="00A440CD">
            <w:pPr>
              <w:pStyle w:val="Paragraph"/>
              <w:spacing w:before="120" w:after="120"/>
              <w:ind w:firstLine="0"/>
              <w:jc w:val="center"/>
              <w:rPr>
                <w:sz w:val="24"/>
                <w:szCs w:val="24"/>
              </w:rPr>
            </w:pPr>
            <w:r>
              <w:rPr>
                <w:color w:val="000000" w:themeColor="text1"/>
                <w:kern w:val="24"/>
                <w:sz w:val="24"/>
                <w:szCs w:val="24"/>
              </w:rPr>
              <w:t>0.192</w:t>
            </w:r>
          </w:p>
        </w:tc>
        <w:tc>
          <w:tcPr>
            <w:tcW w:w="990" w:type="dxa"/>
            <w:vAlign w:val="center"/>
          </w:tcPr>
          <w:p w14:paraId="7F8E558B" w14:textId="77777777" w:rsidR="00192013" w:rsidRPr="008365E2" w:rsidRDefault="00192013" w:rsidP="00A440CD">
            <w:pPr>
              <w:pStyle w:val="Paragraph"/>
              <w:spacing w:before="120" w:after="120"/>
              <w:ind w:firstLine="0"/>
              <w:jc w:val="center"/>
              <w:rPr>
                <w:sz w:val="24"/>
                <w:szCs w:val="24"/>
              </w:rPr>
            </w:pPr>
            <w:r w:rsidRPr="008365E2">
              <w:rPr>
                <w:sz w:val="24"/>
                <w:szCs w:val="24"/>
              </w:rPr>
              <w:t>2.09</w:t>
            </w:r>
          </w:p>
        </w:tc>
        <w:tc>
          <w:tcPr>
            <w:tcW w:w="1111" w:type="dxa"/>
            <w:vAlign w:val="center"/>
          </w:tcPr>
          <w:p w14:paraId="1274BC38" w14:textId="77777777" w:rsidR="00192013" w:rsidRPr="008365E2" w:rsidRDefault="00192013" w:rsidP="00A440CD">
            <w:pPr>
              <w:pStyle w:val="Paragraph"/>
              <w:spacing w:before="120" w:after="120"/>
              <w:ind w:firstLine="0"/>
              <w:jc w:val="center"/>
              <w:rPr>
                <w:sz w:val="24"/>
                <w:szCs w:val="24"/>
              </w:rPr>
            </w:pPr>
            <w:r>
              <w:rPr>
                <w:sz w:val="24"/>
                <w:szCs w:val="24"/>
              </w:rPr>
              <w:t>0.25</w:t>
            </w:r>
          </w:p>
        </w:tc>
      </w:tr>
      <w:tr w:rsidR="00192013" w:rsidRPr="005A3E52" w14:paraId="41DECC49" w14:textId="77777777" w:rsidTr="00A440CD">
        <w:trPr>
          <w:trHeight w:val="350"/>
          <w:jc w:val="center"/>
        </w:trPr>
        <w:tc>
          <w:tcPr>
            <w:tcW w:w="1795" w:type="dxa"/>
            <w:vAlign w:val="center"/>
          </w:tcPr>
          <w:p w14:paraId="071D19A6" w14:textId="77777777" w:rsidR="00192013" w:rsidRPr="00C75422" w:rsidRDefault="00192013" w:rsidP="00A440CD">
            <w:pPr>
              <w:pStyle w:val="Paragraph"/>
              <w:spacing w:before="120" w:after="120"/>
              <w:ind w:firstLine="0"/>
              <w:jc w:val="center"/>
              <w:rPr>
                <w:b/>
                <w:sz w:val="24"/>
                <w:szCs w:val="24"/>
              </w:rPr>
            </w:pPr>
            <w:r w:rsidRPr="00C94070">
              <w:rPr>
                <w:b/>
                <w:sz w:val="24"/>
                <w:szCs w:val="24"/>
              </w:rPr>
              <w:t>Glass sphere/epoxy layer</w:t>
            </w:r>
          </w:p>
        </w:tc>
        <w:tc>
          <w:tcPr>
            <w:tcW w:w="1260" w:type="dxa"/>
            <w:vAlign w:val="center"/>
          </w:tcPr>
          <w:p w14:paraId="026DB586" w14:textId="735D2CB9" w:rsidR="00192013" w:rsidRPr="008365E2" w:rsidRDefault="00192013" w:rsidP="00A440CD">
            <w:pPr>
              <w:pStyle w:val="Paragraph"/>
              <w:spacing w:before="120" w:after="120"/>
              <w:ind w:firstLine="0"/>
              <w:jc w:val="center"/>
              <w:rPr>
                <w:sz w:val="24"/>
                <w:szCs w:val="24"/>
              </w:rPr>
            </w:pPr>
            <w:r w:rsidRPr="008365E2">
              <w:rPr>
                <w:sz w:val="24"/>
                <w:szCs w:val="24"/>
              </w:rPr>
              <w:t>2.20</w:t>
            </w:r>
            <w:r w:rsidR="003F56CD">
              <w:rPr>
                <w:sz w:val="24"/>
                <w:szCs w:val="24"/>
              </w:rPr>
              <w:t>×</w:t>
            </w:r>
            <w:r w:rsidRPr="008365E2">
              <w:rPr>
                <w:sz w:val="24"/>
                <w:szCs w:val="24"/>
              </w:rPr>
              <w:t>10</w:t>
            </w:r>
            <w:r>
              <w:rPr>
                <w:sz w:val="24"/>
                <w:szCs w:val="24"/>
                <w:vertAlign w:val="superscript"/>
              </w:rPr>
              <w:t>-4</w:t>
            </w:r>
          </w:p>
        </w:tc>
        <w:tc>
          <w:tcPr>
            <w:tcW w:w="1260" w:type="dxa"/>
            <w:vAlign w:val="center"/>
          </w:tcPr>
          <w:p w14:paraId="45D97C58" w14:textId="35402D85" w:rsidR="00192013" w:rsidRPr="008365E2" w:rsidRDefault="0042068A" w:rsidP="00A440CD">
            <w:pPr>
              <w:pStyle w:val="Paragraph"/>
              <w:spacing w:before="120" w:after="120"/>
              <w:ind w:firstLine="0"/>
              <w:jc w:val="center"/>
              <w:rPr>
                <w:sz w:val="24"/>
                <w:szCs w:val="24"/>
              </w:rPr>
            </w:pPr>
            <w:r>
              <w:rPr>
                <w:sz w:val="24"/>
                <w:szCs w:val="24"/>
              </w:rPr>
              <w:t>3.03</w:t>
            </w:r>
            <w:r w:rsidR="003F56CD">
              <w:rPr>
                <w:sz w:val="24"/>
                <w:szCs w:val="24"/>
              </w:rPr>
              <w:t>×</w:t>
            </w:r>
            <w:r w:rsidR="00192013" w:rsidRPr="008365E2">
              <w:rPr>
                <w:sz w:val="24"/>
                <w:szCs w:val="24"/>
              </w:rPr>
              <w:t>10</w:t>
            </w:r>
            <w:r>
              <w:rPr>
                <w:sz w:val="24"/>
                <w:szCs w:val="24"/>
                <w:vertAlign w:val="superscript"/>
              </w:rPr>
              <w:t>-4</w:t>
            </w:r>
          </w:p>
        </w:tc>
        <w:tc>
          <w:tcPr>
            <w:tcW w:w="1260" w:type="dxa"/>
            <w:vAlign w:val="center"/>
          </w:tcPr>
          <w:p w14:paraId="43840B52" w14:textId="6916DF29" w:rsidR="00192013" w:rsidRPr="008365E2" w:rsidRDefault="0042068A" w:rsidP="00A440CD">
            <w:pPr>
              <w:pStyle w:val="Paragraph"/>
              <w:spacing w:before="120" w:after="120"/>
              <w:ind w:firstLine="0"/>
              <w:jc w:val="center"/>
              <w:rPr>
                <w:sz w:val="24"/>
                <w:szCs w:val="24"/>
              </w:rPr>
            </w:pPr>
            <w:r>
              <w:rPr>
                <w:sz w:val="24"/>
                <w:szCs w:val="24"/>
              </w:rPr>
              <w:t>8.73</w:t>
            </w:r>
            <w:r w:rsidR="003F56CD">
              <w:rPr>
                <w:sz w:val="24"/>
                <w:szCs w:val="24"/>
              </w:rPr>
              <w:t>×</w:t>
            </w:r>
            <w:r w:rsidR="00192013" w:rsidRPr="008365E2">
              <w:rPr>
                <w:sz w:val="24"/>
                <w:szCs w:val="24"/>
              </w:rPr>
              <w:t>10</w:t>
            </w:r>
            <w:r>
              <w:rPr>
                <w:sz w:val="24"/>
                <w:szCs w:val="24"/>
                <w:vertAlign w:val="superscript"/>
              </w:rPr>
              <w:t>-5</w:t>
            </w:r>
          </w:p>
        </w:tc>
        <w:tc>
          <w:tcPr>
            <w:tcW w:w="810" w:type="dxa"/>
            <w:vAlign w:val="center"/>
          </w:tcPr>
          <w:p w14:paraId="3BB320FB" w14:textId="0C01BC74" w:rsidR="00192013" w:rsidRPr="008365E2" w:rsidRDefault="0042068A" w:rsidP="00A440CD">
            <w:pPr>
              <w:pStyle w:val="Paragraph"/>
              <w:spacing w:before="120" w:after="120"/>
              <w:ind w:firstLine="0"/>
              <w:jc w:val="center"/>
              <w:rPr>
                <w:sz w:val="24"/>
                <w:szCs w:val="24"/>
              </w:rPr>
            </w:pPr>
            <w:r>
              <w:rPr>
                <w:color w:val="000000" w:themeColor="text1"/>
                <w:kern w:val="24"/>
                <w:sz w:val="24"/>
                <w:szCs w:val="24"/>
              </w:rPr>
              <w:t>0.288</w:t>
            </w:r>
          </w:p>
        </w:tc>
        <w:tc>
          <w:tcPr>
            <w:tcW w:w="990" w:type="dxa"/>
            <w:vAlign w:val="center"/>
          </w:tcPr>
          <w:p w14:paraId="62050F01" w14:textId="790AE843" w:rsidR="00192013" w:rsidRPr="008365E2" w:rsidRDefault="0042068A" w:rsidP="0042068A">
            <w:pPr>
              <w:pStyle w:val="Paragraph"/>
              <w:spacing w:before="120" w:after="120"/>
              <w:ind w:firstLine="0"/>
              <w:jc w:val="center"/>
              <w:rPr>
                <w:sz w:val="24"/>
                <w:szCs w:val="24"/>
              </w:rPr>
            </w:pPr>
            <w:r>
              <w:rPr>
                <w:sz w:val="24"/>
                <w:szCs w:val="24"/>
              </w:rPr>
              <w:t>2.98</w:t>
            </w:r>
          </w:p>
        </w:tc>
        <w:tc>
          <w:tcPr>
            <w:tcW w:w="1111" w:type="dxa"/>
            <w:vAlign w:val="center"/>
          </w:tcPr>
          <w:p w14:paraId="771D80B0" w14:textId="2FAFB0D6" w:rsidR="00192013" w:rsidRPr="008365E2" w:rsidRDefault="00192013" w:rsidP="00A440CD">
            <w:pPr>
              <w:pStyle w:val="Paragraph"/>
              <w:spacing w:before="120" w:after="120"/>
              <w:ind w:firstLine="0"/>
              <w:jc w:val="center"/>
              <w:rPr>
                <w:sz w:val="24"/>
                <w:szCs w:val="24"/>
              </w:rPr>
            </w:pPr>
            <w:r>
              <w:rPr>
                <w:sz w:val="24"/>
                <w:szCs w:val="24"/>
              </w:rPr>
              <w:t>2</w:t>
            </w:r>
            <w:r w:rsidR="0077731F">
              <w:rPr>
                <w:sz w:val="24"/>
                <w:szCs w:val="24"/>
              </w:rPr>
              <w:t>.7</w:t>
            </w:r>
            <w:r>
              <w:rPr>
                <w:sz w:val="24"/>
                <w:szCs w:val="24"/>
              </w:rPr>
              <w:t>5</w:t>
            </w:r>
          </w:p>
        </w:tc>
      </w:tr>
    </w:tbl>
    <w:p w14:paraId="1B4FD92C" w14:textId="77777777" w:rsidR="00192013" w:rsidRDefault="00192013" w:rsidP="00F77E87"/>
    <w:p w14:paraId="614B3FDA" w14:textId="55046F32" w:rsidR="00192013" w:rsidRDefault="00192013" w:rsidP="00F77E87">
      <w:r>
        <w:t>Comparison between absorption parameters of the neat epoxy layer and glass sphere/epoxy layer show similar trends observed for previously analyzed micro glass and nanoclay reinforced epoxies. First, the change in the diffusion coefficient follows the rule of mix</w:t>
      </w:r>
      <w:r w:rsidR="00E454F6">
        <w:t xml:space="preserve">ture. As previously stated, </w:t>
      </w:r>
      <w:r>
        <w:t xml:space="preserve">glass </w:t>
      </w:r>
      <w:r w:rsidR="00E454F6">
        <w:t>spheres do</w:t>
      </w:r>
      <w:r>
        <w:t xml:space="preserve"> not absorb any moisture, accordingly has zero diffusivity. The diffusion coefficient of fully saturated glass sphere/epoxy layer (74 </w:t>
      </w:r>
      <w:proofErr w:type="spellStart"/>
      <w:proofErr w:type="gramStart"/>
      <w:r>
        <w:t>vol</w:t>
      </w:r>
      <w:proofErr w:type="spellEnd"/>
      <w:r>
        <w:t>%</w:t>
      </w:r>
      <w:proofErr w:type="gramEnd"/>
      <w:r>
        <w:t>) is calculated as 2.23</w:t>
      </w:r>
      <w:r w:rsidR="00072ACC">
        <w:t xml:space="preserve"> × </w:t>
      </w:r>
      <w:r w:rsidRPr="00C94070">
        <w:rPr>
          <w:szCs w:val="24"/>
        </w:rPr>
        <w:t>10</w:t>
      </w:r>
      <w:r w:rsidRPr="00C94070">
        <w:rPr>
          <w:szCs w:val="24"/>
          <w:vertAlign w:val="superscript"/>
        </w:rPr>
        <w:t>-3</w:t>
      </w:r>
      <w:r w:rsidRPr="006D09E9">
        <w:rPr>
          <w:b/>
          <w:szCs w:val="24"/>
        </w:rPr>
        <w:t xml:space="preserve"> </w:t>
      </w:r>
      <w:r w:rsidRPr="006D09E9">
        <w:rPr>
          <w:szCs w:val="24"/>
        </w:rPr>
        <w:t>mm</w:t>
      </w:r>
      <w:r w:rsidRPr="006D09E9">
        <w:rPr>
          <w:szCs w:val="24"/>
          <w:vertAlign w:val="superscript"/>
        </w:rPr>
        <w:t>2</w:t>
      </w:r>
      <w:r w:rsidRPr="006D09E9">
        <w:rPr>
          <w:szCs w:val="24"/>
        </w:rPr>
        <w:t>/h</w:t>
      </w:r>
      <w:r>
        <w:rPr>
          <w:szCs w:val="24"/>
        </w:rPr>
        <w:t xml:space="preserve"> using rule of mixture</w:t>
      </w:r>
      <w:r w:rsidR="00E454F6">
        <w:rPr>
          <w:szCs w:val="24"/>
        </w:rPr>
        <w:t>s</w:t>
      </w:r>
      <w:r>
        <w:rPr>
          <w:szCs w:val="24"/>
        </w:rPr>
        <w:t xml:space="preserve">. The recovered diffusivity is only 1% off less than the theoretical diffusivity. Second, no significant change </w:t>
      </w:r>
      <w:proofErr w:type="gramStart"/>
      <w:r>
        <w:rPr>
          <w:szCs w:val="24"/>
        </w:rPr>
        <w:t xml:space="preserve">in </w:t>
      </w:r>
      <w:proofErr w:type="gramEnd"/>
      <m:oMath>
        <m:r>
          <w:rPr>
            <w:rFonts w:ascii="Cambria Math" w:hAnsi="Cambria Math"/>
            <w:szCs w:val="24"/>
          </w:rPr>
          <m:t>γ</m:t>
        </m:r>
      </m:oMath>
      <w:r>
        <w:rPr>
          <w:szCs w:val="24"/>
        </w:rPr>
        <w:t xml:space="preserve">, the rate of unbound moisture becoming bound is observed. However, the </w:t>
      </w:r>
      <w:r>
        <w:rPr>
          <w:szCs w:val="24"/>
        </w:rPr>
        <w:lastRenderedPageBreak/>
        <w:t xml:space="preserve">decrease </w:t>
      </w:r>
      <w:proofErr w:type="gramStart"/>
      <w:r>
        <w:rPr>
          <w:szCs w:val="24"/>
        </w:rPr>
        <w:t xml:space="preserve">in </w:t>
      </w:r>
      <w:proofErr w:type="gramEnd"/>
      <m:oMath>
        <m:r>
          <w:rPr>
            <w:rFonts w:ascii="Cambria Math" w:hAnsi="Cambria Math"/>
            <w:szCs w:val="24"/>
          </w:rPr>
          <m:t>β</m:t>
        </m:r>
      </m:oMath>
      <w:r>
        <w:rPr>
          <w:szCs w:val="24"/>
        </w:rPr>
        <w:t>,</w:t>
      </w:r>
      <w:r w:rsidRPr="006D09E9">
        <w:rPr>
          <w:szCs w:val="24"/>
        </w:rPr>
        <w:t xml:space="preserve"> </w:t>
      </w:r>
      <w:r>
        <w:rPr>
          <w:szCs w:val="24"/>
        </w:rPr>
        <w:t>the rate of bound moisture becoming unbound, suggest</w:t>
      </w:r>
      <w:r w:rsidR="00E454F6">
        <w:rPr>
          <w:szCs w:val="24"/>
        </w:rPr>
        <w:t>s</w:t>
      </w:r>
      <w:r>
        <w:rPr>
          <w:szCs w:val="24"/>
        </w:rPr>
        <w:t xml:space="preserve"> that the diffusion became more hindered by the addition of glass spheres. Lastly, glass addition increased the maximum moisture content by 31%. Even though the glass addition decreases the free volume that the moisture can diffuse into, glass sphere/epoxy interfaces increase the generation of bound moisture. Thus, the maximum moisture content increases. The effect of the glass s</w:t>
      </w:r>
      <w:r w:rsidR="003F56CD">
        <w:rPr>
          <w:szCs w:val="24"/>
        </w:rPr>
        <w:t>phere/epoxy layer formation and</w:t>
      </w:r>
      <w:r>
        <w:rPr>
          <w:szCs w:val="24"/>
        </w:rPr>
        <w:t xml:space="preserve"> glass sphere </w:t>
      </w:r>
      <w:r w:rsidR="003F56CD">
        <w:rPr>
          <w:szCs w:val="24"/>
        </w:rPr>
        <w:t xml:space="preserve">saturated saturation in </w:t>
      </w:r>
      <w:r>
        <w:rPr>
          <w:szCs w:val="24"/>
        </w:rPr>
        <w:t xml:space="preserve">epoxy on moisture absorption kinetics is illustrated in </w:t>
      </w:r>
      <w:r>
        <w:rPr>
          <w:szCs w:val="24"/>
        </w:rPr>
        <w:fldChar w:fldCharType="begin"/>
      </w:r>
      <w:r>
        <w:rPr>
          <w:szCs w:val="24"/>
        </w:rPr>
        <w:instrText xml:space="preserve"> REF _Ref522107863 \h </w:instrText>
      </w:r>
      <w:r w:rsidR="00F77E87">
        <w:rPr>
          <w:szCs w:val="24"/>
        </w:rPr>
        <w:instrText xml:space="preserve"> \* MERGEFORMAT </w:instrText>
      </w:r>
      <w:r>
        <w:rPr>
          <w:szCs w:val="24"/>
        </w:rPr>
      </w:r>
      <w:r>
        <w:rPr>
          <w:szCs w:val="24"/>
        </w:rPr>
        <w:fldChar w:fldCharType="separate"/>
      </w:r>
      <w:r w:rsidR="006D52C2">
        <w:t xml:space="preserve">Figure </w:t>
      </w:r>
      <w:r w:rsidR="006D52C2">
        <w:rPr>
          <w:noProof/>
        </w:rPr>
        <w:t>45</w:t>
      </w:r>
      <w:r>
        <w:rPr>
          <w:szCs w:val="24"/>
        </w:rPr>
        <w:fldChar w:fldCharType="end"/>
      </w:r>
      <w:r>
        <w:rPr>
          <w:szCs w:val="24"/>
        </w:rPr>
        <w:t>.</w:t>
      </w:r>
    </w:p>
    <w:p w14:paraId="1EDD8A5B" w14:textId="768C533B" w:rsidR="00192013" w:rsidRDefault="0042068A" w:rsidP="00192013">
      <w:pPr>
        <w:pStyle w:val="NoSpacing"/>
      </w:pPr>
      <w:r>
        <w:rPr>
          <w:noProof/>
          <w:lang w:bidi="ar-SA"/>
        </w:rPr>
        <w:drawing>
          <wp:inline distT="0" distB="0" distL="0" distR="0" wp14:anchorId="7975CF93" wp14:editId="7117D24A">
            <wp:extent cx="5026828" cy="3657600"/>
            <wp:effectExtent l="0" t="0" r="2540" b="0"/>
            <wp:docPr id="4167" name="Picture 4167" descr="C:\Users\Administrator\Desktop\proje\PhD Dissertation\3M glass-epoxy multilayuer\Figures on Dissertation\Glass sphere-epoxy Predictions_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proje\PhD Dissertation\3M glass-epoxy multilayuer\Figures on Dissertation\Glass sphere-epoxy Predictions_final.t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26828" cy="3657600"/>
                    </a:xfrm>
                    <a:prstGeom prst="rect">
                      <a:avLst/>
                    </a:prstGeom>
                    <a:noFill/>
                    <a:ln>
                      <a:noFill/>
                    </a:ln>
                  </pic:spPr>
                </pic:pic>
              </a:graphicData>
            </a:graphic>
          </wp:inline>
        </w:drawing>
      </w:r>
    </w:p>
    <w:p w14:paraId="341177B6" w14:textId="77777777" w:rsidR="00192013" w:rsidRDefault="00192013" w:rsidP="00192013">
      <w:pPr>
        <w:pStyle w:val="Caption"/>
      </w:pPr>
      <w:bookmarkStart w:id="238" w:name="_Ref522107863"/>
      <w:bookmarkStart w:id="239" w:name="_Toc530997401"/>
      <w:r>
        <w:t xml:space="preserve">Figure </w:t>
      </w:r>
      <w:r>
        <w:rPr>
          <w:noProof/>
        </w:rPr>
        <w:fldChar w:fldCharType="begin"/>
      </w:r>
      <w:r>
        <w:rPr>
          <w:noProof/>
        </w:rPr>
        <w:instrText xml:space="preserve"> SEQ Figure \* ARABIC </w:instrText>
      </w:r>
      <w:r>
        <w:rPr>
          <w:noProof/>
        </w:rPr>
        <w:fldChar w:fldCharType="separate"/>
      </w:r>
      <w:r w:rsidR="006D52C2">
        <w:rPr>
          <w:noProof/>
        </w:rPr>
        <w:t>45</w:t>
      </w:r>
      <w:r>
        <w:rPr>
          <w:noProof/>
        </w:rPr>
        <w:fldChar w:fldCharType="end"/>
      </w:r>
      <w:bookmarkEnd w:id="238"/>
      <w:r>
        <w:t>. Experimental mass uptake data of 31%, 57%, and 100% thick glass sphere/epoxy layer-epoxy multilayer laminates and multilayer hindered diffusion model predictions.</w:t>
      </w:r>
      <w:bookmarkEnd w:id="239"/>
    </w:p>
    <w:p w14:paraId="1D2A52DE" w14:textId="77777777" w:rsidR="00192013" w:rsidRPr="008365E2" w:rsidRDefault="00192013" w:rsidP="00F77E87"/>
    <w:p w14:paraId="7BB9C8A4" w14:textId="40310718" w:rsidR="00192013" w:rsidRDefault="00192013" w:rsidP="00F77E87">
      <w:r>
        <w:t xml:space="preserve">In </w:t>
      </w:r>
      <w:r>
        <w:rPr>
          <w:szCs w:val="24"/>
        </w:rPr>
        <w:fldChar w:fldCharType="begin"/>
      </w:r>
      <w:r>
        <w:rPr>
          <w:szCs w:val="24"/>
        </w:rPr>
        <w:instrText xml:space="preserve"> REF _Ref522107863 \h </w:instrText>
      </w:r>
      <w:r w:rsidR="00F77E87">
        <w:rPr>
          <w:szCs w:val="24"/>
        </w:rPr>
        <w:instrText xml:space="preserve"> \* MERGEFORMAT </w:instrText>
      </w:r>
      <w:r>
        <w:rPr>
          <w:szCs w:val="24"/>
        </w:rPr>
      </w:r>
      <w:r>
        <w:rPr>
          <w:szCs w:val="24"/>
        </w:rPr>
        <w:fldChar w:fldCharType="separate"/>
      </w:r>
      <w:r w:rsidR="006D52C2">
        <w:t xml:space="preserve">Figure </w:t>
      </w:r>
      <w:r w:rsidR="006D52C2">
        <w:rPr>
          <w:noProof/>
        </w:rPr>
        <w:t>45</w:t>
      </w:r>
      <w:r>
        <w:rPr>
          <w:szCs w:val="24"/>
        </w:rPr>
        <w:fldChar w:fldCharType="end"/>
      </w:r>
      <w:r>
        <w:rPr>
          <w:szCs w:val="24"/>
        </w:rPr>
        <w:t xml:space="preserve">, experimental mass gain data of neat epoxy, 31%, 57%, and 100% thick glass sphere/epoxy layer-epoxy multilayer composites and multilayer hindered diffusion model predictions are illustrated. Model prediction for neat epoxy laminate represents the experimental data smoothly in compliance with the root mean square error per data point </w:t>
      </w:r>
      <w:r>
        <w:rPr>
          <w:szCs w:val="24"/>
        </w:rPr>
        <w:lastRenderedPageBreak/>
        <w:t xml:space="preserve">in </w:t>
      </w:r>
      <w:r>
        <w:fldChar w:fldCharType="begin"/>
      </w:r>
      <w:r>
        <w:instrText xml:space="preserve"> REF _Ref522021331 \h </w:instrText>
      </w:r>
      <w:r w:rsidR="00F77E87">
        <w:instrText xml:space="preserve"> \* MERGEFORMAT </w:instrText>
      </w:r>
      <w:r>
        <w:fldChar w:fldCharType="separate"/>
      </w:r>
      <w:r w:rsidR="006D52C2">
        <w:t xml:space="preserve">Table </w:t>
      </w:r>
      <w:r w:rsidR="006D52C2">
        <w:rPr>
          <w:noProof/>
        </w:rPr>
        <w:t>8</w:t>
      </w:r>
      <w:r>
        <w:fldChar w:fldCharType="end"/>
      </w:r>
      <w:r>
        <w:t>. Even though the model predictions for 31% and 57% thick glass sphere/epoxy layer-epoxy laminates overshoot the experimental data</w:t>
      </w:r>
      <w:r w:rsidRPr="00BA0F08">
        <w:t xml:space="preserve"> </w:t>
      </w:r>
      <w:r>
        <w:t xml:space="preserve">a little, </w:t>
      </w:r>
      <w:r w:rsidR="00927E3E">
        <w:t>t</w:t>
      </w:r>
      <w:r w:rsidR="00E454F6">
        <w:t>he hindered diffusion model was</w:t>
      </w:r>
      <w:r w:rsidR="00927E3E">
        <w:t xml:space="preserve"> able to predict the moisture absorption behavior of three composites with different characteristics. </w:t>
      </w:r>
      <w:r>
        <w:t>It should be noted that variations in the average experimental mass gain data of glass sph</w:t>
      </w:r>
      <w:r w:rsidR="00E454F6">
        <w:t>ere/epoxy-epoxy laminates are</w:t>
      </w:r>
      <w:r>
        <w:t xml:space="preserve"> believed to be caused by non-uniform rate of chemical interaction between the water molecules and the glass sphere/epoxy interfaces. Increased fluctuation of the data with increasing glass content is considered to support this idea. Thus, a little overshoot of the multilayer hindered diffusion model prediction is expected. Regardless, multilayer hindered diffusion model is an effective tool to predict the absorption behavior of layered laminates.</w:t>
      </w:r>
    </w:p>
    <w:p w14:paraId="21532C0C" w14:textId="4AF1B947" w:rsidR="00192013" w:rsidRDefault="00192013" w:rsidP="00F77E87">
      <w:r>
        <w:t>To illustrate the effect of layer formation on moisture absorption kinetics, mass gain</w:t>
      </w:r>
      <w:r w:rsidR="007D4338">
        <w:t>,</w:t>
      </w:r>
      <w:r>
        <w:t xml:space="preserve"> and concentration profiles of multilayer glass sphere/epoxy-epoxy laminates and dispersed glass sphere/epoxy laminates are compared. It should be noted here that no dispersed glass sphere/epoxy laminate is manufactured or tested. The absorption parameters of the dispersed cases are deduced from the absorption parameters of neat epoxy and fully saturated glass sphere/epoxy laminates. Diffusion coefficient, maximum moisture content</w:t>
      </w:r>
      <w:r w:rsidR="007D4338">
        <w:t>,</w:t>
      </w:r>
      <w:r>
        <w:t xml:space="preserve"> and hindrance coefficient of dispersed glass sphere/epoxy laminates are assumed to follow the linear trend as observed for glass sphere/epoxy and nanoclay/epoxy laminates in previous sections. The diffusion coefficient of the 71% vol. glass sphere/epoxy laminate has already been </w:t>
      </w:r>
      <w:r w:rsidR="000B07A7">
        <w:t>detected</w:t>
      </w:r>
      <w:r>
        <w:t xml:space="preserve"> to follow the rule of mixture. Thus, the diffusion coefficients of dispersed 21% and 40% vol. glass sphere/epoxy laminates are calculated using the rule of mixture. </w:t>
      </w:r>
      <w:r w:rsidR="000B07A7">
        <w:t>D</w:t>
      </w:r>
      <w:r>
        <w:t>iffusion coefficient,</w:t>
      </w:r>
      <w:r w:rsidR="000B07A7">
        <w:t xml:space="preserve"> maximum</w:t>
      </w:r>
      <w:r>
        <w:t xml:space="preserve"> moisture content</w:t>
      </w:r>
      <w:r w:rsidR="007D4338">
        <w:t>,</w:t>
      </w:r>
      <w:r>
        <w:t xml:space="preserve"> and hindrance coefficient is not enough</w:t>
      </w:r>
      <w:r w:rsidR="000B07A7" w:rsidRPr="000B07A7">
        <w:t xml:space="preserve"> </w:t>
      </w:r>
      <w:r w:rsidR="000B07A7">
        <w:t>to capture the absorption kinetics</w:t>
      </w:r>
      <w:r>
        <w:t xml:space="preserve">. Rates of </w:t>
      </w:r>
      <w:r>
        <w:lastRenderedPageBreak/>
        <w:t xml:space="preserve">exchange between the bound and unbound moisture molecules, </w:t>
      </w:r>
      <m:oMath>
        <m:r>
          <w:rPr>
            <w:rFonts w:ascii="Cambria Math" w:hAnsi="Cambria Math"/>
            <w:szCs w:val="24"/>
          </w:rPr>
          <m:t>β</m:t>
        </m:r>
      </m:oMath>
      <w:r>
        <w:rPr>
          <w:szCs w:val="24"/>
        </w:rPr>
        <w:t xml:space="preserve"> </w:t>
      </w:r>
      <w:proofErr w:type="gramStart"/>
      <w:r>
        <w:rPr>
          <w:szCs w:val="24"/>
        </w:rPr>
        <w:t xml:space="preserve">and </w:t>
      </w:r>
      <w:proofErr w:type="gramEnd"/>
      <m:oMath>
        <m:r>
          <w:rPr>
            <w:rFonts w:ascii="Cambria Math" w:hAnsi="Cambria Math"/>
            <w:szCs w:val="24"/>
          </w:rPr>
          <m:t>γ</m:t>
        </m:r>
      </m:oMath>
      <w:r>
        <w:rPr>
          <w:szCs w:val="24"/>
        </w:rPr>
        <w:t>, are also required. The rate of unbound moisture to become bound</w:t>
      </w:r>
      <w:proofErr w:type="gramStart"/>
      <w:r>
        <w:t xml:space="preserve">, </w:t>
      </w:r>
      <w:proofErr w:type="gramEnd"/>
      <m:oMath>
        <m:r>
          <w:rPr>
            <w:rFonts w:ascii="Cambria Math" w:hAnsi="Cambria Math"/>
            <w:szCs w:val="24"/>
          </w:rPr>
          <m:t>γ</m:t>
        </m:r>
      </m:oMath>
      <w:r>
        <w:rPr>
          <w:szCs w:val="24"/>
        </w:rPr>
        <w:t xml:space="preserve">, has no significant change when glass added as shown in </w:t>
      </w:r>
      <w:r>
        <w:fldChar w:fldCharType="begin"/>
      </w:r>
      <w:r>
        <w:instrText xml:space="preserve"> REF _Ref522021331 \h </w:instrText>
      </w:r>
      <w:r w:rsidR="00F77E87">
        <w:instrText xml:space="preserve"> \* MERGEFORMAT </w:instrText>
      </w:r>
      <w:r>
        <w:fldChar w:fldCharType="separate"/>
      </w:r>
      <w:r w:rsidR="006D52C2">
        <w:t xml:space="preserve">Table </w:t>
      </w:r>
      <w:r w:rsidR="006D52C2">
        <w:rPr>
          <w:noProof/>
        </w:rPr>
        <w:t>8</w:t>
      </w:r>
      <w:r>
        <w:fldChar w:fldCharType="end"/>
      </w:r>
      <w:r>
        <w:t xml:space="preserve">. </w:t>
      </w:r>
      <w:r>
        <w:rPr>
          <w:szCs w:val="24"/>
        </w:rPr>
        <w:t xml:space="preserve">Since hindrance coefficient </w:t>
      </w:r>
      <w:proofErr w:type="gramStart"/>
      <w:r>
        <w:rPr>
          <w:szCs w:val="24"/>
        </w:rPr>
        <w:t xml:space="preserve">is </w:t>
      </w:r>
      <w:proofErr w:type="gramEnd"/>
      <m:oMath>
        <m:r>
          <w:rPr>
            <w:rFonts w:ascii="Cambria Math" w:hAnsi="Cambria Math"/>
            <w:szCs w:val="24"/>
          </w:rPr>
          <m:t>µ=</m:t>
        </m:r>
        <m:f>
          <m:fPr>
            <m:type m:val="skw"/>
            <m:ctrlPr>
              <w:rPr>
                <w:rFonts w:ascii="Cambria Math" w:hAnsi="Cambria Math"/>
                <w:i/>
                <w:szCs w:val="24"/>
              </w:rPr>
            </m:ctrlPr>
          </m:fPr>
          <m:num>
            <m:r>
              <w:rPr>
                <w:rFonts w:ascii="Cambria Math" w:hAnsi="Cambria Math"/>
                <w:szCs w:val="24"/>
              </w:rPr>
              <m:t>γ</m:t>
            </m:r>
          </m:num>
          <m:den>
            <m:r>
              <w:rPr>
                <w:rFonts w:ascii="Cambria Math" w:hAnsi="Cambria Math"/>
                <w:szCs w:val="24"/>
              </w:rPr>
              <m:t>β</m:t>
            </m:r>
          </m:den>
        </m:f>
      </m:oMath>
      <w:r>
        <w:rPr>
          <w:szCs w:val="24"/>
        </w:rPr>
        <w:t xml:space="preserve">, assumed linear change in hindrance coefficient is attributed to </w:t>
      </w:r>
      <m:oMath>
        <m:r>
          <w:rPr>
            <w:rFonts w:ascii="Cambria Math" w:hAnsi="Cambria Math"/>
            <w:szCs w:val="24"/>
          </w:rPr>
          <m:t>β</m:t>
        </m:r>
      </m:oMath>
      <w:r>
        <w:rPr>
          <w:szCs w:val="24"/>
        </w:rPr>
        <w:t xml:space="preserve">. Thus, change in </w:t>
      </w:r>
      <m:oMath>
        <m:r>
          <w:rPr>
            <w:rFonts w:ascii="Cambria Math" w:hAnsi="Cambria Math"/>
            <w:szCs w:val="24"/>
          </w:rPr>
          <m:t>γ</m:t>
        </m:r>
      </m:oMath>
      <w:r>
        <w:rPr>
          <w:szCs w:val="24"/>
        </w:rPr>
        <w:t xml:space="preserve"> and </w:t>
      </w:r>
      <m:oMath>
        <m:r>
          <w:rPr>
            <w:rFonts w:ascii="Cambria Math" w:hAnsi="Cambria Math"/>
            <w:szCs w:val="24"/>
          </w:rPr>
          <m:t>β</m:t>
        </m:r>
      </m:oMath>
      <w:r>
        <w:rPr>
          <w:szCs w:val="24"/>
        </w:rPr>
        <w:t xml:space="preserve"> are also assumed linear. The calculated absorption parameters of </w:t>
      </w:r>
      <w:r>
        <w:t xml:space="preserve">dispersed 21% and 40% vol. glass sphere/epoxy laminates are tabulated in </w:t>
      </w:r>
      <w:r>
        <w:fldChar w:fldCharType="begin"/>
      </w:r>
      <w:r>
        <w:instrText xml:space="preserve"> REF _Ref522527188 \h </w:instrText>
      </w:r>
      <w:r w:rsidR="00F77E87">
        <w:instrText xml:space="preserve"> \* MERGEFORMAT </w:instrText>
      </w:r>
      <w:r>
        <w:fldChar w:fldCharType="separate"/>
      </w:r>
      <w:r w:rsidR="006D52C2">
        <w:t xml:space="preserve">Table </w:t>
      </w:r>
      <w:r w:rsidR="006D52C2">
        <w:rPr>
          <w:noProof/>
        </w:rPr>
        <w:t>9</w:t>
      </w:r>
      <w:r>
        <w:fldChar w:fldCharType="end"/>
      </w:r>
      <w:r>
        <w:t xml:space="preserve">. </w:t>
      </w:r>
    </w:p>
    <w:p w14:paraId="0ECD9491" w14:textId="77777777" w:rsidR="00192013" w:rsidRDefault="00192013" w:rsidP="00192013">
      <w:pPr>
        <w:pStyle w:val="Caption"/>
      </w:pPr>
      <w:bookmarkStart w:id="240" w:name="_Ref522527188"/>
      <w:bookmarkStart w:id="241" w:name="_Toc530997324"/>
      <w:r>
        <w:t xml:space="preserve">Table </w:t>
      </w:r>
      <w:r>
        <w:rPr>
          <w:noProof/>
        </w:rPr>
        <w:fldChar w:fldCharType="begin"/>
      </w:r>
      <w:r>
        <w:rPr>
          <w:noProof/>
        </w:rPr>
        <w:instrText xml:space="preserve"> SEQ Table \* ARABIC </w:instrText>
      </w:r>
      <w:r>
        <w:rPr>
          <w:noProof/>
        </w:rPr>
        <w:fldChar w:fldCharType="separate"/>
      </w:r>
      <w:r w:rsidR="006D52C2">
        <w:rPr>
          <w:noProof/>
        </w:rPr>
        <w:t>9</w:t>
      </w:r>
      <w:r>
        <w:rPr>
          <w:noProof/>
        </w:rPr>
        <w:fldChar w:fldCharType="end"/>
      </w:r>
      <w:bookmarkEnd w:id="240"/>
      <w:r>
        <w:t xml:space="preserve">. </w:t>
      </w:r>
      <w:r w:rsidRPr="005A3E52">
        <w:t xml:space="preserve">Moisture absorption parameters </w:t>
      </w:r>
      <w:r>
        <w:t>of dispersed 21% and 40% vol. glass sphere/epoxy laminates</w:t>
      </w:r>
      <w:bookmarkEnd w:id="241"/>
    </w:p>
    <w:tbl>
      <w:tblPr>
        <w:tblStyle w:val="PlainTable21"/>
        <w:tblW w:w="7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95"/>
        <w:gridCol w:w="1260"/>
        <w:gridCol w:w="1260"/>
        <w:gridCol w:w="1260"/>
        <w:gridCol w:w="810"/>
        <w:gridCol w:w="990"/>
      </w:tblGrid>
      <w:tr w:rsidR="00192013" w:rsidRPr="005A3E52" w14:paraId="774A983F" w14:textId="77777777" w:rsidTr="00A440CD">
        <w:trPr>
          <w:cnfStyle w:val="100000000000" w:firstRow="1" w:lastRow="0" w:firstColumn="0" w:lastColumn="0" w:oddVBand="0" w:evenVBand="0" w:oddHBand="0" w:evenHBand="0" w:firstRowFirstColumn="0" w:firstRowLastColumn="0" w:lastRowFirstColumn="0" w:lastRowLastColumn="0"/>
          <w:trHeight w:val="350"/>
          <w:jc w:val="center"/>
        </w:trPr>
        <w:tc>
          <w:tcPr>
            <w:tcW w:w="1795" w:type="dxa"/>
          </w:tcPr>
          <w:p w14:paraId="7FC927BC" w14:textId="77777777" w:rsidR="00192013" w:rsidRPr="00C75422" w:rsidRDefault="00192013" w:rsidP="00A440CD">
            <w:pPr>
              <w:pStyle w:val="Paragraph"/>
              <w:spacing w:before="120" w:after="120"/>
              <w:ind w:firstLine="0"/>
              <w:jc w:val="center"/>
              <w:rPr>
                <w:sz w:val="24"/>
                <w:szCs w:val="24"/>
              </w:rPr>
            </w:pPr>
            <w:r w:rsidRPr="0081755C">
              <w:rPr>
                <w:sz w:val="24"/>
                <w:szCs w:val="24"/>
              </w:rPr>
              <w:t>Material Systems</w:t>
            </w:r>
          </w:p>
        </w:tc>
        <w:tc>
          <w:tcPr>
            <w:tcW w:w="1260" w:type="dxa"/>
          </w:tcPr>
          <w:p w14:paraId="630645D0" w14:textId="77777777" w:rsidR="00192013" w:rsidRPr="00C75422" w:rsidRDefault="007B3686" w:rsidP="00A440CD">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192013" w:rsidRPr="00C75422">
              <w:rPr>
                <w:sz w:val="24"/>
                <w:szCs w:val="24"/>
              </w:rPr>
              <w:t xml:space="preserve"> (mm</w:t>
            </w:r>
            <w:r w:rsidR="00192013" w:rsidRPr="00C75422">
              <w:rPr>
                <w:sz w:val="24"/>
                <w:szCs w:val="24"/>
                <w:vertAlign w:val="superscript"/>
              </w:rPr>
              <w:t>2</w:t>
            </w:r>
            <w:r w:rsidR="00192013" w:rsidRPr="00C75422">
              <w:rPr>
                <w:sz w:val="24"/>
                <w:szCs w:val="24"/>
              </w:rPr>
              <w:t>/h)</w:t>
            </w:r>
          </w:p>
        </w:tc>
        <w:tc>
          <w:tcPr>
            <w:tcW w:w="1260" w:type="dxa"/>
          </w:tcPr>
          <w:p w14:paraId="02B139C6"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260" w:type="dxa"/>
          </w:tcPr>
          <w:p w14:paraId="6402020C" w14:textId="77777777" w:rsidR="00192013" w:rsidRDefault="00192013" w:rsidP="00A440CD">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3C156B24" w14:textId="77777777" w:rsidR="00192013" w:rsidRPr="00C75422" w:rsidRDefault="00192013" w:rsidP="00A440CD">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1CBC1A53" w14:textId="77777777" w:rsidR="00192013" w:rsidRPr="00C75422" w:rsidRDefault="007B3686" w:rsidP="00A440CD">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192013" w:rsidRPr="00C75422">
              <w:rPr>
                <w:sz w:val="24"/>
                <w:szCs w:val="24"/>
              </w:rPr>
              <w:t xml:space="preserve"> (</w:t>
            </w:r>
            <w:proofErr w:type="gramStart"/>
            <w:r w:rsidR="00192013">
              <w:rPr>
                <w:sz w:val="24"/>
                <w:szCs w:val="24"/>
              </w:rPr>
              <w:t>wt</w:t>
            </w:r>
            <w:proofErr w:type="gramEnd"/>
            <w:r w:rsidR="00192013">
              <w:rPr>
                <w:sz w:val="24"/>
                <w:szCs w:val="24"/>
              </w:rPr>
              <w:t>.%</w:t>
            </w:r>
            <w:r w:rsidR="00192013" w:rsidRPr="00C75422">
              <w:rPr>
                <w:sz w:val="24"/>
                <w:szCs w:val="24"/>
              </w:rPr>
              <w:t>)</w:t>
            </w:r>
          </w:p>
        </w:tc>
      </w:tr>
      <w:tr w:rsidR="00192013" w:rsidRPr="005A3E52" w14:paraId="4C4BC992" w14:textId="77777777" w:rsidTr="00A440CD">
        <w:trPr>
          <w:trHeight w:val="350"/>
          <w:jc w:val="center"/>
        </w:trPr>
        <w:tc>
          <w:tcPr>
            <w:tcW w:w="1795" w:type="dxa"/>
          </w:tcPr>
          <w:p w14:paraId="03BFAEA3" w14:textId="77777777" w:rsidR="00192013" w:rsidRPr="00C75422" w:rsidRDefault="00192013" w:rsidP="00A440CD">
            <w:pPr>
              <w:pStyle w:val="Paragraph"/>
              <w:spacing w:before="120" w:after="120"/>
              <w:ind w:firstLine="0"/>
              <w:jc w:val="center"/>
              <w:rPr>
                <w:b/>
                <w:sz w:val="24"/>
                <w:szCs w:val="24"/>
              </w:rPr>
            </w:pPr>
            <w:r>
              <w:rPr>
                <w:b/>
                <w:sz w:val="24"/>
                <w:szCs w:val="24"/>
              </w:rPr>
              <w:t>21% glass sphere/epoxy laminate</w:t>
            </w:r>
          </w:p>
        </w:tc>
        <w:tc>
          <w:tcPr>
            <w:tcW w:w="1260" w:type="dxa"/>
            <w:vAlign w:val="center"/>
          </w:tcPr>
          <w:p w14:paraId="6B9B5F88" w14:textId="5ED5A1E0" w:rsidR="00192013" w:rsidRPr="008365E2" w:rsidRDefault="00AF28DE" w:rsidP="00A440CD">
            <w:pPr>
              <w:pStyle w:val="Paragraph"/>
              <w:spacing w:before="120" w:after="120"/>
              <w:ind w:firstLine="0"/>
              <w:jc w:val="center"/>
              <w:rPr>
                <w:sz w:val="24"/>
                <w:szCs w:val="24"/>
              </w:rPr>
            </w:pPr>
            <w:r>
              <w:rPr>
                <w:sz w:val="24"/>
                <w:szCs w:val="24"/>
              </w:rPr>
              <w:t>6.61</w:t>
            </w:r>
            <w:r w:rsidR="003F56CD">
              <w:rPr>
                <w:sz w:val="24"/>
                <w:szCs w:val="24"/>
              </w:rPr>
              <w:t>×</w:t>
            </w:r>
            <w:r w:rsidR="00192013" w:rsidRPr="008365E2">
              <w:rPr>
                <w:sz w:val="24"/>
                <w:szCs w:val="24"/>
              </w:rPr>
              <w:t>10</w:t>
            </w:r>
            <w:r w:rsidR="00192013">
              <w:rPr>
                <w:sz w:val="24"/>
                <w:szCs w:val="24"/>
                <w:vertAlign w:val="superscript"/>
              </w:rPr>
              <w:t>-4</w:t>
            </w:r>
          </w:p>
        </w:tc>
        <w:tc>
          <w:tcPr>
            <w:tcW w:w="1260" w:type="dxa"/>
            <w:vAlign w:val="center"/>
          </w:tcPr>
          <w:p w14:paraId="42ACC6B6" w14:textId="6B5D51C2" w:rsidR="00192013" w:rsidRPr="008365E2" w:rsidRDefault="00AF28DE" w:rsidP="00A440CD">
            <w:pPr>
              <w:pStyle w:val="Paragraph"/>
              <w:spacing w:before="120" w:after="120"/>
              <w:ind w:firstLine="0"/>
              <w:jc w:val="center"/>
              <w:rPr>
                <w:sz w:val="24"/>
                <w:szCs w:val="24"/>
              </w:rPr>
            </w:pPr>
            <w:r>
              <w:rPr>
                <w:sz w:val="24"/>
                <w:szCs w:val="24"/>
              </w:rPr>
              <w:t>1.03</w:t>
            </w:r>
            <w:r w:rsidR="003F56CD">
              <w:rPr>
                <w:sz w:val="24"/>
                <w:szCs w:val="24"/>
              </w:rPr>
              <w:t>×</w:t>
            </w:r>
            <w:r w:rsidR="00192013" w:rsidRPr="008365E2">
              <w:rPr>
                <w:sz w:val="24"/>
                <w:szCs w:val="24"/>
              </w:rPr>
              <w:t>10</w:t>
            </w:r>
            <w:r w:rsidR="00192013">
              <w:rPr>
                <w:sz w:val="24"/>
                <w:szCs w:val="24"/>
                <w:vertAlign w:val="superscript"/>
              </w:rPr>
              <w:t>-3</w:t>
            </w:r>
          </w:p>
        </w:tc>
        <w:tc>
          <w:tcPr>
            <w:tcW w:w="1260" w:type="dxa"/>
            <w:vAlign w:val="center"/>
          </w:tcPr>
          <w:p w14:paraId="795019F1" w14:textId="1C2EBCAF" w:rsidR="00192013" w:rsidRPr="008365E2" w:rsidRDefault="00AF28DE" w:rsidP="00A440CD">
            <w:pPr>
              <w:pStyle w:val="Paragraph"/>
              <w:spacing w:before="120" w:after="120"/>
              <w:ind w:firstLine="0"/>
              <w:jc w:val="center"/>
              <w:rPr>
                <w:sz w:val="24"/>
                <w:szCs w:val="24"/>
              </w:rPr>
            </w:pPr>
            <w:r>
              <w:rPr>
                <w:sz w:val="24"/>
                <w:szCs w:val="24"/>
              </w:rPr>
              <w:t>2.06</w:t>
            </w:r>
            <w:r w:rsidR="003F56CD">
              <w:rPr>
                <w:sz w:val="24"/>
                <w:szCs w:val="24"/>
              </w:rPr>
              <w:t>×</w:t>
            </w:r>
            <w:r w:rsidR="00192013" w:rsidRPr="008365E2">
              <w:rPr>
                <w:sz w:val="24"/>
                <w:szCs w:val="24"/>
              </w:rPr>
              <w:t>10</w:t>
            </w:r>
            <w:r w:rsidR="00192013">
              <w:rPr>
                <w:sz w:val="24"/>
                <w:szCs w:val="24"/>
                <w:vertAlign w:val="superscript"/>
              </w:rPr>
              <w:t>-4</w:t>
            </w:r>
          </w:p>
        </w:tc>
        <w:tc>
          <w:tcPr>
            <w:tcW w:w="810" w:type="dxa"/>
            <w:vAlign w:val="center"/>
          </w:tcPr>
          <w:p w14:paraId="11002CFD" w14:textId="1985CD30" w:rsidR="00192013" w:rsidRPr="008365E2" w:rsidRDefault="00AF28DE" w:rsidP="00AF28DE">
            <w:pPr>
              <w:pStyle w:val="Paragraph"/>
              <w:spacing w:before="120" w:after="120"/>
              <w:ind w:firstLine="0"/>
              <w:jc w:val="center"/>
              <w:rPr>
                <w:sz w:val="24"/>
                <w:szCs w:val="24"/>
              </w:rPr>
            </w:pPr>
            <w:r>
              <w:rPr>
                <w:color w:val="000000" w:themeColor="text1"/>
                <w:kern w:val="24"/>
                <w:sz w:val="24"/>
                <w:szCs w:val="24"/>
              </w:rPr>
              <w:t>0.201</w:t>
            </w:r>
          </w:p>
        </w:tc>
        <w:tc>
          <w:tcPr>
            <w:tcW w:w="990" w:type="dxa"/>
            <w:vAlign w:val="center"/>
          </w:tcPr>
          <w:p w14:paraId="4ECA91E4" w14:textId="2E280812" w:rsidR="00192013" w:rsidRPr="008365E2" w:rsidRDefault="00194055" w:rsidP="00A440CD">
            <w:pPr>
              <w:pStyle w:val="Paragraph"/>
              <w:spacing w:before="120" w:after="120"/>
              <w:ind w:firstLine="0"/>
              <w:jc w:val="center"/>
              <w:rPr>
                <w:sz w:val="24"/>
                <w:szCs w:val="24"/>
              </w:rPr>
            </w:pPr>
            <w:r>
              <w:rPr>
                <w:sz w:val="24"/>
                <w:szCs w:val="24"/>
              </w:rPr>
              <w:t>2.37</w:t>
            </w:r>
          </w:p>
        </w:tc>
      </w:tr>
      <w:tr w:rsidR="00192013" w:rsidRPr="005A3E52" w14:paraId="3C4E502E" w14:textId="77777777" w:rsidTr="00A440CD">
        <w:trPr>
          <w:trHeight w:val="350"/>
          <w:jc w:val="center"/>
        </w:trPr>
        <w:tc>
          <w:tcPr>
            <w:tcW w:w="1795" w:type="dxa"/>
            <w:vAlign w:val="center"/>
          </w:tcPr>
          <w:p w14:paraId="1280B58B" w14:textId="77777777" w:rsidR="00192013" w:rsidRPr="00C75422" w:rsidRDefault="00192013" w:rsidP="00A440CD">
            <w:pPr>
              <w:pStyle w:val="Paragraph"/>
              <w:spacing w:before="120" w:after="120"/>
              <w:ind w:firstLine="0"/>
              <w:jc w:val="center"/>
              <w:rPr>
                <w:b/>
                <w:sz w:val="24"/>
                <w:szCs w:val="24"/>
              </w:rPr>
            </w:pPr>
            <w:r>
              <w:rPr>
                <w:b/>
                <w:sz w:val="24"/>
                <w:szCs w:val="24"/>
              </w:rPr>
              <w:t>40% glass sphere/epoxy laminate</w:t>
            </w:r>
          </w:p>
        </w:tc>
        <w:tc>
          <w:tcPr>
            <w:tcW w:w="1260" w:type="dxa"/>
            <w:vAlign w:val="center"/>
          </w:tcPr>
          <w:p w14:paraId="6EC13E41" w14:textId="2C974A34" w:rsidR="00192013" w:rsidRPr="008365E2" w:rsidRDefault="00AF28DE" w:rsidP="00A440CD">
            <w:pPr>
              <w:pStyle w:val="Paragraph"/>
              <w:spacing w:before="120" w:after="120"/>
              <w:ind w:firstLine="0"/>
              <w:jc w:val="center"/>
              <w:rPr>
                <w:sz w:val="24"/>
                <w:szCs w:val="24"/>
              </w:rPr>
            </w:pPr>
            <w:r>
              <w:rPr>
                <w:sz w:val="24"/>
                <w:szCs w:val="24"/>
              </w:rPr>
              <w:t>4.95</w:t>
            </w:r>
            <w:r w:rsidR="003F56CD">
              <w:rPr>
                <w:sz w:val="24"/>
                <w:szCs w:val="24"/>
              </w:rPr>
              <w:t>×</w:t>
            </w:r>
            <w:r w:rsidR="00192013" w:rsidRPr="008365E2">
              <w:rPr>
                <w:sz w:val="24"/>
                <w:szCs w:val="24"/>
              </w:rPr>
              <w:t>10</w:t>
            </w:r>
            <w:r w:rsidR="00192013">
              <w:rPr>
                <w:sz w:val="24"/>
                <w:szCs w:val="24"/>
                <w:vertAlign w:val="superscript"/>
              </w:rPr>
              <w:t>-4</w:t>
            </w:r>
          </w:p>
        </w:tc>
        <w:tc>
          <w:tcPr>
            <w:tcW w:w="1260" w:type="dxa"/>
            <w:vAlign w:val="center"/>
          </w:tcPr>
          <w:p w14:paraId="067E3CA0" w14:textId="58AB8244" w:rsidR="00192013" w:rsidRPr="008365E2" w:rsidRDefault="00AF28DE" w:rsidP="00194055">
            <w:pPr>
              <w:pStyle w:val="Paragraph"/>
              <w:spacing w:before="120" w:after="120"/>
              <w:ind w:firstLine="0"/>
              <w:jc w:val="center"/>
              <w:rPr>
                <w:sz w:val="24"/>
                <w:szCs w:val="24"/>
              </w:rPr>
            </w:pPr>
            <w:r>
              <w:rPr>
                <w:sz w:val="24"/>
                <w:szCs w:val="24"/>
              </w:rPr>
              <w:t>7.53</w:t>
            </w:r>
            <w:r w:rsidR="003F56CD">
              <w:rPr>
                <w:sz w:val="24"/>
                <w:szCs w:val="24"/>
              </w:rPr>
              <w:t>×</w:t>
            </w:r>
            <w:r w:rsidR="00192013" w:rsidRPr="008365E2">
              <w:rPr>
                <w:sz w:val="24"/>
                <w:szCs w:val="24"/>
              </w:rPr>
              <w:t>10</w:t>
            </w:r>
            <w:r w:rsidR="00192013">
              <w:rPr>
                <w:sz w:val="24"/>
                <w:szCs w:val="24"/>
                <w:vertAlign w:val="superscript"/>
              </w:rPr>
              <w:t>-</w:t>
            </w:r>
            <w:r w:rsidR="00194055">
              <w:rPr>
                <w:sz w:val="24"/>
                <w:szCs w:val="24"/>
                <w:vertAlign w:val="superscript"/>
              </w:rPr>
              <w:t>4</w:t>
            </w:r>
          </w:p>
        </w:tc>
        <w:tc>
          <w:tcPr>
            <w:tcW w:w="1260" w:type="dxa"/>
            <w:vAlign w:val="center"/>
          </w:tcPr>
          <w:p w14:paraId="33E88717" w14:textId="27B8988C" w:rsidR="00192013" w:rsidRPr="008365E2" w:rsidRDefault="00AF28DE" w:rsidP="00A440CD">
            <w:pPr>
              <w:pStyle w:val="Paragraph"/>
              <w:spacing w:before="120" w:after="120"/>
              <w:ind w:firstLine="0"/>
              <w:jc w:val="center"/>
              <w:rPr>
                <w:sz w:val="24"/>
                <w:szCs w:val="24"/>
              </w:rPr>
            </w:pPr>
            <w:r>
              <w:rPr>
                <w:sz w:val="24"/>
                <w:szCs w:val="24"/>
              </w:rPr>
              <w:t>1.61</w:t>
            </w:r>
            <w:r w:rsidR="003F56CD">
              <w:rPr>
                <w:sz w:val="24"/>
                <w:szCs w:val="24"/>
              </w:rPr>
              <w:t>×</w:t>
            </w:r>
            <w:r w:rsidR="00192013" w:rsidRPr="008365E2">
              <w:rPr>
                <w:sz w:val="24"/>
                <w:szCs w:val="24"/>
              </w:rPr>
              <w:t>10</w:t>
            </w:r>
            <w:r w:rsidR="00192013">
              <w:rPr>
                <w:sz w:val="24"/>
                <w:szCs w:val="24"/>
                <w:vertAlign w:val="superscript"/>
              </w:rPr>
              <w:t>-4</w:t>
            </w:r>
          </w:p>
        </w:tc>
        <w:tc>
          <w:tcPr>
            <w:tcW w:w="810" w:type="dxa"/>
            <w:vAlign w:val="center"/>
          </w:tcPr>
          <w:p w14:paraId="7A934356" w14:textId="2DF8A588" w:rsidR="00192013" w:rsidRPr="008365E2" w:rsidRDefault="00192013" w:rsidP="00194055">
            <w:pPr>
              <w:pStyle w:val="Paragraph"/>
              <w:spacing w:before="120" w:after="120"/>
              <w:ind w:firstLine="0"/>
              <w:jc w:val="center"/>
              <w:rPr>
                <w:sz w:val="24"/>
                <w:szCs w:val="24"/>
              </w:rPr>
            </w:pPr>
            <w:r>
              <w:rPr>
                <w:color w:val="000000" w:themeColor="text1"/>
                <w:kern w:val="24"/>
                <w:sz w:val="24"/>
                <w:szCs w:val="24"/>
              </w:rPr>
              <w:t>0.2</w:t>
            </w:r>
            <w:r w:rsidR="00AF28DE">
              <w:rPr>
                <w:color w:val="000000" w:themeColor="text1"/>
                <w:kern w:val="24"/>
                <w:sz w:val="24"/>
                <w:szCs w:val="24"/>
              </w:rPr>
              <w:t>14</w:t>
            </w:r>
          </w:p>
        </w:tc>
        <w:tc>
          <w:tcPr>
            <w:tcW w:w="990" w:type="dxa"/>
            <w:vAlign w:val="center"/>
          </w:tcPr>
          <w:p w14:paraId="7E8B2D1B" w14:textId="22E6222E" w:rsidR="00192013" w:rsidRPr="008365E2" w:rsidRDefault="00192013" w:rsidP="00194055">
            <w:pPr>
              <w:pStyle w:val="Paragraph"/>
              <w:spacing w:before="120" w:after="120"/>
              <w:ind w:firstLine="0"/>
              <w:jc w:val="center"/>
              <w:rPr>
                <w:sz w:val="24"/>
                <w:szCs w:val="24"/>
              </w:rPr>
            </w:pPr>
            <w:r>
              <w:rPr>
                <w:sz w:val="24"/>
                <w:szCs w:val="24"/>
              </w:rPr>
              <w:t>2.</w:t>
            </w:r>
            <w:r w:rsidR="00194055">
              <w:rPr>
                <w:sz w:val="24"/>
                <w:szCs w:val="24"/>
              </w:rPr>
              <w:t>60</w:t>
            </w:r>
          </w:p>
        </w:tc>
      </w:tr>
    </w:tbl>
    <w:p w14:paraId="2366D9CB" w14:textId="77777777" w:rsidR="00192013" w:rsidRDefault="00192013" w:rsidP="00F77E87"/>
    <w:p w14:paraId="3BBDF57F" w14:textId="5BFA2E72" w:rsidR="00192013" w:rsidRDefault="00192013" w:rsidP="00F77E87">
      <w:r>
        <w:t xml:space="preserve">The comparison between the dispersed and layered glass sphere/epoxy laminates is illustrated in </w:t>
      </w:r>
      <w:r>
        <w:fldChar w:fldCharType="begin"/>
      </w:r>
      <w:r>
        <w:instrText xml:space="preserve"> REF _Ref522528252 \h </w:instrText>
      </w:r>
      <w:r w:rsidR="00F77E87">
        <w:instrText xml:space="preserve"> \* MERGEFORMAT </w:instrText>
      </w:r>
      <w:r>
        <w:fldChar w:fldCharType="separate"/>
      </w:r>
      <w:r w:rsidR="006D52C2">
        <w:t xml:space="preserve">Figure </w:t>
      </w:r>
      <w:r w:rsidR="006D52C2">
        <w:rPr>
          <w:noProof/>
        </w:rPr>
        <w:t>46</w:t>
      </w:r>
      <w:r>
        <w:fldChar w:fldCharType="end"/>
      </w:r>
      <w:r>
        <w:t xml:space="preserve"> by using the absorption parameters in </w:t>
      </w:r>
      <w:r>
        <w:fldChar w:fldCharType="begin"/>
      </w:r>
      <w:r>
        <w:instrText xml:space="preserve"> REF _Ref522021331 \h </w:instrText>
      </w:r>
      <w:r w:rsidR="00F77E87">
        <w:instrText xml:space="preserve"> \* MERGEFORMAT </w:instrText>
      </w:r>
      <w:r>
        <w:fldChar w:fldCharType="separate"/>
      </w:r>
      <w:r w:rsidR="006D52C2">
        <w:t xml:space="preserve">Table </w:t>
      </w:r>
      <w:r w:rsidR="006D52C2">
        <w:rPr>
          <w:noProof/>
        </w:rPr>
        <w:t>8</w:t>
      </w:r>
      <w:r>
        <w:fldChar w:fldCharType="end"/>
      </w:r>
      <w:r>
        <w:fldChar w:fldCharType="begin"/>
      </w:r>
      <w:r>
        <w:instrText xml:space="preserve"> REF _Ref522527188 \h </w:instrText>
      </w:r>
      <w:r w:rsidR="00F77E87">
        <w:instrText xml:space="preserve"> \* MERGEFORMAT </w:instrText>
      </w:r>
      <w:r>
        <w:fldChar w:fldCharType="separate"/>
      </w:r>
      <w:r w:rsidR="006D52C2">
        <w:t xml:space="preserve">Table </w:t>
      </w:r>
      <w:r w:rsidR="006D52C2">
        <w:rPr>
          <w:noProof/>
        </w:rPr>
        <w:t>9</w:t>
      </w:r>
      <w:r>
        <w:fldChar w:fldCharType="end"/>
      </w:r>
      <w:r>
        <w:t xml:space="preserve">. Mass gain predictions of 21% and 40% vol. dispersed and layered glass sphere/epoxy laminates in </w:t>
      </w:r>
      <w:r>
        <w:fldChar w:fldCharType="begin"/>
      </w:r>
      <w:r>
        <w:instrText xml:space="preserve"> REF _Ref522528252 \h </w:instrText>
      </w:r>
      <w:r w:rsidR="00F77E87">
        <w:instrText xml:space="preserve"> \* MERGEFORMAT </w:instrText>
      </w:r>
      <w:r>
        <w:fldChar w:fldCharType="separate"/>
      </w:r>
      <w:r w:rsidR="006D52C2">
        <w:t xml:space="preserve">Figure </w:t>
      </w:r>
      <w:r w:rsidR="006D52C2">
        <w:rPr>
          <w:noProof/>
        </w:rPr>
        <w:t>46</w:t>
      </w:r>
      <w:r>
        <w:fldChar w:fldCharType="end"/>
      </w:r>
      <w:r>
        <w:t xml:space="preserve"> demonstrates the change in absorption kinetics when glass spheres are dispersed or layered. For the same amount of glass addition, multilayer glass sphere/epoxy-epoxy and dispersed glass sphere/epoxy laminates absorb the same amount of maximum moisture content and reach to the maximum moisture content at the same time. Total moisture content is consist of unbound and bound moisture according to the hindered diffusion model. Same amount of glass, if not agglomerated, would induce </w:t>
      </w:r>
      <w:r w:rsidR="005543A9">
        <w:t xml:space="preserve">the </w:t>
      </w:r>
      <w:r>
        <w:t xml:space="preserve">same amount of binding zone and occupy the same amount of free volume. Thus, no </w:t>
      </w:r>
      <w:r>
        <w:lastRenderedPageBreak/>
        <w:t>change is expected in maximum</w:t>
      </w:r>
      <w:r w:rsidRPr="00DE1194">
        <w:t xml:space="preserve"> </w:t>
      </w:r>
      <w:r>
        <w:t xml:space="preserve">bound and unbound moisture content of dispersed or layered glass/epoxy laminates. </w:t>
      </w:r>
    </w:p>
    <w:p w14:paraId="017FDE2F" w14:textId="35D9FFF1" w:rsidR="00192013" w:rsidRDefault="0042068A" w:rsidP="00192013">
      <w:pPr>
        <w:pStyle w:val="NoSpacing"/>
      </w:pPr>
      <w:r w:rsidRPr="0042068A">
        <w:rPr>
          <w:noProof/>
          <w:lang w:bidi="ar-SA"/>
        </w:rPr>
        <w:drawing>
          <wp:inline distT="0" distB="0" distL="0" distR="0" wp14:anchorId="5C479754" wp14:editId="2BB462F5">
            <wp:extent cx="5029526" cy="3657600"/>
            <wp:effectExtent l="0" t="0" r="0" b="0"/>
            <wp:docPr id="4160" name="Picture 4160" descr="C:\Users\Administrator\Desktop\proje\PhD Dissertation\3M glass-epoxy multilayuer\Figures on Dissertation\Mass gain compa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3M glass-epoxy multilayuer\Figures on Dissertation\Mass gain compare2.t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9526" cy="3657600"/>
                    </a:xfrm>
                    <a:prstGeom prst="rect">
                      <a:avLst/>
                    </a:prstGeom>
                    <a:noFill/>
                    <a:ln>
                      <a:noFill/>
                    </a:ln>
                  </pic:spPr>
                </pic:pic>
              </a:graphicData>
            </a:graphic>
          </wp:inline>
        </w:drawing>
      </w:r>
    </w:p>
    <w:p w14:paraId="217B6AC5" w14:textId="77777777" w:rsidR="00192013" w:rsidRDefault="00192013" w:rsidP="00192013">
      <w:pPr>
        <w:pStyle w:val="Caption"/>
      </w:pPr>
      <w:bookmarkStart w:id="242" w:name="_Ref522528252"/>
      <w:bookmarkStart w:id="243" w:name="_Toc530997402"/>
      <w:r>
        <w:t xml:space="preserve">Figure </w:t>
      </w:r>
      <w:r>
        <w:rPr>
          <w:noProof/>
        </w:rPr>
        <w:fldChar w:fldCharType="begin"/>
      </w:r>
      <w:r>
        <w:rPr>
          <w:noProof/>
        </w:rPr>
        <w:instrText xml:space="preserve"> SEQ Figure \* ARABIC </w:instrText>
      </w:r>
      <w:r>
        <w:rPr>
          <w:noProof/>
        </w:rPr>
        <w:fldChar w:fldCharType="separate"/>
      </w:r>
      <w:r w:rsidR="006D52C2">
        <w:rPr>
          <w:noProof/>
        </w:rPr>
        <w:t>46</w:t>
      </w:r>
      <w:r>
        <w:rPr>
          <w:noProof/>
        </w:rPr>
        <w:fldChar w:fldCharType="end"/>
      </w:r>
      <w:bookmarkEnd w:id="242"/>
      <w:r>
        <w:t>. Multilayer HDM and 1D HDM predictions of 1mm thick 21% and 40% vol. glass sphere/epoxy layer-epoxy multilayer laminates and dispersed 21% and 40% vol. glass sphere/epoxy laminates, respectively.</w:t>
      </w:r>
      <w:bookmarkEnd w:id="243"/>
    </w:p>
    <w:p w14:paraId="16BBDC2A" w14:textId="77777777" w:rsidR="00192013" w:rsidRDefault="00192013" w:rsidP="00F77E87"/>
    <w:p w14:paraId="3FF9F902" w14:textId="7B5F7C56" w:rsidR="00192013" w:rsidRDefault="00192013" w:rsidP="00F77E87">
      <w:r>
        <w:t>Nonetheless, change in absorption kinetics is detected at initial moisture absorption where multilayer laminate absorbs moisture faster than the dispersed case. Multilayer laminate may be considered to be consist of fully saturated glass sphere/epoxy layer and neat epoxy layer. Even though moisture diffuse slower into the fully saturated glass sphere/epoxy layer, rate of binding of moisture molecules is very fast due to available binding sites per unit volume. In neat epoxy layer, no glass sphere obstruct</w:t>
      </w:r>
      <w:r w:rsidR="005543A9">
        <w:t>s</w:t>
      </w:r>
      <w:r>
        <w:t xml:space="preserve"> the diffusion leading to fast diffusion into the laminate. In dispersed case, both diffus</w:t>
      </w:r>
      <w:r w:rsidR="005543A9">
        <w:t>ion and molecular binding rate are</w:t>
      </w:r>
      <w:r>
        <w:t xml:space="preserve"> compromised. Fast binding rate in</w:t>
      </w:r>
      <w:r w:rsidRPr="003C0251">
        <w:t xml:space="preserve"> </w:t>
      </w:r>
      <w:r>
        <w:t xml:space="preserve">saturated glass sphere/epoxy layer and fast diffusion in neat epoxy layer of multilayer laminate result in faster initial moisture </w:t>
      </w:r>
      <w:r>
        <w:lastRenderedPageBreak/>
        <w:t xml:space="preserve">uptake than the dispersed case where the diffusion and binding rate is average. To substantiate the change in absorption kinetics, concentration profiles of multilayer glass sphere/epoxy-epoxy laminates and dispersed glass sphere/epoxy laminates are demonstrated in </w:t>
      </w:r>
      <w:r>
        <w:fldChar w:fldCharType="begin"/>
      </w:r>
      <w:r>
        <w:instrText xml:space="preserve"> REF _Ref522534192 \h </w:instrText>
      </w:r>
      <w:r w:rsidR="00F77E87">
        <w:instrText xml:space="preserve"> \* MERGEFORMAT </w:instrText>
      </w:r>
      <w:r>
        <w:fldChar w:fldCharType="separate"/>
      </w:r>
      <w:r w:rsidR="006D52C2">
        <w:t xml:space="preserve">Figure </w:t>
      </w:r>
      <w:r w:rsidR="006D52C2">
        <w:rPr>
          <w:noProof/>
        </w:rPr>
        <w:t>47</w:t>
      </w:r>
      <w:r>
        <w:fldChar w:fldCharType="end"/>
      </w:r>
      <w:r>
        <w:t>.</w:t>
      </w:r>
    </w:p>
    <w:p w14:paraId="73D29754" w14:textId="6BB01CBB" w:rsidR="00192013" w:rsidRDefault="00192013" w:rsidP="00F77E87">
      <w:pPr>
        <w:sectPr w:rsidR="00192013" w:rsidSect="00A230BA">
          <w:pgSz w:w="12240" w:h="15840"/>
          <w:pgMar w:top="1440" w:right="1440" w:bottom="1440" w:left="2304" w:header="720" w:footer="720" w:gutter="0"/>
          <w:cols w:space="720"/>
          <w:docGrid w:linePitch="360"/>
        </w:sectPr>
      </w:pPr>
      <w:r>
        <w:t xml:space="preserve">In </w:t>
      </w:r>
      <w:r>
        <w:fldChar w:fldCharType="begin"/>
      </w:r>
      <w:r>
        <w:instrText xml:space="preserve"> REF _Ref522534192 \h </w:instrText>
      </w:r>
      <w:r w:rsidR="00F77E87">
        <w:instrText xml:space="preserve"> \* MERGEFORMAT </w:instrText>
      </w:r>
      <w:r>
        <w:fldChar w:fldCharType="separate"/>
      </w:r>
      <w:r w:rsidR="006D52C2">
        <w:t xml:space="preserve">Figure </w:t>
      </w:r>
      <w:r w:rsidR="006D52C2">
        <w:rPr>
          <w:noProof/>
        </w:rPr>
        <w:t>47</w:t>
      </w:r>
      <w:r>
        <w:fldChar w:fldCharType="end"/>
      </w:r>
      <w:r>
        <w:t>, each line separates equipotential surfaces separated by concentration of 2.5%.</w:t>
      </w:r>
      <w:r w:rsidRPr="005C7433">
        <w:t xml:space="preserve"> </w:t>
      </w:r>
      <w:r>
        <w:t>Frequency of these lines explains the change in the flux through</w:t>
      </w:r>
      <w:r w:rsidR="000B07A7">
        <w:t>out</w:t>
      </w:r>
      <w:r>
        <w:t xml:space="preserve"> the composite layers. Increasing frequency of the lines represents higher concentration gradient. On the other hand, the color gradient denotes the dimensional change in the moisture content. The non-dimensional concentration profiles are scaled to the maximum moisture content of the fully saturated glass sphere/epoxy co</w:t>
      </w:r>
      <w:r w:rsidR="00335D7D">
        <w:t>mposite laminate (i.e. 2.75 wt</w:t>
      </w:r>
      <w:proofErr w:type="gramStart"/>
      <w:r w:rsidR="00335D7D">
        <w:t>.</w:t>
      </w:r>
      <w:r>
        <w:t>%</w:t>
      </w:r>
      <w:proofErr w:type="gramEnd"/>
      <w:r>
        <w:t>). Hence, the amount of absorbed moisture and change in absorption behavior in each layer can be distinguished. The boundaries of the different layers are separated by a red line</w:t>
      </w:r>
      <w:r w:rsidRPr="005C7433">
        <w:t xml:space="preserve"> </w:t>
      </w:r>
      <w:r>
        <w:t>in multilayer cases. All the two-dimensional concentration profiles are taken from the mid-plane of the laminate at</w:t>
      </w:r>
      <m:oMath>
        <m:r>
          <w:rPr>
            <w:rFonts w:ascii="Cambria Math" w:hAnsi="Cambria Math"/>
          </w:rPr>
          <m:t xml:space="preserve"> </m:t>
        </m:r>
        <m:rad>
          <m:radPr>
            <m:degHide m:val="1"/>
            <m:ctrlPr>
              <w:rPr>
                <w:rFonts w:ascii="Cambria Math" w:hAnsi="Cambria Math"/>
                <w:i/>
              </w:rPr>
            </m:ctrlPr>
          </m:radPr>
          <m:deg/>
          <m:e>
            <m:r>
              <w:rPr>
                <w:rFonts w:ascii="Cambria Math" w:hAnsi="Cambria Math"/>
              </w:rPr>
              <m:t>time</m:t>
            </m:r>
          </m:e>
        </m:rad>
        <m:r>
          <w:rPr>
            <w:rFonts w:ascii="Cambria Math" w:hAnsi="Cambria Math"/>
          </w:rPr>
          <m:t>=15</m:t>
        </m:r>
      </m:oMath>
      <w: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gridCol w:w="12415"/>
      </w:tblGrid>
      <w:tr w:rsidR="00192013" w14:paraId="09A626B4" w14:textId="77777777" w:rsidTr="00A230BA">
        <w:trPr>
          <w:jc w:val="center"/>
        </w:trPr>
        <w:tc>
          <w:tcPr>
            <w:tcW w:w="535" w:type="dxa"/>
          </w:tcPr>
          <w:p w14:paraId="52B0CFD5" w14:textId="77777777" w:rsidR="00192013" w:rsidRPr="0094012E" w:rsidRDefault="00192013" w:rsidP="00A440CD">
            <w:pPr>
              <w:ind w:firstLine="0"/>
              <w:rPr>
                <w:i/>
              </w:rPr>
            </w:pPr>
            <w:r w:rsidRPr="0094012E">
              <w:rPr>
                <w:i/>
              </w:rPr>
              <w:lastRenderedPageBreak/>
              <w:t>a)</w:t>
            </w:r>
          </w:p>
        </w:tc>
        <w:tc>
          <w:tcPr>
            <w:tcW w:w="12415" w:type="dxa"/>
          </w:tcPr>
          <w:p w14:paraId="64220EFF" w14:textId="4285EC32" w:rsidR="00192013" w:rsidRDefault="005B2CD2" w:rsidP="00A440CD">
            <w:pPr>
              <w:ind w:firstLine="0"/>
            </w:pPr>
            <w:r>
              <w:rPr>
                <w:noProof/>
              </w:rPr>
              <w:drawing>
                <wp:inline distT="0" distB="0" distL="0" distR="0" wp14:anchorId="0E939BA2" wp14:editId="36610191">
                  <wp:extent cx="7729220" cy="647065"/>
                  <wp:effectExtent l="0" t="0" r="5080" b="635"/>
                  <wp:docPr id="14" name="Picture 14" descr="C:\Users\Administrator\Desktop\proje\PhD Dissertation\3M glass-epoxy multilayuer\Figures on Dissertation\Layered Low Volume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3M glass-epoxy multilayuer\Figures on Dissertation\Layered Low Volumefinal.t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729220" cy="647065"/>
                          </a:xfrm>
                          <a:prstGeom prst="rect">
                            <a:avLst/>
                          </a:prstGeom>
                          <a:noFill/>
                          <a:ln>
                            <a:noFill/>
                          </a:ln>
                        </pic:spPr>
                      </pic:pic>
                    </a:graphicData>
                  </a:graphic>
                </wp:inline>
              </w:drawing>
            </w:r>
          </w:p>
        </w:tc>
      </w:tr>
      <w:tr w:rsidR="00192013" w14:paraId="4CEE3C97" w14:textId="77777777" w:rsidTr="00A230BA">
        <w:trPr>
          <w:jc w:val="center"/>
        </w:trPr>
        <w:tc>
          <w:tcPr>
            <w:tcW w:w="535" w:type="dxa"/>
          </w:tcPr>
          <w:p w14:paraId="4627879B" w14:textId="77777777" w:rsidR="00192013" w:rsidRPr="0094012E" w:rsidRDefault="00192013" w:rsidP="00A440CD">
            <w:pPr>
              <w:ind w:firstLine="0"/>
              <w:rPr>
                <w:i/>
              </w:rPr>
            </w:pPr>
            <w:r w:rsidRPr="0094012E">
              <w:rPr>
                <w:i/>
              </w:rPr>
              <w:t>b)</w:t>
            </w:r>
          </w:p>
        </w:tc>
        <w:tc>
          <w:tcPr>
            <w:tcW w:w="12415" w:type="dxa"/>
          </w:tcPr>
          <w:p w14:paraId="758A1255" w14:textId="4F695A9E" w:rsidR="00192013" w:rsidRDefault="005B2CD2" w:rsidP="00A440CD">
            <w:pPr>
              <w:ind w:firstLine="0"/>
            </w:pPr>
            <w:r>
              <w:rPr>
                <w:noProof/>
              </w:rPr>
              <w:drawing>
                <wp:inline distT="0" distB="0" distL="0" distR="0" wp14:anchorId="6814EDD9" wp14:editId="7302D9C5">
                  <wp:extent cx="7729220" cy="647065"/>
                  <wp:effectExtent l="0" t="0" r="5080" b="635"/>
                  <wp:docPr id="4132" name="Picture 4132" descr="C:\Users\Administrator\Desktop\proje\PhD Dissertation\3M glass-epoxy multilayuer\Figures on Dissertation\Layered medium Volume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3M glass-epoxy multilayuer\Figures on Dissertation\Layered medium Volumefinal.t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729220" cy="647065"/>
                          </a:xfrm>
                          <a:prstGeom prst="rect">
                            <a:avLst/>
                          </a:prstGeom>
                          <a:noFill/>
                          <a:ln>
                            <a:noFill/>
                          </a:ln>
                        </pic:spPr>
                      </pic:pic>
                    </a:graphicData>
                  </a:graphic>
                </wp:inline>
              </w:drawing>
            </w:r>
          </w:p>
        </w:tc>
      </w:tr>
      <w:tr w:rsidR="00192013" w14:paraId="31369484" w14:textId="77777777" w:rsidTr="00A230BA">
        <w:trPr>
          <w:jc w:val="center"/>
        </w:trPr>
        <w:tc>
          <w:tcPr>
            <w:tcW w:w="535" w:type="dxa"/>
          </w:tcPr>
          <w:p w14:paraId="6A97547B" w14:textId="77777777" w:rsidR="00192013" w:rsidRPr="0094012E" w:rsidRDefault="00192013" w:rsidP="00A440CD">
            <w:pPr>
              <w:ind w:firstLine="0"/>
              <w:rPr>
                <w:i/>
              </w:rPr>
            </w:pPr>
            <w:r w:rsidRPr="0094012E">
              <w:rPr>
                <w:i/>
              </w:rPr>
              <w:t>c)</w:t>
            </w:r>
          </w:p>
        </w:tc>
        <w:tc>
          <w:tcPr>
            <w:tcW w:w="12415" w:type="dxa"/>
          </w:tcPr>
          <w:p w14:paraId="4A90D48A" w14:textId="128DE5E3" w:rsidR="00192013" w:rsidRDefault="005B2CD2" w:rsidP="00A440CD">
            <w:pPr>
              <w:ind w:firstLine="0"/>
            </w:pPr>
            <w:r>
              <w:rPr>
                <w:noProof/>
              </w:rPr>
              <w:drawing>
                <wp:inline distT="0" distB="0" distL="0" distR="0" wp14:anchorId="6D47FAF0" wp14:editId="3B06E50D">
                  <wp:extent cx="7729220" cy="647065"/>
                  <wp:effectExtent l="0" t="0" r="5080" b="635"/>
                  <wp:docPr id="4145" name="Picture 4145" descr="C:\Users\Administrator\Desktop\proje\PhD Dissertation\3M glass-epoxy multilayuer\Figures on Dissertation\Dispersed Low Volume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proje\PhD Dissertation\3M glass-epoxy multilayuer\Figures on Dissertation\Dispersed Low Volumefinal.t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729220" cy="647065"/>
                          </a:xfrm>
                          <a:prstGeom prst="rect">
                            <a:avLst/>
                          </a:prstGeom>
                          <a:noFill/>
                          <a:ln>
                            <a:noFill/>
                          </a:ln>
                        </pic:spPr>
                      </pic:pic>
                    </a:graphicData>
                  </a:graphic>
                </wp:inline>
              </w:drawing>
            </w:r>
          </w:p>
        </w:tc>
      </w:tr>
      <w:tr w:rsidR="00192013" w14:paraId="6BCF3694" w14:textId="77777777" w:rsidTr="00A230BA">
        <w:trPr>
          <w:jc w:val="center"/>
        </w:trPr>
        <w:tc>
          <w:tcPr>
            <w:tcW w:w="535" w:type="dxa"/>
          </w:tcPr>
          <w:p w14:paraId="15EC5263" w14:textId="77777777" w:rsidR="00192013" w:rsidRPr="0094012E" w:rsidRDefault="00192013" w:rsidP="00A440CD">
            <w:pPr>
              <w:ind w:firstLine="0"/>
              <w:rPr>
                <w:i/>
              </w:rPr>
            </w:pPr>
            <w:r w:rsidRPr="0094012E">
              <w:rPr>
                <w:i/>
              </w:rPr>
              <w:t>d)</w:t>
            </w:r>
          </w:p>
        </w:tc>
        <w:tc>
          <w:tcPr>
            <w:tcW w:w="12415" w:type="dxa"/>
          </w:tcPr>
          <w:p w14:paraId="26216FEA" w14:textId="574A1B19" w:rsidR="00192013" w:rsidRDefault="005B2CD2" w:rsidP="00A440CD">
            <w:pPr>
              <w:ind w:firstLine="0"/>
            </w:pPr>
            <w:r>
              <w:rPr>
                <w:noProof/>
              </w:rPr>
              <w:drawing>
                <wp:inline distT="0" distB="0" distL="0" distR="0" wp14:anchorId="5AAADCE1" wp14:editId="649F88A5">
                  <wp:extent cx="7729220" cy="647065"/>
                  <wp:effectExtent l="0" t="0" r="5080" b="635"/>
                  <wp:docPr id="4187" name="Picture 4187" descr="C:\Users\Administrator\Desktop\proje\PhD Dissertation\3M glass-epoxy multilayuer\Figures on Dissertation\Dispersed Medium Volume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proje\PhD Dissertation\3M glass-epoxy multilayuer\Figures on Dissertation\Dispersed Medium Volumefinal.t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729220" cy="647065"/>
                          </a:xfrm>
                          <a:prstGeom prst="rect">
                            <a:avLst/>
                          </a:prstGeom>
                          <a:noFill/>
                          <a:ln>
                            <a:noFill/>
                          </a:ln>
                        </pic:spPr>
                      </pic:pic>
                    </a:graphicData>
                  </a:graphic>
                </wp:inline>
              </w:drawing>
            </w:r>
          </w:p>
        </w:tc>
      </w:tr>
      <w:tr w:rsidR="00192013" w14:paraId="3F7E750B" w14:textId="77777777" w:rsidTr="00A230BA">
        <w:trPr>
          <w:jc w:val="center"/>
        </w:trPr>
        <w:tc>
          <w:tcPr>
            <w:tcW w:w="535" w:type="dxa"/>
          </w:tcPr>
          <w:p w14:paraId="076DAC0D" w14:textId="77777777" w:rsidR="00192013" w:rsidRPr="0094012E" w:rsidRDefault="00192013" w:rsidP="00A440CD">
            <w:pPr>
              <w:ind w:firstLine="0"/>
              <w:rPr>
                <w:i/>
              </w:rPr>
            </w:pPr>
          </w:p>
        </w:tc>
        <w:tc>
          <w:tcPr>
            <w:tcW w:w="12415" w:type="dxa"/>
          </w:tcPr>
          <w:p w14:paraId="156E31F0" w14:textId="6EBC5BDF" w:rsidR="00192013" w:rsidRDefault="005B2CD2" w:rsidP="00A440CD">
            <w:pPr>
              <w:ind w:firstLine="0"/>
              <w:jc w:val="center"/>
              <w:rPr>
                <w:noProof/>
              </w:rPr>
            </w:pPr>
            <w:r>
              <w:rPr>
                <w:noProof/>
              </w:rPr>
              <w:drawing>
                <wp:inline distT="0" distB="0" distL="0" distR="0" wp14:anchorId="22AA2C0E" wp14:editId="0553A49A">
                  <wp:extent cx="4367567" cy="457200"/>
                  <wp:effectExtent l="0" t="0" r="0" b="0"/>
                  <wp:docPr id="4188" name="Picture 4188" descr="C:\Users\Administrator\Desktop\proje\PhD Dissertation\3M glass-epoxy multilayuer\Figures on Dissertation\legen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proje\PhD Dissertation\3M glass-epoxy multilayuer\Figures on Dissertation\legends2.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367567" cy="457200"/>
                          </a:xfrm>
                          <a:prstGeom prst="rect">
                            <a:avLst/>
                          </a:prstGeom>
                          <a:noFill/>
                          <a:ln>
                            <a:noFill/>
                          </a:ln>
                        </pic:spPr>
                      </pic:pic>
                    </a:graphicData>
                  </a:graphic>
                </wp:inline>
              </w:drawing>
            </w:r>
          </w:p>
        </w:tc>
      </w:tr>
    </w:tbl>
    <w:p w14:paraId="715CEAF4" w14:textId="365DAC6A" w:rsidR="00192013" w:rsidRDefault="00192013" w:rsidP="00192013">
      <w:pPr>
        <w:pStyle w:val="Caption"/>
        <w:sectPr w:rsidR="00192013" w:rsidSect="00A230BA">
          <w:pgSz w:w="15840" w:h="12240" w:orient="landscape"/>
          <w:pgMar w:top="2160" w:right="1440" w:bottom="1440" w:left="1440" w:header="720" w:footer="720" w:gutter="0"/>
          <w:cols w:space="720"/>
          <w:docGrid w:linePitch="360"/>
        </w:sectPr>
      </w:pPr>
      <w:bookmarkStart w:id="244" w:name="_Ref522534192"/>
      <w:bookmarkStart w:id="245" w:name="_Toc530997403"/>
      <w:r>
        <w:t xml:space="preserve">Figure </w:t>
      </w:r>
      <w:r>
        <w:rPr>
          <w:noProof/>
        </w:rPr>
        <w:fldChar w:fldCharType="begin"/>
      </w:r>
      <w:r>
        <w:rPr>
          <w:noProof/>
        </w:rPr>
        <w:instrText xml:space="preserve"> SEQ Figure \* ARABIC </w:instrText>
      </w:r>
      <w:r>
        <w:rPr>
          <w:noProof/>
        </w:rPr>
        <w:fldChar w:fldCharType="separate"/>
      </w:r>
      <w:r w:rsidR="006D52C2">
        <w:rPr>
          <w:noProof/>
        </w:rPr>
        <w:t>47</w:t>
      </w:r>
      <w:r>
        <w:rPr>
          <w:noProof/>
        </w:rPr>
        <w:fldChar w:fldCharType="end"/>
      </w:r>
      <w:bookmarkEnd w:id="244"/>
      <w:r>
        <w:t xml:space="preserve">. Concentration profiles of </w:t>
      </w:r>
      <w:r w:rsidRPr="0094012E">
        <w:rPr>
          <w:i/>
        </w:rPr>
        <w:t>a)</w:t>
      </w:r>
      <w:r>
        <w:t xml:space="preserve"> 31% thick glass sphere/epoxy layer-epoxy multilayer composite (21% vol. glass sphere), </w:t>
      </w:r>
      <w:r w:rsidRPr="0094012E">
        <w:rPr>
          <w:i/>
          <w:szCs w:val="22"/>
        </w:rPr>
        <w:t>b)</w:t>
      </w:r>
      <w:r w:rsidRPr="0094012E">
        <w:t xml:space="preserve"> </w:t>
      </w:r>
      <w:r>
        <w:t xml:space="preserve">57% thick glass sphere/epoxy layer-epoxy multilayer composite (40% vol. glass sphere), </w:t>
      </w:r>
      <w:r w:rsidRPr="0094012E">
        <w:rPr>
          <w:i/>
        </w:rPr>
        <w:t>c)</w:t>
      </w:r>
      <w:r w:rsidRPr="0094012E">
        <w:t xml:space="preserve"> </w:t>
      </w:r>
      <w:r>
        <w:t>dispersed 21% vol. glass sphere/epoxy composite</w:t>
      </w:r>
      <w:r w:rsidR="007D4338">
        <w:t>,</w:t>
      </w:r>
      <w:r>
        <w:t xml:space="preserve"> and </w:t>
      </w:r>
      <w:r w:rsidRPr="0094012E">
        <w:rPr>
          <w:i/>
        </w:rPr>
        <w:t>d)</w:t>
      </w:r>
      <w:r w:rsidRPr="0094012E">
        <w:t xml:space="preserve"> </w:t>
      </w:r>
      <w:r>
        <w:t>dispersed 40% vol. glass sphere/epoxy composite after 10 days of fully saturation.</w:t>
      </w:r>
      <w:bookmarkEnd w:id="245"/>
    </w:p>
    <w:p w14:paraId="14AE892E" w14:textId="04E38512" w:rsidR="00192013" w:rsidRDefault="00192013" w:rsidP="00F77E87">
      <w:r>
        <w:lastRenderedPageBreak/>
        <w:t>For the cases of multilayer composites,</w:t>
      </w:r>
      <w:r w:rsidRPr="006C4A02">
        <w:rPr>
          <w:i/>
        </w:rPr>
        <w:t xml:space="preserve"> a) </w:t>
      </w:r>
      <w:r>
        <w:t xml:space="preserve">and </w:t>
      </w:r>
      <w:r>
        <w:rPr>
          <w:i/>
        </w:rPr>
        <w:t>b)</w:t>
      </w:r>
      <w:r w:rsidRPr="006C4A02">
        <w:t>,</w:t>
      </w:r>
      <w:r>
        <w:t xml:space="preserve"> higher concentration gradient is observed in the glass sphere/epoxy layer. Concentration profiles in the cases</w:t>
      </w:r>
      <w:r w:rsidRPr="006339A5">
        <w:rPr>
          <w:i/>
        </w:rPr>
        <w:t xml:space="preserve"> </w:t>
      </w:r>
      <w:r w:rsidRPr="006C4A02">
        <w:rPr>
          <w:i/>
        </w:rPr>
        <w:t xml:space="preserve">a) </w:t>
      </w:r>
      <w:r>
        <w:t xml:space="preserve">and </w:t>
      </w:r>
      <w:r>
        <w:rPr>
          <w:i/>
        </w:rPr>
        <w:t>b)</w:t>
      </w:r>
      <w:r w:rsidRPr="006C4A02">
        <w:t>,</w:t>
      </w:r>
      <w:r>
        <w:t xml:space="preserve"> the neat epoxy layer absorbed more moisture than glass sphere/epoxy layer leading to shift of minimum concentration location towards the glass sphere/epoxy layer. Whereas, the minimum concentration is at the center of the laminate for the dispersed cases, </w:t>
      </w:r>
      <w:r w:rsidRPr="006C4A02">
        <w:rPr>
          <w:i/>
        </w:rPr>
        <w:t>c)</w:t>
      </w:r>
      <w:r>
        <w:t xml:space="preserve"> and </w:t>
      </w:r>
      <w:r w:rsidRPr="006C4A02">
        <w:rPr>
          <w:i/>
        </w:rPr>
        <w:t>d)</w:t>
      </w:r>
      <w:r>
        <w:t xml:space="preserve">, due to uniform moisture absorption in through-the-thickness direction. Moreover, </w:t>
      </w:r>
      <w:r>
        <w:fldChar w:fldCharType="begin"/>
      </w:r>
      <w:r>
        <w:instrText xml:space="preserve"> REF _Ref522534192 \h </w:instrText>
      </w:r>
      <w:r w:rsidR="00F77E87">
        <w:instrText xml:space="preserve"> \* MERGEFORMAT </w:instrText>
      </w:r>
      <w:r>
        <w:fldChar w:fldCharType="separate"/>
      </w:r>
      <w:r w:rsidR="006D52C2">
        <w:t xml:space="preserve">Figure </w:t>
      </w:r>
      <w:r w:rsidR="006D52C2">
        <w:rPr>
          <w:noProof/>
        </w:rPr>
        <w:t>47</w:t>
      </w:r>
      <w:r>
        <w:fldChar w:fldCharType="end"/>
      </w:r>
      <w:r>
        <w:t xml:space="preserve"> shows that the higher concentration in the neat epoxy layer of cases </w:t>
      </w:r>
      <w:r w:rsidRPr="006C4A02">
        <w:rPr>
          <w:i/>
        </w:rPr>
        <w:t xml:space="preserve">a) </w:t>
      </w:r>
      <w:r>
        <w:t xml:space="preserve">and </w:t>
      </w:r>
      <w:r w:rsidRPr="006C4A02">
        <w:rPr>
          <w:i/>
        </w:rPr>
        <w:t xml:space="preserve">b) </w:t>
      </w:r>
      <w:r>
        <w:t xml:space="preserve">is responsible for the higher initial uptake observed in mass gain predictions in </w:t>
      </w:r>
      <w:r>
        <w:fldChar w:fldCharType="begin"/>
      </w:r>
      <w:r>
        <w:instrText xml:space="preserve"> REF _Ref522528252 \h </w:instrText>
      </w:r>
      <w:r w:rsidR="00F77E87">
        <w:instrText xml:space="preserve"> \* MERGEFORMAT </w:instrText>
      </w:r>
      <w:r>
        <w:fldChar w:fldCharType="separate"/>
      </w:r>
      <w:r w:rsidR="006D52C2">
        <w:t xml:space="preserve">Figure </w:t>
      </w:r>
      <w:r w:rsidR="006D52C2">
        <w:rPr>
          <w:noProof/>
        </w:rPr>
        <w:t>46</w:t>
      </w:r>
      <w:r>
        <w:fldChar w:fldCharType="end"/>
      </w:r>
      <w:r>
        <w:t xml:space="preserve">. Higher diffusivity of the neat epoxy result in faster initial uptake. </w:t>
      </w:r>
    </w:p>
    <w:p w14:paraId="06D16AFA" w14:textId="437E478C" w:rsidR="00192013" w:rsidRDefault="00192013" w:rsidP="00F77E87">
      <w:r>
        <w:t xml:space="preserve">Finally, similar initial uptake of 21% and 40% vol. glass sphere/epoxy laminates in </w:t>
      </w:r>
      <w:r>
        <w:fldChar w:fldCharType="begin"/>
      </w:r>
      <w:r>
        <w:instrText xml:space="preserve"> REF _Ref522528252 \h </w:instrText>
      </w:r>
      <w:r w:rsidR="00F77E87">
        <w:instrText xml:space="preserve"> \* MERGEFORMAT </w:instrText>
      </w:r>
      <w:r>
        <w:fldChar w:fldCharType="separate"/>
      </w:r>
      <w:r w:rsidR="006D52C2">
        <w:t xml:space="preserve">Figure </w:t>
      </w:r>
      <w:r w:rsidR="006D52C2">
        <w:rPr>
          <w:noProof/>
        </w:rPr>
        <w:t>46</w:t>
      </w:r>
      <w:r>
        <w:fldChar w:fldCharType="end"/>
      </w:r>
      <w:r>
        <w:t xml:space="preserve"> is not observed in </w:t>
      </w:r>
      <w:r>
        <w:fldChar w:fldCharType="begin"/>
      </w:r>
      <w:r>
        <w:instrText xml:space="preserve"> REF _Ref522534192 \h </w:instrText>
      </w:r>
      <w:r w:rsidR="00F77E87">
        <w:instrText xml:space="preserve"> \* MERGEFORMAT </w:instrText>
      </w:r>
      <w:r>
        <w:fldChar w:fldCharType="separate"/>
      </w:r>
      <w:r w:rsidR="006D52C2">
        <w:t xml:space="preserve">Figure </w:t>
      </w:r>
      <w:r w:rsidR="006D52C2">
        <w:rPr>
          <w:noProof/>
        </w:rPr>
        <w:t>47</w:t>
      </w:r>
      <w:r>
        <w:fldChar w:fldCharType="end"/>
      </w:r>
      <w:r>
        <w:t>. Even though initial mass uptake of 21% and 40% vol. glass sphere/epoxy laminates are almost identical, the absorption kinetics differ. Higher diffusivity of 21% vol. glass sphere/epoxy laminate allows faster diffusion whereas higher binding rate of 40% vol. glass sphere/epoxy laminate increases the bound moisture content. Thus, overall initial mass gain of the cases,</w:t>
      </w:r>
      <w:r w:rsidRPr="006339A5">
        <w:rPr>
          <w:i/>
        </w:rPr>
        <w:t xml:space="preserve"> </w:t>
      </w:r>
      <w:r w:rsidRPr="006C4A02">
        <w:rPr>
          <w:i/>
        </w:rPr>
        <w:t>c)</w:t>
      </w:r>
      <w:r>
        <w:t xml:space="preserve"> and </w:t>
      </w:r>
      <w:r w:rsidRPr="006C4A02">
        <w:rPr>
          <w:i/>
        </w:rPr>
        <w:t>d)</w:t>
      </w:r>
      <w:r>
        <w:t>, are similar.</w:t>
      </w:r>
    </w:p>
    <w:p w14:paraId="7B6F4371" w14:textId="77777777" w:rsidR="00192013" w:rsidRDefault="00192013" w:rsidP="00BB2C1B">
      <w:pPr>
        <w:pStyle w:val="Heading2"/>
      </w:pPr>
      <w:bookmarkStart w:id="246" w:name="_Toc403980448"/>
      <w:bookmarkStart w:id="247" w:name="_Toc449527251"/>
      <w:bookmarkStart w:id="248" w:name="_Toc531943770"/>
      <w:r>
        <w:t xml:space="preserve">3.4. </w:t>
      </w:r>
      <w:r w:rsidRPr="00B856F2">
        <w:t>Conclusion</w:t>
      </w:r>
      <w:bookmarkEnd w:id="246"/>
      <w:bookmarkEnd w:id="247"/>
      <w:bookmarkEnd w:id="248"/>
    </w:p>
    <w:p w14:paraId="767B32D8" w14:textId="77777777" w:rsidR="00192013" w:rsidRDefault="00192013" w:rsidP="00F77E87">
      <w:r w:rsidRPr="008A555B">
        <w:t>Nano-filler addition in epoxy is observed to result in a linear relation between both the maximum moisture content and the hindrance coefficient with respect to the nanoclay content, when the diffu</w:t>
      </w:r>
      <w:r>
        <w:t>sion coefficient linearly decreases following</w:t>
      </w:r>
      <w:r w:rsidRPr="008A555B">
        <w:t xml:space="preserve"> the rule of mixture.</w:t>
      </w:r>
    </w:p>
    <w:p w14:paraId="6F5A7EC7" w14:textId="1931F391" w:rsidR="00192013" w:rsidRDefault="00192013" w:rsidP="00F77E87">
      <w:r w:rsidRPr="00A55457">
        <w:t xml:space="preserve">The hindrance coefficient and </w:t>
      </w:r>
      <w:r>
        <w:t xml:space="preserve">maximum </w:t>
      </w:r>
      <w:r w:rsidRPr="00A55457">
        <w:t xml:space="preserve">bound moisture content have a tendency to linearly increase with increasing nanoclay content in </w:t>
      </w:r>
      <w:r>
        <w:t>I.30E nanoclay/</w:t>
      </w:r>
      <w:r w:rsidRPr="00A55457">
        <w:t>DGEBF epoxy</w:t>
      </w:r>
      <w:r>
        <w:t xml:space="preserve"> and glass sphere/epoxy while they have a decreasing trend</w:t>
      </w:r>
      <w:r w:rsidRPr="00CB03ED">
        <w:t xml:space="preserve"> </w:t>
      </w:r>
      <w:r>
        <w:t>in I.30E nanoc</w:t>
      </w:r>
      <w:r w:rsidR="006D2D63">
        <w:t>lay/DGEBA</w:t>
      </w:r>
      <w:r>
        <w:t xml:space="preserve"> epoxy.</w:t>
      </w:r>
      <w:r w:rsidRPr="00A55457">
        <w:t xml:space="preserve"> </w:t>
      </w:r>
      <w:r>
        <w:t xml:space="preserve">Due to both theoretical groundwork and mathematical calculations, the trend of the </w:t>
      </w:r>
      <w:r>
        <w:lastRenderedPageBreak/>
        <w:t xml:space="preserve">hindrance coefficient and maximum bound moisture content should be identical. Increasing binding sites would also hinder the moisture absorption due to </w:t>
      </w:r>
      <w:r w:rsidR="0032339A">
        <w:t xml:space="preserve">an </w:t>
      </w:r>
      <w:r>
        <w:t xml:space="preserve">increase in continuous transformation between the unbound and bound molecules. Hydration of cations between the nanoclays, water </w:t>
      </w:r>
      <w:r w:rsidRPr="004005EF">
        <w:t>bind</w:t>
      </w:r>
      <w:r>
        <w:t>ing to</w:t>
      </w:r>
      <w:r w:rsidRPr="004005EF">
        <w:t xml:space="preserve"> high energy surface areas</w:t>
      </w:r>
      <w:r w:rsidR="007D4338">
        <w:t>,</w:t>
      </w:r>
      <w:r>
        <w:t xml:space="preserve"> and intermolecular bonding between the water molecule and the epoxy are</w:t>
      </w:r>
      <w:r w:rsidR="005543A9">
        <w:t xml:space="preserve"> the</w:t>
      </w:r>
      <w:r>
        <w:t xml:space="preserve"> main causes of hindrance in moisture absorption. Negative or positive slope of change in the hindrance coefficient and maximum bound moisture content with respect to nano-filler addition is governed by the compromise between the decreasing intermolecular bonding sites in epoxy and increasing binding sites due to inclusion addition.</w:t>
      </w:r>
    </w:p>
    <w:p w14:paraId="7DBE914C" w14:textId="41BA2CB6" w:rsidR="00192013" w:rsidRDefault="00192013" w:rsidP="00F77E87">
      <w:r>
        <w:t xml:space="preserve">Increasing inclusion content also affects the maximum unbound moisture content. Addition of inclusion decreases the epoxy content per unit volume </w:t>
      </w:r>
      <w:r w:rsidRPr="004005EF">
        <w:t xml:space="preserve">- in other words, </w:t>
      </w:r>
      <w:r>
        <w:t>“free volume” in which the moisture can freely diffuse, when inclusions are impermeable. Since the unbound moisture is just a measure of the diffusing</w:t>
      </w:r>
      <w:r w:rsidRPr="00BB2904">
        <w:t xml:space="preserve"> </w:t>
      </w:r>
      <w:r>
        <w:t xml:space="preserve">water, reducing the free volume with inclusion addition results in decreasing maximum unbound moisture content. The decrease in free volume depends upon the type of the inclusion and epoxy. </w:t>
      </w:r>
      <w:r w:rsidR="00322FC1">
        <w:t>Although the decrease in unbound maximum moisture content in</w:t>
      </w:r>
      <w:r>
        <w:t xml:space="preserve"> DGEBA and DGEBF epoxies </w:t>
      </w:r>
      <w:r w:rsidR="00322FC1">
        <w:t>are not exactly the same, they are similar. Likewise,</w:t>
      </w:r>
      <w:r>
        <w:t xml:space="preserve"> </w:t>
      </w:r>
      <w:r w:rsidRPr="004B7BEB">
        <w:t>addition of 30</w:t>
      </w:r>
      <w:r>
        <w:t>% vol.</w:t>
      </w:r>
      <w:r w:rsidRPr="004B7BEB">
        <w:t xml:space="preserve"> APS and </w:t>
      </w:r>
      <w:proofErr w:type="spellStart"/>
      <w:r w:rsidRPr="004B7BEB">
        <w:t>nBS</w:t>
      </w:r>
      <w:proofErr w:type="spellEnd"/>
      <w:r w:rsidRPr="004B7BEB">
        <w:t xml:space="preserve"> treated glass spheres </w:t>
      </w:r>
      <w:r>
        <w:t xml:space="preserve">into </w:t>
      </w:r>
      <w:r w:rsidRPr="004B7BEB">
        <w:t>DGEBA epoxy reduce</w:t>
      </w:r>
      <w:r>
        <w:t>d</w:t>
      </w:r>
      <w:r w:rsidRPr="004B7BEB">
        <w:t xml:space="preserve"> </w:t>
      </w:r>
      <w:r>
        <w:t xml:space="preserve">the </w:t>
      </w:r>
      <w:r w:rsidRPr="004B7BEB">
        <w:t>equilibr</w:t>
      </w:r>
      <w:r>
        <w:t>ium unbound moisture content</w:t>
      </w:r>
      <w:r w:rsidRPr="004B7BEB">
        <w:t xml:space="preserve"> by</w:t>
      </w:r>
      <w:r>
        <w:t xml:space="preserve"> 40% for both cases</w:t>
      </w:r>
      <w:r w:rsidRPr="004B7BEB">
        <w:t xml:space="preserve">. Different surface treatment of glass spheres changes the outcome of bound moisture. </w:t>
      </w:r>
      <w:r>
        <w:t>Same g</w:t>
      </w:r>
      <w:r w:rsidRPr="004B7BEB">
        <w:t xml:space="preserve">lass spheres </w:t>
      </w:r>
      <w:r>
        <w:t xml:space="preserve">would </w:t>
      </w:r>
      <w:r w:rsidRPr="004B7BEB">
        <w:t>still occupy the same effective volume. Therefore, different surface treatments on glass spheres did not affect the unbound moisture content as long as they are at the same size and amount.</w:t>
      </w:r>
    </w:p>
    <w:p w14:paraId="12D91E4D" w14:textId="77777777" w:rsidR="00192013" w:rsidRDefault="00192013" w:rsidP="00F77E87">
      <w:r w:rsidRPr="005605A0">
        <w:lastRenderedPageBreak/>
        <w:t>The decrease in the maximum moisture content with increasing inclusion originate</w:t>
      </w:r>
      <w:r>
        <w:t>s</w:t>
      </w:r>
      <w:r w:rsidRPr="005605A0">
        <w:t xml:space="preserve"> from the fact that the decrease in the maximum unbound moisture content is more dominant than the corresponding decrease/increase in the maximum bound moisture content.</w:t>
      </w:r>
    </w:p>
    <w:p w14:paraId="2E747C73" w14:textId="1C2007C3" w:rsidR="00F77E87" w:rsidRDefault="00192013" w:rsidP="00F77E87">
      <w:pPr>
        <w:sectPr w:rsidR="00F77E87" w:rsidSect="00A230BA">
          <w:pgSz w:w="12240" w:h="15840"/>
          <w:pgMar w:top="1440" w:right="1440" w:bottom="1440" w:left="2160" w:header="720" w:footer="720" w:gutter="0"/>
          <w:cols w:space="720"/>
          <w:docGrid w:linePitch="360"/>
        </w:sectPr>
      </w:pPr>
      <w:r>
        <w:t>Lastly, multilayer hindered diffusion mode</w:t>
      </w:r>
      <w:r w:rsidR="005543A9">
        <w:t>l is successfully incorporated in</w:t>
      </w:r>
      <w:r>
        <w:t xml:space="preserve"> multilayer glass sphere/epoxy-epoxy laminates. Same amount of glass sphere addition did not change the time to reach the equilibrium or the maximum moisture content whether glass sphere/epoxy layer is formed or glass spheres are dispersed. Layer formation changed the dynamics of the initial moisture intake when compared to corresponding dispersed case. Even though the glass sphere/epoxy layer formation decreased the barrier capabilities of EPON 862 epoxy, validation of multilayer hindered diffusion model may be used to predict what type of reinforcement or coating would be needed to improve the water resistance.</w:t>
      </w:r>
    </w:p>
    <w:p w14:paraId="3EB17307" w14:textId="563A1526" w:rsidR="00DE2137" w:rsidRDefault="006B36AA" w:rsidP="00C730E9">
      <w:pPr>
        <w:pStyle w:val="Heading1"/>
      </w:pPr>
      <w:bookmarkStart w:id="249" w:name="_Ref520894063"/>
      <w:bookmarkStart w:id="250" w:name="_Toc531943771"/>
      <w:bookmarkEnd w:id="24"/>
      <w:r>
        <w:lastRenderedPageBreak/>
        <w:t>Moisture Absorption Modeling of Highly Porous Polymers and Polymer Composites</w:t>
      </w:r>
      <w:bookmarkEnd w:id="249"/>
      <w:bookmarkEnd w:id="250"/>
    </w:p>
    <w:p w14:paraId="7766846E"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r w:rsidRPr="006C0391">
        <w:rPr>
          <w:rFonts w:ascii="ff5" w:eastAsia="Times New Roman" w:hAnsi="ff5" w:cs="Times New Roman"/>
          <w:color w:val="231F20"/>
          <w:sz w:val="114"/>
          <w:szCs w:val="114"/>
        </w:rPr>
        <w:t>Foamed polymer materials comprising numerous very small</w:t>
      </w:r>
    </w:p>
    <w:p w14:paraId="32F35D5C"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proofErr w:type="gramStart"/>
      <w:r w:rsidRPr="006C0391">
        <w:rPr>
          <w:rFonts w:ascii="ff5" w:eastAsia="Times New Roman" w:hAnsi="ff5" w:cs="Times New Roman"/>
          <w:color w:val="231F20"/>
          <w:sz w:val="114"/>
          <w:szCs w:val="114"/>
        </w:rPr>
        <w:t>voids</w:t>
      </w:r>
      <w:proofErr w:type="gramEnd"/>
      <w:r w:rsidRPr="006C0391">
        <w:rPr>
          <w:rFonts w:ascii="ff5" w:eastAsia="Times New Roman" w:hAnsi="ff5" w:cs="Times New Roman"/>
          <w:color w:val="231F20"/>
          <w:sz w:val="114"/>
          <w:szCs w:val="114"/>
        </w:rPr>
        <w:t xml:space="preserve"> filled with air or some gases within their m </w:t>
      </w:r>
      <w:proofErr w:type="spellStart"/>
      <w:r w:rsidRPr="006C0391">
        <w:rPr>
          <w:rFonts w:ascii="ff5" w:eastAsia="Times New Roman" w:hAnsi="ff5" w:cs="Times New Roman"/>
          <w:color w:val="231F20"/>
          <w:sz w:val="114"/>
          <w:szCs w:val="114"/>
        </w:rPr>
        <w:t>atrices</w:t>
      </w:r>
      <w:proofErr w:type="spellEnd"/>
      <w:r w:rsidRPr="006C0391">
        <w:rPr>
          <w:rFonts w:ascii="ff5" w:eastAsia="Times New Roman" w:hAnsi="ff5" w:cs="Times New Roman"/>
          <w:color w:val="231F20"/>
          <w:sz w:val="114"/>
          <w:szCs w:val="114"/>
        </w:rPr>
        <w:t xml:space="preserve"> are</w:t>
      </w:r>
    </w:p>
    <w:p w14:paraId="3D515BC7"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proofErr w:type="gramStart"/>
      <w:r w:rsidRPr="006C0391">
        <w:rPr>
          <w:rFonts w:ascii="ff5" w:eastAsia="Times New Roman" w:hAnsi="ff5" w:cs="Times New Roman"/>
          <w:color w:val="231F20"/>
          <w:sz w:val="114"/>
          <w:szCs w:val="114"/>
        </w:rPr>
        <w:t>used</w:t>
      </w:r>
      <w:proofErr w:type="gramEnd"/>
      <w:r w:rsidRPr="006C0391">
        <w:rPr>
          <w:rFonts w:ascii="ff5" w:eastAsia="Times New Roman" w:hAnsi="ff5" w:cs="Times New Roman"/>
          <w:color w:val="231F20"/>
          <w:sz w:val="114"/>
          <w:szCs w:val="114"/>
        </w:rPr>
        <w:t xml:space="preserve"> for their functionalities like cushioning, shock absorption,</w:t>
      </w:r>
    </w:p>
    <w:p w14:paraId="753AB476"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proofErr w:type="gramStart"/>
      <w:r w:rsidRPr="006C0391">
        <w:rPr>
          <w:rFonts w:ascii="ff5" w:eastAsia="Times New Roman" w:hAnsi="ff5" w:cs="Times New Roman"/>
          <w:color w:val="231F20"/>
          <w:sz w:val="114"/>
          <w:szCs w:val="114"/>
        </w:rPr>
        <w:t>sealing</w:t>
      </w:r>
      <w:proofErr w:type="gramEnd"/>
      <w:r w:rsidRPr="006C0391">
        <w:rPr>
          <w:rFonts w:ascii="ff5" w:eastAsia="Times New Roman" w:hAnsi="ff5" w:cs="Times New Roman"/>
          <w:color w:val="231F20"/>
          <w:sz w:val="114"/>
          <w:szCs w:val="114"/>
        </w:rPr>
        <w:t xml:space="preserve">, thermal insulation, acoustical dampening, </w:t>
      </w:r>
    </w:p>
    <w:p w14:paraId="660A8365"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r w:rsidRPr="006C0391">
        <w:rPr>
          <w:rFonts w:ascii="ff5" w:eastAsia="Times New Roman" w:hAnsi="ff5" w:cs="Times New Roman"/>
          <w:color w:val="231F20"/>
          <w:sz w:val="114"/>
          <w:szCs w:val="114"/>
        </w:rPr>
        <w:t>Foamed polymer materials comprising numerous very small</w:t>
      </w:r>
    </w:p>
    <w:p w14:paraId="3C5F970D"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proofErr w:type="gramStart"/>
      <w:r w:rsidRPr="006C0391">
        <w:rPr>
          <w:rFonts w:ascii="ff5" w:eastAsia="Times New Roman" w:hAnsi="ff5" w:cs="Times New Roman"/>
          <w:color w:val="231F20"/>
          <w:sz w:val="114"/>
          <w:szCs w:val="114"/>
        </w:rPr>
        <w:t>voids</w:t>
      </w:r>
      <w:proofErr w:type="gramEnd"/>
      <w:r w:rsidRPr="006C0391">
        <w:rPr>
          <w:rFonts w:ascii="ff5" w:eastAsia="Times New Roman" w:hAnsi="ff5" w:cs="Times New Roman"/>
          <w:color w:val="231F20"/>
          <w:sz w:val="114"/>
          <w:szCs w:val="114"/>
        </w:rPr>
        <w:t xml:space="preserve"> filled with air or some gases within their m </w:t>
      </w:r>
      <w:proofErr w:type="spellStart"/>
      <w:r w:rsidRPr="006C0391">
        <w:rPr>
          <w:rFonts w:ascii="ff5" w:eastAsia="Times New Roman" w:hAnsi="ff5" w:cs="Times New Roman"/>
          <w:color w:val="231F20"/>
          <w:sz w:val="114"/>
          <w:szCs w:val="114"/>
        </w:rPr>
        <w:t>atrices</w:t>
      </w:r>
      <w:proofErr w:type="spellEnd"/>
      <w:r w:rsidRPr="006C0391">
        <w:rPr>
          <w:rFonts w:ascii="ff5" w:eastAsia="Times New Roman" w:hAnsi="ff5" w:cs="Times New Roman"/>
          <w:color w:val="231F20"/>
          <w:sz w:val="114"/>
          <w:szCs w:val="114"/>
        </w:rPr>
        <w:t xml:space="preserve"> are</w:t>
      </w:r>
    </w:p>
    <w:p w14:paraId="3A32B400" w14:textId="77777777" w:rsidR="006C0391" w:rsidRPr="006C0391" w:rsidRDefault="006C0391" w:rsidP="006C0391">
      <w:pPr>
        <w:shd w:val="clear" w:color="auto" w:fill="FFFFFF"/>
        <w:spacing w:line="0" w:lineRule="auto"/>
        <w:ind w:firstLine="0"/>
        <w:jc w:val="left"/>
        <w:rPr>
          <w:rFonts w:ascii="ff5" w:eastAsia="Times New Roman" w:hAnsi="ff5" w:cs="Times New Roman"/>
          <w:color w:val="231F20"/>
          <w:sz w:val="114"/>
          <w:szCs w:val="114"/>
        </w:rPr>
      </w:pPr>
      <w:proofErr w:type="gramStart"/>
      <w:r w:rsidRPr="006C0391">
        <w:rPr>
          <w:rFonts w:ascii="ff5" w:eastAsia="Times New Roman" w:hAnsi="ff5" w:cs="Times New Roman"/>
          <w:color w:val="231F20"/>
          <w:sz w:val="114"/>
          <w:szCs w:val="114"/>
        </w:rPr>
        <w:t>used</w:t>
      </w:r>
      <w:proofErr w:type="gramEnd"/>
      <w:r w:rsidRPr="006C0391">
        <w:rPr>
          <w:rFonts w:ascii="ff5" w:eastAsia="Times New Roman" w:hAnsi="ff5" w:cs="Times New Roman"/>
          <w:color w:val="231F20"/>
          <w:sz w:val="114"/>
          <w:szCs w:val="114"/>
        </w:rPr>
        <w:t xml:space="preserve"> for their functionalities like cushioning, shock absorption,</w:t>
      </w:r>
    </w:p>
    <w:p w14:paraId="059B3FBC" w14:textId="30F88AF8" w:rsidR="00DE2137" w:rsidRPr="00DE2137" w:rsidRDefault="006C0391" w:rsidP="00DE2137">
      <w:pPr>
        <w:shd w:val="clear" w:color="auto" w:fill="FFFFFF"/>
        <w:spacing w:line="0" w:lineRule="auto"/>
        <w:ind w:firstLine="0"/>
        <w:jc w:val="left"/>
        <w:rPr>
          <w:rFonts w:ascii="ff5" w:eastAsia="Times New Roman" w:hAnsi="ff5" w:cs="Times New Roman"/>
          <w:color w:val="231F20"/>
          <w:sz w:val="114"/>
          <w:szCs w:val="114"/>
        </w:rPr>
      </w:pPr>
      <w:proofErr w:type="gramStart"/>
      <w:r w:rsidRPr="006C0391">
        <w:rPr>
          <w:rFonts w:ascii="ff5" w:eastAsia="Times New Roman" w:hAnsi="ff5" w:cs="Times New Roman"/>
          <w:color w:val="231F20"/>
          <w:sz w:val="114"/>
          <w:szCs w:val="114"/>
        </w:rPr>
        <w:t>sealing</w:t>
      </w:r>
      <w:proofErr w:type="gramEnd"/>
      <w:r w:rsidRPr="006C0391">
        <w:rPr>
          <w:rFonts w:ascii="ff5" w:eastAsia="Times New Roman" w:hAnsi="ff5" w:cs="Times New Roman"/>
          <w:color w:val="231F20"/>
          <w:sz w:val="114"/>
          <w:szCs w:val="114"/>
        </w:rPr>
        <w:t>, thermal ins</w:t>
      </w:r>
      <w:r w:rsidR="00DE2137">
        <w:rPr>
          <w:rFonts w:ascii="ff5" w:eastAsia="Times New Roman" w:hAnsi="ff5" w:cs="Times New Roman"/>
          <w:color w:val="231F20"/>
          <w:sz w:val="114"/>
          <w:szCs w:val="114"/>
        </w:rPr>
        <w:t>ulation, acoustical dampening</w:t>
      </w:r>
    </w:p>
    <w:p w14:paraId="29436BEC" w14:textId="22236CC9" w:rsidR="006C0391" w:rsidRDefault="00DE2137" w:rsidP="00F77E87">
      <w:r w:rsidRPr="00DE2137">
        <w:t>Polymer</w:t>
      </w:r>
      <w:r>
        <w:t>ic</w:t>
      </w:r>
      <w:r w:rsidRPr="00DE2137">
        <w:t xml:space="preserve"> foams are lightweight cellular material containing numerous small voids filled with air or some gases. They are </w:t>
      </w:r>
      <w:r>
        <w:t xml:space="preserve">widely used for their </w:t>
      </w:r>
      <w:r w:rsidR="00AE30ED">
        <w:t>unique properties</w:t>
      </w:r>
      <w:r>
        <w:t xml:space="preserve"> such as thermal </w:t>
      </w:r>
      <w:r w:rsidR="00C42C09">
        <w:t xml:space="preserve">stability </w:t>
      </w:r>
      <w:r w:rsidR="00C42C09">
        <w:fldChar w:fldCharType="begin" w:fldLock="1"/>
      </w:r>
      <w:r w:rsidR="00B274D5">
        <w:instrText>ADDIN CSL_CITATION {"citationItems":[{"id":"ITEM-1","itemData":{"DOI":"10.1016/j.matdes.2017.07.064","ISSN":"18734197","abstract":"Microcellular silicone rubber/nanographite foam with the smallest cell diameter and the largest cell density compared to the previous studies was prepared using supercritical carbon dioxide as an environmentally benign foaming agent in this study. Both the cell microstructure and properties of porous composite were investigated in detail. In silicone rubber/nanographite system, the incorporation of nanographite into silicone rubber significantly induced heterogeneous bubble nucleation and enhanced the matrix strength, which resulted in the decreased average cell diameter from 4.97 to 1.12 μm and the increased cell density from 8.87 × 108 cells/cm3to 1.25 × 1010 cells/cm3. The microcellular rubber foam with decreased cell size, increased cell density and narrow cell distribution was corresponded to the excellent compressive strength and higher hardness, which reduced the content of silica. Furthermore, the thermal decomposition temperature of the obtained foam increased from 380 °C to 413 °C due to the introduction of nanographite. The silicone rubber/nanographite foam with improved performance possessed potential in wide applications.","author":[{"dropping-particle":"","family":"Bai","given":"Jianwei","non-dropping-particle":"","parse-names":false,"suffix":""},{"dropping-particle":"","family":"Liao","given":"Xia","non-dropping-particle":"","parse-names":false,"suffix":""},{"dropping-particle":"","family":"Huang","given":"Erbo","non-dropping-particle":"","parse-names":false,"suffix":""},{"dropping-particle":"","family":"Luo","given":"Yong","non-dropping-particle":"","parse-names":false,"suffix":""},{"dropping-particle":"","family":"Yang","given":"Qi","non-dropping-particle":"","parse-names":false,"suffix":""},{"dropping-particle":"","family":"Li","given":"Guangxian","non-dropping-particle":"","parse-names":false,"suffix":""}],"container-title":"Materials and Design","id":"ITEM-1","issued":{"date-parts":[["2017"]]},"page":"288-298","publisher":"Elsevier Ltd","title":"Control of the cell structure of microcellular silicone rubber/nanographite foam for enhanced mechanical performance","type":"article-journal","volume":"133"},"uris":["http://www.mendeley.com/documents/?uuid=f9932bb6-ae55-43b9-b982-ae2e0aeeab4b"]},{"id":"ITEM-2","itemData":{"DOI":"10.1002/app.28750","ISSN":"0021-8995","abstract":"Abstract Silicone rubber (SR) foams were prepared by the peroxide curing of a silicone compound with 2,4-dichlorobenzoyl peroxide (DCBP), di-t-butyl peroxide (DTBP), or 2,5-dimethyl-2,5-di(t-butylperoxy) hexane (DBPH) in the presence of 2,2?-azobisisobutyronitrile (AIBN) as a blowing agent. The cells were formed in the foam as a result of nitrogen produced by the decomposition of AIBN during the foaming process. The cell size, hardness, and tensile properties of the SR foams were examined as a function of the peroxide concentration. When the peroxide concentration increased, the hardness and tensile strength of the SR foams increased, whereas the cell size and elongation at break decreased. The antibacterial activity of the prepared foams was also evaluated via their effects on Staphylococcus aureus and Escherichia coli. The peroxide-cured SR foams had antibacterial activity because a toxic residue was generated by the peroxide decomposition. The foam prepared by the AIBN/DCBP system showed more antibacterial activity than the AIBN/DBPH and AIBN/DTBP ones. However, after postcuring at 250°C for 2 h, the antibacterial activity of the SR foams significantly decreased. ? 2008 Wiley Periodicals, Inc. J Appl Polym Sci, 2008","author":[{"dropping-particle":"","family":"Park","given":"Eun-Soo","non-dropping-particle":"","parse-names":false,"suffix":""}],"container-title":"Journal of Applied Polymer Science","id":"ITEM-2","issue":"3","issued":{"date-parts":[["2008","7","28"]]},"note":"doi: 10.1002/app.28750","page":"1723-1729","publisher":"Wiley-Blackwell","title":"Mechanical properties and antibacterial activity of peroxide-cured silicone rubber foams","type":"article-journal","volume":"110"},"uris":["http://www.mendeley.com/documents/?uuid=826430c2-bd6e-4bf7-a35b-36838b05d005"]},{"id":"ITEM-3","itemData":{"ISBN":"1569903360 9781569903360 3446218319 9783446218314","abstract":"\"Since the publication of the previous edition of this book over a decade ago, many of the industry's most pressing problems, including environmentally acceptable blowing agents, combustibility, and solid waste disposal, have been addressed and significant progresss has been made. The new edition addresses these developments and also presents several new classes of foam brought to industrial application in recent years.\"--Jacket.","author":[{"dropping-particle":"","family":"Klempner","given":"Daniel.","non-dropping-particle":"","parse-names":false,"suffix":""},{"dropping-particle":"","family":"Sendijarevic","given":"Vahid.","non-dropping-particle":"","parse-names":false,"suffix":""},{"dropping-particle":"","family":"Aseeva","given":"R M","non-dropping-particle":"","parse-names":false,"suffix":""}],"id":"ITEM-3","issued":{"date-parts":[["2004"]]},"language":"English","publisher":"Hanser Publishers ; Hanser Gardener [i.e. Gardner] Publications","publisher-place":"Munich; Cincinnati","title":"Handbook of polymeric foams and foam technology.","type":"book"},"uris":["http://www.mendeley.com/documents/?uuid=59f3c8e5-4161-4a7c-b51a-32fea6fde413"]},{"id":"ITEM-4","itemData":{"DOI":"10.1016/j.colsurfa.2005.01.026","ISBN":"0927-7757","ISSN":"09277757","abstract":"The foam conductivity model of Phelan et al. [R. Phelan, D. Weaire, E.A.J. Peters, G. Verbist, J. Phys.: Condens. Mat. 8 (1996) 475] was generalised from electrical to thermal conductivity. In the thermal case two complications arise: (i) a radiation contribution to heat transfer (which was determined experimentally) and (ii) unlike the electrical case, the gas conduction cannot be neglected. The pure conduction part was modeled using an effective-mean field approach to average gas and polymer phase contributions and also a vertex/strut/film model to account for structural aspects. The model is compared to polyurethane closed cell rigid (PUR) foam data. PUR foams are of major industrial importance for thermal insulation. They are widely used as an insulating mantle around heating pipes. In particular this model is necessary at higher densities and for higher conductivity gases whose presence is nowadays unavoidable, as low-conducting chlorofluorocarbons (CFCs) have been phased out due to environmental reasons. This knowledge is also useful in attempting to optimise the strength and conductance of foams. © 2005 Shell Global Solutions International B.V. Published by Elsevier B.V. All rights reserved.","author":[{"dropping-particle":"","family":"Ahern","given":"A.","non-dropping-particle":"","parse-names":false,"suffix":""},{"dropping-particle":"","family":"Verbist","given":"G.","non-dropping-particle":"","parse-names":false,"suffix":""},{"dropping-particle":"","family":"Weaire","given":"D.","non-dropping-particle":"","parse-names":false,"suffix":""},{"dropping-particle":"","family":"Phelan","given":"R.","non-dropping-particle":"","parse-names":false,"suffix":""},{"dropping-particle":"","family":"Fleurent","given":"H.","non-dropping-particle":"","parse-names":false,"suffix":""}],"container-title":"Colloids and Surfaces A: Physicochemical and Engineering Aspects","id":"ITEM-4","issue":"1-3 SPEC. ISS.","issued":{"date-parts":[["2005"]]},"page":"275-279","title":"The conductivity of foams: A generalisation of the electrical to the thermal case","type":"article-journal","volume":"263"},"uris":["http://www.mendeley.com/documents/?uuid=e3f20894-6092-4a87-8ab6-0fdf645ed4a6"]},{"id":"ITEM-5","itemData":{"DOI":"10.1016/j.enbuild.2017.08.019","ISSN":"03787788","abstract":"The use of thermal insulation materials is regarded as the most effective passive measure of energy savings in buildings. Rigid polyurethane foams (RPU) are commonly used as the insulation layers of opaque building envelope solutions, as well as for other applications in field of transportation, textile industry and electrical appliances, accounting for almost one-third of the polyurethane market. In the assessment of the energy performance of buildings, insulation materials, such as RPU foams have good insulating properties – low thermal conductivity – however their thermal regulation capacity can be enhanced by the incorporation of phase change materials (PCMs). In this paper, three different approaches (flux meter approach, the guarded hot plate approach and the transient plane source approach) are presented to determine the thermal conductivity of RPU foams with and without the incorporation of PCMs based on steady state method and transient method. In addition, this work presents and discusses the comparison between measurements amongst the three approaches revealing the important factors that should be considered to determinate the thermal conductivity of the RPU foams with PCMs, particularly in the temperature range during PCMs phase change transition (solid/liquid state).","author":[{"dropping-particle":"","family":"Amaral","given":"C.","non-dropping-particle":"","parse-names":false,"suffix":""},{"dropping-particle":"","family":"Vicente","given":"R.","non-dropping-particle":"","parse-names":false,"suffix":""},{"dropping-particle":"","family":"Ferreira","given":"V. M.","non-dropping-particle":"","parse-names":false,"suffix":""},{"dropping-particle":"","family":"Silva","given":"T.","non-dropping-particle":"","parse-names":false,"suffix":""}],"container-title":"Energy and Buildings","id":"ITEM-5","issued":{"date-parts":[["2017"]]},"page":"392-402","publisher":"Elsevier B.V.","title":"Polyurethane foams with microencapsulated phase change material: Comparative analysis of thermal conductivity characterization approaches","type":"article-journal","volume":"153"},"uris":["http://www.mendeley.com/documents/?uuid=ab90d664-cb4e-42e4-abde-5ea6e2465e64"]}],"mendeley":{"formattedCitation":"[98,99,123–125]","plainTextFormattedCitation":"[98,99,123–125]","previouslyFormattedCitation":"[98,99,123–125]"},"properties":{"noteIndex":0},"schema":"https://github.com/citation-style-language/schema/raw/master/csl-citation.json"}</w:instrText>
      </w:r>
      <w:r w:rsidR="00C42C09">
        <w:fldChar w:fldCharType="separate"/>
      </w:r>
      <w:r w:rsidR="00D0724A" w:rsidRPr="00D0724A">
        <w:rPr>
          <w:noProof/>
        </w:rPr>
        <w:t>[98,99,123–125]</w:t>
      </w:r>
      <w:r w:rsidR="00C42C09">
        <w:fldChar w:fldCharType="end"/>
      </w:r>
      <w:r>
        <w:t>,</w:t>
      </w:r>
      <w:r w:rsidR="00D0724A">
        <w:t xml:space="preserve"> electrical insulation </w:t>
      </w:r>
      <w:r w:rsidR="00D0724A" w:rsidRPr="00636729">
        <w:rPr>
          <w:rFonts w:cs="Times New Roman"/>
          <w:szCs w:val="24"/>
        </w:rPr>
        <w:fldChar w:fldCharType="begin" w:fldLock="1"/>
      </w:r>
      <w:r w:rsidR="00B274D5">
        <w:rPr>
          <w:rFonts w:cs="Times New Roman"/>
          <w:szCs w:val="24"/>
        </w:rPr>
        <w:instrText>ADDIN CSL_CITATION {"citationItems":[{"id":"ITEM-1","itemData":{"DOI":"10.1016/j.colsurfa.2005.01.026","ISBN":"0927-7757","ISSN":"09277757","abstract":"The foam conductivity model of Phelan et al. [R. Phelan, D. Weaire, E.A.J. Peters, G. Verbist, J. Phys.: Condens. Mat. 8 (1996) 475] was generalised from electrical to thermal conductivity. In the thermal case two complications arise: (i) a radiation contribution to heat transfer (which was determined experimentally) and (ii) unlike the electrical case, the gas conduction cannot be neglected. The pure conduction part was modeled using an effective-mean field approach to average gas and polymer phase contributions and also a vertex/strut/film model to account for structural aspects. The model is compared to polyurethane closed cell rigid (PUR) foam data. PUR foams are of major industrial importance for thermal insulation. They are widely used as an insulating mantle around heating pipes. In particular this model is necessary at higher densities and for higher conductivity gases whose presence is nowadays unavoidable, as low-conducting chlorofluorocarbons (CFCs) have been phased out due to environmental reasons. This knowledge is also useful in attempting to optimise the strength and conductance of foams. © 2005 Shell Global Solutions International B.V. Published by Elsevier B.V. All rights reserved.","author":[{"dropping-particle":"","family":"Ahern","given":"A.","non-dropping-particle":"","parse-names":false,"suffix":""},{"dropping-particle":"","family":"Verbist","given":"G.","non-dropping-particle":"","parse-names":false,"suffix":""},{"dropping-particle":"","family":"Weaire","given":"D.","non-dropping-particle":"","parse-names":false,"suffix":""},{"dropping-particle":"","family":"Phelan","given":"R.","non-dropping-particle":"","parse-names":false,"suffix":""},{"dropping-particle":"","family":"Fleurent","given":"H.","non-dropping-particle":"","parse-names":false,"suffix":""}],"container-title":"Colloids and Surfaces A: Physicochemical and Engineering Aspects","id":"ITEM-1","issue":"1-3 SPEC. ISS.","issued":{"date-parts":[["2005"]]},"page":"275-279","title":"The conductivity of foams: A generalisation of the electrical to the thermal case","type":"article-journal","volume":"263"},"uris":["http://www.mendeley.com/documents/?uuid=e3f20894-6092-4a87-8ab6-0fdf645ed4a6"]},{"id":"ITEM-2","itemData":{"DOI":"10.1007/s11595-016-1395-7","ISBN":"1000-2413","ISSN":"19930437","abstract":"© 2016, Wuhan University of Technology and Springer-Verlag Berlin Heidelberg. The carbon nanotubes (CNTs)/ polymethylmethacrylate (PMMA) nanocomposite foams were prepared by the anti-solvent precipitation and supercritical foaming method. The morphology and the electrical conductivity of the foams with different kinds of CNTs were investigated. The experimental results showed that all the foams had uniform cell structure, and the cell size changed from 1.9 to 10 μm when the foaming temperature ranged from 50 °C to 95 °C. With small cell size (1.9–4.0 μm), the conductivities of the foams were 3.34×10 −6 –4.16×10 −6  S/cm compared with the solid matrix since the introduction of micro cells did not destroy the conductive network. However, when the cell size was biger (4.5–10 μm), the aspect ratio of the CNTs played the dominant role of the conductivity. The foams with short CNTs had higher conductivity, since the short CNTs were hard to stretch and snap by the cells and can well-dispersed in the cell wall and cell edges. The results of this work provided a novel material design method for conductive foams based on the rule of both microstructure and aspect ratio of the CNTs.","author":[{"dropping-particle":"","family":"Yuan","given":"Huan","non-dropping-particle":"","parse-names":false,"suffix":""},{"dropping-particle":"","family":"Xiong","given":"Yuanlu","non-dropping-particle":"","parse-names":false,"suffix":""},{"dropping-particle":"","family":"Luo","given":"Guoqiang","non-dropping-particle":"","parse-names":false,"suffix":""},{"dropping-particle":"","family":"Li","given":"Meijuan","non-dropping-particle":"","parse-names":false,"suffix":""},{"dropping-particle":"","family":"Shen","given":"Qiang","non-dropping-particle":"","parse-names":false,"suffix":""},{"dropping-particle":"","family":"Zhang","given":"Lianmeng","non-dropping-particle":"","parse-names":false,"suffix":""}],"container-title":"Journal Wuhan University of Technology, Materials Science Edition","id":"ITEM-2","issue":"2","issued":{"date-parts":[["2016"]]},"page":"481-486","title":"Microstructure and electrical conductivity of CNTs/PMMA nanocomposite foams foaming by supercritical carbon dioxide","type":"article-journal","volume":"31"},"uris":["http://www.mendeley.com/documents/?uuid=2bbf9977-5795-4f60-adec-c33f62390cd2"]}],"mendeley":{"formattedCitation":"[98,100]","plainTextFormattedCitation":"[98,100]","previouslyFormattedCitation":"[98,100]"},"properties":{"noteIndex":0},"schema":"https://github.com/citation-style-language/schema/raw/master/csl-citation.json"}</w:instrText>
      </w:r>
      <w:r w:rsidR="00D0724A" w:rsidRPr="00636729">
        <w:rPr>
          <w:rFonts w:cs="Times New Roman"/>
          <w:szCs w:val="24"/>
        </w:rPr>
        <w:fldChar w:fldCharType="separate"/>
      </w:r>
      <w:r w:rsidR="00D0724A" w:rsidRPr="004F42A2">
        <w:rPr>
          <w:rFonts w:cs="Times New Roman"/>
          <w:noProof/>
          <w:szCs w:val="24"/>
        </w:rPr>
        <w:t>[98,100]</w:t>
      </w:r>
      <w:r w:rsidR="00D0724A" w:rsidRPr="00636729">
        <w:rPr>
          <w:rFonts w:cs="Times New Roman"/>
          <w:szCs w:val="24"/>
        </w:rPr>
        <w:fldChar w:fldCharType="end"/>
      </w:r>
      <w:r w:rsidR="00CB64A3">
        <w:rPr>
          <w:rFonts w:cs="Times New Roman"/>
          <w:szCs w:val="24"/>
        </w:rPr>
        <w:t>,</w:t>
      </w:r>
      <w:r>
        <w:t xml:space="preserve"> shock </w:t>
      </w:r>
      <w:r w:rsidR="00C42C09">
        <w:t>absorption</w:t>
      </w:r>
      <w:r w:rsidR="009953D0">
        <w:t xml:space="preserve"> </w:t>
      </w:r>
      <w:r w:rsidR="00C42C09">
        <w:fldChar w:fldCharType="begin" w:fldLock="1"/>
      </w:r>
      <w:r w:rsidR="00B274D5">
        <w:instrText>ADDIN CSL_CITATION {"citationItems":[{"id":"ITEM-1","itemData":{"ISBN":"1569903360 9781569903360 3446218319 9783446218314","abstract":"\"Since the publication of the previous edition of this book over a decade ago, many of the industry's most pressing problems, including environmentally acceptable blowing agents, combustibility, and solid waste disposal, have been addressed and significant progresss has been made. The new edition addresses these developments and also presents several new classes of foam brought to industrial application in recent years.\"--Jacket.","author":[{"dropping-particle":"","family":"Klempner","given":"Daniel.","non-dropping-particle":"","parse-names":false,"suffix":""},{"dropping-particle":"","family":"Sendijarevic","given":"Vahid.","non-dropping-particle":"","parse-names":false,"suffix":""},{"dropping-particle":"","family":"Aseeva","given":"R M","non-dropping-particle":"","parse-names":false,"suffix":""}],"id":"ITEM-1","issued":{"date-parts":[["2004"]]},"language":"English","publisher":"Hanser Publishers ; Hanser Gardener [i.e. Gardner] Publications","publisher-place":"Munich; Cincinnati","title":"Handbook of polymeric foams and foam technology.","type":"book"},"uris":["http://www.mendeley.com/documents/?uuid=59f3c8e5-4161-4a7c-b51a-32fea6fde413"]}],"mendeley":{"formattedCitation":"[125]","plainTextFormattedCitation":"[125]","previouslyFormattedCitation":"[125]"},"properties":{"noteIndex":0},"schema":"https://github.com/citation-style-language/schema/raw/master/csl-citation.json"}</w:instrText>
      </w:r>
      <w:r w:rsidR="00C42C09">
        <w:fldChar w:fldCharType="separate"/>
      </w:r>
      <w:r w:rsidR="00C42C09" w:rsidRPr="00C42C09">
        <w:rPr>
          <w:noProof/>
        </w:rPr>
        <w:t>[125]</w:t>
      </w:r>
      <w:r w:rsidR="00C42C09">
        <w:fldChar w:fldCharType="end"/>
      </w:r>
      <w:r>
        <w:t>,</w:t>
      </w:r>
      <w:r w:rsidR="00C42C09">
        <w:t xml:space="preserve"> </w:t>
      </w:r>
      <w:r w:rsidR="00AE30ED">
        <w:t xml:space="preserve">and </w:t>
      </w:r>
      <w:r>
        <w:t>acoustical dampening</w:t>
      </w:r>
      <w:r w:rsidR="009953D0">
        <w:t xml:space="preserve"> </w:t>
      </w:r>
      <w:r w:rsidR="00C42C09">
        <w:fldChar w:fldCharType="begin" w:fldLock="1"/>
      </w:r>
      <w:r w:rsidR="00B274D5">
        <w:instrText>ADDIN CSL_CITATION {"citationItems":[{"id":"ITEM-1","itemData":{"ISBN":"1569903360 9781569903360 3446218319 9783446218314","abstract":"\"Since the publication of the previous edition of this book over a decade ago, many of the industry's most pressing problems, including environmentally acceptable blowing agents, combustibility, and solid waste disposal, have been addressed and significant progresss has been made. The new edition addresses these developments and also presents several new classes of foam brought to industrial application in recent years.\"--Jacket.","author":[{"dropping-particle":"","family":"Klempner","given":"Daniel.","non-dropping-particle":"","parse-names":false,"suffix":""},{"dropping-particle":"","family":"Sendijarevic","given":"Vahid.","non-dropping-particle":"","parse-names":false,"suffix":""},{"dropping-particle":"","family":"Aseeva","given":"R M","non-dropping-particle":"","parse-names":false,"suffix":""}],"id":"ITEM-1","issued":{"date-parts":[["2004"]]},"language":"English","publisher":"Hanser Publishers ; Hanser Gardener [i.e. Gardner] Publications","publisher-place":"Munich; Cincinnati","title":"Handbook of polymeric foams and foam technology.","type":"book"},"uris":["http://www.mendeley.com/documents/?uuid=59f3c8e5-4161-4a7c-b51a-32fea6fde413"]},{"id":"ITEM-2","itemData":{"DOI":"10.1016/j.compscitech.2008.07.003","ISBN":"0266-3538","ISSN":"02663538","abstract":"Flexible polyurethane (PU) foams, with loading fractions of up to 0.2 wt% carbon nanotubes (CNTs), were made by free-rising foaming using water as blowing agent. Electron microscopy revealed an open cellular structure and a homogeneous dispersion of CNTs, although the incorporation of nanofiller affected the foaming process and thus the final foam density and cellular structure. The compressive response of the foams did not show an unambiguous improvement with CNT content due to the variable foam structure. However, dense films generated by hot pressing the foams indicated a significant intrinsic reinforcement of the polymer, even at low loadings of CNTs. Most significantly, CNTs were found to increase the acoustic activity monotonically at concentrations up to 0.1 wt%. © 2008 Elsevier Ltd. All rights reserved.","author":[{"dropping-particle":"","family":"Verdejo","given":"R.","non-dropping-particle":"","parse-names":false,"suffix":""},{"dropping-particle":"","family":"Stämpfli","given":"R.","non-dropping-particle":"","parse-names":false,"suffix":""},{"dropping-particle":"","family":"Alvarez-Lainez","given":"M.","non-dropping-particle":"","parse-names":false,"suffix":""},{"dropping-particle":"","family":"Mourad","given":"S.","non-dropping-particle":"","parse-names":false,"suffix":""},{"dropping-particle":"","family":"Rodriguez-Perez","given":"M. A.","non-dropping-particle":"","parse-names":false,"suffix":""},{"dropping-particle":"","family":"Brühwiler","given":"P. A.","non-dropping-particle":"","parse-names":false,"suffix":""},{"dropping-particle":"","family":"Shaffer","given":"M.","non-dropping-particle":"","parse-names":false,"suffix":""}],"container-title":"Composites Science and Technology","id":"ITEM-2","issue":"10","issued":{"date-parts":[["2009"]]},"page":"1564-1569","publisher":"Elsevier Ltd","title":"Enhanced acoustic damping in flexible polyurethane foams filled with carbon nanotubes","type":"article-journal","volume":"69"},"uris":["http://www.mendeley.com/documents/?uuid=01da7f69-e683-4990-99c3-080726df6642"]}],"mendeley":{"formattedCitation":"[125,126]","plainTextFormattedCitation":"[125,126]","previouslyFormattedCitation":"[125,126]"},"properties":{"noteIndex":0},"schema":"https://github.com/citation-style-language/schema/raw/master/csl-citation.json"}</w:instrText>
      </w:r>
      <w:r w:rsidR="00C42C09">
        <w:fldChar w:fldCharType="separate"/>
      </w:r>
      <w:r w:rsidR="00C42C09" w:rsidRPr="00C42C09">
        <w:rPr>
          <w:noProof/>
        </w:rPr>
        <w:t>[125,126]</w:t>
      </w:r>
      <w:r w:rsidR="00C42C09">
        <w:fldChar w:fldCharType="end"/>
      </w:r>
      <w:r>
        <w:t>. Polymeric foams are also frequently used in composite sandwich structures as core material</w:t>
      </w:r>
      <w:r w:rsidR="00AE30ED">
        <w:t>s</w:t>
      </w:r>
      <w:r>
        <w:t xml:space="preserve"> mainly to </w:t>
      </w:r>
      <w:r w:rsidR="00AE30ED">
        <w:t>achieve reduction in</w:t>
      </w:r>
      <w:r>
        <w:t xml:space="preserve"> the overall weight of the composite </w:t>
      </w:r>
      <w:r w:rsidR="00AE30ED">
        <w:t>structure</w:t>
      </w:r>
      <w:r>
        <w:t>.</w:t>
      </w:r>
      <w:r w:rsidR="00C42C09">
        <w:t xml:space="preserve"> Properties of the foam depend on </w:t>
      </w:r>
      <w:r w:rsidR="00C16D03">
        <w:t xml:space="preserve">not only the foam matrix polymer but also </w:t>
      </w:r>
      <w:r w:rsidR="00C42C09">
        <w:t>the</w:t>
      </w:r>
      <w:r w:rsidR="00C16D03">
        <w:t xml:space="preserve"> </w:t>
      </w:r>
      <w:r w:rsidR="00C42C09">
        <w:t>foam density, c</w:t>
      </w:r>
      <w:r w:rsidR="00C16D03">
        <w:t>ell size</w:t>
      </w:r>
      <w:r w:rsidR="00CB64A3">
        <w:t>,</w:t>
      </w:r>
      <w:r w:rsidR="00C16D03">
        <w:t xml:space="preserve"> and geometry </w:t>
      </w:r>
      <w:r w:rsidR="00C42C09" w:rsidRPr="00C16D03">
        <w:fldChar w:fldCharType="begin" w:fldLock="1"/>
      </w:r>
      <w:r w:rsidR="00B274D5">
        <w:instrText>ADDIN CSL_CITATION {"citationItems":[{"id":"ITEM-1","itemData":{"DOI":"10.1016/j.matdes.2012.04.031","ISBN":"0261-3069","ISSN":"02641275","abstract":"Interconnected pore cell in appropriately chosen porous media can help to enhance their sound absorption performance. Acoustic absorbing foam materials were produced from polyurethane (PU) with addition of water as a blowing agent and OR-501 as open pore cell agent. The pore sizes of the foams were varied from 0.35 to 1.05. mm in diameter and the pore cells were interconnected with open porosity in the range from 16.0% to 88.6%. The compressive strength of the foams decreased with increase of interconnected cell ratios. There was a decrease of the strength lower than 92.6% compared to the closed cell sample when interconnected cell ratio was 88.6%. The acoustical efficiencies of PU foams were studied, and the results showed that the porous cell size and interconnected porosity of PU foams had significant influence on the acoustical efficiencies. Significant enhancements of the absorption properties could be obtained over a low frequency band by increasing the interconnected porous cell. The absorption coefficient of the interconnected cell foam was 0.66 at low frequency of 250-600. Hz with an increase of 100% compared to the closed-cell ones. The internal transmission path and loss mechanism of noise in the porous polyurethane materials were also analyzed in the present work. © 2012 Elsevier Ltd.","author":[{"dropping-particle":"","family":"Zhang","given":"Chunhua","non-dropping-particle":"","parse-names":false,"suffix":""},{"dropping-particle":"","family":"Li","given":"Junqing","non-dropping-particle":"","parse-names":false,"suffix":""},{"dropping-particle":"","family":"Hu","given":"Zhen","non-dropping-particle":"","parse-names":false,"suffix":""},{"dropping-particle":"","family":"Zhu","given":"Fenglei","non-dropping-particle":"","parse-names":false,"suffix":""},{"dropping-particle":"","family":"Huang","given":"Yudong","non-dropping-particle":"","parse-names":false,"suffix":""}],"container-title":"Materials and Design","id":"ITEM-1","issued":{"date-parts":[["2012"]]},"page":"319-325","publisher":"Elsevier Ltd","title":"Correlation between the acoustic and porous cell morphology of polyurethane foam: Effect of interconnected porosity","type":"article-journal","volume":"41"},"uris":["http://www.mendeley.com/documents/?uuid=9351d656-2f1f-49b7-8543-6326f4ef37b2"]},{"id":"ITEM-2","itemData":{"DOI":"10.1007/s11340-008-9146-0","ISBN":"0014-4851","ISSN":"0014-4851","abstract":"An understanding of the mechanical properties of solid foams facilitates effective use of such materials, which are often deployed in load-bearing applications such as impact absorbers, cushioning and sandwich structures. This study is an experimental investigation that focuses on the deformation response of rigid polyurethane foam to tension. Microstructural features such as the size and geometry of constituent cells and the struts that define the cell edges, as well as their stiffness and tensile strength, are examined. The nature of cell deformation and fracture are identified through microscopy and the associated micro-mechanics analyzed. Results show that the cells are elongated and thus the foam exhibits anisotropic properties. Flexure of the struts that define the cell edges is the primary mechanism governing deformation and failure. Information on the mechanical, microstructural and deformation characteristics elicited through this investigation will facilitate formulation of idealized cell-based models to account for the mechanical response of rigid polymeric foams.","author":[{"dropping-particle":"","family":"Ridha","given":"M.","non-dropping-particle":"","parse-names":false,"suffix":""},{"dropping-particle":"","family":"Shim","given":"V. P. W.","non-dropping-particle":"","parse-names":false,"suffix":""}],"container-title":"Experimental Mechanics","id":"ITEM-2","issue":"6","issued":{"date-parts":[["2008"]]},"page":"763-776","title":"Microstructure and Tensile Mechanical Properties of Anisotropic Rigid Polyurethane Foam","type":"article-journal","volume":"48"},"uris":["http://www.mendeley.com/documents/?uuid=ab3c777f-f505-43f8-a197-62d1e57ff171"]},{"id":"ITEM-3","itemData":{"DOI":"DOI: 10.1017/CBO9781139878326","ISBN":"9780521499118","abstract":"In this new edition of their classic work on Cellular Solids, the authors have brought the book completely up to date, including new work on processing of metallic and ceramic foams and on the mechanical, electrical and acoustic properties of cellular solids. Data for commercially available foams are presented on material property charts; two new case studies show how the charts are used for selection of foams in engineering design. Over 150 references appearing in the literature since the publication of the first edition are cited. The text summarises current understanding of the structure and mechanical behaviour of cellular materials, and the ways in which they can be exploited in engineering design. Cellular solids include engineering honeycombs and foams (which can now be made from polymers, metals, ceramics and composites) as well as natural materials, such as wood, cork and cancellous bone.","author":[{"dropping-particle":"","family":"Gibson","given":"Lorna J","non-dropping-particle":"","parse-names":false,"suffix":""},{"dropping-particle":"","family":"Ashby","given":"Michael F","non-dropping-particle":"","parse-names":false,"suffix":""}],"container-title":"Cambridge Solid State Science Series","edition":"2","id":"ITEM-3","issued":{"date-parts":[["1997"]]},"publisher":"Cambridge University Press","publisher-place":"Cambridge","title":"Cellular Solids: Structure and Properties","type":"book"},"uris":["http://www.mendeley.com/documents/?uuid=5259d029-ffe6-49b7-a2cb-06d7016cba67"]},{"id":"ITEM-4","itemData":{"DOI":"10.1016/j.ijengsci.2017.08.006","ISBN":"0020-7683","ISSN":"00207225","abstract":"In this work, the effects of cell size and cell wall thickness variations on the compressive and shear strengths of closed-cell foams were investigated using Laguerre tessellation models. It is found that the compressive and shear strengths of closed-cell foams decrease as cell size and cell wall thickness variations increase, and the compressive strength reduces more significantly. At a given level of variation, the effect of cell size variation on strength reduction is comparable to that of cell wall thickness variation on them. In the foam studied (M130 foam), cell wall thickness has a larger dispersion than cell size, and therefore is the main contributor to the strength reduction of the foam. In comparison to compressive and shear stiffnesses, cell size and cell wall thickness variations reduce compressive and shear strengths more significantly. Cell size variation results in strain concentration at the end of foam samples, thereby reducing the compressive strength of closed-cell foams. Cell wall thickness variation leads to cell wall buckling and thus reduction in compressive and shear strengths of closed-cell foams. As cell size and cell wall thickness in foams become less uniform, the relationships of compressive and shear strengths to relative density become less linear.","author":[{"dropping-particle":"","family":"Chen","given":"Youming","non-dropping-particle":"","parse-names":false,"suffix":""},{"dropping-particle":"","family":"Das","given":"Raj","non-dropping-particle":"","parse-names":false,"suffix":""},{"dropping-particle":"","family":"Battley","given":"Mark","non-dropping-particle":"","parse-names":false,"suffix":""}],"container-title":"International Journal of Engineering Science","id":"ITEM-4","issued":{"date-parts":[["2017"]]},"page":"220-240","publisher":"Elsevier Ltd","title":"Effects of cell size and cell wall thickness variations on the strength of closed-cell foams","type":"article-journal","volume":"120"},"uris":["http://www.mendeley.com/documents/?uuid=009699cb-f322-4139-a6ff-8ff27872fc5b"]}],"mendeley":{"formattedCitation":"[127–130]","plainTextFormattedCitation":"[127–130]","previouslyFormattedCitation":"[127–130]"},"properties":{"noteIndex":0},"schema":"https://github.com/citation-style-language/schema/raw/master/csl-citation.json"}</w:instrText>
      </w:r>
      <w:r w:rsidR="00C42C09" w:rsidRPr="00C16D03">
        <w:fldChar w:fldCharType="separate"/>
      </w:r>
      <w:r w:rsidR="00C16D03" w:rsidRPr="00C16D03">
        <w:rPr>
          <w:noProof/>
        </w:rPr>
        <w:t>[127–130]</w:t>
      </w:r>
      <w:r w:rsidR="00C42C09" w:rsidRPr="00C16D03">
        <w:fldChar w:fldCharType="end"/>
      </w:r>
      <w:r w:rsidR="00C16D03">
        <w:t>.</w:t>
      </w:r>
    </w:p>
    <w:p w14:paraId="4801B7E2" w14:textId="049928E5" w:rsidR="00C16D03" w:rsidRDefault="00AE30ED" w:rsidP="00F77E87">
      <w:r>
        <w:t>P</w:t>
      </w:r>
      <w:r w:rsidR="00C16D03">
        <w:t xml:space="preserve">olymeric foams are commonly used in wet </w:t>
      </w:r>
      <w:r>
        <w:t>or</w:t>
      </w:r>
      <w:r w:rsidR="00C16D03">
        <w:t xml:space="preserve"> high</w:t>
      </w:r>
      <w:r>
        <w:t>ly</w:t>
      </w:r>
      <w:r w:rsidR="00C16D03">
        <w:t xml:space="preserve"> humid environments</w:t>
      </w:r>
      <w:r w:rsidR="004B40BC">
        <w:t>.</w:t>
      </w:r>
      <w:r w:rsidR="004B40BC" w:rsidRPr="004B40BC">
        <w:t xml:space="preserve"> </w:t>
      </w:r>
      <w:r w:rsidR="004B40BC" w:rsidRPr="00BA6F2A">
        <w:t xml:space="preserve">Use of polymeric foams in naval </w:t>
      </w:r>
      <w:r>
        <w:t>vehicles</w:t>
      </w:r>
      <w:r w:rsidR="004B40BC" w:rsidRPr="00BA6F2A">
        <w:t xml:space="preserve"> is of current interest due to their light-weight, buoyancy </w:t>
      </w:r>
      <w:r w:rsidR="002626D4">
        <w:t>enhancement on</w:t>
      </w:r>
      <w:r w:rsidR="004B40BC" w:rsidRPr="00BA6F2A">
        <w:t xml:space="preserve"> submersible vessels</w:t>
      </w:r>
      <w:r w:rsidR="00CB64A3">
        <w:t>,</w:t>
      </w:r>
      <w:r w:rsidR="004B40BC" w:rsidRPr="00BA6F2A">
        <w:t xml:space="preserve"> and </w:t>
      </w:r>
      <w:r w:rsidR="002626D4">
        <w:t xml:space="preserve">ship stability </w:t>
      </w:r>
      <w:r w:rsidR="009A6475">
        <w:t>improvement</w:t>
      </w:r>
      <w:r w:rsidR="002626D4">
        <w:t xml:space="preserve"> </w:t>
      </w:r>
      <w:r w:rsidR="002626D4">
        <w:fldChar w:fldCharType="begin" w:fldLock="1"/>
      </w:r>
      <w:r w:rsidR="00B274D5">
        <w:instrText>ADDIN CSL_CITATION {"citationItems":[{"id":"ITEM-1","itemData":{"DOI":"10.1007/s11340-011-9564-2","ISSN":"00144851","author":[{"dropping-particle":"","family":"Siriruk","given":"A.","non-dropping-particle":"","parse-names":false,"suffix":""},{"dropping-particle":"","family":"Penumadu","given":"D.","non-dropping-particle":"","parse-names":false,"suffix":""},{"dropping-particle":"","family":"Sharma","given":"A.","non-dropping-particle":"","parse-names":false,"suffix":""}],"container-title":"Experimental Mechanics","id":"ITEM-1","issue":"1","issued":{"date-parts":[["2012"]]},"page":"25-36","title":"Effects of Seawater and Low Temperatures on Polymeric Foam Core Material","type":"article-journal","volume":"52"},"uris":["http://www.mendeley.com/documents/?uuid=082525cb-4151-477e-afe4-2ff43007bd1e"]}],"mendeley":{"formattedCitation":"[131]","plainTextFormattedCitation":"[131]","previouslyFormattedCitation":"[131]"},"properties":{"noteIndex":0},"schema":"https://github.com/citation-style-language/schema/raw/master/csl-citation.json"}</w:instrText>
      </w:r>
      <w:r w:rsidR="002626D4">
        <w:fldChar w:fldCharType="separate"/>
      </w:r>
      <w:r w:rsidR="002626D4" w:rsidRPr="002626D4">
        <w:rPr>
          <w:noProof/>
        </w:rPr>
        <w:t>[131]</w:t>
      </w:r>
      <w:r w:rsidR="002626D4">
        <w:fldChar w:fldCharType="end"/>
      </w:r>
      <w:r w:rsidR="002626D4">
        <w:t>.</w:t>
      </w:r>
      <w:r w:rsidR="003C6971">
        <w:t xml:space="preserve"> </w:t>
      </w:r>
      <w:r w:rsidR="00F53449">
        <w:t xml:space="preserve">Besides, polymeric foams such as polyurethane and </w:t>
      </w:r>
      <w:proofErr w:type="spellStart"/>
      <w:r w:rsidR="00F53449" w:rsidRPr="00F53449">
        <w:t>polyisocyanurate</w:t>
      </w:r>
      <w:proofErr w:type="spellEnd"/>
      <w:r w:rsidR="00F53449">
        <w:t xml:space="preserve"> are in standard use in </w:t>
      </w:r>
      <w:r w:rsidR="00C16D03">
        <w:t>space launch vehicles</w:t>
      </w:r>
      <w:r w:rsidR="00F53449">
        <w:t xml:space="preserve"> as thermal insulation</w:t>
      </w:r>
      <w:r w:rsidR="004B40BC">
        <w:t xml:space="preserve"> </w:t>
      </w:r>
      <w:r w:rsidR="00C16D03">
        <w:fldChar w:fldCharType="begin" w:fldLock="1"/>
      </w:r>
      <w:r w:rsidR="00B274D5">
        <w:instrText>ADDIN CSL_CITATION {"citationItems":[{"id":"ITEM-1","itemData":{"DOI":"10.2514/1.43776","ISSN":"0022-4650","author":[{"dropping-particle":"","family":"Fesmire","given":"James E","non-dropping-particle":"","parse-names":false,"suffix":""},{"dropping-particle":"","family":"Coffman","given":"Brekke E","non-dropping-particle":"","parse-names":false,"suffix":""},{"dropping-particle":"","family":"Sass","given":"Jared P","non-dropping-particle":"","parse-names":false,"suffix":""},{"dropping-particle":"","family":"Williams","given":"Martha K","non-dropping-particle":"","parse-names":false,"suffix":""},{"dropping-particle":"","family":"Smith","given":"Trent M","non-dropping-particle":"","parse-names":false,"suffix":""},{"dropping-particle":"","family":"Meneghelli","given":"Barry J","non-dropping-particle":"","parse-names":false,"suffix":""}],"container-title":"Journal of Spacecraft and Rockets","id":"ITEM-1","issue":"2","issued":{"date-parts":[["2012","3","1"]]},"note":"doi: 10.2514/1.43776","page":"220-230","publisher":"American Institute of Aeronautics and Astronautics","title":"Cryogenic Moisture Uptake in Foam Insulation for Space Launch Vehicles","type":"article-journal","volume":"49"},"uris":["http://www.mendeley.com/documents/?uuid=81355a1f-1947-421c-a6ba-8382cec63e7a"]}],"mendeley":{"formattedCitation":"[132]","plainTextFormattedCitation":"[132]","previouslyFormattedCitation":"[132]"},"properties":{"noteIndex":0},"schema":"https://github.com/citation-style-language/schema/raw/master/csl-citation.json"}</w:instrText>
      </w:r>
      <w:r w:rsidR="00C16D03">
        <w:fldChar w:fldCharType="separate"/>
      </w:r>
      <w:r w:rsidR="002626D4" w:rsidRPr="002626D4">
        <w:rPr>
          <w:noProof/>
        </w:rPr>
        <w:t>[132]</w:t>
      </w:r>
      <w:r w:rsidR="00C16D03">
        <w:fldChar w:fldCharType="end"/>
      </w:r>
      <w:r w:rsidR="00C16D03">
        <w:t>.</w:t>
      </w:r>
      <w:r w:rsidR="00F53449">
        <w:t xml:space="preserve"> </w:t>
      </w:r>
      <w:r w:rsidR="007C63AD">
        <w:t>However, f</w:t>
      </w:r>
      <w:r w:rsidR="00551738">
        <w:t>oams were found to gain excessive amount of moisture under</w:t>
      </w:r>
      <w:r w:rsidR="003C6971">
        <w:t xml:space="preserve"> </w:t>
      </w:r>
      <w:r w:rsidR="007C63AD">
        <w:t xml:space="preserve">naval and </w:t>
      </w:r>
      <w:r w:rsidR="003C6971">
        <w:t>cryogenic</w:t>
      </w:r>
      <w:r w:rsidR="007C63AD">
        <w:t xml:space="preserve"> conditions,</w:t>
      </w:r>
      <w:r w:rsidR="00551738">
        <w:t xml:space="preserve"> </w:t>
      </w:r>
      <w:r w:rsidR="007C63AD">
        <w:t xml:space="preserve">leading to mechanical property degradation </w:t>
      </w:r>
      <w:r w:rsidR="007C63AD">
        <w:fldChar w:fldCharType="begin" w:fldLock="1"/>
      </w:r>
      <w:r w:rsidR="00B274D5">
        <w:instrText>ADDIN CSL_CITATION {"citationItems":[{"id":"ITEM-1","itemData":{"DOI":"10.1177/0731684413503720","ISSN":"07316844","abstract":"The present paper explores the experimental observations and result of hygrothermic aging of polyurethane foam cored E-glass reinforced vinyl-ester sandwich composites for a long duration of time under salt fog exposure. Four types of sandwich specimens were used for the study. Polyurethane foam cored E-glass mat (woven roving, chopped strand mat, chopped strand stitched mat and stitch bond mat) type reinforcement in vinyl-ester sandwich composites were prepared by manual hand layup method using compression technique. The prepared specimens were tested for moisture up-take behavior and the resulting property degradation in terms of flexural strength, flatwise and edgewise compression strength. The mechanical properties under the salt fog exposure with 95% RH using artificial sea water fogging were monitored for 180 days. The specimens showed reduced strength in terms of core shear and facing bending strength, edgewise and flatwise compressive strength. Scanning electron micrograph of the fracture specimens show face sheet/core debonding. © The Author(s) 2014 Reprints and permissions: sagepub.co.uk/journalsPermissions.nav.","author":[{"dropping-particle":"","family":"Manujesh","given":"B. J.","non-dropping-particle":"","parse-names":false,"suffix":""},{"dropping-particle":"","family":"Rao","given":"Vijayalakshmi","non-dropping-particle":"","parse-names":false,"suffix":""},{"dropping-particle":"","family":"Aan","given":"M. P.Sham","non-dropping-particle":"","parse-names":false,"suffix":""}],"container-title":"Journal of Reinforced Plastics and Composites","id":"ITEM-1","issue":"5","issued":{"date-parts":[["2014"]]},"page":"479-492","title":"Moisture absorption and mechanical degradation studies of polyurethane foam cored E-glass-reinforced vinyl-ester sandwich composites","type":"article-journal","volume":"33"},"uris":["http://www.mendeley.com/documents/?uuid=e0038066-5acb-49de-a72a-f48f334af93e"]},{"id":"ITEM-2","itemData":{"DOI":"10.1177/0731684410393053","ISSN":"07316844","abstract":"A study was conducted to determine the effects of subzero temperatures, seawater saturation, and low velocity impact on the flexural strength, stiffness, and life of sandwich composites. Specimens were tested statically and in fatigue using a four-point bending arrangement that included a combined metal and rubber load pad that spanned the inner loading heads and which prevented any local crushing damage. Both undamaged and impact damaged specimens were tested in room temperature (RT) dry, RT seawater saturated, -20°C dry, and -20°C seawater saturated environments. The impact energy level was chosen to produce damage that was observable, yet did not produce excessive permanent deformation. The primary results were that reducing the temperature tended to increase stiffness, strength, and fatigue life. Seawater saturation had minimal effects on strength, stiffness, or life, but influenced the static failure mode. Impact damage had little effect on the static results, but caused a significant loss in fatigue life. These results demonstrate that static test results cannot be used to infer fatigue behaviors, and indicate the need for the accurate determination of material and structural responses across the full range of expected usage environments. © The Author(s) 2010.","author":[{"dropping-particle":"","family":"Singh","given":"Abhendra K.","non-dropping-particle":"","parse-names":false,"suffix":""},{"dropping-particle":"","family":"Davidson","given":"Barry D.","non-dropping-particle":"","parse-names":false,"suffix":""}],"container-title":"Journal of Reinforced Plastics and Composites","id":"ITEM-2","issue":"3","issued":{"date-parts":[["2011"]]},"page":"269-277","title":"Effects of temperature, seawater and impact on the strength, stiffness, and life of sandwich composites","type":"article-journal","volume":"30"},"uris":["http://www.mendeley.com/documents/?uuid=be7254d7-c10f-42bb-b443-a26799f83fa8"]}],"mendeley":{"formattedCitation":"[133,134]","plainTextFormattedCitation":"[133,134]","previouslyFormattedCitation":"[133,134]"},"properties":{"noteIndex":0},"schema":"https://github.com/citation-style-language/schema/raw/master/csl-citation.json"}</w:instrText>
      </w:r>
      <w:r w:rsidR="007C63AD">
        <w:fldChar w:fldCharType="separate"/>
      </w:r>
      <w:r w:rsidR="007C63AD" w:rsidRPr="007C63AD">
        <w:rPr>
          <w:noProof/>
        </w:rPr>
        <w:t>[133,134]</w:t>
      </w:r>
      <w:r w:rsidR="007C63AD">
        <w:fldChar w:fldCharType="end"/>
      </w:r>
      <w:r w:rsidR="007C63AD">
        <w:t xml:space="preserve">. </w:t>
      </w:r>
      <w:r w:rsidR="00953B66">
        <w:t xml:space="preserve">Utilization of foams in </w:t>
      </w:r>
      <w:r w:rsidR="0082323B">
        <w:t>mission critical</w:t>
      </w:r>
      <w:r w:rsidR="00953B66">
        <w:t xml:space="preserve"> application</w:t>
      </w:r>
      <w:r w:rsidR="00205143">
        <w:t>s</w:t>
      </w:r>
      <w:r w:rsidR="00953B66">
        <w:t xml:space="preserve"> lead researchers to investigate the </w:t>
      </w:r>
      <w:r w:rsidR="00205143">
        <w:t xml:space="preserve">moisture </w:t>
      </w:r>
      <w:r w:rsidR="00953B66">
        <w:t xml:space="preserve">absorption </w:t>
      </w:r>
      <w:r w:rsidR="00205143">
        <w:t>into</w:t>
      </w:r>
      <w:r w:rsidR="00953B66">
        <w:t xml:space="preserve"> polymeric foams</w:t>
      </w:r>
      <w:r w:rsidR="0082323B">
        <w:t xml:space="preserve"> </w:t>
      </w:r>
      <w:r w:rsidR="00D0724A">
        <w:fldChar w:fldCharType="begin" w:fldLock="1"/>
      </w:r>
      <w:r w:rsidR="00430285">
        <w:instrText>ADDIN CSL_CITATION {"citationItems":[{"id":"ITEM-1","itemData":{"DOI":"10.1177/0731684413503720","ISSN":"07316844","abstract":"The present paper explores the experimental observations and result of hygrothermic aging of polyurethane foam cored E-glass reinforced vinyl-ester sandwich composites for a long duration of time under salt fog exposure. Four types of sandwich specimens were used for the study. Polyurethane foam cored E-glass mat (woven roving, chopped strand mat, chopped strand stitched mat and stitch bond mat) type reinforcement in vinyl-ester sandwich composites were prepared by manual hand layup method using compression technique. The prepared specimens were tested for moisture up-take behavior and the resulting property degradation in terms of flexural strength, flatwise and edgewise compression strength. The mechanical properties under the salt fog exposure with 95% RH using artificial sea water fogging were monitored for 180 days. The specimens showed reduced strength in terms of core shear and facing bending strength, edgewise and flatwise compressive strength. Scanning electron micrograph of the fracture specimens show face sheet/core debonding. © The Author(s) 2014 Reprints and permissions: sagepub.co.uk/journalsPermissions.nav.","author":[{"dropping-particle":"","family":"Manujesh","given":"B. J.","non-dropping-particle":"","parse-names":false,"suffix":""},{"dropping-particle":"","family":"Rao","given":"Vijayalakshmi","non-dropping-particle":"","parse-names":false,"suffix":""},{"dropping-particle":"","family":"Aan","given":"M. P.Sham","non-dropping-particle":"","parse-names":false,"suffix":""}],"container-title":"Journal of Reinforced Plastics and Composites","id":"ITEM-1","issue":"5","issued":{"date-parts":[["2014"]]},"page":"479-492","title":"Moisture absorption and mechanical degradation studies of polyurethane foam cored E-glass-reinforced vinyl-ester sandwich composites","type":"article-journal","volume":"33"},"uris":["http://www.mendeley.com/documents/?uuid=e0038066-5acb-49de-a72a-f48f334af93e"]},{"id":"ITEM-2","itemData":{"DOI":"10.1002/pc.20872","ISSN":"0272-8397","abstract":"Abstract The hygroscopic behavior of sandwich structures composed of E-glass/polyester face sheets bonded to a PVC foam core exposed to 95% relative humidity and immersed in sea-water is examined herein. Moisture uptake was monitored for 11 months yielding absorption curves for samples of polyester resin, laminated composites, PVC foam core, and a sandwich structure. The coefficients of diffusion and moisture saturation values extracted from the curves are significantly greater for the water immersed condition than for the exposed to elevated moisture one, and point to the foam core as the most absorbing material in the sandwich structure. The measured absorption curves are compared to a diffusion model which employs the calculated coefficient of diffusion, showing good agreement. POLYM. COMPOS., 2010. ? 2009 Society of Plastics Engineers","author":[{"dropping-particle":"","family":"Avilés","given":"F","non-dropping-particle":"","parse-names":false,"suffix":""},{"dropping-particle":"","family":"Aguilar-Montero","given":"M","non-dropping-particle":"","parse-names":false,"suffix":""}],"container-title":"Polymer Composites","id":"ITEM-2","issue":"4","issued":{"date-parts":[["2009","4","20"]]},"note":"doi: 10.1002/pc.20872","page":"714-722","publisher":"Wiley-Blackwell","title":"Moisture absorption in foam-cored composite sandwich structures","type":"article-journal","volume":"31"},"uris":["http://www.mendeley.com/documents/?uuid=cab6a4c4-8d64-49a2-bbc6-ebf75a9ac7db"]},{"id":"ITEM-3","itemData":{"DOI":"10.1177/1099636215582218","ISSN":"15307972","abstract":"The moisture diffusion behavior of two-part thermoset polyurethane neat resin, woven E-glass fiber-reinforced polyurethane face sheet, closed-cell rigid polyurethane foam core and their corresponding sandwich specimens was investigated in this study. The vacuum-assisted resin transfer molding process was used to manufacture the polyur-ethane sandwich panels. Open-edge moisture diffusion experiment was conducted for sandwich panel and its constituents by immersing each type of samples in distilled water at room temperature for nearly seven months. Moisture diffusivities and solubility for neat resin, face sheet and foam core specimens were characterized according to the experimental analysis. The moisture diffusion behavior for closed-cell polyurethane foam was found to deviate significantly from classical Fick's law, and a multi-stage diffu-sion model was thus proposed to explain this deviation using a time-dependent diffu-sivity scheme. A user-defined subroutine was developed to implement this scheme into the commercial finite element analysis code ABAQUS. A three-dimensional dynamic finite element model was developed to predict the moisture diffusion behavior in neat resin, face sheet, foam core and sandwich specimens. This finite element model was then validated by comparing simulation results with experimental findings.","author":[{"dropping-particle":"","family":"Huo","given":"Z.","non-dropping-particle":"","parse-names":false,"suffix":""},{"dropping-particle":"","family":"Mohamed","given":"M.","non-dropping-particle":"","parse-names":false,"suffix":""},{"dropping-particle":"","family":"Nicholas","given":"J. R.","non-dropping-particle":"","parse-names":false,"suffix":""},{"dropping-particle":"","family":"Wang","given":"X.","non-dropping-particle":"","parse-names":false,"suffix":""}],"container-title":"Journal of Sandwich Structures and Materials","id":"ITEM-3","issue":"1","issued":{"date-parts":[["2016"]]},"page":"30-49","title":"Experimentation and simulation of moisture diffusion in foam-cored polyurethane sandwich structure","type":"article-journal","volume":"18"},"uris":["http://www.mendeley.com/documents/?uuid=65c2c909-d0c1-4c3e-bd9d-7b4889c9811e"]},{"id":"ITEM-4","itemData":{"DOI":"10.1177/0021998304042736","ISSN":"00219983","author":[{"dropping-particle":"","family":"Earl","given":"J. S.","non-dropping-particle":"","parse-names":false,"suffix":""},{"dropping-particle":"","family":"Shenoi","given":"R. A.","non-dropping-particle":"","parse-names":false,"suffix":""}],"container-title":"Journal of Composite Materials","id":"ITEM-4","issue":"15","issued":{"date-parts":[["2004"]]},"page":"1345-1365","title":"Determination of the moisture uptake mechanism in closed cell polymeric structural foam during hygrothermal exposure","type":"article-journal","volume":"38"},"uris":["http://www.mendeley.com/documents/?uuid=26441a8d-24c2-4431-9534-4ca57a499448"]},{"id":"ITEM-5","itemData":{"DOI":"10.1016/j.compositesb.2004.04.012","ISBN":"13598368","ISSN":"13598368","author":[{"dropping-particle":"","family":"Li","given":"Xiaoming","non-dropping-particle":"","parse-names":false,"suffix":""},{"dropping-particle":"","family":"Weitsman","given":"Y.Jack","non-dropping-particle":"","parse-names":false,"suffix":""}],"container-title":"Composites Part B: Engineering","id":"ITEM-5","issue":"6-8","issued":{"date-parts":[["2004"]]},"page":"451-459","title":"Sea-water effects on foam-cored composite sandwich lay-ups","type":"article-journal","volume":"35"},"uris":["http://www.mendeley.com/documents/?uuid=6915ded0-edf7-4b92-8060-9476d66749a9"]},{"id":"ITEM-6","itemData":{"author":[{"dropping-particle":"","family":"Sabbahi","given":"A","non-dropping-particle":"","parse-names":false,"suffix":""},{"dropping-particle":"","family":"Vergnaud","given":"J M","non-dropping-particle":"","parse-names":false,"suffix":""}],"id":"ITEM-6","issue":"8","issued":{"date-parts":[["1991"]]},"page":"845-850","title":"Absorption of water at 100°C by polyurethane foam","type":"article-journal","volume":"27"},"uris":["http://www.mendeley.com/documents/?uuid=7b7ecbdf-829b-4af8-9255-5b824c671a6e"]}],"mendeley":{"formattedCitation":"[103,133,135–138]","plainTextFormattedCitation":"[103,133,135–138]","previouslyFormattedCitation":"[103,133,135–138]"},"properties":{"noteIndex":0},"schema":"https://github.com/citation-style-language/schema/raw/master/csl-citation.json"}</w:instrText>
      </w:r>
      <w:r w:rsidR="00D0724A">
        <w:fldChar w:fldCharType="separate"/>
      </w:r>
      <w:r w:rsidR="00734463" w:rsidRPr="00734463">
        <w:rPr>
          <w:noProof/>
        </w:rPr>
        <w:t>[103,133,135–138]</w:t>
      </w:r>
      <w:r w:rsidR="00D0724A">
        <w:fldChar w:fldCharType="end"/>
      </w:r>
      <w:r w:rsidR="00953B66">
        <w:t>.</w:t>
      </w:r>
      <w:r w:rsidR="007C63AD" w:rsidRPr="007C63AD">
        <w:t xml:space="preserve"> </w:t>
      </w:r>
    </w:p>
    <w:p w14:paraId="4CE75D01" w14:textId="668F1BA9" w:rsidR="00734463" w:rsidRDefault="00205143" w:rsidP="00F77E87">
      <w:proofErr w:type="spellStart"/>
      <w:r>
        <w:t>Avil</w:t>
      </w:r>
      <w:r>
        <w:rPr>
          <w:rFonts w:cs="Times New Roman"/>
        </w:rPr>
        <w:t>é</w:t>
      </w:r>
      <w:r>
        <w:t>s</w:t>
      </w:r>
      <w:proofErr w:type="spellEnd"/>
      <w:r>
        <w:t xml:space="preserve"> and Aguilar-Montero </w:t>
      </w:r>
      <w:r>
        <w:fldChar w:fldCharType="begin" w:fldLock="1"/>
      </w:r>
      <w:r w:rsidR="00B274D5">
        <w:instrText>ADDIN CSL_CITATION {"citationItems":[{"id":"ITEM-1","itemData":{"DOI":"10.1002/pc.20872","ISSN":"0272-8397","abstract":"Abstract The hygroscopic behavior of sandwich structures composed of E-glass/polyester face sheets bonded to a PVC foam core exposed to 95% relative humidity and immersed in sea-water is examined herein. Moisture uptake was monitored for 11 months yielding absorption curves for samples of polyester resin, laminated composites, PVC foam core, and a sandwich structure. The coefficients of diffusion and moisture saturation values extracted from the curves are significantly greater for the water immersed condition than for the exposed to elevated moisture one, and point to the foam core as the most absorbing material in the sandwich structure. The measured absorption curves are compared to a diffusion model which employs the calculated coefficient of diffusion, showing good agreement. POLYM. COMPOS., 2010. ? 2009 Society of Plastics Engineers","author":[{"dropping-particle":"","family":"Avilés","given":"F","non-dropping-particle":"","parse-names":false,"suffix":""},{"dropping-particle":"","family":"Aguilar-Montero","given":"M","non-dropping-particle":"","parse-names":false,"suffix":""}],"container-title":"Polymer Composites","id":"ITEM-1","issue":"4","issued":{"date-parts":[["2009","4","20"]]},"note":"doi: 10.1002/pc.20872","page":"714-722","publisher":"Wiley-Blackwell","title":"Moisture absorption in foam-cored composite sandwich structures","type":"article-journal","volume":"31"},"uris":["http://www.mendeley.com/documents/?uuid=cab6a4c4-8d64-49a2-bbc6-ebf75a9ac7db"]}],"mendeley":{"formattedCitation":"[135]","plainTextFormattedCitation":"[135]","previouslyFormattedCitation":"[135]"},"properties":{"noteIndex":0},"schema":"https://github.com/citation-style-language/schema/raw/master/csl-citation.json"}</w:instrText>
      </w:r>
      <w:r>
        <w:fldChar w:fldCharType="separate"/>
      </w:r>
      <w:r w:rsidR="007C63AD" w:rsidRPr="007C63AD">
        <w:rPr>
          <w:noProof/>
        </w:rPr>
        <w:t>[135]</w:t>
      </w:r>
      <w:r>
        <w:fldChar w:fldCharType="end"/>
      </w:r>
      <w:r w:rsidR="008E6927">
        <w:t xml:space="preserve"> investigated moisture absorption in</w:t>
      </w:r>
      <w:r w:rsidR="00023A51">
        <w:t>to</w:t>
      </w:r>
      <w:r w:rsidR="008E6927">
        <w:t xml:space="preserve"> PVC foam and PVC foam core E-glass/polyester face sheets s</w:t>
      </w:r>
      <w:r w:rsidR="00FD2CA2">
        <w:t xml:space="preserve">andwich composites. Although </w:t>
      </w:r>
      <w:r w:rsidR="008E6927">
        <w:t xml:space="preserve">researchers </w:t>
      </w:r>
      <w:r w:rsidR="008E6927">
        <w:fldChar w:fldCharType="begin" w:fldLock="1"/>
      </w:r>
      <w:r w:rsidR="00B274D5">
        <w:instrText>ADDIN CSL_CITATION {"citationItems":[{"id":"ITEM-1","itemData":{"DOI":"10.1002/pc.20872","ISSN":"0272-8397","abstract":"Abstract The hygroscopic behavior of sandwich structures composed of E-glass/polyester face sheets bonded to a PVC foam core exposed to 95% relative humidity and immersed in sea-water is examined herein. Moisture uptake was monitored for 11 months yielding absorption curves for samples of polyester resin, laminated composites, PVC foam core, and a sandwich structure. The coefficients of diffusion and moisture saturation values extracted from the curves are significantly greater for the water immersed condition than for the exposed to elevated moisture one, and point to the foam core as the most absorbing material in the sandwich structure. The measured absorption curves are compared to a diffusion model which employs the calculated coefficient of diffusion, showing good agreement. POLYM. COMPOS., 2010. ? 2009 Society of Plastics Engineers","author":[{"dropping-particle":"","family":"Avilés","given":"F","non-dropping-particle":"","parse-names":false,"suffix":""},{"dropping-particle":"","family":"Aguilar-Montero","given":"M","non-dropping-particle":"","parse-names":false,"suffix":""}],"container-title":"Polymer Composites","id":"ITEM-1","issue":"4","issued":{"date-parts":[["2009","4","20"]]},"note":"doi: 10.1002/pc.20872","page":"714-722","publisher":"Wiley-Blackwell","title":"Moisture absorption in foam-cored composite sandwich structures","type":"article-journal","volume":"31"},"uris":["http://www.mendeley.com/documents/?uuid=cab6a4c4-8d64-49a2-bbc6-ebf75a9ac7db"]}],"mendeley":{"formattedCitation":"[135]","plainTextFormattedCitation":"[135]","previouslyFormattedCitation":"[135]"},"properties":{"noteIndex":0},"schema":"https://github.com/citation-style-language/schema/raw/master/csl-citation.json"}</w:instrText>
      </w:r>
      <w:r w:rsidR="008E6927">
        <w:fldChar w:fldCharType="separate"/>
      </w:r>
      <w:r w:rsidR="008E6927" w:rsidRPr="007C63AD">
        <w:rPr>
          <w:noProof/>
        </w:rPr>
        <w:t>[135]</w:t>
      </w:r>
      <w:r w:rsidR="008E6927">
        <w:fldChar w:fldCharType="end"/>
      </w:r>
      <w:r w:rsidR="008E6927">
        <w:t xml:space="preserve"> used approximate three-dimensional Fickian diffusion model to recover the diffusivity and the maximum moisture content, they reported that using Langmuir type or multistep diffusion model would yield better agreement with the experimental data. </w:t>
      </w:r>
      <w:r w:rsidR="008E6927">
        <w:lastRenderedPageBreak/>
        <w:t>Nonetheless, they found the maximum moisture content of the foam core as 1.9 wt</w:t>
      </w:r>
      <w:proofErr w:type="gramStart"/>
      <w:r w:rsidR="00335D7D">
        <w:t>.</w:t>
      </w:r>
      <w:r w:rsidR="008E6927">
        <w:t>%</w:t>
      </w:r>
      <w:proofErr w:type="gramEnd"/>
      <w:r w:rsidR="008E6927">
        <w:t xml:space="preserve"> and 74.2 wt</w:t>
      </w:r>
      <w:r w:rsidR="00335D7D">
        <w:t>.</w:t>
      </w:r>
      <w:r w:rsidR="008E6927">
        <w:t xml:space="preserve">% under 95% RH and in sea water, respectively. They also reported that the face sheets significantly limit water absorption into the sandwich structure. </w:t>
      </w:r>
      <w:r w:rsidR="00734463">
        <w:t xml:space="preserve">Similarly, </w:t>
      </w:r>
      <w:proofErr w:type="spellStart"/>
      <w:r w:rsidR="00D0724A" w:rsidRPr="00734463">
        <w:t>Huo</w:t>
      </w:r>
      <w:proofErr w:type="spellEnd"/>
      <w:r w:rsidR="00D0724A" w:rsidRPr="00734463">
        <w:t xml:space="preserve"> et al. [103] </w:t>
      </w:r>
      <w:r w:rsidR="00734463" w:rsidRPr="00734463">
        <w:t>repor</w:t>
      </w:r>
      <w:r w:rsidR="00D0724A" w:rsidRPr="00734463">
        <w:t xml:space="preserve">ted </w:t>
      </w:r>
      <w:r w:rsidR="00734463" w:rsidRPr="00734463">
        <w:t xml:space="preserve">that </w:t>
      </w:r>
      <w:r w:rsidR="00D0724A" w:rsidRPr="00734463">
        <w:t>neat PU resin, face sheets, PU foam</w:t>
      </w:r>
      <w:r w:rsidR="00CB64A3">
        <w:t>,</w:t>
      </w:r>
      <w:r w:rsidR="00D0724A" w:rsidRPr="00734463">
        <w:t xml:space="preserve"> and foam core sandwich composite absorbed ~2.5 wt</w:t>
      </w:r>
      <w:proofErr w:type="gramStart"/>
      <w:r w:rsidR="00D0724A" w:rsidRPr="00734463">
        <w:t>.%</w:t>
      </w:r>
      <w:proofErr w:type="gramEnd"/>
      <w:r w:rsidR="00D0724A" w:rsidRPr="00734463">
        <w:t>, ~1 wt.%, ~75 wt.%</w:t>
      </w:r>
      <w:r w:rsidR="00CB64A3">
        <w:t>,</w:t>
      </w:r>
      <w:r w:rsidR="00D0724A" w:rsidRPr="00734463">
        <w:t xml:space="preserve"> and ~10 wt.%, respectively.</w:t>
      </w:r>
    </w:p>
    <w:p w14:paraId="3EBA633A" w14:textId="55746535" w:rsidR="006D2069" w:rsidRDefault="00734463" w:rsidP="00F77E87">
      <w:r>
        <w:t>Some researchers investigated the effect of foam microstructure, geometry</w:t>
      </w:r>
      <w:r w:rsidR="00CB64A3">
        <w:t>,</w:t>
      </w:r>
      <w:r>
        <w:t xml:space="preserve"> and density on moisture absorption. </w:t>
      </w:r>
      <w:r w:rsidR="00D0724A">
        <w:t xml:space="preserve">Earl and </w:t>
      </w:r>
      <w:proofErr w:type="spellStart"/>
      <w:r w:rsidR="00D0724A">
        <w:t>Shenoi</w:t>
      </w:r>
      <w:proofErr w:type="spellEnd"/>
      <w:r w:rsidR="00D0724A">
        <w:t xml:space="preserve"> </w:t>
      </w:r>
      <w:r w:rsidR="00D0724A">
        <w:fldChar w:fldCharType="begin" w:fldLock="1"/>
      </w:r>
      <w:r w:rsidR="00B274D5">
        <w:instrText>ADDIN CSL_CITATION {"citationItems":[{"id":"ITEM-1","itemData":{"DOI":"10.1177/0021998304042736","ISSN":"00219983","author":[{"dropping-particle":"","family":"Earl","given":"J. S.","non-dropping-particle":"","parse-names":false,"suffix":""},{"dropping-particle":"","family":"Shenoi","given":"R. A.","non-dropping-particle":"","parse-names":false,"suffix":""}],"container-title":"Journal of Composite Materials","id":"ITEM-1","issue":"15","issued":{"date-parts":[["2004"]]},"page":"1345-1365","title":"Determination of the moisture uptake mechanism in closed cell polymeric structural foam during hygrothermal exposure","type":"article-journal","volume":"38"},"uris":["http://www.mendeley.com/documents/?uuid=26441a8d-24c2-4431-9534-4ca57a499448"]}],"mendeley":{"formattedCitation":"[136]","plainTextFormattedCitation":"[136]","previouslyFormattedCitation":"[136]"},"properties":{"noteIndex":0},"schema":"https://github.com/citation-style-language/schema/raw/master/csl-citation.json"}</w:instrText>
      </w:r>
      <w:r w:rsidR="00D0724A">
        <w:fldChar w:fldCharType="separate"/>
      </w:r>
      <w:r w:rsidR="00D0724A" w:rsidRPr="00D0724A">
        <w:rPr>
          <w:noProof/>
        </w:rPr>
        <w:t>[136]</w:t>
      </w:r>
      <w:r w:rsidR="00D0724A">
        <w:fldChar w:fldCharType="end"/>
      </w:r>
      <w:r w:rsidR="00D0724A">
        <w:t xml:space="preserve"> studied the mois</w:t>
      </w:r>
      <w:r w:rsidR="00FC6235">
        <w:t>ture uptake mechanism on closed-</w:t>
      </w:r>
      <w:r w:rsidR="00D0724A">
        <w:t xml:space="preserve">cell polyurethane foams. </w:t>
      </w:r>
      <w:r>
        <w:t>Their research showed that same type of foam</w:t>
      </w:r>
      <w:r w:rsidR="00023A51">
        <w:t>s with different thicknesses have</w:t>
      </w:r>
      <w:r>
        <w:t xml:space="preserve"> diverse absorption kinetics. They concluded that the classical models cannot sufficiently describe the long-term absorption behavior. Li and </w:t>
      </w:r>
      <w:proofErr w:type="spellStart"/>
      <w:r>
        <w:t>Weitsman</w:t>
      </w:r>
      <w:proofErr w:type="spellEnd"/>
      <w:r>
        <w:t xml:space="preserve"> </w:t>
      </w:r>
      <w:r>
        <w:fldChar w:fldCharType="begin" w:fldLock="1"/>
      </w:r>
      <w:r w:rsidR="00B274D5">
        <w:instrText>ADDIN CSL_CITATION {"citationItems":[{"id":"ITEM-1","itemData":{"DOI":"10.1016/j.compositesb.2004.04.012","ISBN":"13598368","ISSN":"13598368","author":[{"dropping-particle":"","family":"Li","given":"Xiaoming","non-dropping-particle":"","parse-names":false,"suffix":""},{"dropping-particle":"","family":"Weitsman","given":"Y.Jack","non-dropping-particle":"","parse-names":false,"suffix":""}],"container-title":"Composites Part B: Engineering","id":"ITEM-1","issue":"6-8","issued":{"date-parts":[["2004"]]},"page":"451-459","title":"Sea-water effects on foam-cored composite sandwich lay-ups","type":"article-journal","volume":"35"},"uris":["http://www.mendeley.com/documents/?uuid=6915ded0-edf7-4b92-8060-9476d66749a9"]}],"mendeley":{"formattedCitation":"[137]","plainTextFormattedCitation":"[137]","previouslyFormattedCitation":"[137]"},"properties":{"noteIndex":0},"schema":"https://github.com/citation-style-language/schema/raw/master/csl-citation.json"}</w:instrText>
      </w:r>
      <w:r>
        <w:fldChar w:fldCharType="separate"/>
      </w:r>
      <w:r w:rsidRPr="00734463">
        <w:rPr>
          <w:noProof/>
        </w:rPr>
        <w:t>[137]</w:t>
      </w:r>
      <w:r>
        <w:fldChar w:fldCharType="end"/>
      </w:r>
      <w:r>
        <w:t xml:space="preserve"> observed that the less dense foam with larger cell size absorbed more water and claimed that major portion of the absorbed water goes into the pores. </w:t>
      </w:r>
    </w:p>
    <w:p w14:paraId="58783348" w14:textId="37CF4806" w:rsidR="006C0391" w:rsidRDefault="0082323B" w:rsidP="00F77E87">
      <w:pPr>
        <w:rPr>
          <w:rFonts w:cs="Times New Roman"/>
          <w:szCs w:val="24"/>
        </w:rPr>
      </w:pPr>
      <w:r>
        <w:rPr>
          <w:rFonts w:cs="Times New Roman"/>
          <w:szCs w:val="24"/>
        </w:rPr>
        <w:t>A number of d</w:t>
      </w:r>
      <w:r w:rsidR="007B6856">
        <w:rPr>
          <w:rFonts w:cs="Times New Roman"/>
          <w:szCs w:val="24"/>
        </w:rPr>
        <w:t xml:space="preserve">ifferent models </w:t>
      </w:r>
      <w:r>
        <w:rPr>
          <w:rFonts w:cs="Times New Roman"/>
          <w:szCs w:val="24"/>
        </w:rPr>
        <w:t xml:space="preserve">have been </w:t>
      </w:r>
      <w:r w:rsidR="007B6856">
        <w:rPr>
          <w:rFonts w:cs="Times New Roman"/>
          <w:szCs w:val="24"/>
        </w:rPr>
        <w:t>developed to identify the absorption kinetics into the foams</w:t>
      </w:r>
      <w:r w:rsidR="00E6539F">
        <w:rPr>
          <w:rFonts w:cs="Times New Roman"/>
          <w:szCs w:val="24"/>
        </w:rPr>
        <w:t xml:space="preserve"> </w:t>
      </w:r>
      <w:r w:rsidR="00E6539F">
        <w:rPr>
          <w:rFonts w:cs="Times New Roman"/>
          <w:szCs w:val="24"/>
        </w:rPr>
        <w:fldChar w:fldCharType="begin" w:fldLock="1"/>
      </w:r>
      <w:r w:rsidR="00B274D5">
        <w:rPr>
          <w:rFonts w:cs="Times New Roman"/>
          <w:szCs w:val="24"/>
        </w:rPr>
        <w:instrText>ADDIN CSL_CITATION {"citationItems":[{"id":"ITEM-1","itemData":{"DOI":"10.1177/0021998308104229","ISSN":"0021-9983","abstract":"In order to predict the long-term durability of polymer matrix composite materials submitted to humid environments, the moisture diffusion behavior has to be investigated. The knowledge of the effective diffusivity is actually required, for estimating the moisture content of polymer-based fiber-reinforced materials, even when a basic behavior such as Fick's law is assumed to occur. The original contribution of the present work is to provide new analytical solutions for the effective diffusivities from the solving of unit cell problems on representative volume elements by means of several multi-scale approaches. Composite materials with impermeable or permeable fibers are extensively investigated. The proposed approaches are extended to the practical case of composite materials containing realistic voids volume fractions.","author":[{"dropping-particle":"","family":"Gueribiz","given":"D","non-dropping-particle":"","parse-names":false,"suffix":""},{"dropping-particle":"","family":"Rahmani","given":"M","non-dropping-particle":"","parse-names":false,"suffix":""},{"dropping-particle":"","family":"Jacquemin","given":"F","non-dropping-particle":"","parse-names":false,"suffix":""},{"dropping-particle":"","family":"Fréour","given":"S","non-dropping-particle":"","parse-names":false,"suffix":""},{"dropping-particle":"","family":"Guillen","given":"R","non-dropping-particle":"","parse-names":false,"suffix":""},{"dropping-particle":"","family":"Loucif","given":"K","non-dropping-particle":"","parse-names":false,"suffix":""}],"container-title":"Journal of Composite Materials","id":"ITEM-1","issue":"12","issued":{"date-parts":[["2009","5","27"]]},"note":"doi: 10.1177/0021998308104229","page":"1391-1408","publisher":"SAGE Publications Ltd STM","title":"Homogenization of Moisture Diffusing Behavior of Composite Materials with Impermeable or Permeable Fibers — Application to Porous Composite Materials","type":"article-journal","volume":"43"},"uris":["http://www.mendeley.com/documents/?uuid=9ddb46d2-5052-4795-a77a-c511f2a19cf8"]},{"id":"ITEM-2","itemData":{"DOI":"10.1177/0731684407081363","ISSN":"0731-6844","abstract":"A multi-scale approach is devoted to the analysis of hygro-elastic internal stresses in porous composite materials. Voids in composite materials are known to cause a significant reduction of mechanical properties. Moreover, in a humid environment they also affect the moisture absorption and the induced internal stresses. In this work, a self-consistent approach is used to estimate internal stresses induced by moisture absorption in composite materials with porous matrices. This work shows that the interaction between voids and moisture has a severe impact on the transient hygro-elastic stresses at both microscopic (fiber and matrix) and macroscopic (ply) scales.","author":[{"dropping-particle":"","family":"Youssef","given":"Z","non-dropping-particle":"","parse-names":false,"suffix":""},{"dropping-particle":"","family":"Jacquemin","given":"F","non-dropping-particle":"","parse-names":false,"suffix":""},{"dropping-particle":"","family":"Gloaguen","given":"D","non-dropping-particle":"","parse-names":false,"suffix":""},{"dropping-particle":"","family":"Guillén","given":"R","non-dropping-particle":"","parse-names":false,"suffix":""}],"container-title":"Journal of Reinforced Plastics and Composites","id":"ITEM-2","issue":"18","issued":{"date-parts":[["2007","10","31"]]},"note":"doi: 10.1177/0731684407081363","page":"1865-1880","publisher":"SAGE Publications Ltd STM","title":"Hygro-elastic Internal Stresses in Porous Composite Materials: A Multi-scale Analysis","type":"article-journal","volume":"26"},"uris":["http://www.mendeley.com/documents/?uuid=ea1e8161-b77f-40a5-9f4c-aed6a1324962"]},{"id":"ITEM-3","itemData":{"DOI":"10.1007/s00231-004-0547-z","ISBN":"0947-7411","ISSN":"09477411","abstract":"Double-diffusive natural convection within a multilayer anisotropic porous medium is studied numerically and analytically. The domain composed of two horizontal porous layers is subjected to a uniform horizontal heat flux and a vertical mass flux, where only the lower one is thermally anisotropic. Darcy model with classical Boussinesq approximation is used in formulating the mathematical model. The effect of thermal anisotropy and the relative width of the two layers on the flow and transfers is illustrated with characterising the transitions from the diffusive to the convective solution. Results were well compared with respect to a developed analytical approach, based on a parallel flow approximation for thermally anisotropic multilayer media.","author":[{"dropping-particle":"","family":"Bennacer","given":"R.","non-dropping-particle":"","parse-names":false,"suffix":""},{"dropping-particle":"","family":"Mohamad","given":"A. A.","non-dropping-particle":"","parse-names":false,"suffix":""},{"dropping-particle":"","family":"Ganaoui","given":"M.","non-dropping-particle":"El","parse-names":false,"suffix":""}],"container-title":"Heat and Mass Transfer/Waerme- und Stoffuebertragung","id":"ITEM-3","issue":"4","issued":{"date-parts":[["2005"]]},"page":"298-305","title":"Analytical and numerical investigation of double diffusion in thermally anisotropy multilayer porous medium","type":"article-journal","volume":"41"},"uris":["http://www.mendeley.com/documents/?uuid=f92f0178-dd87-47ef-982a-72d02f4dc2d6"]},{"id":"ITEM-4","itemData":{"DOI":"10.1016/j.jfoodeng.2009.07.004","ISBN":"02608774","ISSN":"02608774","abstract":"The purpose of this research was to determine the diffusion coefficient of moisture in the pores of banana foam mat using stochastic pore network. A 2-D pore network was used to represent the pore voids inside the banana foam sample and the moisture movement inside the individual pore segments was described by Fick's law. To determine the moisture diffusion coefficient, the adsorption experiments were carried out with standard static method using saturated salt solutions. Two banana foam densities of 0.21 and 0.26 g/cm3were used to adsorb the water vapour. The interactions between moisture and pore structure were illustrated using a 3-D pictorial representation of network concentration gradients in spaces with colour representing the moisture content. The network model described the experimental results relatively well. The diffusion coefficient of moisture in pores was in order of 10- 9m2/s which was nine times higher than the effective diffusion coefficient calculated from the continuum model. The value of moisture diffusion coefficient was dependent on the temperature and independent of the foam densities and the relative humidity, except for the diffusivity determined from the condition at higher relative humidity of 70%. © 2009 Elsevier Ltd. All rights reserved.","author":[{"dropping-particle":"","family":"Prakotmak","given":"Preeda","non-dropping-particle":"","parse-names":false,"suffix":""},{"dropping-particle":"","family":"Soponronnarit","given":"Somchart","non-dropping-particle":"","parse-names":false,"suffix":""},{"dropping-particle":"","family":"Prachayawarakorn","given":"Somkiat","non-dropping-particle":"","parse-names":false,"suffix":""}],"container-title":"Journal of Food Engineering","id":"ITEM-4","issue":"1","issued":{"date-parts":[["2010"]]},"page":"119-126","publisher":"Elsevier Ltd","title":"Modelling of moisture diffusion in pores of banana foam mat using a 2-D stochastic pore network: Determination of moisture diffusion coefficient during adsorption process","type":"article-journal","volume":"96"},"uris":["http://www.mendeley.com/documents/?uuid=f44ca92a-42cc-4128-aacd-e59c21fc4c8a"]},{"id":"ITEM-5","itemData":{"DOI":"10.1002/polb.23784","ISSN":"10990488","abstract":"Moisture may cause many detrimental effects to polymers and their composites, thus inhibiting the applications of polymeric materials in hot and humid environments. In this article, a convection–diffusion porous media model is derived to better characterize rapid moisture transport in polymer composites at high temperatures. The model considers both continuum diffusion in solid and high-pressure convection taking place in the pore network. Coupling of convection and diffusion is achieved by combining the law of conservation of mass, Darcy's law, the liquid–vapor chemical equilibrium, and the ideal gas law. The presented model is validated by conducting experimental tests on an epoxy compound. It is found that the proposed convection–diffusion model is more effective than diffusion-only and convection-only models for interpreting rapid desorption tests at high temperatures. A numerical study is also performed to predict maximum vapor pressure during a rapid heating process. Vapor pressure is found to be as high as 6.5 MPa at a heating rate of 10 K/s. It is concluded that the convection–diffusion model is able to capture both vapor dynamics and diffusion mechanism in porous polymeric materials, and can be potentially used to further investigate polymer-moisture interactions. © 2015 Wiley Periodicals, Inc. J. Polym. Sci., Part B: Polym. Phys. 2015","author":[{"dropping-particle":"","family":"Chen","given":"Liangbiao","non-dropping-particle":"","parse-names":false,"suffix":""},{"dropping-particle":"","family":"Chu","given":"Hsing Wei","non-dropping-particle":"","parse-names":false,"suffix":""},{"dropping-particle":"","family":"Fan","given":"Xuejun","non-dropping-particle":"","parse-names":false,"suffix":""}],"container-title":"Journal of Polymer Science, Part B: Polymer Physics","id":"ITEM-5","issue":"20","issued":{"date-parts":[["2015"]]},"page":"1440-1449","title":"A convection-diffusion porous media model for moisture transport in polymer composites: Model development and validation","type":"article-journal","volume":"53"},"uris":["http://www.mendeley.com/documents/?uuid=0ef8ed8d-3aaf-4261-b1b2-6e7882c9a44f"]},{"id":"ITEM-6","itemData":{"DOI":"10.1016/S0266-3538(02)00162-8","ISBN":"0266-3538","ISSN":"02663538","abstract":"Moisture absorption and hygrothermal aging in a woven and woven/uni-weave composites are studied. Different from the neat resin and uni-weave composite, the short term diffusion in the woven composite is non-Fickian, in that the uptake initially increases rather rapidly but quickly slows down. A dual-diffusivity model that can successfully describe the observed weight gain curves has been developed. This model is composed of two independent diffusion processes with very different diffusivities. The fast process is associated with diffusion in cure-induced voids and cracks, while the slow process is the intrinsic diffusion in the matrix. Two different hybrids, namely, uni-weave/woven/uni-weave (U-W-U) and woven/uni-weave/woven (W-U-W), are also investigated. The short term absorption curves of the U-W-U and W-U-W composites can be described by Fickian diffusion and the dual-difftisivity model, respectively. The resemblance between the U-W-U and uni-weave composites, as well as that between the W-U-W and woven composites suggest that the diffusion properties of a composite are controlled by the outer plies. During prolonged moisture absorption, the swelling stresses eventually cause the formation of interfacial cracks in the composite. © 2002 Elsevier Science Ltd. All rights reserved.","author":[{"dropping-particle":"","family":"Bao","given":"Li Rong","non-dropping-particle":"","parse-names":false,"suffix":""},{"dropping-particle":"","family":"Yee","given":"Albert F.","non-dropping-particle":"","parse-names":false,"suffix":""}],"container-title":"Composites Science and Technology","id":"ITEM-6","issue":"16","issued":{"date-parts":[["2002"]]},"page":"2111-2119","title":"Moisture diffusion and hygrothermal aging in bismaleimide matrix carbon fiber composites: Part II-woven and hybrid composites","type":"article-journal","volume":"62"},"uris":["http://www.mendeley.com/documents/?uuid=39727940-8460-42ef-a254-26375a8d11e6"]}],"mendeley":{"formattedCitation":"[97,104–108]","plainTextFormattedCitation":"[97,104–108]","previouslyFormattedCitation":"[97,104–108]"},"properties":{"noteIndex":0},"schema":"https://github.com/citation-style-language/schema/raw/master/csl-citation.json"}</w:instrText>
      </w:r>
      <w:r w:rsidR="00E6539F">
        <w:rPr>
          <w:rFonts w:cs="Times New Roman"/>
          <w:szCs w:val="24"/>
        </w:rPr>
        <w:fldChar w:fldCharType="separate"/>
      </w:r>
      <w:r w:rsidR="00E6539F" w:rsidRPr="00E6539F">
        <w:rPr>
          <w:rFonts w:cs="Times New Roman"/>
          <w:noProof/>
          <w:szCs w:val="24"/>
        </w:rPr>
        <w:t>[97,104–108]</w:t>
      </w:r>
      <w:r w:rsidR="00E6539F">
        <w:rPr>
          <w:rFonts w:cs="Times New Roman"/>
          <w:szCs w:val="24"/>
        </w:rPr>
        <w:fldChar w:fldCharType="end"/>
      </w:r>
      <w:r w:rsidR="00E6539F">
        <w:rPr>
          <w:rFonts w:cs="Times New Roman"/>
          <w:szCs w:val="24"/>
        </w:rPr>
        <w:t xml:space="preserve">. </w:t>
      </w:r>
      <w:r w:rsidR="007B6856">
        <w:rPr>
          <w:rFonts w:cs="Times New Roman"/>
          <w:szCs w:val="24"/>
        </w:rPr>
        <w:t>These model</w:t>
      </w:r>
      <w:r w:rsidR="00FD2CA2">
        <w:rPr>
          <w:rFonts w:cs="Times New Roman"/>
          <w:szCs w:val="24"/>
        </w:rPr>
        <w:t>s</w:t>
      </w:r>
      <w:r w:rsidR="007B6856">
        <w:rPr>
          <w:rFonts w:cs="Times New Roman"/>
          <w:szCs w:val="24"/>
        </w:rPr>
        <w:t xml:space="preserve"> ha</w:t>
      </w:r>
      <w:r w:rsidR="00FD2CA2">
        <w:rPr>
          <w:rFonts w:cs="Times New Roman"/>
          <w:szCs w:val="24"/>
        </w:rPr>
        <w:t>ve</w:t>
      </w:r>
      <w:r w:rsidR="007B6856">
        <w:rPr>
          <w:rFonts w:cs="Times New Roman"/>
          <w:szCs w:val="24"/>
        </w:rPr>
        <w:t xml:space="preserve"> been briefly explained in </w:t>
      </w:r>
      <w:r w:rsidR="007B6856">
        <w:rPr>
          <w:rFonts w:cs="Times New Roman"/>
          <w:szCs w:val="24"/>
        </w:rPr>
        <w:fldChar w:fldCharType="begin"/>
      </w:r>
      <w:r w:rsidR="007B6856">
        <w:rPr>
          <w:rFonts w:cs="Times New Roman"/>
          <w:szCs w:val="24"/>
        </w:rPr>
        <w:instrText xml:space="preserve"> REF _Ref523397939 \r \h </w:instrText>
      </w:r>
      <w:r w:rsidR="00F77E87">
        <w:rPr>
          <w:rFonts w:cs="Times New Roman"/>
          <w:szCs w:val="24"/>
        </w:rPr>
        <w:instrText xml:space="preserve"> \* MERGEFORMAT </w:instrText>
      </w:r>
      <w:r w:rsidR="007B6856">
        <w:rPr>
          <w:rFonts w:cs="Times New Roman"/>
          <w:szCs w:val="24"/>
        </w:rPr>
      </w:r>
      <w:r w:rsidR="007B6856">
        <w:rPr>
          <w:rFonts w:cs="Times New Roman"/>
          <w:szCs w:val="24"/>
        </w:rPr>
        <w:fldChar w:fldCharType="separate"/>
      </w:r>
      <w:r w:rsidR="006D52C2">
        <w:rPr>
          <w:rFonts w:cs="Times New Roman"/>
          <w:szCs w:val="24"/>
        </w:rPr>
        <w:t>Chapter 1</w:t>
      </w:r>
      <w:r w:rsidR="007B6856">
        <w:rPr>
          <w:rFonts w:cs="Times New Roman"/>
          <w:szCs w:val="24"/>
        </w:rPr>
        <w:fldChar w:fldCharType="end"/>
      </w:r>
      <w:r w:rsidR="007B6856">
        <w:rPr>
          <w:rFonts w:cs="Times New Roman"/>
          <w:szCs w:val="24"/>
        </w:rPr>
        <w:t xml:space="preserve">.5 and </w:t>
      </w:r>
      <w:r w:rsidR="007B6856">
        <w:rPr>
          <w:rFonts w:cs="Times New Roman"/>
          <w:szCs w:val="24"/>
        </w:rPr>
        <w:fldChar w:fldCharType="begin"/>
      </w:r>
      <w:r w:rsidR="007B6856">
        <w:rPr>
          <w:rFonts w:cs="Times New Roman"/>
          <w:szCs w:val="24"/>
        </w:rPr>
        <w:instrText xml:space="preserve"> REF _Ref523397942 \r \h </w:instrText>
      </w:r>
      <w:r w:rsidR="00F77E87">
        <w:rPr>
          <w:rFonts w:cs="Times New Roman"/>
          <w:szCs w:val="24"/>
        </w:rPr>
        <w:instrText xml:space="preserve"> \* MERGEFORMAT </w:instrText>
      </w:r>
      <w:r w:rsidR="007B6856">
        <w:rPr>
          <w:rFonts w:cs="Times New Roman"/>
          <w:szCs w:val="24"/>
        </w:rPr>
      </w:r>
      <w:r w:rsidR="007B6856">
        <w:rPr>
          <w:rFonts w:cs="Times New Roman"/>
          <w:szCs w:val="24"/>
        </w:rPr>
        <w:fldChar w:fldCharType="separate"/>
      </w:r>
      <w:r w:rsidR="006D52C2">
        <w:rPr>
          <w:rFonts w:cs="Times New Roman"/>
          <w:szCs w:val="24"/>
        </w:rPr>
        <w:t>Chapter 2</w:t>
      </w:r>
      <w:r w:rsidR="007B6856">
        <w:rPr>
          <w:rFonts w:cs="Times New Roman"/>
          <w:szCs w:val="24"/>
        </w:rPr>
        <w:fldChar w:fldCharType="end"/>
      </w:r>
      <w:r w:rsidR="007B6856">
        <w:rPr>
          <w:rFonts w:cs="Times New Roman"/>
          <w:szCs w:val="24"/>
        </w:rPr>
        <w:t xml:space="preserve">.8. </w:t>
      </w:r>
      <w:r w:rsidR="006D2069">
        <w:rPr>
          <w:rFonts w:cs="Times New Roman"/>
          <w:szCs w:val="24"/>
        </w:rPr>
        <w:t>In this chapter, a</w:t>
      </w:r>
      <w:r w:rsidR="006D2069" w:rsidRPr="005A3E52">
        <w:rPr>
          <w:rFonts w:cs="Times New Roman"/>
          <w:szCs w:val="24"/>
        </w:rPr>
        <w:t xml:space="preserve"> new approach is </w:t>
      </w:r>
      <w:r w:rsidR="006D2069">
        <w:rPr>
          <w:rFonts w:cs="Times New Roman"/>
          <w:szCs w:val="24"/>
        </w:rPr>
        <w:t>presented</w:t>
      </w:r>
      <w:r w:rsidR="006D2069" w:rsidRPr="005A3E52">
        <w:rPr>
          <w:rFonts w:cs="Times New Roman"/>
          <w:szCs w:val="24"/>
        </w:rPr>
        <w:t xml:space="preserve"> to identify the </w:t>
      </w:r>
      <w:r w:rsidR="006D2069">
        <w:rPr>
          <w:rFonts w:cs="Times New Roman"/>
          <w:szCs w:val="24"/>
        </w:rPr>
        <w:t xml:space="preserve">moisture </w:t>
      </w:r>
      <w:r w:rsidR="00023A51">
        <w:rPr>
          <w:rFonts w:cs="Times New Roman"/>
          <w:szCs w:val="24"/>
        </w:rPr>
        <w:t xml:space="preserve">intake kinetics of </w:t>
      </w:r>
      <w:r w:rsidR="006D2069">
        <w:rPr>
          <w:rFonts w:cs="Times New Roman"/>
          <w:szCs w:val="24"/>
        </w:rPr>
        <w:t>closed-cell rigid polymeric foams</w:t>
      </w:r>
      <w:r w:rsidR="006D2069" w:rsidRPr="005A3E52">
        <w:rPr>
          <w:rFonts w:cs="Times New Roman"/>
          <w:szCs w:val="24"/>
        </w:rPr>
        <w:t>.</w:t>
      </w:r>
      <w:r w:rsidR="006D2069">
        <w:rPr>
          <w:rFonts w:cs="Times New Roman"/>
          <w:szCs w:val="24"/>
        </w:rPr>
        <w:t xml:space="preserve"> Effects of foam microstructure and porosity on absorption is sought.</w:t>
      </w:r>
      <w:r w:rsidR="00FD2CA2">
        <w:rPr>
          <w:rFonts w:cs="Times New Roman"/>
          <w:szCs w:val="24"/>
        </w:rPr>
        <w:t xml:space="preserve"> Within this framework,</w:t>
      </w:r>
      <w:r w:rsidR="006D2069" w:rsidRPr="005A3E52">
        <w:rPr>
          <w:rFonts w:cs="Times New Roman"/>
          <w:szCs w:val="24"/>
        </w:rPr>
        <w:t xml:space="preserve"> </w:t>
      </w:r>
      <w:r w:rsidR="006D2069">
        <w:rPr>
          <w:rFonts w:cs="Times New Roman"/>
          <w:szCs w:val="24"/>
        </w:rPr>
        <w:t>void filling</w:t>
      </w:r>
      <w:r w:rsidR="006D2069" w:rsidRPr="005A3E52">
        <w:rPr>
          <w:rFonts w:cs="Times New Roman"/>
          <w:szCs w:val="24"/>
        </w:rPr>
        <w:t xml:space="preserve"> hindered diffusion model is </w:t>
      </w:r>
      <w:r w:rsidR="006D2069">
        <w:rPr>
          <w:rFonts w:cs="Times New Roman"/>
          <w:szCs w:val="24"/>
        </w:rPr>
        <w:t xml:space="preserve">developed </w:t>
      </w:r>
      <w:r w:rsidR="006D2069" w:rsidRPr="005A3E52">
        <w:rPr>
          <w:rFonts w:cs="Times New Roman"/>
          <w:szCs w:val="24"/>
        </w:rPr>
        <w:t xml:space="preserve">to illustrate the effect of </w:t>
      </w:r>
      <w:r w:rsidR="006D2069">
        <w:rPr>
          <w:rFonts w:cs="Times New Roman"/>
          <w:szCs w:val="24"/>
        </w:rPr>
        <w:t>porosity on moisture absorption</w:t>
      </w:r>
      <w:r w:rsidR="006D2069" w:rsidRPr="005A3E52">
        <w:rPr>
          <w:rFonts w:cs="Times New Roman"/>
          <w:szCs w:val="24"/>
        </w:rPr>
        <w:t xml:space="preserve">. </w:t>
      </w:r>
    </w:p>
    <w:p w14:paraId="0B49DF31" w14:textId="334C1FF1" w:rsidR="00E56273" w:rsidRPr="00E56273" w:rsidRDefault="008614ED" w:rsidP="00BB2C1B">
      <w:pPr>
        <w:pStyle w:val="Heading2"/>
      </w:pPr>
      <w:bookmarkStart w:id="251" w:name="_Toc531943772"/>
      <w:r>
        <w:t>4.1. Void Filling Hindered Diffusion Model Development</w:t>
      </w:r>
      <w:bookmarkEnd w:id="251"/>
    </w:p>
    <w:p w14:paraId="659A1813" w14:textId="679BD67B" w:rsidR="00153262" w:rsidRDefault="005F1D7A" w:rsidP="00F77E87">
      <w:r>
        <w:t xml:space="preserve">Void filling hindered diffusion model (VFHDM) has been developed as an expansion of hindered diffusion model. In addition to the bound and unbound moisture molecules, VFHDM considers </w:t>
      </w:r>
      <w:r w:rsidR="00B5045F">
        <w:t xml:space="preserve">stored (trapped) water inside the closed-cell pores. </w:t>
      </w:r>
      <w:r w:rsidR="0082323B">
        <w:t>A concept similar to</w:t>
      </w:r>
      <w:r w:rsidR="00B5045F">
        <w:t xml:space="preserve"> hindered diffusion model is used to describe the diffusion into the closed-cell pores. </w:t>
      </w:r>
      <w:r w:rsidR="004E788A">
        <w:lastRenderedPageBreak/>
        <w:t xml:space="preserve">Pores are assumed to be sources and sinks for diffusing moisture. </w:t>
      </w:r>
      <w:r w:rsidR="00153262">
        <w:t>The rate</w:t>
      </w:r>
      <w:r w:rsidR="00B5045F">
        <w:t>s</w:t>
      </w:r>
      <w:r w:rsidR="00153262">
        <w:t xml:space="preserve"> </w:t>
      </w:r>
      <w:r w:rsidR="00B5045F">
        <w:t>of going in and out of the voids have been used to identify the trapped water</w:t>
      </w:r>
      <w:r w:rsidR="00A746D9">
        <w:t xml:space="preserve"> and illustrated in </w:t>
      </w:r>
      <w:r w:rsidR="00A746D9">
        <w:fldChar w:fldCharType="begin"/>
      </w:r>
      <w:r w:rsidR="00A746D9">
        <w:instrText xml:space="preserve"> REF _Ref523129726 \h </w:instrText>
      </w:r>
      <w:r w:rsidR="00F77E87">
        <w:instrText xml:space="preserve"> \* MERGEFORMAT </w:instrText>
      </w:r>
      <w:r w:rsidR="00A746D9">
        <w:fldChar w:fldCharType="separate"/>
      </w:r>
      <w:r w:rsidR="006D52C2">
        <w:t xml:space="preserve">Figure </w:t>
      </w:r>
      <w:r w:rsidR="006D52C2">
        <w:rPr>
          <w:noProof/>
        </w:rPr>
        <w:t>48</w:t>
      </w:r>
      <w:r w:rsidR="00A746D9">
        <w:fldChar w:fldCharType="end"/>
      </w:r>
      <w:r w:rsidR="00B5045F">
        <w:t xml:space="preserve">. The rates of exchange between the medium and the pore </w:t>
      </w:r>
      <w:r w:rsidR="00153262">
        <w:t xml:space="preserve">depend on </w:t>
      </w:r>
      <w:r w:rsidR="00B5045F">
        <w:t>the</w:t>
      </w:r>
      <w:r w:rsidR="00153262">
        <w:t xml:space="preserve"> diffusion mechanism. </w:t>
      </w:r>
      <w:r w:rsidR="00B5045F">
        <w:t xml:space="preserve">First, for a water molecule to diffuse into </w:t>
      </w:r>
      <w:r w:rsidR="00A746D9">
        <w:t>a</w:t>
      </w:r>
      <w:r w:rsidR="00B5045F">
        <w:t xml:space="preserve"> pore, it should be a mobile</w:t>
      </w:r>
      <w:r w:rsidR="004E788A">
        <w:t xml:space="preserve"> (unbound)</w:t>
      </w:r>
      <w:r w:rsidR="00B5045F">
        <w:t xml:space="preserve"> molecule.</w:t>
      </w:r>
      <w:r w:rsidR="004E788A">
        <w:t xml:space="preserve"> </w:t>
      </w:r>
      <w:r w:rsidR="00F014D2">
        <w:t>U</w:t>
      </w:r>
      <w:r w:rsidR="004E788A">
        <w:t xml:space="preserve">nbound moisture </w:t>
      </w:r>
      <w:r w:rsidR="009A0609">
        <w:t>penetrating</w:t>
      </w:r>
      <w:r w:rsidR="00F014D2">
        <w:t xml:space="preserve"> into the pore occurs at a rate of</w:t>
      </w:r>
      <w:proofErr w:type="gramStart"/>
      <w:r w:rsidR="004E788A">
        <w:t xml:space="preserve">, </w:t>
      </w:r>
      <w:proofErr w:type="gramEnd"/>
      <m:oMath>
        <m:r>
          <w:rPr>
            <w:rFonts w:ascii="Cambria Math" w:hAnsi="Cambria Math"/>
          </w:rPr>
          <m:t>n</m:t>
        </m:r>
        <m:sSup>
          <m:sSupPr>
            <m:ctrlPr>
              <w:rPr>
                <w:rFonts w:ascii="Cambria Math" w:hAnsi="Cambria Math"/>
                <w:i/>
              </w:rPr>
            </m:ctrlPr>
          </m:sSupPr>
          <m:e>
            <m:r>
              <w:rPr>
                <w:rFonts w:ascii="Cambria Math" w:hAnsi="Cambria Math"/>
              </w:rPr>
              <m:t>γ</m:t>
            </m:r>
          </m:e>
          <m:sup>
            <m:r>
              <w:rPr>
                <w:rFonts w:ascii="Cambria Math" w:hAnsi="Cambria Math"/>
              </w:rPr>
              <m:t>'</m:t>
            </m:r>
          </m:sup>
        </m:sSup>
      </m:oMath>
      <w:r w:rsidR="004E788A">
        <w:t>.</w:t>
      </w:r>
      <w:r w:rsidR="00F014D2">
        <w:t xml:space="preserve"> </w:t>
      </w:r>
      <w:r w:rsidR="00153262">
        <w:t>Once inside the pore</w:t>
      </w:r>
      <w:r w:rsidR="00A746D9">
        <w:t>,</w:t>
      </w:r>
      <w:r w:rsidR="00153262">
        <w:t xml:space="preserve"> the moisture molecule is assumed trapped. </w:t>
      </w:r>
      <w:r w:rsidR="00A746D9">
        <w:t xml:space="preserve">The </w:t>
      </w:r>
      <w:r w:rsidR="0082323B">
        <w:t>stored (</w:t>
      </w:r>
      <w:r w:rsidR="00A746D9">
        <w:t>trapped</w:t>
      </w:r>
      <w:r w:rsidR="0082323B">
        <w:t>)</w:t>
      </w:r>
      <w:r w:rsidR="00A746D9">
        <w:t xml:space="preserve"> moisture</w:t>
      </w:r>
      <w:proofErr w:type="gramStart"/>
      <w:r w:rsidR="004E788A">
        <w:t xml:space="preserve">, </w:t>
      </w:r>
      <w:proofErr w:type="gramEnd"/>
      <m:oMath>
        <m:r>
          <w:rPr>
            <w:rFonts w:ascii="Cambria Math" w:hAnsi="Cambria Math"/>
          </w:rPr>
          <m:t>S</m:t>
        </m:r>
      </m:oMath>
      <w:r w:rsidR="00A746D9">
        <w:t xml:space="preserve">, then, go out </w:t>
      </w:r>
      <w:r w:rsidR="00F014D2">
        <w:t>and become unbound at</w:t>
      </w:r>
      <w:r w:rsidR="00A746D9">
        <w:t xml:space="preserve"> a constant rate of, </w:t>
      </w:r>
      <m:oMath>
        <m:r>
          <w:rPr>
            <w:rFonts w:ascii="Cambria Math" w:hAnsi="Cambria Math"/>
          </w:rPr>
          <m:t>S</m:t>
        </m:r>
        <m:sSup>
          <m:sSupPr>
            <m:ctrlPr>
              <w:rPr>
                <w:rFonts w:ascii="Cambria Math" w:hAnsi="Cambria Math"/>
                <w:i/>
              </w:rPr>
            </m:ctrlPr>
          </m:sSupPr>
          <m:e>
            <m:r>
              <w:rPr>
                <w:rFonts w:ascii="Cambria Math" w:hAnsi="Cambria Math"/>
              </w:rPr>
              <m:t>β</m:t>
            </m:r>
          </m:e>
          <m:sup>
            <m:r>
              <w:rPr>
                <w:rFonts w:ascii="Cambria Math" w:hAnsi="Cambria Math"/>
              </w:rPr>
              <m:t>'</m:t>
            </m:r>
          </m:sup>
        </m:sSup>
      </m:oMath>
      <w:r w:rsidR="00A746D9">
        <w:t xml:space="preserve">. </w:t>
      </w:r>
      <w:r w:rsidR="0082323B">
        <w:t>Hence, t</w:t>
      </w:r>
      <w:r w:rsidR="004E788A">
        <w:t>he set of governing equations for VFHDM is given in Eqs. (61).</w:t>
      </w:r>
    </w:p>
    <w:tbl>
      <w:tblPr>
        <w:tblStyle w:val="TableGrid"/>
        <w:tblW w:w="8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2878"/>
        <w:gridCol w:w="2879"/>
      </w:tblGrid>
      <w:tr w:rsidR="00A746D9" w14:paraId="28A9BE08" w14:textId="77777777" w:rsidTr="00A8346F">
        <w:trPr>
          <w:trHeight w:val="3167"/>
        </w:trPr>
        <w:tc>
          <w:tcPr>
            <w:tcW w:w="8635" w:type="dxa"/>
            <w:gridSpan w:val="3"/>
            <w:vAlign w:val="center"/>
          </w:tcPr>
          <w:p w14:paraId="2510745D" w14:textId="72EACEB0" w:rsidR="00A746D9" w:rsidRPr="00A8346F" w:rsidRDefault="003F56CD" w:rsidP="00F77E87">
            <w:pPr>
              <w:jc w:val="center"/>
            </w:pPr>
            <w:r>
              <w:object w:dxaOrig="6615" w:dyaOrig="6810" w14:anchorId="42A09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6pt;height:151.6pt" o:ole="">
                  <v:imagedata r:id="rId80" o:title=""/>
                </v:shape>
                <o:OLEObject Type="Embed" ProgID="PBrush" ShapeID="_x0000_i1025" DrawAspect="Content" ObjectID="_1606027270" r:id="rId81"/>
              </w:object>
            </w:r>
          </w:p>
        </w:tc>
      </w:tr>
      <w:tr w:rsidR="00A746D9" w14:paraId="1BF80944" w14:textId="77777777" w:rsidTr="00A8346F">
        <w:trPr>
          <w:trHeight w:val="467"/>
        </w:trPr>
        <w:tc>
          <w:tcPr>
            <w:tcW w:w="2878" w:type="dxa"/>
            <w:vAlign w:val="center"/>
          </w:tcPr>
          <w:p w14:paraId="4F6E0349" w14:textId="443EB25E" w:rsidR="00A746D9" w:rsidRDefault="00A746D9" w:rsidP="00F77E87">
            <w:pPr>
              <w:rPr>
                <w:szCs w:val="24"/>
              </w:rPr>
            </w:pPr>
            <w:r>
              <w:rPr>
                <w:szCs w:val="24"/>
              </w:rPr>
              <w:t xml:space="preserve">1: </w:t>
            </w:r>
            <m:oMath>
              <m:sSup>
                <m:sSupPr>
                  <m:ctrlPr>
                    <w:rPr>
                      <w:rFonts w:ascii="Cambria Math" w:hAnsi="Cambria Math"/>
                      <w:i/>
                      <w:szCs w:val="24"/>
                    </w:rPr>
                  </m:ctrlPr>
                </m:sSupPr>
                <m:e>
                  <m:r>
                    <w:rPr>
                      <w:rFonts w:ascii="Cambria Math" w:hAnsi="Cambria Math"/>
                      <w:szCs w:val="24"/>
                    </w:rPr>
                    <m:t>γ</m:t>
                  </m:r>
                </m:e>
                <m:sup>
                  <m:r>
                    <w:rPr>
                      <w:rFonts w:ascii="Cambria Math" w:hAnsi="Cambria Math"/>
                      <w:szCs w:val="24"/>
                    </w:rPr>
                    <m:t>'</m:t>
                  </m:r>
                </m:sup>
              </m:sSup>
              <m:r>
                <w:rPr>
                  <w:rFonts w:ascii="Cambria Math" w:hAnsi="Cambria Math"/>
                  <w:szCs w:val="24"/>
                </w:rPr>
                <m:t>n</m:t>
              </m:r>
            </m:oMath>
          </w:p>
          <w:p w14:paraId="42A73C9F" w14:textId="77777777" w:rsidR="00A746D9" w:rsidRDefault="00A746D9" w:rsidP="00F77E87"/>
        </w:tc>
        <w:tc>
          <w:tcPr>
            <w:tcW w:w="2878" w:type="dxa"/>
            <w:vAlign w:val="center"/>
          </w:tcPr>
          <w:p w14:paraId="02E4E802" w14:textId="77777777" w:rsidR="00A746D9" w:rsidRPr="008D366B" w:rsidRDefault="00A746D9" w:rsidP="00F77E87">
            <w:pPr>
              <w:rPr>
                <w:color w:val="FF0000"/>
                <w:szCs w:val="24"/>
              </w:rPr>
            </w:pPr>
            <w:r>
              <w:rPr>
                <w:color w:val="FF0000"/>
                <w:szCs w:val="24"/>
              </w:rPr>
              <w:t xml:space="preserve">2: </w:t>
            </w:r>
            <m:oMath>
              <m:r>
                <w:rPr>
                  <w:rFonts w:ascii="Cambria Math" w:hAnsi="Cambria Math"/>
                  <w:color w:val="FF0000"/>
                  <w:szCs w:val="24"/>
                </w:rPr>
                <m:t>-</m:t>
              </m:r>
              <m:sSup>
                <m:sSupPr>
                  <m:ctrlPr>
                    <w:rPr>
                      <w:rFonts w:ascii="Cambria Math" w:hAnsi="Cambria Math"/>
                      <w:i/>
                      <w:color w:val="FF0000"/>
                      <w:szCs w:val="24"/>
                    </w:rPr>
                  </m:ctrlPr>
                </m:sSupPr>
                <m:e>
                  <m:r>
                    <w:rPr>
                      <w:rFonts w:ascii="Cambria Math" w:hAnsi="Cambria Math"/>
                      <w:color w:val="FF0000"/>
                      <w:szCs w:val="24"/>
                    </w:rPr>
                    <m:t>β</m:t>
                  </m:r>
                </m:e>
                <m:sup>
                  <m:r>
                    <w:rPr>
                      <w:rFonts w:ascii="Cambria Math" w:hAnsi="Cambria Math"/>
                      <w:color w:val="FF0000"/>
                      <w:szCs w:val="24"/>
                    </w:rPr>
                    <m:t>'</m:t>
                  </m:r>
                </m:sup>
              </m:sSup>
              <m:r>
                <w:rPr>
                  <w:rFonts w:ascii="Cambria Math" w:hAnsi="Cambria Math"/>
                  <w:color w:val="FF0000"/>
                  <w:szCs w:val="24"/>
                </w:rPr>
                <m:t>S</m:t>
              </m:r>
            </m:oMath>
          </w:p>
          <w:p w14:paraId="24CD7269" w14:textId="77777777" w:rsidR="00A746D9" w:rsidRDefault="00A746D9" w:rsidP="00F77E87"/>
        </w:tc>
        <w:tc>
          <w:tcPr>
            <w:tcW w:w="2879" w:type="dxa"/>
            <w:vAlign w:val="center"/>
          </w:tcPr>
          <w:p w14:paraId="344DA6A7" w14:textId="77777777" w:rsidR="00A746D9" w:rsidRPr="008614ED" w:rsidRDefault="00A746D9" w:rsidP="00F77E87">
            <w:pPr>
              <w:rPr>
                <w:szCs w:val="24"/>
              </w:rPr>
            </w:pPr>
            <w:r w:rsidRPr="008614ED">
              <w:rPr>
                <w:szCs w:val="24"/>
              </w:rPr>
              <w:t>Overall Rate (1+</w:t>
            </w:r>
            <w:r w:rsidRPr="008614ED">
              <w:rPr>
                <w:color w:val="FF0000"/>
                <w:szCs w:val="24"/>
              </w:rPr>
              <w:t>2</w:t>
            </w:r>
            <w:r w:rsidRPr="008614ED">
              <w:rPr>
                <w:szCs w:val="24"/>
              </w:rPr>
              <w:t>):</w:t>
            </w:r>
          </w:p>
          <w:p w14:paraId="43868DBB" w14:textId="384A63D3" w:rsidR="00A746D9" w:rsidRPr="00F77E87" w:rsidRDefault="00A746D9" w:rsidP="00F77E87">
            <w:pPr>
              <w:rPr>
                <w:szCs w:val="24"/>
              </w:rPr>
            </w:pPr>
            <w:r>
              <w:rPr>
                <w:szCs w:val="24"/>
              </w:rPr>
              <w:t xml:space="preserve"> </w:t>
            </w:r>
            <m:oMath>
              <m:f>
                <m:fPr>
                  <m:ctrlPr>
                    <w:rPr>
                      <w:rFonts w:ascii="Cambria Math" w:hAnsi="Cambria Math"/>
                      <w:szCs w:val="24"/>
                    </w:rPr>
                  </m:ctrlPr>
                </m:fPr>
                <m:num>
                  <m:r>
                    <w:rPr>
                      <w:rFonts w:ascii="Cambria Math" w:hAnsi="Cambria Math"/>
                      <w:szCs w:val="24"/>
                    </w:rPr>
                    <m:t>∂S</m:t>
                  </m:r>
                </m:num>
                <m:den>
                  <m:r>
                    <w:rPr>
                      <w:rFonts w:ascii="Cambria Math" w:hAnsi="Cambria Math"/>
                      <w:szCs w:val="24"/>
                    </w:rPr>
                    <m:t>∂t</m:t>
                  </m:r>
                </m:den>
              </m:f>
              <m:r>
                <m:rPr>
                  <m:sty m:val="p"/>
                </m:rPr>
                <w:rPr>
                  <w:rFonts w:ascii="Cambria Math" w:hAnsi="Cambria Math"/>
                  <w:szCs w:val="24"/>
                </w:rPr>
                <m:t>=</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m:t>
                  </m:r>
                </m:sup>
              </m:sSup>
              <m:r>
                <w:rPr>
                  <w:rFonts w:ascii="Cambria Math" w:hAnsi="Cambria Math"/>
                  <w:szCs w:val="24"/>
                </w:rPr>
                <m:t>n</m:t>
              </m:r>
              <m:r>
                <m:rPr>
                  <m:sty m:val="p"/>
                </m:rPr>
                <w:rPr>
                  <w:rFonts w:ascii="Cambria Math" w:hAnsi="Cambria Math"/>
                  <w:szCs w:val="24"/>
                </w:rPr>
                <m:t>-</m:t>
              </m:r>
              <m:sSup>
                <m:sSupPr>
                  <m:ctrlPr>
                    <w:rPr>
                      <w:rFonts w:ascii="Cambria Math" w:hAnsi="Cambria Math"/>
                      <w:i/>
                      <w:szCs w:val="24"/>
                    </w:rPr>
                  </m:ctrlPr>
                </m:sSupPr>
                <m:e>
                  <m:r>
                    <w:rPr>
                      <w:rFonts w:ascii="Cambria Math" w:hAnsi="Cambria Math"/>
                      <w:szCs w:val="24"/>
                    </w:rPr>
                    <m:t>β</m:t>
                  </m:r>
                </m:e>
                <m:sup>
                  <m:r>
                    <w:rPr>
                      <w:rFonts w:ascii="Cambria Math" w:hAnsi="Cambria Math"/>
                      <w:szCs w:val="24"/>
                    </w:rPr>
                    <m:t>'</m:t>
                  </m:r>
                </m:sup>
              </m:sSup>
              <m:r>
                <w:rPr>
                  <w:rFonts w:ascii="Cambria Math" w:hAnsi="Cambria Math"/>
                  <w:szCs w:val="24"/>
                </w:rPr>
                <m:t>S</m:t>
              </m:r>
            </m:oMath>
          </w:p>
        </w:tc>
      </w:tr>
    </w:tbl>
    <w:p w14:paraId="0FBF8D68" w14:textId="532EAAF2" w:rsidR="00153262" w:rsidRDefault="00A746D9" w:rsidP="00A746D9">
      <w:pPr>
        <w:pStyle w:val="Caption"/>
      </w:pPr>
      <w:bookmarkStart w:id="252" w:name="_Ref523129726"/>
      <w:bookmarkStart w:id="253" w:name="_Toc530997404"/>
      <w:r>
        <w:t xml:space="preserve">Figure </w:t>
      </w:r>
      <w:r w:rsidR="00012EB7">
        <w:rPr>
          <w:noProof/>
        </w:rPr>
        <w:fldChar w:fldCharType="begin"/>
      </w:r>
      <w:r w:rsidR="00012EB7">
        <w:rPr>
          <w:noProof/>
        </w:rPr>
        <w:instrText xml:space="preserve"> SEQ Figure \* ARABIC </w:instrText>
      </w:r>
      <w:r w:rsidR="00012EB7">
        <w:rPr>
          <w:noProof/>
        </w:rPr>
        <w:fldChar w:fldCharType="separate"/>
      </w:r>
      <w:r w:rsidR="006D52C2">
        <w:rPr>
          <w:noProof/>
        </w:rPr>
        <w:t>48</w:t>
      </w:r>
      <w:r w:rsidR="00012EB7">
        <w:rPr>
          <w:noProof/>
        </w:rPr>
        <w:fldChar w:fldCharType="end"/>
      </w:r>
      <w:bookmarkEnd w:id="252"/>
      <w:r>
        <w:t xml:space="preserve">. </w:t>
      </w:r>
      <w:r w:rsidR="0082323B">
        <w:t>Illustration of the p</w:t>
      </w:r>
      <w:r w:rsidR="00F014D2">
        <w:t>roposed moisture absorption and desorption mechanism of voids</w:t>
      </w:r>
      <w:bookmarkEnd w:id="253"/>
      <w:r w:rsidR="00F014D2">
        <w:t xml:space="preserve"> </w:t>
      </w:r>
    </w:p>
    <w:p w14:paraId="2295E069" w14:textId="77777777" w:rsidR="00A746D9" w:rsidRPr="00A746D9" w:rsidRDefault="00A746D9" w:rsidP="00A746D9"/>
    <w:tbl>
      <w:tblPr>
        <w:tblW w:w="0" w:type="auto"/>
        <w:tblLook w:val="04A0" w:firstRow="1" w:lastRow="0" w:firstColumn="1" w:lastColumn="0" w:noHBand="0" w:noVBand="1"/>
      </w:tblPr>
      <w:tblGrid>
        <w:gridCol w:w="7544"/>
        <w:gridCol w:w="1096"/>
      </w:tblGrid>
      <w:tr w:rsidR="00350668" w:rsidRPr="001E6BA7" w14:paraId="29E3940E" w14:textId="77777777" w:rsidTr="008614ED">
        <w:tc>
          <w:tcPr>
            <w:tcW w:w="7544" w:type="dxa"/>
            <w:vAlign w:val="center"/>
          </w:tcPr>
          <w:p w14:paraId="5399527D" w14:textId="4E735A61" w:rsidR="00350668" w:rsidRPr="001E6BA7" w:rsidRDefault="00153262" w:rsidP="00F77E87">
            <m:oMathPara>
              <m:oMath>
                <m:r>
                  <w:rPr>
                    <w:rFonts w:ascii="Cambria Math" w:hAnsi="Cambria Math"/>
                  </w:rPr>
                  <m:t>D</m:t>
                </m:r>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r>
                      <w:rPr>
                        <w:rFonts w:ascii="Cambria Math" w:hAnsi="Cambria Math"/>
                      </w:rPr>
                      <m:t>n</m:t>
                    </m:r>
                  </m:num>
                  <m:den>
                    <m:r>
                      <w:rPr>
                        <w:rFonts w:ascii="Cambria Math" w:hAnsi="Cambria Math"/>
                      </w:rPr>
                      <m:t>∂</m:t>
                    </m:r>
                    <m:sSup>
                      <m:sSupPr>
                        <m:ctrlPr>
                          <w:rPr>
                            <w:rFonts w:ascii="Cambria Math" w:hAnsi="Cambria Math"/>
                            <w:iCs/>
                          </w:rPr>
                        </m:ctrlPr>
                      </m:sSupPr>
                      <m:e>
                        <m:r>
                          <w:rPr>
                            <w:rFonts w:ascii="Cambria Math" w:hAnsi="Cambria Math"/>
                          </w:rPr>
                          <m:t>z</m:t>
                        </m:r>
                      </m:e>
                      <m:sup>
                        <m:r>
                          <m:rPr>
                            <m:sty m:val="p"/>
                          </m:rPr>
                          <w:rPr>
                            <w:rFonts w:ascii="Cambria Math" w:hAnsi="Cambria Math"/>
                          </w:rPr>
                          <m:t>2</m:t>
                        </m:r>
                      </m:sup>
                    </m:sSup>
                  </m:den>
                </m:f>
                <m:r>
                  <m:rPr>
                    <m:sty m:val="p"/>
                  </m:rPr>
                  <w:rPr>
                    <w:rFonts w:ascii="Cambria Math" w:hAnsi="Cambria Math"/>
                  </w:rPr>
                  <m:t>=</m:t>
                </m:r>
                <m:f>
                  <m:fPr>
                    <m:ctrlPr>
                      <w:rPr>
                        <w:rFonts w:ascii="Cambria Math" w:hAnsi="Cambria Math"/>
                        <w:iCs/>
                      </w:rPr>
                    </m:ctrlPr>
                  </m:fPr>
                  <m:num>
                    <m:r>
                      <w:rPr>
                        <w:rFonts w:ascii="Cambria Math" w:hAnsi="Cambria Math"/>
                      </w:rPr>
                      <m:t>∂n</m:t>
                    </m:r>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∂N</m:t>
                    </m:r>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∂S</m:t>
                    </m:r>
                  </m:num>
                  <m:den>
                    <m:r>
                      <w:rPr>
                        <w:rFonts w:ascii="Cambria Math" w:hAnsi="Cambria Math"/>
                      </w:rPr>
                      <m:t>∂t</m:t>
                    </m:r>
                  </m:den>
                </m:f>
              </m:oMath>
            </m:oMathPara>
          </w:p>
        </w:tc>
        <w:tc>
          <w:tcPr>
            <w:tcW w:w="1096" w:type="dxa"/>
            <w:vAlign w:val="center"/>
          </w:tcPr>
          <w:p w14:paraId="3BFE67DE" w14:textId="1F769606" w:rsidR="00350668" w:rsidRPr="001E6BA7" w:rsidRDefault="00350668" w:rsidP="00F77E87">
            <w:pPr>
              <w:rPr>
                <w:rFonts w:eastAsiaTheme="majorEastAsia"/>
              </w:rPr>
            </w:pPr>
            <w:r w:rsidRPr="001E6BA7">
              <w:rPr>
                <w:rFonts w:eastAsiaTheme="majorEastAsia"/>
              </w:rPr>
              <w:t>(</w:t>
            </w:r>
            <w:r>
              <w:rPr>
                <w:rFonts w:eastAsiaTheme="majorEastAsia"/>
              </w:rPr>
              <w:t>61</w:t>
            </w:r>
            <w:r w:rsidRPr="001E6BA7">
              <w:rPr>
                <w:rFonts w:eastAsiaTheme="majorEastAsia"/>
              </w:rPr>
              <w:t>a)</w:t>
            </w:r>
          </w:p>
        </w:tc>
      </w:tr>
      <w:tr w:rsidR="00350668" w:rsidRPr="001E6BA7" w14:paraId="6A17BFA1" w14:textId="77777777" w:rsidTr="008614ED">
        <w:tc>
          <w:tcPr>
            <w:tcW w:w="7544" w:type="dxa"/>
            <w:vAlign w:val="center"/>
          </w:tcPr>
          <w:p w14:paraId="1AB39FDA" w14:textId="46973FDC" w:rsidR="00350668" w:rsidRPr="001E6BA7" w:rsidRDefault="007B3686" w:rsidP="00F77E87">
            <m:oMathPara>
              <m:oMath>
                <m:f>
                  <m:fPr>
                    <m:ctrlPr>
                      <w:rPr>
                        <w:rFonts w:ascii="Cambria Math" w:hAnsi="Cambria Math"/>
                        <w:iCs/>
                      </w:rPr>
                    </m:ctrlPr>
                  </m:fPr>
                  <m:num>
                    <m:r>
                      <w:rPr>
                        <w:rFonts w:ascii="Cambria Math" w:hAnsi="Cambria Math"/>
                      </w:rPr>
                      <m:t>∂N</m:t>
                    </m:r>
                  </m:num>
                  <m:den>
                    <m:r>
                      <w:rPr>
                        <w:rFonts w:ascii="Cambria Math" w:hAnsi="Cambria Math"/>
                      </w:rPr>
                      <m:t>∂t</m:t>
                    </m:r>
                  </m:den>
                </m:f>
                <m:r>
                  <m:rPr>
                    <m:sty m:val="p"/>
                  </m:rPr>
                  <w:rPr>
                    <w:rFonts w:ascii="Cambria Math" w:hAnsi="Cambria Math"/>
                  </w:rPr>
                  <m:t>=</m:t>
                </m:r>
                <m:r>
                  <w:rPr>
                    <w:rFonts w:ascii="Cambria Math" w:hAnsi="Cambria Math"/>
                  </w:rPr>
                  <m:t>γn</m:t>
                </m:r>
                <m:r>
                  <m:rPr>
                    <m:sty m:val="p"/>
                  </m:rPr>
                  <w:rPr>
                    <w:rFonts w:ascii="Cambria Math" w:hAnsi="Cambria Math"/>
                  </w:rPr>
                  <m:t>-</m:t>
                </m:r>
                <m:r>
                  <w:rPr>
                    <w:rFonts w:ascii="Cambria Math" w:hAnsi="Cambria Math"/>
                  </w:rPr>
                  <m:t>βN</m:t>
                </m:r>
              </m:oMath>
            </m:oMathPara>
          </w:p>
        </w:tc>
        <w:tc>
          <w:tcPr>
            <w:tcW w:w="1096" w:type="dxa"/>
            <w:vAlign w:val="center"/>
          </w:tcPr>
          <w:p w14:paraId="78081B99" w14:textId="1F6F90A7" w:rsidR="00350668" w:rsidRPr="001E6BA7" w:rsidRDefault="00350668" w:rsidP="00F77E87">
            <w:pPr>
              <w:rPr>
                <w:rFonts w:eastAsiaTheme="majorEastAsia"/>
              </w:rPr>
            </w:pPr>
            <w:r>
              <w:rPr>
                <w:rFonts w:eastAsiaTheme="majorEastAsia"/>
              </w:rPr>
              <w:t>(61</w:t>
            </w:r>
            <w:r w:rsidRPr="001E6BA7">
              <w:rPr>
                <w:rFonts w:eastAsiaTheme="majorEastAsia"/>
              </w:rPr>
              <w:t>b)</w:t>
            </w:r>
          </w:p>
        </w:tc>
      </w:tr>
      <w:tr w:rsidR="00350668" w:rsidRPr="001E6BA7" w14:paraId="0D558AFD" w14:textId="77777777" w:rsidTr="008614ED">
        <w:tc>
          <w:tcPr>
            <w:tcW w:w="7544" w:type="dxa"/>
            <w:vAlign w:val="center"/>
          </w:tcPr>
          <w:p w14:paraId="04E63ECF" w14:textId="2489B269" w:rsidR="00350668" w:rsidRPr="00153262" w:rsidRDefault="007B3686" w:rsidP="00682F7B">
            <m:oMathPara>
              <m:oMath>
                <m:f>
                  <m:fPr>
                    <m:ctrlPr>
                      <w:rPr>
                        <w:rFonts w:ascii="Cambria Math" w:hAnsi="Cambria Math"/>
                      </w:rPr>
                    </m:ctrlPr>
                  </m:fPr>
                  <m:num>
                    <m:r>
                      <w:rPr>
                        <w:rFonts w:ascii="Cambria Math" w:hAnsi="Cambria Math"/>
                      </w:rPr>
                      <m:t>∂S</m:t>
                    </m:r>
                  </m:num>
                  <m:den>
                    <m:r>
                      <w:rPr>
                        <w:rFonts w:ascii="Cambria Math" w:hAnsi="Cambria Math"/>
                      </w:rPr>
                      <m:t>∂t</m:t>
                    </m:r>
                  </m:den>
                </m:f>
                <m:r>
                  <m:rPr>
                    <m:sty m:val="p"/>
                  </m:rP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m:t>
                    </m:r>
                  </m:sup>
                </m:sSup>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β</m:t>
                    </m:r>
                  </m:e>
                  <m:sup>
                    <m:r>
                      <m:rPr>
                        <m:sty m:val="p"/>
                      </m:rPr>
                      <w:rPr>
                        <w:rFonts w:ascii="Cambria Math" w:hAnsi="Cambria Math"/>
                      </w:rPr>
                      <m:t>'</m:t>
                    </m:r>
                  </m:sup>
                </m:sSup>
                <m:r>
                  <w:rPr>
                    <w:rFonts w:ascii="Cambria Math" w:hAnsi="Cambria Math"/>
                  </w:rPr>
                  <m:t>S</m:t>
                </m:r>
              </m:oMath>
            </m:oMathPara>
          </w:p>
        </w:tc>
        <w:tc>
          <w:tcPr>
            <w:tcW w:w="1096" w:type="dxa"/>
            <w:vAlign w:val="center"/>
          </w:tcPr>
          <w:p w14:paraId="10043AEF" w14:textId="241402BD" w:rsidR="00350668" w:rsidRDefault="00350668" w:rsidP="00F77E87">
            <w:pPr>
              <w:rPr>
                <w:rFonts w:eastAsiaTheme="majorEastAsia"/>
              </w:rPr>
            </w:pPr>
            <w:r>
              <w:rPr>
                <w:rFonts w:eastAsiaTheme="majorEastAsia"/>
              </w:rPr>
              <w:t>(61c)</w:t>
            </w:r>
          </w:p>
        </w:tc>
      </w:tr>
    </w:tbl>
    <w:p w14:paraId="15CC1B5F" w14:textId="3B7CF856" w:rsidR="008614ED" w:rsidRDefault="00E56273" w:rsidP="003F56CD">
      <w:pPr>
        <w:ind w:firstLine="0"/>
      </w:pPr>
      <w:r w:rsidRPr="00E56273">
        <w:lastRenderedPageBreak/>
        <w:t xml:space="preserve">where </w:t>
      </w:r>
      <m:oMath>
        <m:r>
          <w:rPr>
            <w:rFonts w:ascii="Cambria Math" w:hAnsi="Cambria Math"/>
          </w:rPr>
          <m:t>n</m:t>
        </m:r>
        <m:r>
          <m:rPr>
            <m:sty m:val="p"/>
          </m:rPr>
          <w:rPr>
            <w:rFonts w:ascii="Cambria Math" w:hAnsi="Cambria Math"/>
          </w:rPr>
          <m:t xml:space="preserve"> </m:t>
        </m:r>
      </m:oMath>
      <w:r w:rsidRPr="00E56273">
        <w:t xml:space="preserve">represents the unbound </w:t>
      </w:r>
      <w:r w:rsidR="004E788A" w:rsidRPr="00E56273">
        <w:t>mo</w:t>
      </w:r>
      <w:r w:rsidR="004E788A">
        <w:t>isture</w:t>
      </w:r>
      <w:r w:rsidRPr="00E56273">
        <w:t xml:space="preserve"> per unit volume, </w:t>
      </w:r>
      <m:oMath>
        <m:r>
          <w:rPr>
            <w:rFonts w:ascii="Cambria Math" w:hAnsi="Cambria Math"/>
          </w:rPr>
          <m:t>N</m:t>
        </m:r>
      </m:oMath>
      <w:r w:rsidRPr="00E56273">
        <w:t xml:space="preserve"> represents the bound </w:t>
      </w:r>
      <w:r w:rsidR="004E788A" w:rsidRPr="00E56273">
        <w:t>mo</w:t>
      </w:r>
      <w:r w:rsidR="004E788A">
        <w:t>isture</w:t>
      </w:r>
      <w:r w:rsidRPr="00E56273">
        <w:t xml:space="preserve"> per unit volume, </w:t>
      </w:r>
      <m:oMath>
        <m:r>
          <w:rPr>
            <w:rFonts w:ascii="Cambria Math" w:hAnsi="Cambria Math"/>
          </w:rPr>
          <m:t>S</m:t>
        </m:r>
      </m:oMath>
      <w:r w:rsidRPr="00E56273">
        <w:t xml:space="preserve"> is the stored </w:t>
      </w:r>
      <w:r w:rsidR="004E788A" w:rsidRPr="00E56273">
        <w:t>mo</w:t>
      </w:r>
      <w:r w:rsidR="004E788A">
        <w:t>isture</w:t>
      </w:r>
      <w:r w:rsidRPr="00E56273">
        <w:t xml:space="preserve"> per unit volume,</w:t>
      </w:r>
      <w:r w:rsidR="004E788A">
        <w:t xml:space="preserve"> </w:t>
      </w:r>
      <m:oMath>
        <m:r>
          <w:rPr>
            <w:rFonts w:ascii="Cambria Math" w:hAnsi="Cambria Math"/>
          </w:rPr>
          <m:t>γ</m:t>
        </m:r>
      </m:oMath>
      <w:r w:rsidR="004E788A" w:rsidRPr="00E56273">
        <w:t xml:space="preserve"> is the rate of an unbound mo</w:t>
      </w:r>
      <w:proofErr w:type="spellStart"/>
      <w:r w:rsidR="004E788A">
        <w:t>isture</w:t>
      </w:r>
      <w:proofErr w:type="spellEnd"/>
      <w:r w:rsidR="004E788A" w:rsidRPr="00E56273">
        <w:t xml:space="preserve"> to become </w:t>
      </w:r>
      <w:r w:rsidR="004E788A">
        <w:t>bound</w:t>
      </w:r>
      <w:r w:rsidR="004E788A" w:rsidRPr="00E56273">
        <w:t xml:space="preserve">, </w:t>
      </w:r>
      <m:oMath>
        <m:r>
          <w:rPr>
            <w:rFonts w:ascii="Cambria Math" w:hAnsi="Cambria Math"/>
          </w:rPr>
          <m:t>β</m:t>
        </m:r>
      </m:oMath>
      <w:r w:rsidR="004E788A" w:rsidRPr="00E56273">
        <w:t xml:space="preserve"> is the rate of </w:t>
      </w:r>
      <w:r w:rsidR="004E788A">
        <w:t>bound moisture</w:t>
      </w:r>
      <w:r w:rsidR="004E788A" w:rsidRPr="00E56273">
        <w:t xml:space="preserve"> to become an unbound</w:t>
      </w:r>
      <w:r w:rsidR="00CB64A3">
        <w:t>,</w:t>
      </w:r>
      <w:r w:rsidRPr="00E56273">
        <w:t xml:space="preserve"> </w:t>
      </w:r>
      <m:oMath>
        <m:sSup>
          <m:sSupPr>
            <m:ctrlPr>
              <w:rPr>
                <w:rFonts w:ascii="Cambria Math" w:hAnsi="Cambria Math"/>
                <w:i/>
              </w:rPr>
            </m:ctrlPr>
          </m:sSupPr>
          <m:e>
            <m:r>
              <w:rPr>
                <w:rFonts w:ascii="Cambria Math" w:hAnsi="Cambria Math"/>
              </w:rPr>
              <m:t>γ</m:t>
            </m:r>
          </m:e>
          <m:sup>
            <m:r>
              <w:rPr>
                <w:rFonts w:ascii="Cambria Math" w:hAnsi="Cambria Math"/>
              </w:rPr>
              <m:t>'</m:t>
            </m:r>
          </m:sup>
        </m:sSup>
      </m:oMath>
      <w:r w:rsidRPr="00E56273">
        <w:t xml:space="preserve"> is the rate of an unbound </w:t>
      </w:r>
      <w:r w:rsidR="004E788A" w:rsidRPr="00E56273">
        <w:t>mo</w:t>
      </w:r>
      <w:r w:rsidR="004E788A">
        <w:t>isture</w:t>
      </w:r>
      <w:r w:rsidRPr="00E56273">
        <w:t xml:space="preserve"> to become </w:t>
      </w:r>
      <w:r w:rsidR="0082323B">
        <w:t>stored</w:t>
      </w:r>
      <w:r w:rsidR="004E788A">
        <w:t>, and</w:t>
      </w:r>
      <w:r w:rsidRPr="00E56273">
        <w:t xml:space="preserve"> </w:t>
      </w:r>
      <m:oMath>
        <m:sSup>
          <m:sSupPr>
            <m:ctrlPr>
              <w:rPr>
                <w:rFonts w:ascii="Cambria Math" w:hAnsi="Cambria Math"/>
                <w:i/>
              </w:rPr>
            </m:ctrlPr>
          </m:sSupPr>
          <m:e>
            <m:r>
              <w:rPr>
                <w:rFonts w:ascii="Cambria Math" w:hAnsi="Cambria Math"/>
              </w:rPr>
              <m:t>β</m:t>
            </m:r>
          </m:e>
          <m:sup>
            <m:r>
              <w:rPr>
                <w:rFonts w:ascii="Cambria Math" w:hAnsi="Cambria Math"/>
              </w:rPr>
              <m:t>'</m:t>
            </m:r>
          </m:sup>
        </m:sSup>
      </m:oMath>
      <w:r w:rsidRPr="00E56273">
        <w:t xml:space="preserve"> is the rate of </w:t>
      </w:r>
      <w:r w:rsidR="0082323B">
        <w:t>stored</w:t>
      </w:r>
      <w:r w:rsidR="004E788A">
        <w:t xml:space="preserve"> moisture</w:t>
      </w:r>
      <w:r w:rsidRPr="00E56273">
        <w:t xml:space="preserve"> to become an unbound.</w:t>
      </w:r>
    </w:p>
    <w:p w14:paraId="41DC820C" w14:textId="6C2D8FF6" w:rsidR="00240E34" w:rsidRDefault="008614ED" w:rsidP="00682F7B">
      <w:r>
        <w:t xml:space="preserve">The formation of the trapped moisture is further investigated by </w:t>
      </w:r>
      <w:r w:rsidR="0082323B">
        <w:t>quantifying</w:t>
      </w:r>
      <w:r>
        <w:t xml:space="preserve"> the rate of exchanges between the unbound and trapped moisture. To characterize the effect of void volume fraction on the trapped moisture, a representative two-dimensional cross-section of a solid slab with and without void is illustrated in </w:t>
      </w:r>
      <w:r>
        <w:fldChar w:fldCharType="begin"/>
      </w:r>
      <w:r>
        <w:instrText xml:space="preserve"> REF _Ref523133447 \h </w:instrText>
      </w:r>
      <w:r w:rsidR="00682F7B">
        <w:instrText xml:space="preserve"> \* MERGEFORMAT </w:instrText>
      </w:r>
      <w:r>
        <w:fldChar w:fldCharType="separate"/>
      </w:r>
      <w:r w:rsidR="006D52C2">
        <w:t xml:space="preserve">Figure </w:t>
      </w:r>
      <w:r w:rsidR="006D52C2">
        <w:rPr>
          <w:noProof/>
        </w:rPr>
        <w:t>49</w:t>
      </w:r>
      <w:r>
        <w:fldChar w:fldCharType="end"/>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6130"/>
      </w:tblGrid>
      <w:tr w:rsidR="00240E34" w14:paraId="210C409A" w14:textId="77777777" w:rsidTr="004E788A">
        <w:trPr>
          <w:jc w:val="center"/>
        </w:trPr>
        <w:tc>
          <w:tcPr>
            <w:tcW w:w="990" w:type="dxa"/>
            <w:vAlign w:val="center"/>
          </w:tcPr>
          <w:p w14:paraId="5B6E1EFD" w14:textId="6BEF7653" w:rsidR="004E788A" w:rsidRPr="008614ED" w:rsidRDefault="00240E34" w:rsidP="008614ED">
            <w:pPr>
              <w:pStyle w:val="NoSpacing"/>
              <w:rPr>
                <w:i/>
              </w:rPr>
            </w:pPr>
            <w:r w:rsidRPr="008614ED">
              <w:rPr>
                <w:i/>
              </w:rPr>
              <w:t>a)</w:t>
            </w:r>
          </w:p>
          <w:p w14:paraId="5C9B4583" w14:textId="77777777" w:rsidR="00240E34" w:rsidRPr="008614ED" w:rsidRDefault="00240E34" w:rsidP="008614ED">
            <w:pPr>
              <w:pStyle w:val="NoSpacing"/>
              <w:rPr>
                <w:i/>
              </w:rPr>
            </w:pPr>
          </w:p>
        </w:tc>
        <w:tc>
          <w:tcPr>
            <w:tcW w:w="6122" w:type="dxa"/>
            <w:vAlign w:val="center"/>
          </w:tcPr>
          <w:p w14:paraId="1AD96534" w14:textId="03B1EA17" w:rsidR="00240E34" w:rsidRDefault="00240E34" w:rsidP="008614ED">
            <w:pPr>
              <w:pStyle w:val="NoSpacing"/>
            </w:pPr>
            <w:r>
              <w:object w:dxaOrig="8280" w:dyaOrig="3510" w14:anchorId="0A56C682">
                <v:shape id="_x0000_i1026" type="#_x0000_t75" style="width:4in;height:123.15pt" o:ole="">
                  <v:imagedata r:id="rId82" o:title=""/>
                </v:shape>
                <o:OLEObject Type="Embed" ProgID="PBrush" ShapeID="_x0000_i1026" DrawAspect="Content" ObjectID="_1606027271" r:id="rId83"/>
              </w:object>
            </w:r>
          </w:p>
        </w:tc>
      </w:tr>
      <w:tr w:rsidR="00240E34" w14:paraId="07C34689" w14:textId="77777777" w:rsidTr="008614ED">
        <w:trPr>
          <w:trHeight w:val="2511"/>
          <w:jc w:val="center"/>
        </w:trPr>
        <w:tc>
          <w:tcPr>
            <w:tcW w:w="990" w:type="dxa"/>
            <w:vAlign w:val="center"/>
          </w:tcPr>
          <w:p w14:paraId="7F304503" w14:textId="66464133" w:rsidR="00240E34" w:rsidRPr="008614ED" w:rsidRDefault="00240E34" w:rsidP="008614ED">
            <w:pPr>
              <w:pStyle w:val="NoSpacing"/>
              <w:rPr>
                <w:i/>
              </w:rPr>
            </w:pPr>
            <w:r w:rsidRPr="008614ED">
              <w:rPr>
                <w:i/>
              </w:rPr>
              <w:t>b)</w:t>
            </w:r>
          </w:p>
        </w:tc>
        <w:tc>
          <w:tcPr>
            <w:tcW w:w="6122" w:type="dxa"/>
            <w:vAlign w:val="center"/>
          </w:tcPr>
          <w:p w14:paraId="6E171D13" w14:textId="48FDAC68" w:rsidR="00240E34" w:rsidRDefault="00240E34" w:rsidP="008614ED">
            <w:pPr>
              <w:pStyle w:val="NoSpacing"/>
            </w:pPr>
            <w:r>
              <w:object w:dxaOrig="8460" w:dyaOrig="3600" w14:anchorId="7769E201">
                <v:shape id="_x0000_i1027" type="#_x0000_t75" style="width:295.6pt;height:130.75pt" o:ole="">
                  <v:imagedata r:id="rId84" o:title=""/>
                </v:shape>
                <o:OLEObject Type="Embed" ProgID="PBrush" ShapeID="_x0000_i1027" DrawAspect="Content" ObjectID="_1606027272" r:id="rId85"/>
              </w:object>
            </w:r>
          </w:p>
        </w:tc>
      </w:tr>
    </w:tbl>
    <w:p w14:paraId="6B3DC81E" w14:textId="15E2B88A" w:rsidR="00E56273" w:rsidRDefault="008614ED" w:rsidP="008614ED">
      <w:pPr>
        <w:pStyle w:val="Caption"/>
      </w:pPr>
      <w:bookmarkStart w:id="254" w:name="_Ref523133447"/>
      <w:bookmarkStart w:id="255" w:name="_Toc530997405"/>
      <w:r>
        <w:t xml:space="preserve">Figure </w:t>
      </w:r>
      <w:r w:rsidR="00012EB7">
        <w:rPr>
          <w:noProof/>
        </w:rPr>
        <w:fldChar w:fldCharType="begin"/>
      </w:r>
      <w:r w:rsidR="00012EB7">
        <w:rPr>
          <w:noProof/>
        </w:rPr>
        <w:instrText xml:space="preserve"> SEQ Figure \* ARABIC </w:instrText>
      </w:r>
      <w:r w:rsidR="00012EB7">
        <w:rPr>
          <w:noProof/>
        </w:rPr>
        <w:fldChar w:fldCharType="separate"/>
      </w:r>
      <w:r w:rsidR="006D52C2">
        <w:rPr>
          <w:noProof/>
        </w:rPr>
        <w:t>49</w:t>
      </w:r>
      <w:r w:rsidR="00012EB7">
        <w:rPr>
          <w:noProof/>
        </w:rPr>
        <w:fldChar w:fldCharType="end"/>
      </w:r>
      <w:bookmarkEnd w:id="254"/>
      <w:r>
        <w:t xml:space="preserve">. Representative 2D solid slab having </w:t>
      </w:r>
      <w:r w:rsidRPr="008614ED">
        <w:rPr>
          <w:i/>
        </w:rPr>
        <w:t>a)</w:t>
      </w:r>
      <w:r>
        <w:t xml:space="preserve"> no void </w:t>
      </w:r>
      <w:r w:rsidRPr="008614ED">
        <w:rPr>
          <w:i/>
        </w:rPr>
        <w:t>b)</w:t>
      </w:r>
      <w:r>
        <w:t xml:space="preserve"> void with a volume of </w:t>
      </w:r>
      <m:oMath>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v</m:t>
            </m:r>
          </m:sub>
        </m:sSub>
      </m:oMath>
      <w:bookmarkEnd w:id="255"/>
    </w:p>
    <w:p w14:paraId="6845CA65" w14:textId="77777777" w:rsidR="008614ED" w:rsidRPr="008614ED" w:rsidRDefault="008614ED" w:rsidP="008614ED"/>
    <w:p w14:paraId="1F001458" w14:textId="3F95A88C" w:rsidR="00E56273" w:rsidRDefault="00E56273" w:rsidP="00682F7B">
      <w:r w:rsidRPr="00E56273">
        <w:t>Let amount of unbound</w:t>
      </w:r>
      <w:r w:rsidR="00F014D2">
        <w:t xml:space="preserve"> moisture that the solid</w:t>
      </w:r>
      <w:r w:rsidR="008614ED">
        <w:t xml:space="preserve"> </w:t>
      </w:r>
      <w:r w:rsidR="00F014D2">
        <w:t>with no</w:t>
      </w:r>
      <w:r w:rsidRPr="00E56273">
        <w:t xml:space="preserve"> void</w:t>
      </w:r>
      <w:r w:rsidR="008614ED">
        <w:t xml:space="preserve"> </w:t>
      </w:r>
      <w:r w:rsidR="008614ED" w:rsidRPr="008614ED">
        <w:rPr>
          <w:i/>
        </w:rPr>
        <w:t>(a)</w:t>
      </w:r>
      <w:r w:rsidRPr="00E56273">
        <w:t xml:space="preserve"> can absorb </w:t>
      </w:r>
      <w:proofErr w:type="gramStart"/>
      <w:r w:rsidRPr="00E56273">
        <w:t xml:space="preserve">be </w:t>
      </w:r>
      <w:proofErr w:type="gramEnd"/>
      <m:oMath>
        <m:r>
          <w:rPr>
            <w:rFonts w:ascii="Cambria Math" w:hAnsi="Cambria Math"/>
          </w:rPr>
          <m:t>n</m:t>
        </m:r>
      </m:oMath>
      <w:r w:rsidRPr="00E56273">
        <w:t>. The amount of unbound moisture that</w:t>
      </w:r>
      <w:r w:rsidRPr="000E0049">
        <w:t xml:space="preserve"> </w:t>
      </w:r>
      <w:r>
        <w:t xml:space="preserve">the solid with void can absorb will be </w:t>
      </w:r>
      <m:oMath>
        <m:r>
          <w:rPr>
            <w:rFonts w:ascii="Cambria Math" w:hAnsi="Cambria Math"/>
          </w:rPr>
          <m:t>n</m:t>
        </m:r>
        <m:f>
          <m:fPr>
            <m:ctrlPr>
              <w:rPr>
                <w:rFonts w:ascii="Cambria Math" w:hAnsi="Cambria Math"/>
                <w:i/>
              </w:rPr>
            </m:ctrlPr>
          </m:fPr>
          <m:num>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V</m:t>
                </m:r>
              </m:sub>
            </m:sSub>
          </m:num>
          <m:den>
            <m:r>
              <w:rPr>
                <w:rFonts w:ascii="Cambria Math" w:hAnsi="Cambria Math"/>
              </w:rPr>
              <m:t>V</m:t>
            </m:r>
          </m:den>
        </m:f>
        <m:r>
          <w:rPr>
            <w:rFonts w:ascii="Cambria Math" w:hAnsi="Cambria Math"/>
          </w:rPr>
          <m:t>=n</m:t>
        </m:r>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 xml:space="preserve"> </m:t>
        </m:r>
      </m:oMath>
      <w:r>
        <w:t xml:space="preserve">where </w:t>
      </w:r>
      <m:oMath>
        <m:sSub>
          <m:sSubPr>
            <m:ctrlPr>
              <w:rPr>
                <w:rFonts w:ascii="Cambria Math" w:hAnsi="Cambria Math"/>
                <w:i/>
              </w:rPr>
            </m:ctrlPr>
          </m:sSubPr>
          <m:e>
            <m:r>
              <w:rPr>
                <w:rFonts w:ascii="Cambria Math" w:hAnsi="Cambria Math"/>
              </w:rPr>
              <m:t>v</m:t>
            </m:r>
          </m:e>
          <m:sub>
            <m:r>
              <w:rPr>
                <w:rFonts w:ascii="Cambria Math" w:hAnsi="Cambria Math"/>
              </w:rPr>
              <m:t>m</m:t>
            </m:r>
          </m:sub>
        </m:sSub>
      </m:oMath>
      <w:proofErr w:type="gramStart"/>
      <w:r>
        <w:t xml:space="preserve"> is the matrix volume fraction</w:t>
      </w:r>
      <w:proofErr w:type="gramEnd"/>
      <w:r>
        <w:t>.</w:t>
      </w:r>
    </w:p>
    <w:p w14:paraId="4F078BB1" w14:textId="260AF236" w:rsidR="0010669B" w:rsidRDefault="00FD0D0B" w:rsidP="00682F7B">
      <w:r>
        <w:lastRenderedPageBreak/>
        <w:t>When</w:t>
      </w:r>
      <w:r w:rsidR="00E56273">
        <w:t xml:space="preserve"> the </w:t>
      </w:r>
      <m:oMath>
        <m:sSub>
          <m:sSubPr>
            <m:ctrlPr>
              <w:rPr>
                <w:rFonts w:ascii="Cambria Math" w:hAnsi="Cambria Math"/>
                <w:i/>
              </w:rPr>
            </m:ctrlPr>
          </m:sSubPr>
          <m:e>
            <m:r>
              <w:rPr>
                <w:rFonts w:ascii="Cambria Math" w:hAnsi="Cambria Math"/>
              </w:rPr>
              <m:t>v</m:t>
            </m:r>
          </m:e>
          <m:sub>
            <m:r>
              <w:rPr>
                <w:rFonts w:ascii="Cambria Math" w:hAnsi="Cambria Math"/>
              </w:rPr>
              <m:t>m</m:t>
            </m:r>
          </m:sub>
        </m:sSub>
      </m:oMath>
      <w:r w:rsidR="00E56273">
        <w:t xml:space="preserve"> is smaller than void volume fraction</w:t>
      </w:r>
      <w:proofErr w:type="gramStart"/>
      <w:r w:rsidR="00E56273">
        <w:t xml:space="preserve">, </w:t>
      </w:r>
      <w:proofErr w:type="gramEnd"/>
      <m:oMath>
        <m:sSub>
          <m:sSubPr>
            <m:ctrlPr>
              <w:rPr>
                <w:rFonts w:ascii="Cambria Math" w:hAnsi="Cambria Math"/>
                <w:i/>
              </w:rPr>
            </m:ctrlPr>
          </m:sSubPr>
          <m:e>
            <m:r>
              <w:rPr>
                <w:rFonts w:ascii="Cambria Math" w:hAnsi="Cambria Math"/>
              </w:rPr>
              <m:t>v</m:t>
            </m:r>
          </m:e>
          <m:sub>
            <m:r>
              <w:rPr>
                <w:rFonts w:ascii="Cambria Math" w:hAnsi="Cambria Math"/>
              </w:rPr>
              <m:t>v</m:t>
            </m:r>
          </m:sub>
        </m:sSub>
        <m:r>
          <m:rPr>
            <m:sty m:val="p"/>
          </m:rPr>
          <w:rPr>
            <w:rFonts w:ascii="Cambria Math" w:hAnsi="Cambria Math"/>
          </w:rPr>
          <m:t>=</m:t>
        </m:r>
        <m:r>
          <w:rPr>
            <w:rFonts w:ascii="Cambria Math" w:hAnsi="Cambria Math"/>
          </w:rPr>
          <m:t>1-</m:t>
        </m:r>
        <m:sSub>
          <m:sSubPr>
            <m:ctrlPr>
              <w:rPr>
                <w:rFonts w:ascii="Cambria Math" w:hAnsi="Cambria Math"/>
                <w:i/>
              </w:rPr>
            </m:ctrlPr>
          </m:sSubPr>
          <m:e>
            <m:r>
              <w:rPr>
                <w:rFonts w:ascii="Cambria Math" w:hAnsi="Cambria Math"/>
              </w:rPr>
              <m:t>v</m:t>
            </m:r>
          </m:e>
          <m:sub>
            <m:r>
              <w:rPr>
                <w:rFonts w:ascii="Cambria Math" w:hAnsi="Cambria Math"/>
              </w:rPr>
              <m:t>m</m:t>
            </m:r>
          </m:sub>
        </m:sSub>
      </m:oMath>
      <w:r w:rsidR="00E56273">
        <w:t>, the rate of a</w:t>
      </w:r>
      <w:r w:rsidR="00FD2CA2">
        <w:t>n</w:t>
      </w:r>
      <w:r w:rsidR="00E56273">
        <w:t xml:space="preserve"> unbound molecule to become </w:t>
      </w:r>
      <w:r w:rsidR="0010669B">
        <w:t>trapped</w:t>
      </w:r>
      <w:r w:rsidR="008614ED">
        <w:t xml:space="preserve"> </w:t>
      </w:r>
      <w:r w:rsidR="009A0609">
        <w:t>in</w:t>
      </w:r>
      <w:r w:rsidR="00E56273">
        <w:t xml:space="preserve"> the void </w:t>
      </w:r>
      <w:r w:rsidR="008614ED">
        <w:t>should</w:t>
      </w:r>
      <w:r w:rsidR="00E56273">
        <w:t xml:space="preserve"> be </w:t>
      </w:r>
      <w:r w:rsidR="00174C93">
        <w:t>higher</w:t>
      </w:r>
      <w:r w:rsidR="00E56273">
        <w:t xml:space="preserve"> </w:t>
      </w:r>
      <w:r w:rsidR="0010669B">
        <w:t xml:space="preserve">than the rate of unbound molecule to become bound </w:t>
      </w:r>
      <w:r w:rsidR="00E56273">
        <w:t xml:space="preserve">(If </w:t>
      </w:r>
      <m:oMath>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&lt;</m:t>
        </m:r>
        <m:sSub>
          <m:sSubPr>
            <m:ctrlPr>
              <w:rPr>
                <w:rFonts w:ascii="Cambria Math" w:hAnsi="Cambria Math"/>
                <w:i/>
              </w:rPr>
            </m:ctrlPr>
          </m:sSubPr>
          <m:e>
            <m:r>
              <w:rPr>
                <w:rFonts w:ascii="Cambria Math" w:hAnsi="Cambria Math"/>
              </w:rPr>
              <m:t>v</m:t>
            </m:r>
          </m:e>
          <m:sub>
            <m:r>
              <w:rPr>
                <w:rFonts w:ascii="Cambria Math" w:hAnsi="Cambria Math"/>
              </w:rPr>
              <m:t>v</m:t>
            </m:r>
          </m:sub>
        </m:sSub>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yields</m:t>
                </m:r>
              </m:e>
            </m:groupChr>
            <m:r>
              <w:rPr>
                <w:rFonts w:ascii="Cambria Math" w:hAnsi="Cambria Math"/>
              </w:rPr>
              <m:t xml:space="preserve"> </m:t>
            </m:r>
          </m:e>
        </m:box>
        <m:sSup>
          <m:sSupPr>
            <m:ctrlPr>
              <w:rPr>
                <w:rFonts w:ascii="Cambria Math" w:hAnsi="Cambria Math"/>
                <w:i/>
              </w:rPr>
            </m:ctrlPr>
          </m:sSupPr>
          <m:e>
            <m:r>
              <w:rPr>
                <w:rFonts w:ascii="Cambria Math" w:hAnsi="Cambria Math"/>
              </w:rPr>
              <m:t>γ</m:t>
            </m:r>
          </m:e>
          <m:sup>
            <m:r>
              <w:rPr>
                <w:rFonts w:ascii="Cambria Math" w:hAnsi="Cambria Math"/>
              </w:rPr>
              <m:t>'</m:t>
            </m:r>
          </m:sup>
        </m:sSup>
        <m:r>
          <w:rPr>
            <w:rFonts w:ascii="Cambria Math" w:hAnsi="Cambria Math"/>
          </w:rPr>
          <m:t>&gt;γ</m:t>
        </m:r>
      </m:oMath>
      <w:r w:rsidR="00E56273">
        <w:t>).</w:t>
      </w:r>
      <w:r w:rsidR="0010669B">
        <w:t xml:space="preserve"> Unbound moisture around the void can either bind to the matrix/void interface or diffuse into the </w:t>
      </w:r>
      <w:r w:rsidR="00174C93">
        <w:t>void</w:t>
      </w:r>
      <w:r w:rsidR="0010669B">
        <w:t>. If the rate of unbound moisture to become bound is higher than the rate of unbound moisture to be trapped, unbound moisture would prefer to bind to the interface instead of filling the void</w:t>
      </w:r>
      <w:r w:rsidR="00DA2C09">
        <w:t xml:space="preserve"> resulting in reaching </w:t>
      </w:r>
      <w:r w:rsidR="00174C93">
        <w:t xml:space="preserve">an </w:t>
      </w:r>
      <w:r w:rsidR="00DA2C09">
        <w:t>unbound-bound moisture equilibrium before unbound-trapped and bound-trapped moisture equilibrium</w:t>
      </w:r>
      <w:r w:rsidR="0010669B">
        <w:t xml:space="preserve">. Hence, </w:t>
      </w:r>
      <w:r w:rsidR="00E56273">
        <w:t xml:space="preserve">equilibrium condition between the unbound and </w:t>
      </w:r>
      <w:r w:rsidR="0010669B">
        <w:t>trapped</w:t>
      </w:r>
      <w:r w:rsidR="00E56273">
        <w:t xml:space="preserve"> molecules</w:t>
      </w:r>
      <w:r w:rsidR="0010669B">
        <w:t>, and bound and trapped molecules</w:t>
      </w:r>
      <w:r w:rsidR="00E56273">
        <w:t xml:space="preserve"> would not be satisfied</w:t>
      </w:r>
      <w:r w:rsidR="0010669B">
        <w:t>. N</w:t>
      </w:r>
      <w:r w:rsidR="00E56273">
        <w:t>o unbound molecule would be left to fill the pores, causi</w:t>
      </w:r>
      <w:r w:rsidR="00E56273" w:rsidRPr="00E56273">
        <w:t>n</w:t>
      </w:r>
      <w:r w:rsidR="00E56273">
        <w:t>g intermittent diffusion. Thus, for a continuous diffusion</w:t>
      </w:r>
      <w:r w:rsidR="00DA2C09">
        <w:t>:</w:t>
      </w:r>
    </w:p>
    <w:tbl>
      <w:tblPr>
        <w:tblW w:w="0" w:type="auto"/>
        <w:tblLook w:val="04A0" w:firstRow="1" w:lastRow="0" w:firstColumn="1" w:lastColumn="0" w:noHBand="0" w:noVBand="1"/>
      </w:tblPr>
      <w:tblGrid>
        <w:gridCol w:w="7544"/>
        <w:gridCol w:w="1096"/>
      </w:tblGrid>
      <w:tr w:rsidR="0010669B" w:rsidRPr="001E6BA7" w14:paraId="3EE20C68" w14:textId="77777777" w:rsidTr="00623299">
        <w:tc>
          <w:tcPr>
            <w:tcW w:w="7544" w:type="dxa"/>
            <w:vAlign w:val="center"/>
          </w:tcPr>
          <w:p w14:paraId="7DC1D9FB" w14:textId="5E9ADB9D" w:rsidR="0010669B" w:rsidRPr="001E6BA7" w:rsidRDefault="007B3686" w:rsidP="00682F7B">
            <w:pPr>
              <w:rPr>
                <w:rFonts w:cs="Times New Roman"/>
                <w:szCs w:val="24"/>
              </w:rPr>
            </w:pPr>
            <m:oMathPara>
              <m:oMath>
                <m:sSup>
                  <m:sSupPr>
                    <m:ctrlPr>
                      <w:rPr>
                        <w:rFonts w:ascii="Cambria Math" w:hAnsi="Cambria Math"/>
                        <w:i/>
                      </w:rPr>
                    </m:ctrlPr>
                  </m:sSupPr>
                  <m:e>
                    <m:r>
                      <w:rPr>
                        <w:rFonts w:ascii="Cambria Math" w:hAnsi="Cambria Math"/>
                      </w:rPr>
                      <m:t>γ</m:t>
                    </m:r>
                  </m:e>
                  <m:sup>
                    <m: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v</m:t>
                        </m:r>
                      </m:sub>
                    </m:sSub>
                  </m:num>
                  <m:den>
                    <m:sSub>
                      <m:sSubPr>
                        <m:ctrlPr>
                          <w:rPr>
                            <w:rFonts w:ascii="Cambria Math" w:hAnsi="Cambria Math"/>
                            <w:i/>
                          </w:rPr>
                        </m:ctrlPr>
                      </m:sSubPr>
                      <m:e>
                        <m:r>
                          <w:rPr>
                            <w:rFonts w:ascii="Cambria Math" w:hAnsi="Cambria Math"/>
                          </w:rPr>
                          <m:t>v</m:t>
                        </m:r>
                      </m:e>
                      <m:sub>
                        <m:r>
                          <w:rPr>
                            <w:rFonts w:ascii="Cambria Math" w:hAnsi="Cambria Math"/>
                          </w:rPr>
                          <m:t>m</m:t>
                        </m:r>
                      </m:sub>
                    </m:sSub>
                  </m:den>
                </m:f>
                <m:r>
                  <w:rPr>
                    <w:rFonts w:ascii="Cambria Math" w:hAnsi="Cambria Math"/>
                  </w:rPr>
                  <m:t>γ=ζγ</m:t>
                </m:r>
              </m:oMath>
            </m:oMathPara>
          </w:p>
        </w:tc>
        <w:tc>
          <w:tcPr>
            <w:tcW w:w="1096" w:type="dxa"/>
            <w:vAlign w:val="center"/>
          </w:tcPr>
          <w:p w14:paraId="10D462E1" w14:textId="62BB176C" w:rsidR="0010669B" w:rsidRPr="001E6BA7" w:rsidRDefault="0010669B" w:rsidP="00682F7B">
            <w:pPr>
              <w:rPr>
                <w:rFonts w:eastAsiaTheme="majorEastAsia" w:cs="Times New Roman"/>
                <w:szCs w:val="24"/>
              </w:rPr>
            </w:pPr>
            <w:r w:rsidRPr="001E6BA7">
              <w:rPr>
                <w:rFonts w:eastAsiaTheme="majorEastAsia" w:cs="Times New Roman"/>
                <w:szCs w:val="24"/>
              </w:rPr>
              <w:t>(</w:t>
            </w:r>
            <w:r>
              <w:rPr>
                <w:rFonts w:eastAsiaTheme="majorEastAsia" w:cs="Times New Roman"/>
                <w:szCs w:val="24"/>
              </w:rPr>
              <w:t>62</w:t>
            </w:r>
            <w:r w:rsidRPr="001E6BA7">
              <w:rPr>
                <w:rFonts w:eastAsiaTheme="majorEastAsia" w:cs="Times New Roman"/>
                <w:szCs w:val="24"/>
              </w:rPr>
              <w:t>)</w:t>
            </w:r>
          </w:p>
        </w:tc>
      </w:tr>
    </w:tbl>
    <w:p w14:paraId="0F51AE85" w14:textId="2CEE38AD" w:rsidR="003652DC" w:rsidRDefault="00DA2C09" w:rsidP="00682F7B">
      <w:r>
        <w:t xml:space="preserve">In </w:t>
      </w:r>
      <w:r>
        <w:fldChar w:fldCharType="begin"/>
      </w:r>
      <w:r>
        <w:instrText xml:space="preserve"> REF _Ref523140622 \h </w:instrText>
      </w:r>
      <w:r w:rsidR="00682F7B">
        <w:instrText xml:space="preserve"> \* MERGEFORMAT </w:instrText>
      </w:r>
      <w:r>
        <w:fldChar w:fldCharType="separate"/>
      </w:r>
      <w:r w:rsidR="006D52C2">
        <w:t xml:space="preserve">Figure </w:t>
      </w:r>
      <w:r w:rsidR="006D52C2">
        <w:rPr>
          <w:noProof/>
        </w:rPr>
        <w:t>50</w:t>
      </w:r>
      <w:r>
        <w:fldChar w:fldCharType="end"/>
      </w:r>
      <w:r w:rsidR="009A0609">
        <w:t>, a representative water-filled-</w:t>
      </w:r>
      <w:r>
        <w:t>void is illustrated to explain the moisture desorption process in VFHDM. The moisture exits the pores through the void/matrix interface in two stages: 2a) Moisture desorption into the void/matrix interface, and 2b) moisture desorption from the interface to the matrix.</w:t>
      </w:r>
      <w:r w:rsidRPr="00DA2C09">
        <w:t xml:space="preserve"> </w:t>
      </w:r>
      <w:r>
        <w:t>For high porosity cases, (</w:t>
      </w:r>
      <m:oMath>
        <m:sSub>
          <m:sSubPr>
            <m:ctrlPr>
              <w:rPr>
                <w:rFonts w:ascii="Cambria Math" w:hAnsi="Cambria Math"/>
                <w:i/>
              </w:rPr>
            </m:ctrlPr>
          </m:sSubPr>
          <m:e>
            <m:r>
              <w:rPr>
                <w:rFonts w:ascii="Cambria Math" w:hAnsi="Cambria Math"/>
              </w:rPr>
              <m:t>v</m:t>
            </m:r>
          </m:e>
          <m:sub>
            <m:r>
              <w:rPr>
                <w:rFonts w:ascii="Cambria Math" w:hAnsi="Cambria Math"/>
              </w:rPr>
              <m:t>v</m:t>
            </m:r>
          </m:sub>
        </m:sSub>
        <m:r>
          <w:rPr>
            <w:rFonts w:ascii="Cambria Math" w:hAnsi="Cambria Math"/>
          </w:rPr>
          <m:t>&gt;0.5)</m:t>
        </m:r>
      </m:oMath>
      <w:r>
        <w:t xml:space="preserve">, </w:t>
      </w:r>
      <m:oMath>
        <m:sSup>
          <m:sSupPr>
            <m:ctrlPr>
              <w:rPr>
                <w:rFonts w:ascii="Cambria Math" w:hAnsi="Cambria Math"/>
                <w:i/>
              </w:rPr>
            </m:ctrlPr>
          </m:sSupPr>
          <m:e>
            <m:r>
              <w:rPr>
                <w:rFonts w:ascii="Cambria Math" w:hAnsi="Cambria Math"/>
              </w:rPr>
              <m:t>β</m:t>
            </m:r>
          </m:e>
          <m:sup>
            <m:r>
              <w:rPr>
                <w:rFonts w:ascii="Cambria Math" w:hAnsi="Cambria Math"/>
              </w:rPr>
              <m:t>'</m:t>
            </m:r>
          </m:sup>
        </m:sSup>
      </m:oMath>
      <w:r>
        <w:t xml:space="preserve"> should be equal to </w:t>
      </w:r>
      <m:oMath>
        <m:r>
          <w:rPr>
            <w:rFonts w:ascii="Cambria Math" w:hAnsi="Cambria Math"/>
          </w:rPr>
          <m:t>β</m:t>
        </m:r>
      </m:oMath>
      <w:r>
        <w:t xml:space="preserve"> due to equilibrium constraints. If the rate of desorption to the interface from the pore is higher (2a&gt;2b), the interface would reach equilibrium faster causing intermittent diffusion just </w:t>
      </w:r>
      <w:proofErr w:type="gramStart"/>
      <w:r>
        <w:t xml:space="preserve">like </w:t>
      </w:r>
      <w:proofErr w:type="gramEnd"/>
      <m:oMath>
        <m:sSup>
          <m:sSupPr>
            <m:ctrlPr>
              <w:rPr>
                <w:rFonts w:ascii="Cambria Math" w:hAnsi="Cambria Math"/>
                <w:i/>
              </w:rPr>
            </m:ctrlPr>
          </m:sSupPr>
          <m:e>
            <m:r>
              <w:rPr>
                <w:rFonts w:ascii="Cambria Math" w:hAnsi="Cambria Math"/>
              </w:rPr>
              <m:t>γ</m:t>
            </m:r>
          </m:e>
          <m:sup>
            <m:r>
              <w:rPr>
                <w:rFonts w:ascii="Cambria Math" w:hAnsi="Cambria Math"/>
              </w:rPr>
              <m:t>'</m:t>
            </m:r>
          </m:sup>
        </m:sSup>
        <m:r>
          <w:rPr>
            <w:rFonts w:ascii="Cambria Math" w:hAnsi="Cambria Math"/>
          </w:rPr>
          <m:t>&lt;γ</m:t>
        </m:r>
      </m:oMath>
      <w:r>
        <w:t>. On the other hand, higher rate of desorption from the interface to the matrix (2b&gt;2a), pores would be left dry. Thus</w:t>
      </w:r>
      <w:proofErr w:type="gramStart"/>
      <w:r>
        <w:t xml:space="preserve">, </w:t>
      </w:r>
      <w:proofErr w:type="gramEnd"/>
      <m:oMath>
        <m:sSup>
          <m:sSupPr>
            <m:ctrlPr>
              <w:rPr>
                <w:rFonts w:ascii="Cambria Math" w:hAnsi="Cambria Math"/>
                <w:i/>
              </w:rPr>
            </m:ctrlPr>
          </m:sSupPr>
          <m:e>
            <m:r>
              <w:rPr>
                <w:rFonts w:ascii="Cambria Math" w:hAnsi="Cambria Math"/>
              </w:rPr>
              <m:t>β</m:t>
            </m:r>
          </m:e>
          <m:sup>
            <m:r>
              <w:rPr>
                <w:rFonts w:ascii="Cambria Math" w:hAnsi="Cambria Math"/>
              </w:rPr>
              <m:t>'</m:t>
            </m:r>
          </m:sup>
        </m:sSup>
        <m:r>
          <w:rPr>
            <w:rFonts w:ascii="Cambria Math" w:hAnsi="Cambria Math"/>
          </w:rPr>
          <m:t>=β</m:t>
        </m:r>
      </m:oMath>
      <w:r>
        <w:t>. It should be noted here that the</w:t>
      </w:r>
      <w:r w:rsidRPr="00DA2C09">
        <w:t xml:space="preserve"> bound moisture absorbed by the matrix is</w:t>
      </w:r>
      <w:r>
        <w:t xml:space="preserve"> assumed to be</w:t>
      </w:r>
      <w:r w:rsidRPr="00DA2C09">
        <w:t xml:space="preserve"> negligible compared to</w:t>
      </w:r>
      <w:r w:rsidR="0084615F">
        <w:t xml:space="preserve"> the interface bound moisture.</w:t>
      </w:r>
    </w:p>
    <w:p w14:paraId="1F6611C3" w14:textId="29C43AA9" w:rsidR="00F014D2" w:rsidRDefault="00F014D2" w:rsidP="004E2517">
      <w:pPr>
        <w:jc w:val="center"/>
      </w:pPr>
      <w:r>
        <w:rPr>
          <w:noProof/>
        </w:rPr>
        <w:lastRenderedPageBreak/>
        <w:drawing>
          <wp:inline distT="0" distB="0" distL="0" distR="0" wp14:anchorId="680B308C" wp14:editId="2C2E4F93">
            <wp:extent cx="3437919" cy="2743200"/>
            <wp:effectExtent l="0" t="0" r="0" b="0"/>
            <wp:docPr id="4137" name="Picture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37919" cy="2743200"/>
                    </a:xfrm>
                    <a:prstGeom prst="rect">
                      <a:avLst/>
                    </a:prstGeom>
                    <a:noFill/>
                    <a:ln>
                      <a:noFill/>
                    </a:ln>
                  </pic:spPr>
                </pic:pic>
              </a:graphicData>
            </a:graphic>
          </wp:inline>
        </w:drawing>
      </w:r>
    </w:p>
    <w:p w14:paraId="17C8AB0D" w14:textId="58201087" w:rsidR="00DA2C09" w:rsidRDefault="00DA2C09" w:rsidP="00DA2C09">
      <w:pPr>
        <w:pStyle w:val="Caption"/>
      </w:pPr>
      <w:bookmarkStart w:id="256" w:name="_Ref523140622"/>
      <w:bookmarkStart w:id="257" w:name="_Toc530997406"/>
      <w:r>
        <w:t xml:space="preserve">Figure </w:t>
      </w:r>
      <w:r w:rsidR="00012EB7">
        <w:rPr>
          <w:noProof/>
        </w:rPr>
        <w:fldChar w:fldCharType="begin"/>
      </w:r>
      <w:r w:rsidR="00012EB7">
        <w:rPr>
          <w:noProof/>
        </w:rPr>
        <w:instrText xml:space="preserve"> SEQ Figure \* ARABIC </w:instrText>
      </w:r>
      <w:r w:rsidR="00012EB7">
        <w:rPr>
          <w:noProof/>
        </w:rPr>
        <w:fldChar w:fldCharType="separate"/>
      </w:r>
      <w:r w:rsidR="006D52C2">
        <w:rPr>
          <w:noProof/>
        </w:rPr>
        <w:t>50</w:t>
      </w:r>
      <w:r w:rsidR="00012EB7">
        <w:rPr>
          <w:noProof/>
        </w:rPr>
        <w:fldChar w:fldCharType="end"/>
      </w:r>
      <w:bookmarkEnd w:id="256"/>
      <w:r>
        <w:t>. Moisture desorption steps in a representative water filled void</w:t>
      </w:r>
      <w:bookmarkEnd w:id="257"/>
      <w:r>
        <w:t xml:space="preserve"> </w:t>
      </w:r>
    </w:p>
    <w:p w14:paraId="7C11F23F" w14:textId="77777777" w:rsidR="00DA2C09" w:rsidRPr="00DA2C09" w:rsidRDefault="00DA2C09" w:rsidP="00DA2C09"/>
    <w:p w14:paraId="7FBE68A0" w14:textId="77777777" w:rsidR="00E56273" w:rsidRDefault="00E56273" w:rsidP="00682F7B">
      <w:r>
        <w:t>Resulting void filling model becomes:</w:t>
      </w:r>
    </w:p>
    <w:tbl>
      <w:tblPr>
        <w:tblW w:w="0" w:type="auto"/>
        <w:tblLook w:val="04A0" w:firstRow="1" w:lastRow="0" w:firstColumn="1" w:lastColumn="0" w:noHBand="0" w:noVBand="1"/>
      </w:tblPr>
      <w:tblGrid>
        <w:gridCol w:w="7544"/>
        <w:gridCol w:w="1096"/>
      </w:tblGrid>
      <w:tr w:rsidR="00DA2C09" w:rsidRPr="001E6BA7" w14:paraId="4363A2C5" w14:textId="77777777" w:rsidTr="00623299">
        <w:tc>
          <w:tcPr>
            <w:tcW w:w="7544" w:type="dxa"/>
            <w:vAlign w:val="center"/>
          </w:tcPr>
          <w:p w14:paraId="2BF549EF" w14:textId="77777777" w:rsidR="00DA2C09" w:rsidRPr="001E6BA7" w:rsidRDefault="00DA2C09" w:rsidP="00682F7B">
            <w:pPr>
              <w:rPr>
                <w:rFonts w:cs="Times New Roman"/>
                <w:szCs w:val="24"/>
              </w:rPr>
            </w:pPr>
            <m:oMathPara>
              <m:oMath>
                <m:r>
                  <w:rPr>
                    <w:rFonts w:ascii="Cambria Math" w:hAnsi="Cambria Math" w:cs="Times New Roman"/>
                    <w:szCs w:val="24"/>
                  </w:rPr>
                  <m:t>D</m:t>
                </m:r>
                <m:f>
                  <m:fPr>
                    <m:ctrlPr>
                      <w:rPr>
                        <w:rFonts w:ascii="Cambria Math" w:hAnsi="Cambria Math" w:cs="Times New Roman"/>
                        <w:i/>
                        <w:iCs/>
                        <w:szCs w:val="24"/>
                      </w:rPr>
                    </m:ctrlPr>
                  </m:fPr>
                  <m:num>
                    <m:sSup>
                      <m:sSupPr>
                        <m:ctrlPr>
                          <w:rPr>
                            <w:rFonts w:ascii="Cambria Math" w:hAnsi="Cambria Math" w:cs="Times New Roman"/>
                            <w:i/>
                            <w:iCs/>
                            <w:szCs w:val="24"/>
                          </w:rPr>
                        </m:ctrlPr>
                      </m:sSupPr>
                      <m:e>
                        <m:r>
                          <w:rPr>
                            <w:rFonts w:ascii="Cambria Math" w:hAnsi="Cambria Math" w:cs="Times New Roman"/>
                            <w:szCs w:val="24"/>
                          </w:rPr>
                          <m:t>∂</m:t>
                        </m:r>
                      </m:e>
                      <m:sup>
                        <m:r>
                          <w:rPr>
                            <w:rFonts w:ascii="Cambria Math" w:hAnsi="Cambria Math" w:cs="Times New Roman"/>
                            <w:szCs w:val="24"/>
                          </w:rPr>
                          <m:t>2</m:t>
                        </m:r>
                      </m:sup>
                    </m:sSup>
                    <m:r>
                      <w:rPr>
                        <w:rFonts w:ascii="Cambria Math" w:hAnsi="Cambria Math" w:cs="Times New Roman"/>
                        <w:szCs w:val="24"/>
                      </w:rPr>
                      <m:t>n</m:t>
                    </m:r>
                  </m:num>
                  <m:den>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z</m:t>
                        </m:r>
                      </m:e>
                      <m:sup>
                        <m: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∂n</m:t>
                    </m:r>
                  </m:num>
                  <m:den>
                    <m:r>
                      <w:rPr>
                        <w:rFonts w:ascii="Cambria Math" w:hAnsi="Cambria Math" w:cs="Times New Roman"/>
                        <w:szCs w:val="24"/>
                      </w:rPr>
                      <m:t>∂t</m:t>
                    </m:r>
                  </m:den>
                </m:f>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∂N</m:t>
                    </m:r>
                  </m:num>
                  <m:den>
                    <m:r>
                      <w:rPr>
                        <w:rFonts w:ascii="Cambria Math" w:hAnsi="Cambria Math" w:cs="Times New Roman"/>
                        <w:szCs w:val="24"/>
                      </w:rPr>
                      <m:t>∂t</m:t>
                    </m:r>
                  </m:den>
                </m:f>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∂S</m:t>
                    </m:r>
                  </m:num>
                  <m:den>
                    <m:r>
                      <w:rPr>
                        <w:rFonts w:ascii="Cambria Math" w:hAnsi="Cambria Math" w:cs="Times New Roman"/>
                        <w:szCs w:val="24"/>
                      </w:rPr>
                      <m:t>∂t</m:t>
                    </m:r>
                  </m:den>
                </m:f>
              </m:oMath>
            </m:oMathPara>
          </w:p>
        </w:tc>
        <w:tc>
          <w:tcPr>
            <w:tcW w:w="1096" w:type="dxa"/>
            <w:vAlign w:val="center"/>
          </w:tcPr>
          <w:p w14:paraId="7C221A9B" w14:textId="50D20903" w:rsidR="00DA2C09" w:rsidRPr="001E6BA7" w:rsidRDefault="00DA2C09" w:rsidP="00682F7B">
            <w:pPr>
              <w:rPr>
                <w:rFonts w:eastAsiaTheme="majorEastAsia" w:cs="Times New Roman"/>
                <w:szCs w:val="24"/>
              </w:rPr>
            </w:pPr>
            <w:r w:rsidRPr="001E6BA7">
              <w:rPr>
                <w:rFonts w:eastAsiaTheme="majorEastAsia" w:cs="Times New Roman"/>
                <w:szCs w:val="24"/>
              </w:rPr>
              <w:t>(</w:t>
            </w:r>
            <w:r>
              <w:rPr>
                <w:rFonts w:eastAsiaTheme="majorEastAsia" w:cs="Times New Roman"/>
                <w:szCs w:val="24"/>
              </w:rPr>
              <w:t>63</w:t>
            </w:r>
            <w:r w:rsidRPr="001E6BA7">
              <w:rPr>
                <w:rFonts w:eastAsiaTheme="majorEastAsia" w:cs="Times New Roman"/>
                <w:szCs w:val="24"/>
              </w:rPr>
              <w:t>a)</w:t>
            </w:r>
          </w:p>
        </w:tc>
      </w:tr>
      <w:tr w:rsidR="00DA2C09" w:rsidRPr="001E6BA7" w14:paraId="1B64A1B1" w14:textId="77777777" w:rsidTr="00623299">
        <w:tc>
          <w:tcPr>
            <w:tcW w:w="7544" w:type="dxa"/>
            <w:vAlign w:val="center"/>
          </w:tcPr>
          <w:p w14:paraId="60684026" w14:textId="77777777" w:rsidR="00DA2C09" w:rsidRPr="001E6BA7" w:rsidRDefault="007B3686" w:rsidP="00682F7B">
            <w:pPr>
              <w:rPr>
                <w:rFonts w:cs="Times New Roman"/>
                <w:szCs w:val="24"/>
              </w:rPr>
            </w:pPr>
            <m:oMathPara>
              <m:oMath>
                <m:f>
                  <m:fPr>
                    <m:ctrlPr>
                      <w:rPr>
                        <w:rFonts w:ascii="Cambria Math" w:hAnsi="Cambria Math" w:cs="Times New Roman"/>
                        <w:i/>
                        <w:iCs/>
                        <w:szCs w:val="24"/>
                      </w:rPr>
                    </m:ctrlPr>
                  </m:fPr>
                  <m:num>
                    <m:r>
                      <w:rPr>
                        <w:rFonts w:ascii="Cambria Math" w:hAnsi="Cambria Math" w:cs="Times New Roman"/>
                        <w:szCs w:val="24"/>
                      </w:rPr>
                      <m:t>∂N</m:t>
                    </m:r>
                  </m:num>
                  <m:den>
                    <m:r>
                      <w:rPr>
                        <w:rFonts w:ascii="Cambria Math" w:hAnsi="Cambria Math" w:cs="Times New Roman"/>
                        <w:szCs w:val="24"/>
                      </w:rPr>
                      <m:t>∂t</m:t>
                    </m:r>
                  </m:den>
                </m:f>
                <m:r>
                  <w:rPr>
                    <w:rFonts w:ascii="Cambria Math" w:hAnsi="Cambria Math" w:cs="Times New Roman"/>
                    <w:szCs w:val="24"/>
                  </w:rPr>
                  <m:t>=γn-βN</m:t>
                </m:r>
              </m:oMath>
            </m:oMathPara>
          </w:p>
        </w:tc>
        <w:tc>
          <w:tcPr>
            <w:tcW w:w="1096" w:type="dxa"/>
            <w:vAlign w:val="center"/>
          </w:tcPr>
          <w:p w14:paraId="1A71D0D1" w14:textId="26ACD42F" w:rsidR="00DA2C09" w:rsidRPr="001E6BA7" w:rsidRDefault="00DA2C09" w:rsidP="00682F7B">
            <w:pPr>
              <w:rPr>
                <w:rFonts w:eastAsiaTheme="majorEastAsia" w:cs="Times New Roman"/>
                <w:szCs w:val="24"/>
              </w:rPr>
            </w:pPr>
            <w:r>
              <w:rPr>
                <w:rFonts w:eastAsiaTheme="majorEastAsia" w:cs="Times New Roman"/>
                <w:szCs w:val="24"/>
              </w:rPr>
              <w:t>(63</w:t>
            </w:r>
            <w:r w:rsidRPr="001E6BA7">
              <w:rPr>
                <w:rFonts w:eastAsiaTheme="majorEastAsia" w:cs="Times New Roman"/>
                <w:szCs w:val="24"/>
              </w:rPr>
              <w:t>b)</w:t>
            </w:r>
          </w:p>
        </w:tc>
      </w:tr>
      <w:tr w:rsidR="00DA2C09" w:rsidRPr="001E6BA7" w14:paraId="08A4FFF2" w14:textId="77777777" w:rsidTr="00623299">
        <w:tc>
          <w:tcPr>
            <w:tcW w:w="7544" w:type="dxa"/>
            <w:vAlign w:val="center"/>
          </w:tcPr>
          <w:p w14:paraId="7E9BCCE0" w14:textId="7276D69C" w:rsidR="00DA2C09" w:rsidRPr="00DA2C09" w:rsidRDefault="007B3686" w:rsidP="00682F7B">
            <w:pPr>
              <w:rPr>
                <w:rFonts w:cs="Times New Roman"/>
                <w:szCs w:val="24"/>
              </w:rPr>
            </w:pPr>
            <m:oMathPara>
              <m:oMath>
                <m:f>
                  <m:fPr>
                    <m:ctrlPr>
                      <w:rPr>
                        <w:rFonts w:ascii="Cambria Math" w:hAnsi="Cambria Math" w:cs="Times New Roman"/>
                        <w:szCs w:val="24"/>
                      </w:rPr>
                    </m:ctrlPr>
                  </m:fPr>
                  <m:num>
                    <m:r>
                      <w:rPr>
                        <w:rFonts w:ascii="Cambria Math" w:hAnsi="Cambria Math" w:cs="Times New Roman"/>
                        <w:szCs w:val="24"/>
                      </w:rPr>
                      <m:t>∂S</m:t>
                    </m:r>
                  </m:num>
                  <m:den>
                    <m:r>
                      <w:rPr>
                        <w:rFonts w:ascii="Cambria Math" w:hAnsi="Cambria Math" w:cs="Times New Roman"/>
                        <w:szCs w:val="24"/>
                      </w:rPr>
                      <m:t>∂t</m:t>
                    </m:r>
                  </m:den>
                </m:f>
                <m:r>
                  <m:rPr>
                    <m:sty m:val="p"/>
                  </m:rPr>
                  <w:rPr>
                    <w:rFonts w:ascii="Cambria Math" w:hAnsi="Cambria Math" w:cs="Times New Roman"/>
                    <w:szCs w:val="24"/>
                  </w:rPr>
                  <m:t>=</m:t>
                </m:r>
                <m:r>
                  <w:rPr>
                    <w:rFonts w:ascii="Cambria Math" w:hAnsi="Cambria Math" w:cs="Times New Roman"/>
                    <w:szCs w:val="24"/>
                  </w:rPr>
                  <m:t>ζγn</m:t>
                </m:r>
                <m:r>
                  <m:rPr>
                    <m:sty m:val="p"/>
                  </m:rPr>
                  <w:rPr>
                    <w:rFonts w:ascii="Cambria Math" w:hAnsi="Cambria Math" w:cs="Times New Roman"/>
                    <w:szCs w:val="24"/>
                  </w:rPr>
                  <m:t>-</m:t>
                </m:r>
                <m:r>
                  <w:rPr>
                    <w:rFonts w:ascii="Cambria Math" w:hAnsi="Cambria Math" w:cs="Times New Roman"/>
                    <w:szCs w:val="24"/>
                  </w:rPr>
                  <m:t>βS</m:t>
                </m:r>
              </m:oMath>
            </m:oMathPara>
          </w:p>
        </w:tc>
        <w:tc>
          <w:tcPr>
            <w:tcW w:w="1096" w:type="dxa"/>
            <w:vAlign w:val="center"/>
          </w:tcPr>
          <w:p w14:paraId="3A0FBBD0" w14:textId="0516C61A" w:rsidR="00DA2C09" w:rsidRDefault="00DA2C09" w:rsidP="00682F7B">
            <w:pPr>
              <w:rPr>
                <w:rFonts w:eastAsiaTheme="majorEastAsia" w:cs="Times New Roman"/>
                <w:szCs w:val="24"/>
              </w:rPr>
            </w:pPr>
            <w:r>
              <w:rPr>
                <w:rFonts w:eastAsiaTheme="majorEastAsia" w:cs="Times New Roman"/>
                <w:szCs w:val="24"/>
              </w:rPr>
              <w:t>(63c)</w:t>
            </w:r>
          </w:p>
        </w:tc>
      </w:tr>
    </w:tbl>
    <w:p w14:paraId="676417F2" w14:textId="41E883C1" w:rsidR="00E56273" w:rsidRPr="00324C24" w:rsidRDefault="00F014D2" w:rsidP="00682F7B">
      <w:pPr>
        <w:rPr>
          <w:rFonts w:cs="Times New Roman"/>
          <w:szCs w:val="24"/>
        </w:rPr>
      </w:pPr>
      <w:r w:rsidRPr="00E56273">
        <w:t xml:space="preserve">Void filling </w:t>
      </w:r>
      <w:r>
        <w:t>hindered diffusion</w:t>
      </w:r>
      <w:r w:rsidRPr="00E56273">
        <w:t xml:space="preserve"> model considers diffusion, chemical interaction between medium and penetrant</w:t>
      </w:r>
      <w:r>
        <w:t>,</w:t>
      </w:r>
      <w:r w:rsidRPr="00E56273">
        <w:t xml:space="preserve"> and storage of moisture in voids and porous structure. The model </w:t>
      </w:r>
      <w:r>
        <w:t xml:space="preserve">moderately </w:t>
      </w:r>
      <w:r w:rsidRPr="00E56273">
        <w:t xml:space="preserve">assumes that there are two types of bound molecules. First type is </w:t>
      </w:r>
      <w:r w:rsidR="00174C93">
        <w:t>the</w:t>
      </w:r>
      <w:r w:rsidRPr="00E56273">
        <w:t xml:space="preserve"> bound molecules which interact with the polyme</w:t>
      </w:r>
      <w:r>
        <w:t>r chains, the polymer-inclusion</w:t>
      </w:r>
      <w:r w:rsidR="00CB64A3">
        <w:t>,</w:t>
      </w:r>
      <w:r>
        <w:t xml:space="preserve"> </w:t>
      </w:r>
      <w:r w:rsidR="00CB64A3">
        <w:t>and/</w:t>
      </w:r>
      <w:r>
        <w:t>or polymer-</w:t>
      </w:r>
      <w:r w:rsidRPr="00E56273">
        <w:t xml:space="preserve">void interface. This type of bound molecule absorption can be predicted by </w:t>
      </w:r>
      <w:r w:rsidR="00174C93">
        <w:t xml:space="preserve">the unmodified, original </w:t>
      </w:r>
      <w:r w:rsidRPr="00E56273">
        <w:t>hindered diffusion model. Second type of bound molecule is the one that penetrates the closed-cell pore and forms a</w:t>
      </w:r>
      <w:r w:rsidR="00174C93">
        <w:t>n accumulated</w:t>
      </w:r>
      <w:r w:rsidRPr="00E56273">
        <w:t xml:space="preserve"> </w:t>
      </w:r>
      <w:r w:rsidR="00174C93">
        <w:t>amount</w:t>
      </w:r>
      <w:r w:rsidRPr="00E56273">
        <w:t xml:space="preserve"> of penetrant. In other words, diffusing molecules </w:t>
      </w:r>
      <w:r>
        <w:t>interacts</w:t>
      </w:r>
      <w:r w:rsidRPr="00E56273">
        <w:t xml:space="preserve"> </w:t>
      </w:r>
      <w:r>
        <w:t>with</w:t>
      </w:r>
      <w:r w:rsidRPr="00E56273">
        <w:t xml:space="preserve"> each other inside the pore t</w:t>
      </w:r>
      <w:r>
        <w:t xml:space="preserve">o become </w:t>
      </w:r>
      <w:r w:rsidR="00174C93">
        <w:t xml:space="preserve">a </w:t>
      </w:r>
      <w:r>
        <w:t xml:space="preserve">body of </w:t>
      </w:r>
      <w:r>
        <w:lastRenderedPageBreak/>
        <w:t>liquid. Void f</w:t>
      </w:r>
      <w:r w:rsidRPr="00E56273">
        <w:t>illing</w:t>
      </w:r>
      <w:r>
        <w:t xml:space="preserve"> hindered</w:t>
      </w:r>
      <w:r w:rsidRPr="00E56273">
        <w:t xml:space="preserve"> diffusion model basically extends the </w:t>
      </w:r>
      <w:r w:rsidR="00174C93">
        <w:t>h</w:t>
      </w:r>
      <w:r w:rsidRPr="00E56273">
        <w:t xml:space="preserve">indered diffusion model by </w:t>
      </w:r>
      <w:r w:rsidR="00174C93">
        <w:t>introducing a new type of</w:t>
      </w:r>
      <w:r w:rsidRPr="00E56273">
        <w:t xml:space="preserve"> bound moisture </w:t>
      </w:r>
      <w:r w:rsidR="00174C93">
        <w:t>which is stored in the voids</w:t>
      </w:r>
      <w:r w:rsidRPr="00E56273">
        <w:t>.</w:t>
      </w:r>
      <w:r w:rsidR="008614ED" w:rsidRPr="008614ED">
        <w:t xml:space="preserve"> </w:t>
      </w:r>
    </w:p>
    <w:p w14:paraId="05F79B99" w14:textId="06429E5D" w:rsidR="00E56273" w:rsidRDefault="00E56273" w:rsidP="00682F7B">
      <w:pPr>
        <w:pStyle w:val="Equations"/>
      </w:pPr>
      <w:r w:rsidRPr="00324C24">
        <w:t>Analytical solution of the set of differential equations of void fi</w:t>
      </w:r>
      <w:r w:rsidR="00FD2CA2">
        <w:t>l</w:t>
      </w:r>
      <w:r w:rsidRPr="00324C24">
        <w:t>ling</w:t>
      </w:r>
      <w:r w:rsidR="00FD2CA2">
        <w:t xml:space="preserve"> hindered diffusion </w:t>
      </w:r>
      <w:r w:rsidRPr="00324C24">
        <w:t>model is</w:t>
      </w:r>
      <w:r w:rsidR="003E2E0B">
        <w:t xml:space="preserve"> given in Eqs. (64).</w:t>
      </w:r>
    </w:p>
    <w:tbl>
      <w:tblPr>
        <w:tblW w:w="0" w:type="auto"/>
        <w:tblLayout w:type="fixed"/>
        <w:tblLook w:val="04A0" w:firstRow="1" w:lastRow="0" w:firstColumn="1" w:lastColumn="0" w:noHBand="0" w:noVBand="1"/>
      </w:tblPr>
      <w:tblGrid>
        <w:gridCol w:w="7830"/>
        <w:gridCol w:w="810"/>
      </w:tblGrid>
      <w:tr w:rsidR="003E2E0B" w:rsidRPr="001E6BA7" w14:paraId="166A5590" w14:textId="77777777" w:rsidTr="00682F7B">
        <w:tc>
          <w:tcPr>
            <w:tcW w:w="7830" w:type="dxa"/>
            <w:vAlign w:val="center"/>
          </w:tcPr>
          <w:p w14:paraId="22756CDC" w14:textId="49E958AC" w:rsidR="003E2E0B" w:rsidRPr="003E2E0B" w:rsidRDefault="003E2E0B" w:rsidP="00682F7B">
            <w:pPr>
              <w:pStyle w:val="Equations"/>
            </w:pPr>
            <m:oMathPara>
              <m:oMath>
                <m:r>
                  <w:rPr>
                    <w:rFonts w:ascii="Cambria Math" w:hAnsi="Cambria Math"/>
                  </w:rPr>
                  <m:t>n</m:t>
                </m:r>
                <m:d>
                  <m:dPr>
                    <m:ctrlPr>
                      <w:rPr>
                        <w:rFonts w:ascii="Cambria Math" w:hAnsi="Cambria Math"/>
                      </w:rPr>
                    </m:ctrlPr>
                  </m:dPr>
                  <m:e>
                    <m:r>
                      <w:rPr>
                        <w:rFonts w:ascii="Cambria Math" w:hAnsi="Cambria Math"/>
                      </w:rPr>
                      <m:t>z</m:t>
                    </m:r>
                    <m:r>
                      <m:rPr>
                        <m:sty m:val="p"/>
                      </m:rPr>
                      <w:rPr>
                        <w:rFonts w:ascii="Cambria Math" w:hAnsi="Cambria Math"/>
                      </w:rPr>
                      <m:t>,</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m:t>
                    </m:r>
                  </m:sub>
                </m:sSub>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1-</m:t>
                          </m:r>
                          <m:f>
                            <m:fPr>
                              <m:ctrlPr>
                                <w:rPr>
                                  <w:rFonts w:ascii="Cambria Math" w:hAnsi="Cambria Math"/>
                                </w:rPr>
                              </m:ctrlPr>
                            </m:fPr>
                            <m:num>
                              <m:r>
                                <m:rPr>
                                  <m:sty m:val="p"/>
                                </m:rPr>
                                <w:rPr>
                                  <w:rFonts w:ascii="Cambria Math" w:hAnsi="Cambria Math"/>
                                </w:rPr>
                                <m:t>4</m:t>
                              </m:r>
                            </m:num>
                            <m:den>
                              <m:r>
                                <m:rPr>
                                  <m:sty m:val="p"/>
                                </m:rPr>
                                <w:rPr>
                                  <w:rFonts w:ascii="Cambria Math" w:hAnsi="Cambria Math"/>
                                </w:rPr>
                                <m:t>π</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r>
                                <w:rPr>
                                  <w:rFonts w:ascii="Cambria Math" w:hAnsi="Cambria Math"/>
                                </w:rPr>
                                <m:t>odd</m:t>
                              </m:r>
                              <m:r>
                                <m:rPr>
                                  <m:sty m:val="p"/>
                                </m:rPr>
                                <w:rPr>
                                  <w:rFonts w:ascii="Cambria Math" w:hAnsi="Cambria Math"/>
                                </w:rPr>
                                <m:t>)</m:t>
                              </m:r>
                            </m:sup>
                            <m:e>
                              <m:sSup>
                                <m:sSupPr>
                                  <m:ctrlPr>
                                    <w:rPr>
                                      <w:rFonts w:ascii="Cambria Math" w:hAnsi="Cambria Math"/>
                                    </w:rPr>
                                  </m:ctrlPr>
                                </m:sSupPr>
                                <m:e>
                                  <m:r>
                                    <m:rPr>
                                      <m:sty m:val="p"/>
                                    </m:rPr>
                                    <w:rPr>
                                      <w:rFonts w:ascii="Cambria Math" w:hAnsi="Cambria Math"/>
                                    </w:rPr>
                                    <m:t>(-1)</m:t>
                                  </m:r>
                                </m:e>
                                <m:sup>
                                  <m:f>
                                    <m:fPr>
                                      <m:ctrlPr>
                                        <w:rPr>
                                          <w:rFonts w:ascii="Cambria Math" w:hAnsi="Cambria Math"/>
                                        </w:rPr>
                                      </m:ctrlPr>
                                    </m:fPr>
                                    <m:num>
                                      <m:r>
                                        <w:rPr>
                                          <w:rFonts w:ascii="Cambria Math" w:hAnsi="Cambria Math"/>
                                        </w:rPr>
                                        <m:t>i</m:t>
                                      </m:r>
                                      <m:r>
                                        <m:rPr>
                                          <m:sty m:val="p"/>
                                        </m:rPr>
                                        <w:rPr>
                                          <w:rFonts w:ascii="Cambria Math" w:hAnsi="Cambria Math"/>
                                        </w:rPr>
                                        <m:t>-1</m:t>
                                      </m:r>
                                    </m:num>
                                    <m:den>
                                      <m:r>
                                        <m:rPr>
                                          <m:sty m:val="p"/>
                                        </m:rPr>
                                        <w:rPr>
                                          <w:rFonts w:ascii="Cambria Math" w:hAnsi="Cambria Math"/>
                                        </w:rPr>
                                        <m:t>2</m:t>
                                      </m:r>
                                    </m:den>
                                  </m:f>
                                </m:sup>
                              </m:sSup>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exp</m:t>
                                  </m:r>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r>
                                    <m:rPr>
                                      <m:sty m:val="p"/>
                                    </m:rPr>
                                    <w:rPr>
                                      <w:rFonts w:ascii="Cambria Math" w:hAnsi="Cambria Math"/>
                                    </w:rPr>
                                    <m:t>)</m:t>
                                  </m:r>
                                </m:num>
                                <m:den>
                                  <m:r>
                                    <m:rPr>
                                      <m:sty m:val="p"/>
                                    </m:rPr>
                                    <w:rPr>
                                      <w:rFonts w:ascii="Cambria Math" w:hAnsi="Cambria Math"/>
                                    </w:rPr>
                                    <m:t>i(</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den>
                              </m:f>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πiz</m:t>
                                          </m:r>
                                        </m:num>
                                        <m:den>
                                          <m:r>
                                            <m:rPr>
                                              <m:sty m:val="p"/>
                                            </m:rPr>
                                            <w:rPr>
                                              <w:rFonts w:ascii="Cambria Math" w:hAnsi="Cambria Math"/>
                                            </w:rPr>
                                            <m:t>2</m:t>
                                          </m:r>
                                          <m:r>
                                            <w:rPr>
                                              <w:rFonts w:ascii="Cambria Math" w:hAnsi="Cambria Math"/>
                                            </w:rPr>
                                            <m:t>δ</m:t>
                                          </m:r>
                                        </m:den>
                                      </m:f>
                                    </m:e>
                                  </m:d>
                                </m:e>
                              </m:func>
                              <m:r>
                                <m:rPr>
                                  <m:sty m:val="p"/>
                                </m:rPr>
                                <w:rPr>
                                  <w:rFonts w:ascii="Cambria Math" w:hAnsi="Cambria Math"/>
                                </w:rPr>
                                <m:t>+</m:t>
                              </m:r>
                            </m:e>
                          </m:nary>
                        </m:e>
                      </m:mr>
                      <m:mr>
                        <m:e>
                          <m:f>
                            <m:fPr>
                              <m:ctrlPr>
                                <w:rPr>
                                  <w:rFonts w:ascii="Cambria Math" w:hAnsi="Cambria Math"/>
                                </w:rPr>
                              </m:ctrlPr>
                            </m:fPr>
                            <m:num>
                              <m:r>
                                <m:rPr>
                                  <m:sty m:val="p"/>
                                </m:rPr>
                                <w:rPr>
                                  <w:rFonts w:ascii="Cambria Math" w:hAnsi="Cambria Math"/>
                                </w:rPr>
                                <m:t>4</m:t>
                              </m:r>
                            </m:num>
                            <m:den>
                              <m:r>
                                <w:rPr>
                                  <w:rFonts w:ascii="Cambria Math" w:hAnsi="Cambria Math"/>
                                </w:rPr>
                                <m:t>πβ</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r>
                                <w:rPr>
                                  <w:rFonts w:ascii="Cambria Math" w:hAnsi="Cambria Math"/>
                                </w:rPr>
                                <m:t>odd</m:t>
                              </m:r>
                              <m:r>
                                <m:rPr>
                                  <m:sty m:val="p"/>
                                </m:rPr>
                                <w:rPr>
                                  <w:rFonts w:ascii="Cambria Math" w:hAnsi="Cambria Math"/>
                                </w:rPr>
                                <m:t>)</m:t>
                              </m:r>
                            </m:sup>
                            <m:e>
                              <m:sSup>
                                <m:sSupPr>
                                  <m:ctrlPr>
                                    <w:rPr>
                                      <w:rFonts w:ascii="Cambria Math" w:hAnsi="Cambria Math"/>
                                    </w:rPr>
                                  </m:ctrlPr>
                                </m:sSupPr>
                                <m:e>
                                  <m:r>
                                    <m:rPr>
                                      <m:sty m:val="p"/>
                                    </m:rPr>
                                    <w:rPr>
                                      <w:rFonts w:ascii="Cambria Math" w:hAnsi="Cambria Math"/>
                                    </w:rPr>
                                    <m:t>(-1)</m:t>
                                  </m:r>
                                </m:e>
                                <m:sup>
                                  <m:f>
                                    <m:fPr>
                                      <m:ctrlPr>
                                        <w:rPr>
                                          <w:rFonts w:ascii="Cambria Math" w:hAnsi="Cambria Math"/>
                                        </w:rPr>
                                      </m:ctrlPr>
                                    </m:fPr>
                                    <m:num>
                                      <m:r>
                                        <w:rPr>
                                          <w:rFonts w:ascii="Cambria Math" w:hAnsi="Cambria Math"/>
                                        </w:rPr>
                                        <m:t>i</m:t>
                                      </m:r>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r>
                                    <m:rPr>
                                      <m:sty m:val="p"/>
                                    </m:rPr>
                                    <w:rPr>
                                      <w:rFonts w:ascii="Cambria Math" w:hAnsi="Cambria Math"/>
                                    </w:rPr>
                                    <m:t>-</m:t>
                                  </m:r>
                                  <m:r>
                                    <w:rPr>
                                      <w:rFonts w:ascii="Cambria Math" w:hAnsi="Cambria Math"/>
                                    </w:rPr>
                                    <m:t>exp</m:t>
                                  </m:r>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r>
                                    <m:rPr>
                                      <m:sty m:val="p"/>
                                    </m:rPr>
                                    <w:rPr>
                                      <w:rFonts w:ascii="Cambria Math" w:hAnsi="Cambria Math"/>
                                    </w:rPr>
                                    <m:t>)</m:t>
                                  </m:r>
                                </m:num>
                                <m:den>
                                  <m:r>
                                    <m:rPr>
                                      <m:sty m:val="p"/>
                                    </m:rPr>
                                    <w:rPr>
                                      <w:rFonts w:ascii="Cambria Math" w:hAnsi="Cambria Math"/>
                                    </w:rPr>
                                    <m:t>i(</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den>
                              </m:f>
                            </m:e>
                          </m:nary>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πiz</m:t>
                                      </m:r>
                                    </m:num>
                                    <m:den>
                                      <m:r>
                                        <m:rPr>
                                          <m:sty m:val="p"/>
                                        </m:rPr>
                                        <w:rPr>
                                          <w:rFonts w:ascii="Cambria Math" w:hAnsi="Cambria Math"/>
                                        </w:rPr>
                                        <m:t>2</m:t>
                                      </m:r>
                                      <m:r>
                                        <w:rPr>
                                          <w:rFonts w:ascii="Cambria Math" w:hAnsi="Cambria Math"/>
                                        </w:rPr>
                                        <m:t>δ</m:t>
                                      </m:r>
                                    </m:den>
                                  </m:f>
                                </m:e>
                              </m:d>
                            </m:e>
                          </m:func>
                        </m:e>
                      </m:mr>
                    </m:m>
                  </m:e>
                </m:d>
              </m:oMath>
            </m:oMathPara>
          </w:p>
        </w:tc>
        <w:tc>
          <w:tcPr>
            <w:tcW w:w="810" w:type="dxa"/>
            <w:vAlign w:val="center"/>
          </w:tcPr>
          <w:p w14:paraId="0DDDF0C4" w14:textId="0486AD8E" w:rsidR="003E2E0B" w:rsidRPr="001E6BA7" w:rsidRDefault="003E2E0B" w:rsidP="00682F7B">
            <w:pPr>
              <w:pStyle w:val="Equations"/>
              <w:jc w:val="right"/>
              <w:rPr>
                <w:rFonts w:eastAsiaTheme="majorEastAsia"/>
              </w:rPr>
            </w:pPr>
            <w:r w:rsidRPr="001E6BA7">
              <w:rPr>
                <w:rFonts w:eastAsiaTheme="majorEastAsia"/>
              </w:rPr>
              <w:t>(</w:t>
            </w:r>
            <w:r>
              <w:rPr>
                <w:rFonts w:eastAsiaTheme="majorEastAsia"/>
              </w:rPr>
              <w:t>64</w:t>
            </w:r>
            <w:r w:rsidRPr="001E6BA7">
              <w:rPr>
                <w:rFonts w:eastAsiaTheme="majorEastAsia"/>
              </w:rPr>
              <w:t>a)</w:t>
            </w:r>
          </w:p>
        </w:tc>
      </w:tr>
      <w:tr w:rsidR="003E2E0B" w:rsidRPr="001E6BA7" w14:paraId="26E16C19" w14:textId="77777777" w:rsidTr="00682F7B">
        <w:tc>
          <w:tcPr>
            <w:tcW w:w="7830" w:type="dxa"/>
            <w:vAlign w:val="center"/>
          </w:tcPr>
          <w:p w14:paraId="08613E4C" w14:textId="054BD9A6" w:rsidR="003E2E0B" w:rsidRPr="003E2E0B" w:rsidRDefault="003E2E0B" w:rsidP="00682F7B">
            <w:pPr>
              <w:pStyle w:val="Equations"/>
            </w:pPr>
            <m:oMathPara>
              <m:oMath>
                <m:r>
                  <w:rPr>
                    <w:rFonts w:ascii="Cambria Math" w:hAnsi="Cambria Math"/>
                  </w:rPr>
                  <m:t>N</m:t>
                </m:r>
                <m:d>
                  <m:dPr>
                    <m:ctrlPr>
                      <w:rPr>
                        <w:rFonts w:ascii="Cambria Math" w:hAnsi="Cambria Math"/>
                      </w:rPr>
                    </m:ctrlPr>
                  </m:dPr>
                  <m:e>
                    <m:r>
                      <w:rPr>
                        <w:rFonts w:ascii="Cambria Math" w:hAnsi="Cambria Math"/>
                      </w:rPr>
                      <m:t>z</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r>
                      <w:rPr>
                        <w:rFonts w:ascii="Cambria Math" w:hAnsi="Cambria Math"/>
                      </w:rPr>
                      <m:t>γ</m:t>
                    </m:r>
                  </m:num>
                  <m:den>
                    <m:r>
                      <w:rPr>
                        <w:rFonts w:ascii="Cambria Math" w:hAnsi="Cambria Math"/>
                      </w:rPr>
                      <m:t>β</m:t>
                    </m:r>
                  </m:den>
                </m:f>
                <m:sSub>
                  <m:sSubPr>
                    <m:ctrlPr>
                      <w:rPr>
                        <w:rFonts w:ascii="Cambria Math" w:hAnsi="Cambria Math"/>
                      </w:rPr>
                    </m:ctrlPr>
                  </m:sSubPr>
                  <m:e>
                    <m:r>
                      <w:rPr>
                        <w:rFonts w:ascii="Cambria Math" w:hAnsi="Cambria Math"/>
                      </w:rPr>
                      <m:t>n</m:t>
                    </m:r>
                  </m:e>
                  <m:sub>
                    <m:r>
                      <m:rPr>
                        <m:sty m:val="p"/>
                      </m:rPr>
                      <w:rPr>
                        <w:rFonts w:ascii="Cambria Math" w:hAnsi="Cambria Math"/>
                      </w:rPr>
                      <m:t>∞</m:t>
                    </m:r>
                  </m:sub>
                </m:sSub>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4</m:t>
                        </m:r>
                      </m:num>
                      <m:den>
                        <m:r>
                          <m:rPr>
                            <m:sty m:val="p"/>
                          </m:rPr>
                          <w:rPr>
                            <w:rFonts w:ascii="Cambria Math" w:hAnsi="Cambria Math"/>
                          </w:rPr>
                          <m:t>π</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r>
                          <w:rPr>
                            <w:rFonts w:ascii="Cambria Math" w:hAnsi="Cambria Math"/>
                          </w:rPr>
                          <m:t>odd</m:t>
                        </m:r>
                        <m:r>
                          <m:rPr>
                            <m:sty m:val="p"/>
                          </m:rPr>
                          <w:rPr>
                            <w:rFonts w:ascii="Cambria Math" w:hAnsi="Cambria Math"/>
                          </w:rPr>
                          <m:t>)</m:t>
                        </m:r>
                      </m:sup>
                      <m:e>
                        <m:sSup>
                          <m:sSupPr>
                            <m:ctrlPr>
                              <w:rPr>
                                <w:rFonts w:ascii="Cambria Math" w:hAnsi="Cambria Math"/>
                              </w:rPr>
                            </m:ctrlPr>
                          </m:sSupPr>
                          <m:e>
                            <m:r>
                              <m:rPr>
                                <m:sty m:val="p"/>
                              </m:rPr>
                              <w:rPr>
                                <w:rFonts w:ascii="Cambria Math" w:hAnsi="Cambria Math"/>
                              </w:rPr>
                              <m:t>(-1)</m:t>
                            </m:r>
                          </m:e>
                          <m:sup>
                            <m:f>
                              <m:fPr>
                                <m:ctrlPr>
                                  <w:rPr>
                                    <w:rFonts w:ascii="Cambria Math" w:hAnsi="Cambria Math"/>
                                  </w:rPr>
                                </m:ctrlPr>
                              </m:fPr>
                              <m:num>
                                <m:r>
                                  <w:rPr>
                                    <w:rFonts w:ascii="Cambria Math" w:hAnsi="Cambria Math"/>
                                  </w:rPr>
                                  <m:t>i</m:t>
                                </m:r>
                                <m:r>
                                  <m:rPr>
                                    <m:sty m:val="p"/>
                                  </m:rPr>
                                  <w:rPr>
                                    <w:rFonts w:ascii="Cambria Math" w:hAnsi="Cambria Math"/>
                                  </w:rPr>
                                  <m:t>-1</m:t>
                                </m:r>
                              </m:num>
                              <m:den>
                                <m:r>
                                  <m:rPr>
                                    <m:sty m:val="p"/>
                                  </m:rPr>
                                  <w:rPr>
                                    <w:rFonts w:ascii="Cambria Math" w:hAnsi="Cambria Math"/>
                                  </w:rPr>
                                  <m:t>2</m:t>
                                </m:r>
                              </m:den>
                            </m:f>
                          </m:sup>
                        </m:sSup>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exp</m:t>
                            </m:r>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r>
                              <m:rPr>
                                <m:sty m:val="p"/>
                              </m:rPr>
                              <w:rPr>
                                <w:rFonts w:ascii="Cambria Math" w:hAnsi="Cambria Math"/>
                              </w:rPr>
                              <m:t>)</m:t>
                            </m:r>
                          </m:num>
                          <m:den>
                            <m:r>
                              <m:rPr>
                                <m:sty m:val="p"/>
                              </m:rPr>
                              <w:rPr>
                                <w:rFonts w:ascii="Cambria Math" w:hAnsi="Cambria Math"/>
                              </w:rPr>
                              <m:t>i(</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den>
                        </m:f>
                        <m:r>
                          <m:rPr>
                            <m:sty m:val="p"/>
                          </m:rPr>
                          <w:rPr>
                            <w:rFonts w:ascii="Cambria Math" w:hAnsi="Cambria Math"/>
                          </w:rPr>
                          <m:t>cos⁡(</m:t>
                        </m:r>
                        <m:f>
                          <m:fPr>
                            <m:ctrlPr>
                              <w:rPr>
                                <w:rFonts w:ascii="Cambria Math" w:hAnsi="Cambria Math"/>
                              </w:rPr>
                            </m:ctrlPr>
                          </m:fPr>
                          <m:num>
                            <m:r>
                              <w:rPr>
                                <w:rFonts w:ascii="Cambria Math" w:hAnsi="Cambria Math"/>
                              </w:rPr>
                              <m:t>πiz</m:t>
                            </m:r>
                          </m:num>
                          <m:den>
                            <m:r>
                              <m:rPr>
                                <m:sty m:val="p"/>
                              </m:rPr>
                              <w:rPr>
                                <w:rFonts w:ascii="Cambria Math" w:hAnsi="Cambria Math"/>
                              </w:rPr>
                              <m:t>2</m:t>
                            </m:r>
                            <m:r>
                              <w:rPr>
                                <w:rFonts w:ascii="Cambria Math" w:hAnsi="Cambria Math"/>
                              </w:rPr>
                              <m:t>δ</m:t>
                            </m:r>
                          </m:den>
                        </m:f>
                        <m:r>
                          <m:rPr>
                            <m:sty m:val="p"/>
                          </m:rPr>
                          <w:rPr>
                            <w:rFonts w:ascii="Cambria Math" w:hAnsi="Cambria Math"/>
                          </w:rPr>
                          <m:t>)</m:t>
                        </m:r>
                      </m:e>
                    </m:nary>
                  </m:e>
                </m:d>
              </m:oMath>
            </m:oMathPara>
          </w:p>
        </w:tc>
        <w:tc>
          <w:tcPr>
            <w:tcW w:w="810" w:type="dxa"/>
            <w:vAlign w:val="center"/>
          </w:tcPr>
          <w:p w14:paraId="159F99F1" w14:textId="4A5B6BF1" w:rsidR="003E2E0B" w:rsidRPr="001E6BA7" w:rsidRDefault="003E2E0B" w:rsidP="00682F7B">
            <w:pPr>
              <w:pStyle w:val="Equations"/>
              <w:jc w:val="right"/>
              <w:rPr>
                <w:rFonts w:eastAsiaTheme="majorEastAsia"/>
              </w:rPr>
            </w:pPr>
            <w:r>
              <w:rPr>
                <w:rFonts w:eastAsiaTheme="majorEastAsia"/>
              </w:rPr>
              <w:t>(64</w:t>
            </w:r>
            <w:r w:rsidRPr="001E6BA7">
              <w:rPr>
                <w:rFonts w:eastAsiaTheme="majorEastAsia"/>
              </w:rPr>
              <w:t>b)</w:t>
            </w:r>
          </w:p>
        </w:tc>
      </w:tr>
      <w:tr w:rsidR="003E2E0B" w:rsidRPr="001E6BA7" w14:paraId="2734122A" w14:textId="77777777" w:rsidTr="00682F7B">
        <w:tc>
          <w:tcPr>
            <w:tcW w:w="7830" w:type="dxa"/>
            <w:vAlign w:val="center"/>
          </w:tcPr>
          <w:p w14:paraId="5D1C16FD" w14:textId="17FB8E23" w:rsidR="003E2E0B" w:rsidRPr="003E2E0B" w:rsidRDefault="003E2E0B" w:rsidP="00682F7B">
            <w:pPr>
              <w:pStyle w:val="Equations"/>
            </w:pPr>
            <m:oMathPara>
              <m:oMath>
                <m:r>
                  <w:rPr>
                    <w:rFonts w:ascii="Cambria Math" w:hAnsi="Cambria Math"/>
                  </w:rPr>
                  <m:t>S</m:t>
                </m:r>
                <m:d>
                  <m:dPr>
                    <m:ctrlPr>
                      <w:rPr>
                        <w:rFonts w:ascii="Cambria Math" w:hAnsi="Cambria Math"/>
                      </w:rPr>
                    </m:ctrlPr>
                  </m:dPr>
                  <m:e>
                    <m:r>
                      <w:rPr>
                        <w:rFonts w:ascii="Cambria Math" w:hAnsi="Cambria Math"/>
                      </w:rPr>
                      <m:t>z</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ζ</m:t>
                </m:r>
                <m:f>
                  <m:fPr>
                    <m:ctrlPr>
                      <w:rPr>
                        <w:rFonts w:ascii="Cambria Math" w:hAnsi="Cambria Math"/>
                      </w:rPr>
                    </m:ctrlPr>
                  </m:fPr>
                  <m:num>
                    <m:r>
                      <w:rPr>
                        <w:rFonts w:ascii="Cambria Math" w:hAnsi="Cambria Math"/>
                      </w:rPr>
                      <m:t>γ</m:t>
                    </m:r>
                  </m:num>
                  <m:den>
                    <m:r>
                      <w:rPr>
                        <w:rFonts w:ascii="Cambria Math" w:hAnsi="Cambria Math"/>
                      </w:rPr>
                      <m:t>β</m:t>
                    </m:r>
                  </m:den>
                </m:f>
                <m:sSub>
                  <m:sSubPr>
                    <m:ctrlPr>
                      <w:rPr>
                        <w:rFonts w:ascii="Cambria Math" w:hAnsi="Cambria Math"/>
                      </w:rPr>
                    </m:ctrlPr>
                  </m:sSubPr>
                  <m:e>
                    <m:r>
                      <w:rPr>
                        <w:rFonts w:ascii="Cambria Math" w:hAnsi="Cambria Math"/>
                      </w:rPr>
                      <m:t>n</m:t>
                    </m:r>
                  </m:e>
                  <m:sub>
                    <m:r>
                      <m:rPr>
                        <m:sty m:val="p"/>
                      </m:rPr>
                      <w:rPr>
                        <w:rFonts w:ascii="Cambria Math" w:hAnsi="Cambria Math"/>
                      </w:rPr>
                      <m:t>∞</m:t>
                    </m:r>
                  </m:sub>
                </m:sSub>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4</m:t>
                        </m:r>
                      </m:num>
                      <m:den>
                        <m:r>
                          <m:rPr>
                            <m:sty m:val="p"/>
                          </m:rPr>
                          <w:rPr>
                            <w:rFonts w:ascii="Cambria Math" w:hAnsi="Cambria Math"/>
                          </w:rPr>
                          <m:t>π</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r>
                          <w:rPr>
                            <w:rFonts w:ascii="Cambria Math" w:hAnsi="Cambria Math"/>
                          </w:rPr>
                          <m:t>odd</m:t>
                        </m:r>
                        <m:r>
                          <m:rPr>
                            <m:sty m:val="p"/>
                          </m:rPr>
                          <w:rPr>
                            <w:rFonts w:ascii="Cambria Math" w:hAnsi="Cambria Math"/>
                          </w:rPr>
                          <m:t>)</m:t>
                        </m:r>
                      </m:sup>
                      <m:e>
                        <m:sSup>
                          <m:sSupPr>
                            <m:ctrlPr>
                              <w:rPr>
                                <w:rFonts w:ascii="Cambria Math" w:hAnsi="Cambria Math"/>
                              </w:rPr>
                            </m:ctrlPr>
                          </m:sSupPr>
                          <m:e>
                            <m:r>
                              <m:rPr>
                                <m:sty m:val="p"/>
                              </m:rPr>
                              <w:rPr>
                                <w:rFonts w:ascii="Cambria Math" w:hAnsi="Cambria Math"/>
                              </w:rPr>
                              <m:t>(-1)</m:t>
                            </m:r>
                          </m:e>
                          <m:sup>
                            <m:f>
                              <m:fPr>
                                <m:ctrlPr>
                                  <w:rPr>
                                    <w:rFonts w:ascii="Cambria Math" w:hAnsi="Cambria Math"/>
                                  </w:rPr>
                                </m:ctrlPr>
                              </m:fPr>
                              <m:num>
                                <m:r>
                                  <w:rPr>
                                    <w:rFonts w:ascii="Cambria Math" w:hAnsi="Cambria Math"/>
                                  </w:rPr>
                                  <m:t>i</m:t>
                                </m:r>
                                <m:r>
                                  <m:rPr>
                                    <m:sty m:val="p"/>
                                  </m:rPr>
                                  <w:rPr>
                                    <w:rFonts w:ascii="Cambria Math" w:hAnsi="Cambria Math"/>
                                  </w:rPr>
                                  <m:t>-1</m:t>
                                </m:r>
                              </m:num>
                              <m:den>
                                <m:r>
                                  <m:rPr>
                                    <m:sty m:val="p"/>
                                  </m:rPr>
                                  <w:rPr>
                                    <w:rFonts w:ascii="Cambria Math" w:hAnsi="Cambria Math"/>
                                  </w:rPr>
                                  <m:t>2</m:t>
                                </m:r>
                              </m:den>
                            </m:f>
                          </m:sup>
                        </m:sSup>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exp</m:t>
                            </m:r>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r>
                              <m:rPr>
                                <m:sty m:val="p"/>
                              </m:rPr>
                              <w:rPr>
                                <w:rFonts w:ascii="Cambria Math" w:hAnsi="Cambria Math"/>
                              </w:rPr>
                              <m:t>)</m:t>
                            </m:r>
                          </m:num>
                          <m:den>
                            <m:r>
                              <m:rPr>
                                <m:sty m:val="p"/>
                              </m:rPr>
                              <w:rPr>
                                <w:rFonts w:ascii="Cambria Math" w:hAnsi="Cambria Math"/>
                              </w:rPr>
                              <m:t>i(</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den>
                        </m:f>
                        <m:r>
                          <m:rPr>
                            <m:sty m:val="p"/>
                          </m:rPr>
                          <w:rPr>
                            <w:rFonts w:ascii="Cambria Math" w:hAnsi="Cambria Math"/>
                          </w:rPr>
                          <m:t>cos⁡(</m:t>
                        </m:r>
                        <m:f>
                          <m:fPr>
                            <m:ctrlPr>
                              <w:rPr>
                                <w:rFonts w:ascii="Cambria Math" w:hAnsi="Cambria Math"/>
                              </w:rPr>
                            </m:ctrlPr>
                          </m:fPr>
                          <m:num>
                            <m:r>
                              <w:rPr>
                                <w:rFonts w:ascii="Cambria Math" w:hAnsi="Cambria Math"/>
                              </w:rPr>
                              <m:t>πiz</m:t>
                            </m:r>
                          </m:num>
                          <m:den>
                            <m:r>
                              <m:rPr>
                                <m:sty m:val="p"/>
                              </m:rPr>
                              <w:rPr>
                                <w:rFonts w:ascii="Cambria Math" w:hAnsi="Cambria Math"/>
                              </w:rPr>
                              <m:t>2</m:t>
                            </m:r>
                            <m:r>
                              <w:rPr>
                                <w:rFonts w:ascii="Cambria Math" w:hAnsi="Cambria Math"/>
                              </w:rPr>
                              <m:t>δ</m:t>
                            </m:r>
                          </m:den>
                        </m:f>
                        <m:r>
                          <m:rPr>
                            <m:sty m:val="p"/>
                          </m:rPr>
                          <w:rPr>
                            <w:rFonts w:ascii="Cambria Math" w:hAnsi="Cambria Math"/>
                          </w:rPr>
                          <m:t>)</m:t>
                        </m:r>
                      </m:e>
                    </m:nary>
                  </m:e>
                </m:d>
              </m:oMath>
            </m:oMathPara>
          </w:p>
          <w:p w14:paraId="30FCC1BE" w14:textId="67E87D4E" w:rsidR="003E2E0B" w:rsidRPr="003E2E0B" w:rsidRDefault="003E2E0B" w:rsidP="00682F7B">
            <w:pPr>
              <w:pStyle w:val="Equations"/>
            </w:pPr>
          </w:p>
        </w:tc>
        <w:tc>
          <w:tcPr>
            <w:tcW w:w="810" w:type="dxa"/>
            <w:vAlign w:val="center"/>
          </w:tcPr>
          <w:p w14:paraId="6BA15483" w14:textId="776F13D0" w:rsidR="003E2E0B" w:rsidRDefault="003E2E0B" w:rsidP="00682F7B">
            <w:pPr>
              <w:pStyle w:val="Equations"/>
              <w:jc w:val="right"/>
              <w:rPr>
                <w:rFonts w:eastAsiaTheme="majorEastAsia"/>
              </w:rPr>
            </w:pPr>
            <w:r>
              <w:rPr>
                <w:rFonts w:eastAsiaTheme="majorEastAsia"/>
              </w:rPr>
              <w:t>(64c)</w:t>
            </w:r>
          </w:p>
        </w:tc>
      </w:tr>
    </w:tbl>
    <w:p w14:paraId="6C10AAEA" w14:textId="77777777" w:rsidR="00E56273" w:rsidRPr="00324C24" w:rsidRDefault="00E56273" w:rsidP="00682F7B">
      <w:pPr>
        <w:rPr>
          <w:rFonts w:cs="Times New Roman"/>
          <w:szCs w:val="24"/>
        </w:rPr>
      </w:pPr>
      <w:proofErr w:type="gramStart"/>
      <w:r w:rsidRPr="00324C24">
        <w:rPr>
          <w:rFonts w:cs="Times New Roman"/>
          <w:szCs w:val="24"/>
        </w:rPr>
        <w:t>where</w:t>
      </w:r>
      <w:proofErr w:type="gramEnd"/>
    </w:p>
    <w:tbl>
      <w:tblPr>
        <w:tblW w:w="8550" w:type="dxa"/>
        <w:tblLayout w:type="fixed"/>
        <w:tblLook w:val="04A0" w:firstRow="1" w:lastRow="0" w:firstColumn="1" w:lastColumn="0" w:noHBand="0" w:noVBand="1"/>
      </w:tblPr>
      <w:tblGrid>
        <w:gridCol w:w="8550"/>
      </w:tblGrid>
      <w:tr w:rsidR="00E56273" w:rsidRPr="00324C24" w14:paraId="1766F5DF" w14:textId="77777777" w:rsidTr="00350668">
        <w:trPr>
          <w:trHeight w:val="755"/>
        </w:trPr>
        <w:tc>
          <w:tcPr>
            <w:tcW w:w="8550" w:type="dxa"/>
            <w:vAlign w:val="center"/>
          </w:tcPr>
          <w:p w14:paraId="5679BD7B" w14:textId="77777777" w:rsidR="00E56273" w:rsidRPr="00324C24" w:rsidRDefault="007B3686" w:rsidP="00682F7B">
            <w:pPr>
              <w:rPr>
                <w:rFonts w:cs="Times New Roman"/>
                <w:szCs w:val="24"/>
              </w:rPr>
            </w:pPr>
            <m:oMathPara>
              <m:oMathParaPr>
                <m:jc m:val="center"/>
              </m:oMathParaPr>
              <m:oMath>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2</m:t>
                    </m:r>
                  </m:den>
                </m:f>
                <m:r>
                  <m:rPr>
                    <m:sty m:val="p"/>
                  </m:rPr>
                  <w:rPr>
                    <w:rFonts w:ascii="Cambria Math" w:hAnsi="Cambria Math" w:cs="Times New Roman"/>
                    <w:szCs w:val="24"/>
                  </w:rPr>
                  <m:t>[(</m:t>
                </m:r>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+(1+ζ)</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m:rPr>
                            <m:sty m:val="p"/>
                          </m:rPr>
                          <w:rPr>
                            <w:rFonts w:ascii="Cambria Math" w:hAnsi="Cambria Math" w:cs="Times New Roman"/>
                            <w:szCs w:val="24"/>
                          </w:rPr>
                          <m:t>(</m:t>
                        </m:r>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+(1+ζ)</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e>
                      <m:sup>
                        <m:r>
                          <m:rPr>
                            <m:sty m:val="p"/>
                          </m:rPr>
                          <w:rPr>
                            <w:rFonts w:ascii="Cambria Math" w:hAnsi="Cambria Math" w:cs="Times New Roman"/>
                            <w:szCs w:val="24"/>
                          </w:rPr>
                          <m:t>2</m:t>
                        </m:r>
                      </m:sup>
                    </m:sSup>
                    <m:r>
                      <m:rPr>
                        <m:sty m:val="p"/>
                      </m:rPr>
                      <w:rPr>
                        <w:rFonts w:ascii="Cambria Math" w:hAnsi="Cambria Math" w:cs="Times New Roman"/>
                        <w:szCs w:val="24"/>
                      </w:rPr>
                      <m:t>-4</m:t>
                    </m:r>
                    <m:r>
                      <w:rPr>
                        <w:rFonts w:ascii="Cambria Math" w:hAnsi="Cambria Math" w:cs="Times New Roman"/>
                        <w:szCs w:val="24"/>
                      </w:rPr>
                      <m:t>Kβ</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e>
                </m:rad>
                <m:r>
                  <m:rPr>
                    <m:sty m:val="p"/>
                  </m:rPr>
                  <w:rPr>
                    <w:rFonts w:ascii="Cambria Math" w:hAnsi="Cambria Math" w:cs="Times New Roman"/>
                    <w:szCs w:val="24"/>
                  </w:rPr>
                  <m:t>]</m:t>
                </m:r>
              </m:oMath>
            </m:oMathPara>
          </w:p>
        </w:tc>
      </w:tr>
      <w:tr w:rsidR="00E56273" w:rsidRPr="00324C24" w14:paraId="02E61ABF" w14:textId="77777777" w:rsidTr="00350668">
        <w:trPr>
          <w:trHeight w:val="755"/>
        </w:trPr>
        <w:tc>
          <w:tcPr>
            <w:tcW w:w="8550" w:type="dxa"/>
            <w:vAlign w:val="center"/>
          </w:tcPr>
          <w:p w14:paraId="63F32BD9" w14:textId="77777777" w:rsidR="00E56273" w:rsidRPr="00324C24" w:rsidRDefault="00E56273" w:rsidP="00682F7B">
            <w:pPr>
              <w:rPr>
                <w:rFonts w:cs="Times New Roman"/>
                <w:szCs w:val="24"/>
              </w:rPr>
            </w:pPr>
            <m:oMathPara>
              <m:oMathParaPr>
                <m:jc m:val="center"/>
              </m:oMathParaPr>
              <m:oMath>
                <m:r>
                  <w:rPr>
                    <w:rFonts w:ascii="Cambria Math" w:hAnsi="Cambria Math" w:cs="Times New Roman"/>
                    <w:szCs w:val="24"/>
                  </w:rPr>
                  <m:t>K</m:t>
                </m:r>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r>
                      <w:rPr>
                        <w:rFonts w:ascii="Cambria Math" w:hAnsi="Cambria Math" w:cs="Times New Roman"/>
                        <w:szCs w:val="24"/>
                      </w:rPr>
                      <m:t>D</m:t>
                    </m:r>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oMath>
            </m:oMathPara>
          </w:p>
        </w:tc>
      </w:tr>
    </w:tbl>
    <w:p w14:paraId="509CCEFA" w14:textId="618F42F7" w:rsidR="00E56273" w:rsidRPr="00324C24" w:rsidRDefault="00E56273" w:rsidP="00682F7B">
      <w:pPr>
        <w:rPr>
          <w:rFonts w:cs="Times New Roman"/>
          <w:szCs w:val="24"/>
        </w:rPr>
      </w:pPr>
      <w:r w:rsidRPr="00324C24">
        <w:rPr>
          <w:rFonts w:cs="Times New Roman"/>
          <w:szCs w:val="24"/>
        </w:rPr>
        <w:lastRenderedPageBreak/>
        <w:t>When the sum of bound moisture concentration</w:t>
      </w:r>
      <m:oMath>
        <m:r>
          <w:rPr>
            <w:rFonts w:ascii="Cambria Math" w:hAnsi="Cambria Math" w:cs="Times New Roman"/>
            <w:szCs w:val="24"/>
          </w:rPr>
          <m:t xml:space="preserve"> N</m:t>
        </m:r>
        <m:d>
          <m:dPr>
            <m:ctrlPr>
              <w:rPr>
                <w:rFonts w:ascii="Cambria Math" w:hAnsi="Cambria Math" w:cs="Times New Roman"/>
                <w:szCs w:val="24"/>
              </w:rPr>
            </m:ctrlPr>
          </m:dPr>
          <m:e>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oMath>
      <w:r w:rsidR="00E40180">
        <w:rPr>
          <w:rFonts w:cs="Times New Roman"/>
          <w:szCs w:val="24"/>
        </w:rPr>
        <w:t>,</w:t>
      </w:r>
      <w:r w:rsidRPr="00324C24">
        <w:rPr>
          <w:rFonts w:cs="Times New Roman"/>
          <w:szCs w:val="24"/>
        </w:rPr>
        <w:t xml:space="preserve"> unbound moisture concentration </w:t>
      </w:r>
      <m:oMath>
        <m:r>
          <w:rPr>
            <w:rFonts w:ascii="Cambria Math" w:hAnsi="Cambria Math" w:cs="Times New Roman"/>
            <w:szCs w:val="24"/>
          </w:rPr>
          <m:t>n</m:t>
        </m:r>
        <m:d>
          <m:dPr>
            <m:ctrlPr>
              <w:rPr>
                <w:rFonts w:ascii="Cambria Math" w:hAnsi="Cambria Math" w:cs="Times New Roman"/>
                <w:szCs w:val="24"/>
              </w:rPr>
            </m:ctrlPr>
          </m:dPr>
          <m:e>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oMath>
      <w:r w:rsidRPr="00324C24">
        <w:rPr>
          <w:rFonts w:cs="Times New Roman"/>
          <w:szCs w:val="24"/>
        </w:rPr>
        <w:t xml:space="preserve"> </w:t>
      </w:r>
      <w:r>
        <w:rPr>
          <w:rFonts w:cs="Times New Roman"/>
          <w:szCs w:val="24"/>
        </w:rPr>
        <w:t>and trapped moisture concentration</w:t>
      </w:r>
      <m:oMath>
        <m:r>
          <w:rPr>
            <w:rFonts w:ascii="Cambria Math" w:hAnsi="Cambria Math" w:cs="Times New Roman"/>
            <w:szCs w:val="24"/>
          </w:rPr>
          <m:t xml:space="preserve"> S</m:t>
        </m:r>
        <m:d>
          <m:dPr>
            <m:ctrlPr>
              <w:rPr>
                <w:rFonts w:ascii="Cambria Math" w:hAnsi="Cambria Math" w:cs="Times New Roman"/>
                <w:szCs w:val="24"/>
              </w:rPr>
            </m:ctrlPr>
          </m:dPr>
          <m:e>
            <m:r>
              <w:rPr>
                <w:rFonts w:ascii="Cambria Math" w:hAnsi="Cambria Math" w:cs="Times New Roman"/>
                <w:szCs w:val="24"/>
              </w:rPr>
              <m:t>z</m:t>
            </m:r>
            <m:r>
              <m:rPr>
                <m:sty m:val="p"/>
              </m:rPr>
              <w:rPr>
                <w:rFonts w:ascii="Cambria Math" w:hAnsi="Cambria Math" w:cs="Times New Roman"/>
                <w:szCs w:val="24"/>
              </w:rPr>
              <m:t>,</m:t>
            </m:r>
            <m:r>
              <w:rPr>
                <w:rFonts w:ascii="Cambria Math" w:hAnsi="Cambria Math" w:cs="Times New Roman"/>
                <w:szCs w:val="24"/>
              </w:rPr>
              <m:t>t</m:t>
            </m:r>
          </m:e>
        </m:d>
      </m:oMath>
      <w:r>
        <w:rPr>
          <w:rFonts w:cs="Times New Roman"/>
          <w:szCs w:val="24"/>
        </w:rPr>
        <w:t xml:space="preserve"> </w:t>
      </w:r>
      <w:r w:rsidRPr="00324C24">
        <w:rPr>
          <w:rFonts w:cs="Times New Roman"/>
          <w:szCs w:val="24"/>
        </w:rPr>
        <w:t>is integrated over the laminate thickness, the result is mass fraction of the absorbed moisture</w:t>
      </w:r>
      <w:r>
        <w:rPr>
          <w:rFonts w:cs="Times New Roman"/>
          <w:szCs w:val="24"/>
        </w:rPr>
        <w:t xml:space="preserve"> and expressed as:</w:t>
      </w:r>
    </w:p>
    <w:tbl>
      <w:tblPr>
        <w:tblW w:w="0" w:type="auto"/>
        <w:tblLayout w:type="fixed"/>
        <w:tblLook w:val="04A0" w:firstRow="1" w:lastRow="0" w:firstColumn="1" w:lastColumn="0" w:noHBand="0" w:noVBand="1"/>
      </w:tblPr>
      <w:tblGrid>
        <w:gridCol w:w="7830"/>
        <w:gridCol w:w="810"/>
      </w:tblGrid>
      <w:tr w:rsidR="003E2E0B" w:rsidRPr="001E6BA7" w14:paraId="7BE3C299" w14:textId="77777777" w:rsidTr="00623299">
        <w:tc>
          <w:tcPr>
            <w:tcW w:w="7830" w:type="dxa"/>
            <w:vAlign w:val="center"/>
          </w:tcPr>
          <w:p w14:paraId="4D291C67" w14:textId="74D15BB3" w:rsidR="003E2E0B" w:rsidRPr="003F56CD" w:rsidRDefault="003E2E0B" w:rsidP="00682F7B">
            <w:pPr>
              <w:pStyle w:val="Equations"/>
            </w:pPr>
            <m:oMathPara>
              <m:oMath>
                <m:r>
                  <w:rPr>
                    <w:rFonts w:ascii="Cambria Math" w:hAnsi="Cambria Math"/>
                  </w:rPr>
                  <m:t>M</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t>
                    </m:r>
                  </m:sub>
                </m:sSub>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1-</m:t>
                          </m:r>
                          <m:f>
                            <m:fPr>
                              <m:ctrlPr>
                                <w:rPr>
                                  <w:rFonts w:ascii="Cambria Math" w:hAnsi="Cambria Math"/>
                                </w:rPr>
                              </m:ctrlPr>
                            </m:fPr>
                            <m:num>
                              <m:r>
                                <m:rPr>
                                  <m:sty m:val="p"/>
                                </m:rPr>
                                <w:rPr>
                                  <w:rFonts w:ascii="Cambria Math" w:hAnsi="Cambria Math"/>
                                </w:rPr>
                                <m:t>8</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d>
                                <m:dPr>
                                  <m:ctrlPr>
                                    <w:rPr>
                                      <w:rFonts w:ascii="Cambria Math" w:hAnsi="Cambria Math"/>
                                    </w:rPr>
                                  </m:ctrlPr>
                                </m:dPr>
                                <m:e>
                                  <m:r>
                                    <w:rPr>
                                      <w:rFonts w:ascii="Cambria Math" w:hAnsi="Cambria Math"/>
                                    </w:rPr>
                                    <m:t>odd</m:t>
                                  </m:r>
                                </m:e>
                              </m:d>
                            </m:sup>
                            <m:e>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sSubSup>
                                            <m:sSubSupPr>
                                              <m:ctrlPr>
                                                <w:rPr>
                                                  <w:rFonts w:ascii="Cambria Math" w:hAnsi="Cambria Math"/>
                                                </w:rPr>
                                              </m:ctrlPr>
                                            </m:sSubSupPr>
                                            <m:e>
                                              <m:r>
                                                <m:rPr>
                                                  <m:sty m:val="p"/>
                                                </m:rPr>
                                                <w:rPr>
                                                  <w:rFonts w:ascii="Cambria Math" w:hAnsi="Cambria Math"/>
                                                </w:rPr>
                                                <m:t>-</m:t>
                                              </m:r>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num>
                                <m:den>
                                  <m:sSup>
                                    <m:sSupPr>
                                      <m:ctrlPr>
                                        <w:rPr>
                                          <w:rFonts w:ascii="Cambria Math" w:hAnsi="Cambria Math"/>
                                        </w:rPr>
                                      </m:ctrlPr>
                                    </m:sSupPr>
                                    <m:e>
                                      <m:r>
                                        <w:rPr>
                                          <w:rFonts w:ascii="Cambria Math" w:hAnsi="Cambria Math"/>
                                        </w:rPr>
                                        <m:t>i</m:t>
                                      </m:r>
                                    </m:e>
                                    <m:sup>
                                      <m:r>
                                        <m:rPr>
                                          <m:sty m:val="p"/>
                                        </m:rPr>
                                        <w:rPr>
                                          <w:rFonts w:ascii="Cambria Math" w:hAnsi="Cambria Math"/>
                                        </w:rPr>
                                        <m:t>2</m:t>
                                      </m:r>
                                    </m:sup>
                                  </m:sSup>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e>
                                  </m:d>
                                </m:den>
                              </m:f>
                              <m:r>
                                <m:rPr>
                                  <m:sty m:val="p"/>
                                </m:rPr>
                                <w:rPr>
                                  <w:rFonts w:ascii="Cambria Math" w:hAnsi="Cambria Math"/>
                                </w:rPr>
                                <m:t>+</m:t>
                              </m:r>
                            </m:e>
                          </m:nary>
                        </m:e>
                      </m:mr>
                      <m:mr>
                        <m:e>
                          <m:f>
                            <m:fPr>
                              <m:ctrlPr>
                                <w:rPr>
                                  <w:rFonts w:ascii="Cambria Math" w:hAnsi="Cambria Math"/>
                                </w:rPr>
                              </m:ctrlPr>
                            </m:fPr>
                            <m:num>
                              <m:r>
                                <m:rPr>
                                  <m:sty m:val="p"/>
                                </m:rPr>
                                <w:rPr>
                                  <w:rFonts w:ascii="Cambria Math" w:hAnsi="Cambria Math"/>
                                </w:rPr>
                                <m:t>8</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d>
                            <m:dPr>
                              <m:ctrlPr>
                                <w:rPr>
                                  <w:rFonts w:ascii="Cambria Math" w:hAnsi="Cambria Math"/>
                                </w:rPr>
                              </m:ctrlPr>
                            </m:dPr>
                            <m:e>
                              <m:r>
                                <w:rPr>
                                  <w:rFonts w:ascii="Cambria Math" w:hAnsi="Cambria Math"/>
                                </w:rPr>
                                <m:t>K</m:t>
                              </m:r>
                              <m:f>
                                <m:fPr>
                                  <m:ctrlPr>
                                    <w:rPr>
                                      <w:rFonts w:ascii="Cambria Math" w:hAnsi="Cambria Math"/>
                                    </w:rPr>
                                  </m:ctrlPr>
                                </m:fPr>
                                <m:num>
                                  <m:r>
                                    <w:rPr>
                                      <w:rFonts w:ascii="Cambria Math" w:hAnsi="Cambria Math"/>
                                    </w:rPr>
                                    <m:t>β</m:t>
                                  </m:r>
                                </m:num>
                                <m:den>
                                  <m:r>
                                    <w:rPr>
                                      <w:rFonts w:ascii="Cambria Math" w:hAnsi="Cambria Math"/>
                                    </w:rPr>
                                    <m:t>β</m:t>
                                  </m:r>
                                  <m:r>
                                    <m:rPr>
                                      <m:sty m:val="p"/>
                                    </m:rPr>
                                    <w:rPr>
                                      <w:rFonts w:ascii="Cambria Math" w:hAnsi="Cambria Math"/>
                                    </w:rPr>
                                    <m:t>+(1+ζ)</m:t>
                                  </m:r>
                                  <m:r>
                                    <w:rPr>
                                      <w:rFonts w:ascii="Cambria Math" w:hAnsi="Cambria Math"/>
                                    </w:rPr>
                                    <m:t>γ</m:t>
                                  </m:r>
                                </m:den>
                              </m:f>
                            </m:e>
                          </m:d>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m:t>
                              </m:r>
                              <m:d>
                                <m:dPr>
                                  <m:ctrlPr>
                                    <w:rPr>
                                      <w:rFonts w:ascii="Cambria Math" w:hAnsi="Cambria Math"/>
                                    </w:rPr>
                                  </m:ctrlPr>
                                </m:dPr>
                                <m:e>
                                  <m:r>
                                    <w:rPr>
                                      <w:rFonts w:ascii="Cambria Math" w:hAnsi="Cambria Math"/>
                                    </w:rPr>
                                    <m:t>odd</m:t>
                                  </m:r>
                                </m:e>
                              </m:d>
                            </m:sup>
                            <m:e>
                              <m:f>
                                <m:fPr>
                                  <m:ctrlPr>
                                    <w:rPr>
                                      <w:rFonts w:ascii="Cambria Math" w:hAnsi="Cambria Math"/>
                                    </w:rPr>
                                  </m:ctrlPr>
                                </m:fPr>
                                <m:num>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sSubSup>
                                            <m:sSubSupPr>
                                              <m:ctrlPr>
                                                <w:rPr>
                                                  <w:rFonts w:ascii="Cambria Math" w:hAnsi="Cambria Math"/>
                                                </w:rPr>
                                              </m:ctrlPr>
                                            </m:sSubSupPr>
                                            <m:e>
                                              <m:r>
                                                <m:rPr>
                                                  <m:sty m:val="p"/>
                                                </m:rPr>
                                                <w:rPr>
                                                  <w:rFonts w:ascii="Cambria Math" w:hAnsi="Cambria Math"/>
                                                </w:rPr>
                                                <m:t>-</m:t>
                                              </m:r>
                                              <m:r>
                                                <w:rPr>
                                                  <w:rFonts w:ascii="Cambria Math" w:hAnsi="Cambria Math"/>
                                                </w:rPr>
                                                <m:t>r</m:t>
                                              </m:r>
                                            </m:e>
                                            <m:sub>
                                              <m:r>
                                                <w:rPr>
                                                  <w:rFonts w:ascii="Cambria Math" w:hAnsi="Cambria Math"/>
                                                </w:rPr>
                                                <m:t>i</m:t>
                                              </m:r>
                                            </m:sub>
                                            <m:sup>
                                              <m:r>
                                                <m:rPr>
                                                  <m:sty m:val="p"/>
                                                </m:rPr>
                                                <w:rPr>
                                                  <w:rFonts w:ascii="Cambria Math" w:hAnsi="Cambria Math"/>
                                                </w:rPr>
                                                <m:t>+</m:t>
                                              </m:r>
                                            </m:sup>
                                          </m:sSubSup>
                                          <m:r>
                                            <w:rPr>
                                              <w:rFonts w:ascii="Cambria Math" w:hAnsi="Cambria Math"/>
                                            </w:rPr>
                                            <m:t>t</m:t>
                                          </m:r>
                                        </m:e>
                                      </m:d>
                                    </m:e>
                                  </m:func>
                                </m:num>
                                <m:den>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m:t>
                                          </m:r>
                                        </m:sup>
                                      </m:sSubSup>
                                    </m:e>
                                  </m:d>
                                </m:den>
                              </m:f>
                            </m:e>
                          </m:nary>
                        </m:e>
                      </m:mr>
                    </m:m>
                  </m:e>
                </m:d>
              </m:oMath>
            </m:oMathPara>
          </w:p>
        </w:tc>
        <w:tc>
          <w:tcPr>
            <w:tcW w:w="810" w:type="dxa"/>
            <w:vAlign w:val="center"/>
          </w:tcPr>
          <w:p w14:paraId="3D3380DF" w14:textId="49C64559" w:rsidR="003E2E0B" w:rsidRPr="001E6BA7" w:rsidRDefault="003E2E0B" w:rsidP="00682F7B">
            <w:pPr>
              <w:pStyle w:val="Equations"/>
              <w:rPr>
                <w:rFonts w:eastAsiaTheme="majorEastAsia"/>
              </w:rPr>
            </w:pPr>
            <w:r w:rsidRPr="001E6BA7">
              <w:rPr>
                <w:rFonts w:eastAsiaTheme="majorEastAsia"/>
              </w:rPr>
              <w:t>(</w:t>
            </w:r>
            <w:r>
              <w:rPr>
                <w:rFonts w:eastAsiaTheme="majorEastAsia"/>
              </w:rPr>
              <w:t>65</w:t>
            </w:r>
            <w:r w:rsidRPr="001E6BA7">
              <w:rPr>
                <w:rFonts w:eastAsiaTheme="majorEastAsia"/>
              </w:rPr>
              <w:t>)</w:t>
            </w:r>
          </w:p>
        </w:tc>
      </w:tr>
    </w:tbl>
    <w:p w14:paraId="28BA6CF7" w14:textId="439BAB19" w:rsidR="00E56273" w:rsidRDefault="000607FC" w:rsidP="00BB2C1B">
      <w:pPr>
        <w:pStyle w:val="Heading2"/>
      </w:pPr>
      <w:bookmarkStart w:id="258" w:name="_Toc531943773"/>
      <w:r>
        <w:t>4.2. Void Filling Hindered Diffusion Model Validation</w:t>
      </w:r>
      <w:bookmarkEnd w:id="258"/>
    </w:p>
    <w:p w14:paraId="1DFDC075" w14:textId="0E2F8AEF" w:rsidR="00E40180" w:rsidRDefault="00E40180" w:rsidP="00682F7B">
      <w:r w:rsidRPr="00E40180">
        <w:t>ROHACELL® WF-71</w:t>
      </w:r>
      <w:r w:rsidR="003D7CA0">
        <w:t xml:space="preserve"> (</w:t>
      </w:r>
      <w:r w:rsidR="008362BC">
        <w:rPr>
          <w:highlight w:val="yellow"/>
        </w:rPr>
        <w:fldChar w:fldCharType="begin"/>
      </w:r>
      <w:r w:rsidR="008362BC">
        <w:instrText xml:space="preserve"> REF _Ref523910544 \h </w:instrText>
      </w:r>
      <w:r w:rsidR="00682F7B">
        <w:rPr>
          <w:highlight w:val="yellow"/>
        </w:rPr>
        <w:instrText xml:space="preserve"> \* MERGEFORMAT </w:instrText>
      </w:r>
      <w:r w:rsidR="008362BC">
        <w:rPr>
          <w:highlight w:val="yellow"/>
        </w:rPr>
      </w:r>
      <w:r w:rsidR="008362BC">
        <w:rPr>
          <w:highlight w:val="yellow"/>
        </w:rPr>
        <w:fldChar w:fldCharType="separate"/>
      </w:r>
      <w:r w:rsidR="006D52C2">
        <w:t xml:space="preserve">Figure </w:t>
      </w:r>
      <w:r w:rsidR="006D52C2">
        <w:rPr>
          <w:noProof/>
        </w:rPr>
        <w:t>51</w:t>
      </w:r>
      <w:r w:rsidR="008362BC">
        <w:rPr>
          <w:highlight w:val="yellow"/>
        </w:rPr>
        <w:fldChar w:fldCharType="end"/>
      </w:r>
      <w:r w:rsidR="003D7CA0">
        <w:t>)</w:t>
      </w:r>
      <w:r w:rsidRPr="00E40180">
        <w:t xml:space="preserve"> </w:t>
      </w:r>
      <w:r w:rsidR="001E42CE" w:rsidRPr="001E42CE">
        <w:t>rigid foam plastic based on PMI (</w:t>
      </w:r>
      <w:proofErr w:type="spellStart"/>
      <w:r w:rsidR="001E42CE" w:rsidRPr="001E42CE">
        <w:t>polymethacrylimide</w:t>
      </w:r>
      <w:proofErr w:type="spellEnd"/>
      <w:r w:rsidR="001E42CE" w:rsidRPr="001E42CE">
        <w:t xml:space="preserve">) </w:t>
      </w:r>
      <w:r w:rsidRPr="00E40180">
        <w:t xml:space="preserve">is used to investigate the moisture absorption in closed-cell foams. </w:t>
      </w:r>
      <w:r>
        <w:t>It is primarily designed to be used in aerospace application</w:t>
      </w:r>
      <w:r w:rsidR="00174C93">
        <w:t>s</w:t>
      </w:r>
      <w:r>
        <w:t xml:space="preserve"> and satisfies MIL and CMS specifications for industry requirements. </w:t>
      </w:r>
    </w:p>
    <w:p w14:paraId="632173D0" w14:textId="2B95F750" w:rsidR="008362BC" w:rsidRDefault="008362BC" w:rsidP="008362BC">
      <w:pPr>
        <w:pStyle w:val="NoSpacing"/>
      </w:pPr>
      <w:r w:rsidRPr="008362BC">
        <w:rPr>
          <w:noProof/>
          <w:lang w:bidi="ar-SA"/>
        </w:rPr>
        <w:drawing>
          <wp:inline distT="0" distB="0" distL="0" distR="0" wp14:anchorId="333D9008" wp14:editId="5BCB3FD2">
            <wp:extent cx="2571750" cy="2286000"/>
            <wp:effectExtent l="0" t="0" r="0" b="0"/>
            <wp:docPr id="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7" cstate="print">
                      <a:extLst>
                        <a:ext uri="{28A0092B-C50C-407E-A947-70E740481C1C}">
                          <a14:useLocalDpi xmlns:a14="http://schemas.microsoft.com/office/drawing/2010/main" val="0"/>
                        </a:ext>
                      </a:extLst>
                    </a:blip>
                    <a:srcRect l="11880" t="24605" r="18842" b="29210"/>
                    <a:stretch/>
                  </pic:blipFill>
                  <pic:spPr>
                    <a:xfrm>
                      <a:off x="0" y="0"/>
                      <a:ext cx="2571750" cy="2286000"/>
                    </a:xfrm>
                    <a:prstGeom prst="rect">
                      <a:avLst/>
                    </a:prstGeom>
                  </pic:spPr>
                </pic:pic>
              </a:graphicData>
            </a:graphic>
          </wp:inline>
        </w:drawing>
      </w:r>
    </w:p>
    <w:p w14:paraId="44872333" w14:textId="473A8E41" w:rsidR="008362BC" w:rsidRDefault="008362BC" w:rsidP="008362BC">
      <w:pPr>
        <w:pStyle w:val="Caption"/>
      </w:pPr>
      <w:bookmarkStart w:id="259" w:name="_Ref523910544"/>
      <w:bookmarkStart w:id="260" w:name="_Toc530997407"/>
      <w:r>
        <w:t xml:space="preserve">Figure </w:t>
      </w:r>
      <w:r w:rsidR="00E96206">
        <w:rPr>
          <w:noProof/>
        </w:rPr>
        <w:fldChar w:fldCharType="begin"/>
      </w:r>
      <w:r w:rsidR="00E96206">
        <w:rPr>
          <w:noProof/>
        </w:rPr>
        <w:instrText xml:space="preserve"> SEQ Figure \* ARABIC </w:instrText>
      </w:r>
      <w:r w:rsidR="00E96206">
        <w:rPr>
          <w:noProof/>
        </w:rPr>
        <w:fldChar w:fldCharType="separate"/>
      </w:r>
      <w:r w:rsidR="006D52C2">
        <w:rPr>
          <w:noProof/>
        </w:rPr>
        <w:t>51</w:t>
      </w:r>
      <w:r w:rsidR="00E96206">
        <w:rPr>
          <w:noProof/>
        </w:rPr>
        <w:fldChar w:fldCharType="end"/>
      </w:r>
      <w:bookmarkEnd w:id="259"/>
      <w:r>
        <w:t xml:space="preserve">. </w:t>
      </w:r>
      <w:r w:rsidRPr="00E40180">
        <w:t>ROHACELL® WF-71</w:t>
      </w:r>
      <w:r>
        <w:t xml:space="preserve"> Foam</w:t>
      </w:r>
      <w:bookmarkEnd w:id="260"/>
    </w:p>
    <w:p w14:paraId="6D8CA248" w14:textId="77777777" w:rsidR="008362BC" w:rsidRPr="008362BC" w:rsidRDefault="008362BC" w:rsidP="008362BC"/>
    <w:p w14:paraId="44F24995" w14:textId="12B4DDA5" w:rsidR="00E40180" w:rsidRDefault="00E40180" w:rsidP="00682F7B">
      <w:r w:rsidRPr="00E40180">
        <w:t>ROHACELL® WF-71</w:t>
      </w:r>
      <w:r>
        <w:t xml:space="preserve"> structural foam can withstand curing temperatures up</w:t>
      </w:r>
      <w:r w:rsidR="001E42CE">
        <w:t xml:space="preserve"> </w:t>
      </w:r>
      <w:r>
        <w:t>to 130</w:t>
      </w:r>
      <w:r w:rsidR="00123FF9" w:rsidRPr="00123FF9">
        <w:rPr>
          <w:rFonts w:ascii="Cambria Math" w:hAnsi="Cambria Math" w:cs="Cambria Math"/>
        </w:rPr>
        <w:t>℃</w:t>
      </w:r>
      <w:r w:rsidR="00123FF9" w:rsidRPr="00123FF9">
        <w:t xml:space="preserve"> (266</w:t>
      </w:r>
      <w:r w:rsidRPr="00123FF9">
        <w:rPr>
          <w:rFonts w:ascii="Cambria Math" w:hAnsi="Cambria Math" w:cs="Cambria Math"/>
        </w:rPr>
        <w:t>℉</w:t>
      </w:r>
      <w:r w:rsidR="00123FF9" w:rsidRPr="00123FF9">
        <w:t>) and 0.7 MPa</w:t>
      </w:r>
      <w:r w:rsidR="00123FF9">
        <w:t xml:space="preserve"> (102 psi)</w:t>
      </w:r>
      <w:r w:rsidR="00123FF9" w:rsidRPr="00123FF9">
        <w:t xml:space="preserve"> </w:t>
      </w:r>
      <w:r w:rsidR="00123FF9">
        <w:t>pressure. Heat treatment on the foam can change the cell structure to make it withstand up to 180</w:t>
      </w:r>
      <w:r w:rsidR="00123FF9" w:rsidRPr="00123FF9">
        <w:rPr>
          <w:rFonts w:ascii="Cambria Math" w:hAnsi="Cambria Math" w:cs="Cambria Math"/>
        </w:rPr>
        <w:t>℃</w:t>
      </w:r>
      <w:r w:rsidR="00123FF9" w:rsidRPr="00123FF9">
        <w:t xml:space="preserve"> </w:t>
      </w:r>
      <w:r w:rsidR="00123FF9">
        <w:t>(356</w:t>
      </w:r>
      <w:r w:rsidR="00123FF9" w:rsidRPr="00123FF9">
        <w:rPr>
          <w:rFonts w:ascii="Cambria Math" w:hAnsi="Cambria Math" w:cs="Cambria Math"/>
        </w:rPr>
        <w:t>℉</w:t>
      </w:r>
      <w:r w:rsidR="00123FF9" w:rsidRPr="00123FF9">
        <w:t>)</w:t>
      </w:r>
      <w:r w:rsidR="00123FF9">
        <w:t xml:space="preserve"> at</w:t>
      </w:r>
      <w:r w:rsidR="00123FF9" w:rsidRPr="00123FF9">
        <w:t xml:space="preserve"> 0.7 MPa</w:t>
      </w:r>
      <w:r w:rsidR="00123FF9">
        <w:t>.</w:t>
      </w:r>
    </w:p>
    <w:p w14:paraId="6E107C14" w14:textId="4771C815" w:rsidR="00623299" w:rsidRDefault="00623299" w:rsidP="00B63058">
      <w:pPr>
        <w:pStyle w:val="Heading3"/>
        <w:numPr>
          <w:ilvl w:val="0"/>
          <w:numId w:val="35"/>
        </w:numPr>
      </w:pPr>
      <w:bookmarkStart w:id="261" w:name="_Toc531943774"/>
      <w:r w:rsidRPr="005A3E52">
        <w:lastRenderedPageBreak/>
        <w:t>Materials and Sample Preparation</w:t>
      </w:r>
      <w:r>
        <w:t xml:space="preserve"> of Rohacell Closed-Cell Structural Foam</w:t>
      </w:r>
      <w:bookmarkEnd w:id="261"/>
    </w:p>
    <w:p w14:paraId="70CB34C6" w14:textId="1013601A" w:rsidR="00E40180" w:rsidRDefault="00123FF9" w:rsidP="00682F7B">
      <w:pPr>
        <w:rPr>
          <w:rFonts w:cs="Times New Roman"/>
          <w:szCs w:val="24"/>
        </w:rPr>
      </w:pPr>
      <w:r>
        <w:t xml:space="preserve">To investigate the effect of porosity in absorption kinetics, three sheets of 625 mm </w:t>
      </w:r>
      <w:r w:rsidRPr="00EC6E5C">
        <w:rPr>
          <w:rFonts w:eastAsia="Times New Roman" w:cs="Times New Roman"/>
          <w:szCs w:val="24"/>
        </w:rPr>
        <w:t>×</w:t>
      </w:r>
      <w:r>
        <w:rPr>
          <w:rFonts w:eastAsia="Times New Roman" w:cs="Times New Roman"/>
          <w:szCs w:val="24"/>
        </w:rPr>
        <w:t xml:space="preserve"> </w:t>
      </w:r>
      <w:r>
        <w:t>1250 mm (</w:t>
      </w:r>
      <w:r w:rsidRPr="00123FF9">
        <w:rPr>
          <w:rFonts w:cs="Times New Roman"/>
        </w:rPr>
        <w:t>25</w:t>
      </w:r>
      <w:r w:rsidRPr="00123FF9">
        <w:rPr>
          <w:rFonts w:cs="Times New Roman"/>
          <w:color w:val="222222"/>
          <w:shd w:val="clear" w:color="auto" w:fill="FFFFFF"/>
        </w:rPr>
        <w:t>″</w:t>
      </w:r>
      <w:r>
        <w:t xml:space="preserve"> </w:t>
      </w:r>
      <w:r w:rsidRPr="00EC6E5C">
        <w:rPr>
          <w:rFonts w:eastAsia="Times New Roman" w:cs="Times New Roman"/>
          <w:szCs w:val="24"/>
        </w:rPr>
        <w:t>×</w:t>
      </w:r>
      <w:r>
        <w:rPr>
          <w:rFonts w:eastAsia="Times New Roman" w:cs="Times New Roman"/>
          <w:szCs w:val="24"/>
        </w:rPr>
        <w:t xml:space="preserve"> </w:t>
      </w:r>
      <w:r w:rsidRPr="00123FF9">
        <w:rPr>
          <w:rFonts w:cs="Times New Roman"/>
        </w:rPr>
        <w:t>50</w:t>
      </w:r>
      <w:r w:rsidRPr="00123FF9">
        <w:rPr>
          <w:rFonts w:cs="Times New Roman"/>
          <w:color w:val="222222"/>
          <w:shd w:val="clear" w:color="auto" w:fill="FFFFFF"/>
        </w:rPr>
        <w:t>″</w:t>
      </w:r>
      <w:r>
        <w:t xml:space="preserve">) </w:t>
      </w:r>
      <w:r w:rsidRPr="00E40180">
        <w:t>ROHACELL® WF-71</w:t>
      </w:r>
      <w:r>
        <w:t xml:space="preserve"> (</w:t>
      </w:r>
      <w:proofErr w:type="spellStart"/>
      <w:r>
        <w:t>Evonik</w:t>
      </w:r>
      <w:proofErr w:type="spellEnd"/>
      <w:r>
        <w:t xml:space="preserve"> Industries) having 3mm, 6mm, and 9mm thicknesses are used in this study. Prior to absorption tests, eight samples of </w:t>
      </w:r>
      <w:r w:rsidR="00CB64A3">
        <w:br/>
      </w:r>
      <w:r>
        <w:t>5</w:t>
      </w:r>
      <w:r w:rsidR="0056752A">
        <w:t>1</w:t>
      </w:r>
      <w:r>
        <w:t xml:space="preserve"> mm </w:t>
      </w:r>
      <w:r w:rsidRPr="00EC6E5C">
        <w:rPr>
          <w:rFonts w:eastAsia="Times New Roman" w:cs="Times New Roman"/>
          <w:szCs w:val="24"/>
        </w:rPr>
        <w:t>×</w:t>
      </w:r>
      <w:r>
        <w:rPr>
          <w:rFonts w:eastAsia="Times New Roman" w:cs="Times New Roman"/>
          <w:szCs w:val="24"/>
        </w:rPr>
        <w:t xml:space="preserve"> </w:t>
      </w:r>
      <w:r w:rsidR="002A630A">
        <w:t>5</w:t>
      </w:r>
      <w:r w:rsidR="0056752A">
        <w:t>1</w:t>
      </w:r>
      <w:r>
        <w:t xml:space="preserve"> mm (2</w:t>
      </w:r>
      <w:r w:rsidRPr="00123FF9">
        <w:rPr>
          <w:rFonts w:cs="Times New Roman"/>
          <w:color w:val="222222"/>
          <w:shd w:val="clear" w:color="auto" w:fill="FFFFFF"/>
        </w:rPr>
        <w:t>″</w:t>
      </w:r>
      <w:r>
        <w:t xml:space="preserve"> </w:t>
      </w:r>
      <w:r w:rsidRPr="00EC6E5C">
        <w:rPr>
          <w:rFonts w:eastAsia="Times New Roman" w:cs="Times New Roman"/>
          <w:szCs w:val="24"/>
        </w:rPr>
        <w:t>×</w:t>
      </w:r>
      <w:r>
        <w:rPr>
          <w:rFonts w:eastAsia="Times New Roman" w:cs="Times New Roman"/>
          <w:szCs w:val="24"/>
        </w:rPr>
        <w:t xml:space="preserve"> </w:t>
      </w:r>
      <w:r>
        <w:rPr>
          <w:rFonts w:cs="Times New Roman"/>
          <w:color w:val="222222"/>
          <w:shd w:val="clear" w:color="auto" w:fill="FFFFFF"/>
        </w:rPr>
        <w:t>2</w:t>
      </w:r>
      <w:r w:rsidRPr="00123FF9">
        <w:rPr>
          <w:rFonts w:cs="Times New Roman"/>
          <w:color w:val="222222"/>
          <w:shd w:val="clear" w:color="auto" w:fill="FFFFFF"/>
        </w:rPr>
        <w:t>″</w:t>
      </w:r>
      <w:r>
        <w:t>)</w:t>
      </w:r>
      <w:r w:rsidR="003E45D1">
        <w:t xml:space="preserve"> is c</w:t>
      </w:r>
      <w:r>
        <w:t>ut from each foam sheet.</w:t>
      </w:r>
      <w:r w:rsidR="002A630A" w:rsidRPr="002A630A">
        <w:t xml:space="preserve"> </w:t>
      </w:r>
    </w:p>
    <w:p w14:paraId="1968A049" w14:textId="5F1BAF46" w:rsidR="003E45D1" w:rsidRDefault="003E45D1" w:rsidP="00682F7B">
      <w:r>
        <w:rPr>
          <w:rFonts w:cs="Times New Roman"/>
          <w:szCs w:val="24"/>
        </w:rPr>
        <w:t xml:space="preserve">Remaining part of each foam sheets were heat treated to change their microstructure. </w:t>
      </w:r>
      <w:r w:rsidR="00355873">
        <w:rPr>
          <w:rFonts w:cs="Times New Roman"/>
          <w:szCs w:val="24"/>
        </w:rPr>
        <w:t>Each sheet is cut into two 2</w:t>
      </w:r>
      <w:r w:rsidR="00355873">
        <w:t>5</w:t>
      </w:r>
      <w:r w:rsidR="0056752A">
        <w:t>4</w:t>
      </w:r>
      <w:r w:rsidR="00355873">
        <w:t xml:space="preserve"> mm </w:t>
      </w:r>
      <w:r w:rsidR="00355873" w:rsidRPr="00EC6E5C">
        <w:rPr>
          <w:rFonts w:eastAsia="Times New Roman" w:cs="Times New Roman"/>
          <w:szCs w:val="24"/>
        </w:rPr>
        <w:t>×</w:t>
      </w:r>
      <w:r w:rsidR="00355873">
        <w:rPr>
          <w:rFonts w:eastAsia="Times New Roman" w:cs="Times New Roman"/>
          <w:szCs w:val="24"/>
        </w:rPr>
        <w:t xml:space="preserve"> 2</w:t>
      </w:r>
      <w:r w:rsidR="00355873">
        <w:t>5</w:t>
      </w:r>
      <w:r w:rsidR="0056752A">
        <w:t>4</w:t>
      </w:r>
      <w:r w:rsidR="00355873">
        <w:t xml:space="preserve"> mm (10</w:t>
      </w:r>
      <w:r w:rsidR="00355873" w:rsidRPr="00123FF9">
        <w:rPr>
          <w:rFonts w:cs="Times New Roman"/>
          <w:color w:val="222222"/>
          <w:shd w:val="clear" w:color="auto" w:fill="FFFFFF"/>
        </w:rPr>
        <w:t>″</w:t>
      </w:r>
      <w:r w:rsidR="00355873">
        <w:t xml:space="preserve"> </w:t>
      </w:r>
      <w:r w:rsidR="00355873" w:rsidRPr="00EC6E5C">
        <w:rPr>
          <w:rFonts w:eastAsia="Times New Roman" w:cs="Times New Roman"/>
          <w:szCs w:val="24"/>
        </w:rPr>
        <w:t>×</w:t>
      </w:r>
      <w:r w:rsidR="00355873">
        <w:rPr>
          <w:rFonts w:eastAsia="Times New Roman" w:cs="Times New Roman"/>
          <w:szCs w:val="24"/>
        </w:rPr>
        <w:t xml:space="preserve"> </w:t>
      </w:r>
      <w:r w:rsidR="00355873">
        <w:rPr>
          <w:rFonts w:cs="Times New Roman"/>
          <w:color w:val="222222"/>
          <w:shd w:val="clear" w:color="auto" w:fill="FFFFFF"/>
        </w:rPr>
        <w:t>10</w:t>
      </w:r>
      <w:r w:rsidR="00355873" w:rsidRPr="00123FF9">
        <w:rPr>
          <w:rFonts w:cs="Times New Roman"/>
          <w:color w:val="222222"/>
          <w:shd w:val="clear" w:color="auto" w:fill="FFFFFF"/>
        </w:rPr>
        <w:t>″</w:t>
      </w:r>
      <w:r w:rsidR="00355873">
        <w:t>) panels. Cut panels</w:t>
      </w:r>
      <w:r w:rsidR="008C30AB">
        <w:t xml:space="preserve"> were dried in vacuum oven at 40</w:t>
      </w:r>
      <w:r w:rsidR="008C30AB" w:rsidRPr="00145FCF">
        <w:rPr>
          <w:rFonts w:ascii="Cambria Math" w:hAnsi="Cambria Math" w:cs="Cambria Math"/>
          <w:szCs w:val="24"/>
        </w:rPr>
        <w:t>℃</w:t>
      </w:r>
      <w:r w:rsidR="008C30AB">
        <w:rPr>
          <w:rFonts w:cs="Times New Roman"/>
          <w:szCs w:val="24"/>
        </w:rPr>
        <w:t xml:space="preserve"> (104</w:t>
      </w:r>
      <w:r w:rsidR="008C30AB" w:rsidRPr="00145FCF">
        <w:rPr>
          <w:rFonts w:ascii="Cambria Math" w:hAnsi="Cambria Math" w:cs="Cambria Math"/>
          <w:szCs w:val="24"/>
        </w:rPr>
        <w:t>℉</w:t>
      </w:r>
      <w:r w:rsidR="008C30AB" w:rsidRPr="00145FCF">
        <w:rPr>
          <w:rFonts w:cs="Times New Roman"/>
          <w:szCs w:val="24"/>
        </w:rPr>
        <w:t>)</w:t>
      </w:r>
      <w:r w:rsidR="008C30AB">
        <w:rPr>
          <w:rFonts w:cs="Times New Roman"/>
          <w:szCs w:val="24"/>
        </w:rPr>
        <w:t>. Then, panels were</w:t>
      </w:r>
      <w:r w:rsidR="00355873">
        <w:t xml:space="preserve"> subjected to 21 MPa</w:t>
      </w:r>
      <w:r w:rsidR="008C30AB">
        <w:t xml:space="preserve"> (30 psi)</w:t>
      </w:r>
      <w:r w:rsidR="00355873">
        <w:t xml:space="preserve"> or 34 MPa</w:t>
      </w:r>
      <w:r w:rsidR="008C30AB">
        <w:t xml:space="preserve"> (50 psi)</w:t>
      </w:r>
      <w:r w:rsidR="00355873">
        <w:t xml:space="preserve"> </w:t>
      </w:r>
      <w:r w:rsidR="002A630A">
        <w:t>at</w:t>
      </w:r>
      <w:r w:rsidR="00355873">
        <w:t xml:space="preserve"> 127</w:t>
      </w:r>
      <w:r w:rsidR="00355873" w:rsidRPr="00145FCF">
        <w:rPr>
          <w:rFonts w:ascii="Cambria Math" w:hAnsi="Cambria Math" w:cs="Cambria Math"/>
          <w:szCs w:val="24"/>
        </w:rPr>
        <w:t>℃</w:t>
      </w:r>
      <w:r w:rsidR="00355873">
        <w:rPr>
          <w:rFonts w:cs="Times New Roman"/>
          <w:szCs w:val="24"/>
        </w:rPr>
        <w:t xml:space="preserve"> (26</w:t>
      </w:r>
      <w:r w:rsidR="00355873" w:rsidRPr="00145FCF">
        <w:rPr>
          <w:rFonts w:cs="Times New Roman"/>
          <w:szCs w:val="24"/>
        </w:rPr>
        <w:t>0</w:t>
      </w:r>
      <w:r w:rsidR="00355873" w:rsidRPr="00145FCF">
        <w:rPr>
          <w:rFonts w:ascii="Cambria Math" w:hAnsi="Cambria Math" w:cs="Cambria Math"/>
          <w:szCs w:val="24"/>
        </w:rPr>
        <w:t>℉</w:t>
      </w:r>
      <w:r w:rsidR="00355873" w:rsidRPr="00145FCF">
        <w:rPr>
          <w:rFonts w:cs="Times New Roman"/>
          <w:szCs w:val="24"/>
        </w:rPr>
        <w:t>)</w:t>
      </w:r>
      <w:r w:rsidR="00355873">
        <w:rPr>
          <w:rFonts w:cs="Times New Roman"/>
          <w:szCs w:val="24"/>
        </w:rPr>
        <w:t xml:space="preserve"> for 3 hours. Immediately, the panels are </w:t>
      </w:r>
      <w:r w:rsidR="002A630A">
        <w:rPr>
          <w:rFonts w:cs="Times New Roman"/>
          <w:szCs w:val="24"/>
        </w:rPr>
        <w:t xml:space="preserve">further </w:t>
      </w:r>
      <w:r w:rsidR="00355873">
        <w:rPr>
          <w:rFonts w:cs="Times New Roman"/>
          <w:szCs w:val="24"/>
        </w:rPr>
        <w:t>processed at 176</w:t>
      </w:r>
      <w:r w:rsidR="00355873" w:rsidRPr="00145FCF">
        <w:rPr>
          <w:rFonts w:ascii="Cambria Math" w:hAnsi="Cambria Math" w:cs="Cambria Math"/>
          <w:szCs w:val="24"/>
        </w:rPr>
        <w:t>℃</w:t>
      </w:r>
      <w:r w:rsidR="00355873">
        <w:rPr>
          <w:rFonts w:cs="Times New Roman"/>
          <w:szCs w:val="24"/>
        </w:rPr>
        <w:t xml:space="preserve"> (</w:t>
      </w:r>
      <w:r w:rsidR="002A630A">
        <w:rPr>
          <w:rFonts w:cs="Times New Roman"/>
          <w:szCs w:val="24"/>
        </w:rPr>
        <w:t>350</w:t>
      </w:r>
      <w:r w:rsidR="00355873" w:rsidRPr="00145FCF">
        <w:rPr>
          <w:rFonts w:ascii="Cambria Math" w:hAnsi="Cambria Math" w:cs="Cambria Math"/>
          <w:szCs w:val="24"/>
        </w:rPr>
        <w:t>℉</w:t>
      </w:r>
      <w:r w:rsidR="00355873" w:rsidRPr="00145FCF">
        <w:rPr>
          <w:rFonts w:cs="Times New Roman"/>
          <w:szCs w:val="24"/>
        </w:rPr>
        <w:t>)</w:t>
      </w:r>
      <w:r w:rsidR="002A630A">
        <w:rPr>
          <w:rFonts w:cs="Times New Roman"/>
          <w:szCs w:val="24"/>
        </w:rPr>
        <w:t xml:space="preserve"> under the same pressures for 3 hours. Heat treated foams are cooled down to room temperature at a rate of 2</w:t>
      </w:r>
      <w:r w:rsidR="002A630A" w:rsidRPr="00145FCF">
        <w:rPr>
          <w:rFonts w:ascii="Cambria Math" w:hAnsi="Cambria Math" w:cs="Cambria Math"/>
          <w:szCs w:val="24"/>
        </w:rPr>
        <w:t>℃</w:t>
      </w:r>
      <w:r w:rsidR="002A630A">
        <w:rPr>
          <w:rFonts w:ascii="Cambria Math" w:hAnsi="Cambria Math" w:cs="Cambria Math"/>
          <w:szCs w:val="24"/>
        </w:rPr>
        <w:t>/min</w:t>
      </w:r>
      <w:r w:rsidR="002A630A">
        <w:rPr>
          <w:rFonts w:cs="Times New Roman"/>
          <w:szCs w:val="24"/>
        </w:rPr>
        <w:t xml:space="preserve"> (5</w:t>
      </w:r>
      <w:r w:rsidR="002A630A" w:rsidRPr="00145FCF">
        <w:rPr>
          <w:rFonts w:ascii="Cambria Math" w:hAnsi="Cambria Math" w:cs="Cambria Math"/>
          <w:szCs w:val="24"/>
        </w:rPr>
        <w:t>℉</w:t>
      </w:r>
      <w:r w:rsidR="002A630A">
        <w:rPr>
          <w:rFonts w:ascii="Cambria Math" w:hAnsi="Cambria Math" w:cs="Cambria Math"/>
          <w:szCs w:val="24"/>
        </w:rPr>
        <w:t>/min</w:t>
      </w:r>
      <w:r w:rsidR="002A630A" w:rsidRPr="00145FCF">
        <w:rPr>
          <w:rFonts w:cs="Times New Roman"/>
          <w:szCs w:val="24"/>
        </w:rPr>
        <w:t>)</w:t>
      </w:r>
      <w:r w:rsidR="002A630A">
        <w:rPr>
          <w:rFonts w:cs="Times New Roman"/>
          <w:szCs w:val="24"/>
        </w:rPr>
        <w:t xml:space="preserve">. </w:t>
      </w:r>
      <w:r w:rsidR="009C5D4A">
        <w:rPr>
          <w:rFonts w:cs="Times New Roman"/>
          <w:szCs w:val="24"/>
        </w:rPr>
        <w:t xml:space="preserve">Heat treated panels are cut into </w:t>
      </w:r>
      <w:r w:rsidR="009C5D4A">
        <w:t>5</w:t>
      </w:r>
      <w:r w:rsidR="0056752A">
        <w:t>1</w:t>
      </w:r>
      <w:r w:rsidR="009C5D4A">
        <w:t xml:space="preserve"> mm </w:t>
      </w:r>
      <w:r w:rsidR="009C5D4A" w:rsidRPr="00EC6E5C">
        <w:rPr>
          <w:rFonts w:eastAsia="Times New Roman" w:cs="Times New Roman"/>
          <w:szCs w:val="24"/>
        </w:rPr>
        <w:t>×</w:t>
      </w:r>
      <w:r w:rsidR="009C5D4A">
        <w:rPr>
          <w:rFonts w:eastAsia="Times New Roman" w:cs="Times New Roman"/>
          <w:szCs w:val="24"/>
        </w:rPr>
        <w:t xml:space="preserve"> </w:t>
      </w:r>
      <w:r w:rsidR="009C5D4A">
        <w:t>5</w:t>
      </w:r>
      <w:r w:rsidR="0056752A">
        <w:t>1</w:t>
      </w:r>
      <w:r w:rsidR="009C5D4A">
        <w:t xml:space="preserve"> mm (2</w:t>
      </w:r>
      <w:r w:rsidR="009C5D4A" w:rsidRPr="00123FF9">
        <w:rPr>
          <w:rFonts w:cs="Times New Roman"/>
          <w:color w:val="222222"/>
          <w:shd w:val="clear" w:color="auto" w:fill="FFFFFF"/>
        </w:rPr>
        <w:t>″</w:t>
      </w:r>
      <w:r w:rsidR="009C5D4A">
        <w:t xml:space="preserve"> </w:t>
      </w:r>
      <w:r w:rsidR="009C5D4A" w:rsidRPr="00EC6E5C">
        <w:rPr>
          <w:rFonts w:eastAsia="Times New Roman" w:cs="Times New Roman"/>
          <w:szCs w:val="24"/>
        </w:rPr>
        <w:t>×</w:t>
      </w:r>
      <w:r w:rsidR="009C5D4A">
        <w:rPr>
          <w:rFonts w:eastAsia="Times New Roman" w:cs="Times New Roman"/>
          <w:szCs w:val="24"/>
        </w:rPr>
        <w:t xml:space="preserve"> </w:t>
      </w:r>
      <w:r w:rsidR="009C5D4A">
        <w:rPr>
          <w:rFonts w:cs="Times New Roman"/>
          <w:color w:val="222222"/>
          <w:shd w:val="clear" w:color="auto" w:fill="FFFFFF"/>
        </w:rPr>
        <w:t>2</w:t>
      </w:r>
      <w:r w:rsidR="009C5D4A" w:rsidRPr="00123FF9">
        <w:rPr>
          <w:rFonts w:cs="Times New Roman"/>
          <w:color w:val="222222"/>
          <w:shd w:val="clear" w:color="auto" w:fill="FFFFFF"/>
        </w:rPr>
        <w:t>″</w:t>
      </w:r>
      <w:r w:rsidR="009C5D4A">
        <w:t>) specimens for absorption test.</w:t>
      </w:r>
    </w:p>
    <w:p w14:paraId="42F7C8E6" w14:textId="50F19DE8" w:rsidR="001F7E4F" w:rsidRDefault="009C5D4A" w:rsidP="00682F7B">
      <w:pPr>
        <w:rPr>
          <w:rFonts w:cs="Times New Roman"/>
          <w:szCs w:val="24"/>
        </w:rPr>
      </w:pPr>
      <w:r w:rsidRPr="002A630A">
        <w:t xml:space="preserve">Each specimen set contains eight </w:t>
      </w:r>
      <w:r w:rsidR="007021B3">
        <w:t>foam</w:t>
      </w:r>
      <w:r w:rsidRPr="002A630A">
        <w:t xml:space="preserve"> samples to minimize the experimental uncertainty.</w:t>
      </w:r>
      <w:r>
        <w:t xml:space="preserve"> The cut samples are dried in vacuum oven </w:t>
      </w:r>
      <w:r w:rsidRPr="00145FCF">
        <w:rPr>
          <w:rFonts w:cs="Times New Roman"/>
          <w:szCs w:val="24"/>
        </w:rPr>
        <w:t>43</w:t>
      </w:r>
      <w:r w:rsidRPr="00145FCF">
        <w:rPr>
          <w:rFonts w:ascii="Cambria Math" w:hAnsi="Cambria Math" w:cs="Cambria Math"/>
          <w:szCs w:val="24"/>
        </w:rPr>
        <w:t>℃</w:t>
      </w:r>
      <w:r w:rsidRPr="00145FCF">
        <w:rPr>
          <w:rFonts w:cs="Times New Roman"/>
          <w:szCs w:val="24"/>
        </w:rPr>
        <w:t xml:space="preserve"> (110</w:t>
      </w:r>
      <w:r w:rsidRPr="00145FCF">
        <w:rPr>
          <w:rFonts w:ascii="Cambria Math" w:hAnsi="Cambria Math" w:cs="Cambria Math"/>
          <w:szCs w:val="24"/>
        </w:rPr>
        <w:t>℉</w:t>
      </w:r>
      <w:r w:rsidRPr="00145FCF">
        <w:rPr>
          <w:rFonts w:cs="Times New Roman"/>
          <w:szCs w:val="24"/>
        </w:rPr>
        <w:t>)</w:t>
      </w:r>
      <w:r>
        <w:rPr>
          <w:rFonts w:cs="Times New Roman"/>
          <w:szCs w:val="24"/>
        </w:rPr>
        <w:t xml:space="preserve"> for approximately 5 days. Dried samples are immersed in distilled water at </w:t>
      </w:r>
      <w:r w:rsidRPr="00145FCF">
        <w:rPr>
          <w:rFonts w:cs="Times New Roman"/>
          <w:szCs w:val="24"/>
        </w:rPr>
        <w:t>25</w:t>
      </w:r>
      <w:r w:rsidRPr="00145FCF">
        <w:rPr>
          <w:rFonts w:ascii="Cambria Math" w:hAnsi="Cambria Math" w:cs="Cambria Math"/>
          <w:szCs w:val="24"/>
        </w:rPr>
        <w:t>℃</w:t>
      </w:r>
      <w:r>
        <w:rPr>
          <w:rFonts w:ascii="Cambria Math" w:hAnsi="Cambria Math" w:cs="Cambria Math"/>
          <w:szCs w:val="24"/>
        </w:rPr>
        <w:t xml:space="preserve"> </w:t>
      </w:r>
      <w:r>
        <w:rPr>
          <w:rFonts w:cs="Times New Roman"/>
          <w:szCs w:val="24"/>
        </w:rPr>
        <w:t>(77</w:t>
      </w:r>
      <w:r w:rsidRPr="00145FCF">
        <w:rPr>
          <w:rFonts w:ascii="Cambria Math" w:hAnsi="Cambria Math" w:cs="Cambria Math"/>
          <w:szCs w:val="24"/>
        </w:rPr>
        <w:t>℉</w:t>
      </w:r>
      <w:r w:rsidRPr="00145FCF">
        <w:rPr>
          <w:rFonts w:cs="Times New Roman"/>
          <w:szCs w:val="24"/>
        </w:rPr>
        <w:t>)</w:t>
      </w:r>
      <w:r>
        <w:rPr>
          <w:rFonts w:cs="Times New Roman"/>
          <w:szCs w:val="24"/>
        </w:rPr>
        <w:t>.</w:t>
      </w:r>
      <w:r w:rsidR="001F7E4F">
        <w:rPr>
          <w:rFonts w:cs="Times New Roman"/>
          <w:szCs w:val="24"/>
        </w:rPr>
        <w:t xml:space="preserve"> Final sample dimensions and their abbreviations are given in </w:t>
      </w:r>
      <w:r w:rsidR="001F7E4F">
        <w:rPr>
          <w:rFonts w:cs="Times New Roman"/>
          <w:szCs w:val="24"/>
        </w:rPr>
        <w:fldChar w:fldCharType="begin"/>
      </w:r>
      <w:r w:rsidR="001F7E4F">
        <w:rPr>
          <w:rFonts w:cs="Times New Roman"/>
          <w:szCs w:val="24"/>
        </w:rPr>
        <w:instrText xml:space="preserve"> REF _Ref523216276 \h </w:instrText>
      </w:r>
      <w:r w:rsidR="00682F7B">
        <w:rPr>
          <w:rFonts w:cs="Times New Roman"/>
          <w:szCs w:val="24"/>
        </w:rPr>
        <w:instrText xml:space="preserve"> \* MERGEFORMAT </w:instrText>
      </w:r>
      <w:r w:rsidR="001F7E4F">
        <w:rPr>
          <w:rFonts w:cs="Times New Roman"/>
          <w:szCs w:val="24"/>
        </w:rPr>
      </w:r>
      <w:r w:rsidR="001F7E4F">
        <w:rPr>
          <w:rFonts w:cs="Times New Roman"/>
          <w:szCs w:val="24"/>
        </w:rPr>
        <w:fldChar w:fldCharType="separate"/>
      </w:r>
      <w:r w:rsidR="006D52C2">
        <w:t xml:space="preserve">Table </w:t>
      </w:r>
      <w:r w:rsidR="006D52C2">
        <w:rPr>
          <w:noProof/>
        </w:rPr>
        <w:t>10</w:t>
      </w:r>
      <w:r w:rsidR="001F7E4F">
        <w:rPr>
          <w:rFonts w:cs="Times New Roman"/>
          <w:szCs w:val="24"/>
        </w:rPr>
        <w:fldChar w:fldCharType="end"/>
      </w:r>
      <w:r w:rsidR="001F7E4F">
        <w:rPr>
          <w:rFonts w:cs="Times New Roman"/>
          <w:szCs w:val="24"/>
        </w:rPr>
        <w:t>.</w:t>
      </w:r>
    </w:p>
    <w:p w14:paraId="7B0048FE" w14:textId="77777777" w:rsidR="00F6549A" w:rsidRDefault="00F6549A" w:rsidP="00682F7B">
      <w:pPr>
        <w:rPr>
          <w:rFonts w:cs="Times New Roman"/>
          <w:szCs w:val="24"/>
        </w:rPr>
      </w:pPr>
    </w:p>
    <w:p w14:paraId="0C2D69C2" w14:textId="77777777" w:rsidR="008362BC" w:rsidRDefault="008362BC" w:rsidP="00682F7B">
      <w:pPr>
        <w:rPr>
          <w:rFonts w:cs="Times New Roman"/>
          <w:szCs w:val="24"/>
        </w:rPr>
      </w:pPr>
    </w:p>
    <w:p w14:paraId="453EF48B" w14:textId="77777777" w:rsidR="008362BC" w:rsidRDefault="008362BC" w:rsidP="001F7E4F">
      <w:pPr>
        <w:rPr>
          <w:rFonts w:cs="Times New Roman"/>
          <w:szCs w:val="24"/>
        </w:rPr>
      </w:pPr>
    </w:p>
    <w:p w14:paraId="1B3853C3" w14:textId="77777777" w:rsidR="008362BC" w:rsidRDefault="008362BC" w:rsidP="001F7E4F">
      <w:pPr>
        <w:rPr>
          <w:rFonts w:cs="Times New Roman"/>
          <w:szCs w:val="24"/>
        </w:rPr>
      </w:pPr>
    </w:p>
    <w:p w14:paraId="035E1A68" w14:textId="77777777" w:rsidR="00225D92" w:rsidRDefault="00225D92" w:rsidP="001F7E4F">
      <w:pPr>
        <w:rPr>
          <w:rFonts w:cs="Times New Roman"/>
          <w:szCs w:val="24"/>
        </w:rPr>
      </w:pPr>
    </w:p>
    <w:p w14:paraId="4C27C43F" w14:textId="77777777" w:rsidR="00225D92" w:rsidRDefault="00225D92" w:rsidP="001F7E4F">
      <w:pPr>
        <w:rPr>
          <w:rFonts w:cs="Times New Roman"/>
          <w:szCs w:val="24"/>
        </w:rPr>
      </w:pPr>
    </w:p>
    <w:p w14:paraId="2CA09521" w14:textId="77777777" w:rsidR="00225D92" w:rsidRDefault="00225D92" w:rsidP="001F7E4F">
      <w:pPr>
        <w:rPr>
          <w:rFonts w:cs="Times New Roman"/>
          <w:szCs w:val="24"/>
        </w:rPr>
      </w:pPr>
    </w:p>
    <w:p w14:paraId="00E189AA" w14:textId="440D0F04" w:rsidR="001F7E4F" w:rsidRDefault="001F7E4F" w:rsidP="001F7E4F">
      <w:pPr>
        <w:pStyle w:val="Caption"/>
      </w:pPr>
      <w:bookmarkStart w:id="262" w:name="_Ref523216276"/>
      <w:bookmarkStart w:id="263" w:name="_Toc530997325"/>
      <w:r>
        <w:lastRenderedPageBreak/>
        <w:t xml:space="preserve">Table </w:t>
      </w:r>
      <w:r w:rsidR="00012EB7">
        <w:rPr>
          <w:noProof/>
        </w:rPr>
        <w:fldChar w:fldCharType="begin"/>
      </w:r>
      <w:r w:rsidR="00012EB7">
        <w:rPr>
          <w:noProof/>
        </w:rPr>
        <w:instrText xml:space="preserve"> SEQ Table \* ARABIC </w:instrText>
      </w:r>
      <w:r w:rsidR="00012EB7">
        <w:rPr>
          <w:noProof/>
        </w:rPr>
        <w:fldChar w:fldCharType="separate"/>
      </w:r>
      <w:r w:rsidR="006D52C2">
        <w:rPr>
          <w:noProof/>
        </w:rPr>
        <w:t>10</w:t>
      </w:r>
      <w:r w:rsidR="00012EB7">
        <w:rPr>
          <w:noProof/>
        </w:rPr>
        <w:fldChar w:fldCharType="end"/>
      </w:r>
      <w:bookmarkEnd w:id="262"/>
      <w:r>
        <w:t>. Sample Dimensions and Abbreviations of Rohacell Foams</w:t>
      </w:r>
      <w:bookmarkEnd w:id="263"/>
    </w:p>
    <w:tbl>
      <w:tblPr>
        <w:tblStyle w:val="TableGrid"/>
        <w:tblW w:w="0" w:type="auto"/>
        <w:jc w:val="center"/>
        <w:tblLook w:val="04A0" w:firstRow="1" w:lastRow="0" w:firstColumn="1" w:lastColumn="0" w:noHBand="0" w:noVBand="1"/>
      </w:tblPr>
      <w:tblGrid>
        <w:gridCol w:w="2498"/>
        <w:gridCol w:w="1723"/>
        <w:gridCol w:w="1529"/>
        <w:gridCol w:w="1522"/>
        <w:gridCol w:w="1358"/>
      </w:tblGrid>
      <w:tr w:rsidR="001F7E4F" w14:paraId="4594B34F" w14:textId="77777777" w:rsidTr="00B12D2A">
        <w:trPr>
          <w:jc w:val="center"/>
        </w:trPr>
        <w:tc>
          <w:tcPr>
            <w:tcW w:w="2589" w:type="dxa"/>
            <w:vAlign w:val="center"/>
          </w:tcPr>
          <w:p w14:paraId="676AE006" w14:textId="77777777" w:rsidR="001F7E4F" w:rsidRPr="001F7E4F" w:rsidRDefault="001F7E4F" w:rsidP="00B12D2A">
            <w:pPr>
              <w:spacing w:line="360" w:lineRule="auto"/>
              <w:ind w:firstLine="0"/>
              <w:jc w:val="center"/>
              <w:rPr>
                <w:rFonts w:cs="Times New Roman"/>
                <w:szCs w:val="24"/>
              </w:rPr>
            </w:pPr>
            <w:r>
              <w:rPr>
                <w:rFonts w:cs="Times New Roman"/>
                <w:szCs w:val="24"/>
              </w:rPr>
              <w:t>Sample</w:t>
            </w:r>
          </w:p>
        </w:tc>
        <w:tc>
          <w:tcPr>
            <w:tcW w:w="1607" w:type="dxa"/>
            <w:vAlign w:val="center"/>
          </w:tcPr>
          <w:p w14:paraId="0A2138E6" w14:textId="7D58642C" w:rsidR="001F7E4F" w:rsidRPr="001F7E4F" w:rsidRDefault="001F7E4F" w:rsidP="00B12D2A">
            <w:pPr>
              <w:spacing w:line="360" w:lineRule="auto"/>
              <w:ind w:firstLine="0"/>
              <w:jc w:val="center"/>
              <w:rPr>
                <w:rFonts w:cs="Times New Roman"/>
                <w:szCs w:val="24"/>
              </w:rPr>
            </w:pPr>
            <w:r w:rsidRPr="001F7E4F">
              <w:rPr>
                <w:rFonts w:cs="Times New Roman"/>
                <w:szCs w:val="24"/>
              </w:rPr>
              <w:t>Thickness</w:t>
            </w:r>
            <w:r w:rsidR="0056752A">
              <w:rPr>
                <w:rFonts w:cs="Times New Roman"/>
                <w:szCs w:val="24"/>
              </w:rPr>
              <w:t>(mm)</w:t>
            </w:r>
          </w:p>
        </w:tc>
        <w:tc>
          <w:tcPr>
            <w:tcW w:w="1535" w:type="dxa"/>
            <w:vAlign w:val="center"/>
          </w:tcPr>
          <w:p w14:paraId="37909204" w14:textId="6B3432C4" w:rsidR="001F7E4F" w:rsidRPr="001F7E4F" w:rsidRDefault="001F7E4F" w:rsidP="00B12D2A">
            <w:pPr>
              <w:spacing w:line="360" w:lineRule="auto"/>
              <w:ind w:firstLine="0"/>
              <w:jc w:val="center"/>
              <w:rPr>
                <w:rFonts w:cs="Times New Roman"/>
                <w:szCs w:val="24"/>
              </w:rPr>
            </w:pPr>
            <w:r w:rsidRPr="001F7E4F">
              <w:rPr>
                <w:rFonts w:cs="Times New Roman"/>
                <w:szCs w:val="24"/>
              </w:rPr>
              <w:t>Length</w:t>
            </w:r>
            <w:r w:rsidR="0056752A">
              <w:rPr>
                <w:rFonts w:cs="Times New Roman"/>
                <w:szCs w:val="24"/>
              </w:rPr>
              <w:t>(mm)</w:t>
            </w:r>
          </w:p>
        </w:tc>
        <w:tc>
          <w:tcPr>
            <w:tcW w:w="1532" w:type="dxa"/>
            <w:vAlign w:val="center"/>
          </w:tcPr>
          <w:p w14:paraId="403E81B7" w14:textId="4C8C8702" w:rsidR="001F7E4F" w:rsidRPr="001F7E4F" w:rsidRDefault="001F7E4F" w:rsidP="00B12D2A">
            <w:pPr>
              <w:spacing w:line="360" w:lineRule="auto"/>
              <w:ind w:firstLine="0"/>
              <w:jc w:val="center"/>
              <w:rPr>
                <w:rFonts w:cs="Times New Roman"/>
                <w:szCs w:val="24"/>
              </w:rPr>
            </w:pPr>
            <w:r w:rsidRPr="001F7E4F">
              <w:rPr>
                <w:rFonts w:cs="Times New Roman"/>
                <w:szCs w:val="24"/>
              </w:rPr>
              <w:t>Width</w:t>
            </w:r>
            <w:r w:rsidR="0056752A">
              <w:rPr>
                <w:rFonts w:cs="Times New Roman"/>
                <w:szCs w:val="24"/>
              </w:rPr>
              <w:t>(mm)</w:t>
            </w:r>
          </w:p>
        </w:tc>
        <w:tc>
          <w:tcPr>
            <w:tcW w:w="1367" w:type="dxa"/>
          </w:tcPr>
          <w:p w14:paraId="3903104A" w14:textId="77777777" w:rsidR="001F7E4F" w:rsidRPr="001F7E4F" w:rsidRDefault="001F7E4F" w:rsidP="00B12D2A">
            <w:pPr>
              <w:spacing w:line="240" w:lineRule="auto"/>
              <w:ind w:firstLine="0"/>
              <w:jc w:val="center"/>
              <w:rPr>
                <w:rFonts w:cs="Times New Roman"/>
                <w:szCs w:val="24"/>
              </w:rPr>
            </w:pPr>
            <w:r w:rsidRPr="001F7E4F">
              <w:rPr>
                <w:rFonts w:eastAsia="Calibri" w:cs="Times New Roman"/>
                <w:color w:val="000000" w:themeColor="text1"/>
                <w:kern w:val="24"/>
                <w:szCs w:val="24"/>
              </w:rPr>
              <w:t>Treatment</w:t>
            </w:r>
          </w:p>
        </w:tc>
      </w:tr>
      <w:tr w:rsidR="001F7E4F" w14:paraId="57236F25" w14:textId="77777777" w:rsidTr="00B12D2A">
        <w:trPr>
          <w:jc w:val="center"/>
        </w:trPr>
        <w:tc>
          <w:tcPr>
            <w:tcW w:w="2589" w:type="dxa"/>
            <w:vAlign w:val="center"/>
          </w:tcPr>
          <w:p w14:paraId="74AFC206"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R3</w:t>
            </w:r>
          </w:p>
        </w:tc>
        <w:tc>
          <w:tcPr>
            <w:tcW w:w="1607" w:type="dxa"/>
            <w:vAlign w:val="center"/>
          </w:tcPr>
          <w:p w14:paraId="15B368B4"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3.070</w:t>
            </w:r>
          </w:p>
        </w:tc>
        <w:tc>
          <w:tcPr>
            <w:tcW w:w="1535" w:type="dxa"/>
            <w:vAlign w:val="center"/>
          </w:tcPr>
          <w:p w14:paraId="1EC47312"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50.616</w:t>
            </w:r>
          </w:p>
        </w:tc>
        <w:tc>
          <w:tcPr>
            <w:tcW w:w="1532" w:type="dxa"/>
            <w:vAlign w:val="center"/>
          </w:tcPr>
          <w:p w14:paraId="717F3D6C"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49.598</w:t>
            </w:r>
          </w:p>
        </w:tc>
        <w:tc>
          <w:tcPr>
            <w:tcW w:w="1367" w:type="dxa"/>
            <w:vAlign w:val="center"/>
          </w:tcPr>
          <w:p w14:paraId="396447CE" w14:textId="77777777" w:rsidR="001F7E4F" w:rsidRPr="001F7E4F" w:rsidRDefault="001F7E4F" w:rsidP="00B12D2A">
            <w:pPr>
              <w:spacing w:line="240" w:lineRule="auto"/>
              <w:ind w:firstLine="0"/>
              <w:jc w:val="center"/>
              <w:rPr>
                <w:rFonts w:cs="Times New Roman"/>
                <w:color w:val="000000"/>
                <w:szCs w:val="24"/>
              </w:rPr>
            </w:pPr>
            <w:r w:rsidRPr="001F7E4F">
              <w:rPr>
                <w:rFonts w:eastAsia="Calibri" w:cs="Times New Roman"/>
                <w:color w:val="000000" w:themeColor="text1"/>
                <w:kern w:val="24"/>
                <w:szCs w:val="24"/>
              </w:rPr>
              <w:t>-</w:t>
            </w:r>
          </w:p>
        </w:tc>
      </w:tr>
      <w:tr w:rsidR="001F7E4F" w14:paraId="11F2C9D2" w14:textId="77777777" w:rsidTr="00B12D2A">
        <w:trPr>
          <w:jc w:val="center"/>
        </w:trPr>
        <w:tc>
          <w:tcPr>
            <w:tcW w:w="2589" w:type="dxa"/>
            <w:vAlign w:val="center"/>
          </w:tcPr>
          <w:p w14:paraId="056BB8F5"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R6</w:t>
            </w:r>
          </w:p>
        </w:tc>
        <w:tc>
          <w:tcPr>
            <w:tcW w:w="1607" w:type="dxa"/>
            <w:vAlign w:val="center"/>
          </w:tcPr>
          <w:p w14:paraId="10A352AB"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6.152</w:t>
            </w:r>
          </w:p>
        </w:tc>
        <w:tc>
          <w:tcPr>
            <w:tcW w:w="1535" w:type="dxa"/>
            <w:vAlign w:val="center"/>
          </w:tcPr>
          <w:p w14:paraId="64A71E6B"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51.090</w:t>
            </w:r>
          </w:p>
        </w:tc>
        <w:tc>
          <w:tcPr>
            <w:tcW w:w="1532" w:type="dxa"/>
            <w:vAlign w:val="center"/>
          </w:tcPr>
          <w:p w14:paraId="7A46E6D4"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49.689</w:t>
            </w:r>
          </w:p>
        </w:tc>
        <w:tc>
          <w:tcPr>
            <w:tcW w:w="1367" w:type="dxa"/>
            <w:vAlign w:val="center"/>
          </w:tcPr>
          <w:p w14:paraId="0D124BCE" w14:textId="77777777" w:rsidR="001F7E4F" w:rsidRPr="001F7E4F" w:rsidRDefault="001F7E4F" w:rsidP="00B12D2A">
            <w:pPr>
              <w:spacing w:line="240" w:lineRule="auto"/>
              <w:ind w:firstLine="0"/>
              <w:jc w:val="center"/>
              <w:rPr>
                <w:rFonts w:cs="Times New Roman"/>
                <w:color w:val="000000"/>
                <w:szCs w:val="24"/>
              </w:rPr>
            </w:pPr>
            <w:r w:rsidRPr="001F7E4F">
              <w:rPr>
                <w:rFonts w:eastAsia="Calibri" w:cs="Times New Roman"/>
                <w:color w:val="000000" w:themeColor="text1"/>
                <w:kern w:val="24"/>
                <w:szCs w:val="24"/>
              </w:rPr>
              <w:t>-</w:t>
            </w:r>
          </w:p>
        </w:tc>
      </w:tr>
      <w:tr w:rsidR="001F7E4F" w14:paraId="210F699D" w14:textId="77777777" w:rsidTr="00B12D2A">
        <w:trPr>
          <w:jc w:val="center"/>
        </w:trPr>
        <w:tc>
          <w:tcPr>
            <w:tcW w:w="2589" w:type="dxa"/>
            <w:vAlign w:val="center"/>
          </w:tcPr>
          <w:p w14:paraId="2A3548AB"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R9</w:t>
            </w:r>
          </w:p>
        </w:tc>
        <w:tc>
          <w:tcPr>
            <w:tcW w:w="1607" w:type="dxa"/>
            <w:vAlign w:val="center"/>
          </w:tcPr>
          <w:p w14:paraId="5931979E"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8.930</w:t>
            </w:r>
          </w:p>
        </w:tc>
        <w:tc>
          <w:tcPr>
            <w:tcW w:w="1535" w:type="dxa"/>
            <w:vAlign w:val="center"/>
          </w:tcPr>
          <w:p w14:paraId="5E927DE2"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50.319</w:t>
            </w:r>
          </w:p>
        </w:tc>
        <w:tc>
          <w:tcPr>
            <w:tcW w:w="1532" w:type="dxa"/>
            <w:vAlign w:val="center"/>
          </w:tcPr>
          <w:p w14:paraId="34F4401D"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49.324</w:t>
            </w:r>
          </w:p>
        </w:tc>
        <w:tc>
          <w:tcPr>
            <w:tcW w:w="1367" w:type="dxa"/>
            <w:vAlign w:val="center"/>
          </w:tcPr>
          <w:p w14:paraId="194C596D" w14:textId="77777777" w:rsidR="001F7E4F" w:rsidRPr="001F7E4F" w:rsidRDefault="001F7E4F" w:rsidP="00B12D2A">
            <w:pPr>
              <w:spacing w:line="240" w:lineRule="auto"/>
              <w:ind w:firstLine="0"/>
              <w:jc w:val="center"/>
              <w:rPr>
                <w:rFonts w:cs="Times New Roman"/>
                <w:color w:val="000000"/>
                <w:szCs w:val="24"/>
              </w:rPr>
            </w:pPr>
            <w:r w:rsidRPr="001F7E4F">
              <w:rPr>
                <w:rFonts w:eastAsia="Calibri" w:cs="Times New Roman"/>
                <w:color w:val="000000" w:themeColor="text1"/>
                <w:kern w:val="24"/>
                <w:szCs w:val="24"/>
              </w:rPr>
              <w:t>-</w:t>
            </w:r>
          </w:p>
        </w:tc>
      </w:tr>
      <w:tr w:rsidR="001F7E4F" w14:paraId="711D3FE2" w14:textId="77777777" w:rsidTr="00B12D2A">
        <w:trPr>
          <w:jc w:val="center"/>
        </w:trPr>
        <w:tc>
          <w:tcPr>
            <w:tcW w:w="2589" w:type="dxa"/>
            <w:vAlign w:val="center"/>
          </w:tcPr>
          <w:p w14:paraId="67537CA8"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R3-30</w:t>
            </w:r>
          </w:p>
        </w:tc>
        <w:tc>
          <w:tcPr>
            <w:tcW w:w="1607" w:type="dxa"/>
            <w:vAlign w:val="center"/>
          </w:tcPr>
          <w:p w14:paraId="08E223F5"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2.541</w:t>
            </w:r>
          </w:p>
        </w:tc>
        <w:tc>
          <w:tcPr>
            <w:tcW w:w="1535" w:type="dxa"/>
            <w:vAlign w:val="center"/>
          </w:tcPr>
          <w:p w14:paraId="668A2932"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49.755</w:t>
            </w:r>
          </w:p>
        </w:tc>
        <w:tc>
          <w:tcPr>
            <w:tcW w:w="1532" w:type="dxa"/>
            <w:vAlign w:val="center"/>
          </w:tcPr>
          <w:p w14:paraId="5D5B5009"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49.806</w:t>
            </w:r>
          </w:p>
        </w:tc>
        <w:tc>
          <w:tcPr>
            <w:tcW w:w="1367" w:type="dxa"/>
            <w:vAlign w:val="center"/>
          </w:tcPr>
          <w:p w14:paraId="131A4030" w14:textId="77777777" w:rsidR="001F7E4F" w:rsidRPr="001F7E4F" w:rsidRDefault="001F7E4F" w:rsidP="00B12D2A">
            <w:pPr>
              <w:spacing w:line="240" w:lineRule="auto"/>
              <w:ind w:firstLine="0"/>
              <w:jc w:val="center"/>
              <w:rPr>
                <w:rFonts w:cs="Times New Roman"/>
                <w:color w:val="000000"/>
                <w:szCs w:val="24"/>
              </w:rPr>
            </w:pPr>
            <w:r w:rsidRPr="001F7E4F">
              <w:rPr>
                <w:rFonts w:cs="Times New Roman"/>
                <w:color w:val="000000"/>
                <w:szCs w:val="24"/>
              </w:rPr>
              <w:t>Heat treated @ 30 psi</w:t>
            </w:r>
          </w:p>
        </w:tc>
      </w:tr>
      <w:tr w:rsidR="001F7E4F" w14:paraId="2DABA971" w14:textId="77777777" w:rsidTr="00B12D2A">
        <w:trPr>
          <w:jc w:val="center"/>
        </w:trPr>
        <w:tc>
          <w:tcPr>
            <w:tcW w:w="2589" w:type="dxa"/>
            <w:vAlign w:val="center"/>
          </w:tcPr>
          <w:p w14:paraId="0A28C820"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R6-30</w:t>
            </w:r>
          </w:p>
        </w:tc>
        <w:tc>
          <w:tcPr>
            <w:tcW w:w="1607" w:type="dxa"/>
            <w:vAlign w:val="center"/>
          </w:tcPr>
          <w:p w14:paraId="59923363"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4.797</w:t>
            </w:r>
          </w:p>
        </w:tc>
        <w:tc>
          <w:tcPr>
            <w:tcW w:w="1535" w:type="dxa"/>
            <w:vAlign w:val="center"/>
          </w:tcPr>
          <w:p w14:paraId="58CA4CE8"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49.578</w:t>
            </w:r>
          </w:p>
        </w:tc>
        <w:tc>
          <w:tcPr>
            <w:tcW w:w="1532" w:type="dxa"/>
            <w:vAlign w:val="center"/>
          </w:tcPr>
          <w:p w14:paraId="63F5485B"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50.031</w:t>
            </w:r>
          </w:p>
        </w:tc>
        <w:tc>
          <w:tcPr>
            <w:tcW w:w="1367" w:type="dxa"/>
            <w:vAlign w:val="center"/>
          </w:tcPr>
          <w:p w14:paraId="53E5B05C" w14:textId="77777777" w:rsidR="001F7E4F" w:rsidRPr="001F7E4F" w:rsidRDefault="001F7E4F" w:rsidP="00B12D2A">
            <w:pPr>
              <w:spacing w:line="240" w:lineRule="auto"/>
              <w:ind w:firstLine="0"/>
              <w:jc w:val="center"/>
              <w:rPr>
                <w:rFonts w:cs="Times New Roman"/>
                <w:color w:val="000000"/>
                <w:szCs w:val="24"/>
              </w:rPr>
            </w:pPr>
            <w:r w:rsidRPr="001F7E4F">
              <w:rPr>
                <w:rFonts w:cs="Times New Roman"/>
                <w:color w:val="000000"/>
                <w:szCs w:val="24"/>
              </w:rPr>
              <w:t>Heat treated @ 30 psi</w:t>
            </w:r>
          </w:p>
        </w:tc>
      </w:tr>
      <w:tr w:rsidR="001F7E4F" w14:paraId="3F0807A8" w14:textId="77777777" w:rsidTr="00B12D2A">
        <w:trPr>
          <w:jc w:val="center"/>
        </w:trPr>
        <w:tc>
          <w:tcPr>
            <w:tcW w:w="2589" w:type="dxa"/>
            <w:vAlign w:val="center"/>
          </w:tcPr>
          <w:p w14:paraId="2D901CBC"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R9-30</w:t>
            </w:r>
          </w:p>
        </w:tc>
        <w:tc>
          <w:tcPr>
            <w:tcW w:w="1607" w:type="dxa"/>
            <w:vAlign w:val="center"/>
          </w:tcPr>
          <w:p w14:paraId="0CAB131E"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6.339</w:t>
            </w:r>
          </w:p>
        </w:tc>
        <w:tc>
          <w:tcPr>
            <w:tcW w:w="1535" w:type="dxa"/>
            <w:vAlign w:val="center"/>
          </w:tcPr>
          <w:p w14:paraId="1A092FEE"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50.009</w:t>
            </w:r>
          </w:p>
        </w:tc>
        <w:tc>
          <w:tcPr>
            <w:tcW w:w="1532" w:type="dxa"/>
            <w:vAlign w:val="center"/>
          </w:tcPr>
          <w:p w14:paraId="6D80829E"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49.620</w:t>
            </w:r>
          </w:p>
        </w:tc>
        <w:tc>
          <w:tcPr>
            <w:tcW w:w="1367" w:type="dxa"/>
            <w:vAlign w:val="center"/>
          </w:tcPr>
          <w:p w14:paraId="761FDA56" w14:textId="77777777" w:rsidR="001F7E4F" w:rsidRPr="001F7E4F" w:rsidRDefault="001F7E4F" w:rsidP="00B12D2A">
            <w:pPr>
              <w:spacing w:line="240" w:lineRule="auto"/>
              <w:ind w:firstLine="0"/>
              <w:jc w:val="center"/>
              <w:rPr>
                <w:rFonts w:cs="Times New Roman"/>
                <w:color w:val="000000"/>
                <w:szCs w:val="24"/>
              </w:rPr>
            </w:pPr>
            <w:r w:rsidRPr="001F7E4F">
              <w:rPr>
                <w:rFonts w:cs="Times New Roman"/>
                <w:color w:val="000000"/>
                <w:szCs w:val="24"/>
              </w:rPr>
              <w:t>Heat treated @ 30 psi</w:t>
            </w:r>
          </w:p>
        </w:tc>
      </w:tr>
      <w:tr w:rsidR="001F7E4F" w14:paraId="32BFE6DE" w14:textId="77777777" w:rsidTr="00B12D2A">
        <w:trPr>
          <w:jc w:val="center"/>
        </w:trPr>
        <w:tc>
          <w:tcPr>
            <w:tcW w:w="2589" w:type="dxa"/>
            <w:vAlign w:val="center"/>
          </w:tcPr>
          <w:p w14:paraId="321A9FF5"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R3-50</w:t>
            </w:r>
          </w:p>
        </w:tc>
        <w:tc>
          <w:tcPr>
            <w:tcW w:w="1607" w:type="dxa"/>
            <w:vAlign w:val="center"/>
          </w:tcPr>
          <w:p w14:paraId="4277515F"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1.333</w:t>
            </w:r>
          </w:p>
        </w:tc>
        <w:tc>
          <w:tcPr>
            <w:tcW w:w="1535" w:type="dxa"/>
            <w:vAlign w:val="center"/>
          </w:tcPr>
          <w:p w14:paraId="76797B68"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49.988</w:t>
            </w:r>
          </w:p>
        </w:tc>
        <w:tc>
          <w:tcPr>
            <w:tcW w:w="1532" w:type="dxa"/>
            <w:vAlign w:val="center"/>
          </w:tcPr>
          <w:p w14:paraId="2D803314"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49.761</w:t>
            </w:r>
          </w:p>
        </w:tc>
        <w:tc>
          <w:tcPr>
            <w:tcW w:w="1367" w:type="dxa"/>
            <w:vAlign w:val="center"/>
          </w:tcPr>
          <w:p w14:paraId="2A344821" w14:textId="77777777" w:rsidR="001F7E4F" w:rsidRPr="001F7E4F" w:rsidRDefault="001F7E4F" w:rsidP="00B12D2A">
            <w:pPr>
              <w:spacing w:line="240" w:lineRule="auto"/>
              <w:ind w:firstLine="0"/>
              <w:jc w:val="center"/>
              <w:rPr>
                <w:rFonts w:cs="Times New Roman"/>
                <w:color w:val="000000"/>
                <w:szCs w:val="24"/>
              </w:rPr>
            </w:pPr>
            <w:r w:rsidRPr="001F7E4F">
              <w:rPr>
                <w:rFonts w:cs="Times New Roman"/>
                <w:color w:val="000000"/>
                <w:szCs w:val="24"/>
              </w:rPr>
              <w:t>Heat treated @ 50 psi</w:t>
            </w:r>
          </w:p>
        </w:tc>
      </w:tr>
      <w:tr w:rsidR="001F7E4F" w14:paraId="751586FC" w14:textId="77777777" w:rsidTr="00B12D2A">
        <w:trPr>
          <w:jc w:val="center"/>
        </w:trPr>
        <w:tc>
          <w:tcPr>
            <w:tcW w:w="2589" w:type="dxa"/>
            <w:vAlign w:val="center"/>
          </w:tcPr>
          <w:p w14:paraId="07089411"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R6-50</w:t>
            </w:r>
          </w:p>
        </w:tc>
        <w:tc>
          <w:tcPr>
            <w:tcW w:w="1607" w:type="dxa"/>
            <w:vAlign w:val="center"/>
          </w:tcPr>
          <w:p w14:paraId="6F24F33D"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2.933</w:t>
            </w:r>
          </w:p>
        </w:tc>
        <w:tc>
          <w:tcPr>
            <w:tcW w:w="1535" w:type="dxa"/>
            <w:vAlign w:val="center"/>
          </w:tcPr>
          <w:p w14:paraId="77946BA9"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49.844</w:t>
            </w:r>
          </w:p>
        </w:tc>
        <w:tc>
          <w:tcPr>
            <w:tcW w:w="1532" w:type="dxa"/>
            <w:vAlign w:val="center"/>
          </w:tcPr>
          <w:p w14:paraId="13F32005"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49.906</w:t>
            </w:r>
          </w:p>
        </w:tc>
        <w:tc>
          <w:tcPr>
            <w:tcW w:w="1367" w:type="dxa"/>
            <w:vAlign w:val="center"/>
          </w:tcPr>
          <w:p w14:paraId="71200966" w14:textId="77777777" w:rsidR="001F7E4F" w:rsidRPr="001F7E4F" w:rsidRDefault="001F7E4F" w:rsidP="00B12D2A">
            <w:pPr>
              <w:spacing w:line="240" w:lineRule="auto"/>
              <w:ind w:firstLine="0"/>
              <w:jc w:val="center"/>
              <w:rPr>
                <w:rFonts w:cs="Times New Roman"/>
                <w:color w:val="000000"/>
                <w:szCs w:val="24"/>
              </w:rPr>
            </w:pPr>
            <w:r w:rsidRPr="001F7E4F">
              <w:rPr>
                <w:rFonts w:cs="Times New Roman"/>
                <w:color w:val="000000"/>
                <w:szCs w:val="24"/>
              </w:rPr>
              <w:t>Heat treated @ 50 psi</w:t>
            </w:r>
          </w:p>
        </w:tc>
      </w:tr>
      <w:tr w:rsidR="001F7E4F" w14:paraId="1360FAD7" w14:textId="77777777" w:rsidTr="00B12D2A">
        <w:trPr>
          <w:jc w:val="center"/>
        </w:trPr>
        <w:tc>
          <w:tcPr>
            <w:tcW w:w="2589" w:type="dxa"/>
            <w:vAlign w:val="center"/>
          </w:tcPr>
          <w:p w14:paraId="55E87858" w14:textId="77777777" w:rsidR="001F7E4F" w:rsidRPr="001F7E4F" w:rsidRDefault="001F7E4F" w:rsidP="00B12D2A">
            <w:pPr>
              <w:spacing w:line="360" w:lineRule="auto"/>
              <w:ind w:firstLine="0"/>
              <w:jc w:val="center"/>
              <w:rPr>
                <w:rFonts w:cs="Times New Roman"/>
                <w:szCs w:val="24"/>
              </w:rPr>
            </w:pPr>
            <w:r>
              <w:rPr>
                <w:rFonts w:cs="Times New Roman"/>
                <w:szCs w:val="24"/>
              </w:rPr>
              <w:t xml:space="preserve"> R9-50</w:t>
            </w:r>
          </w:p>
        </w:tc>
        <w:tc>
          <w:tcPr>
            <w:tcW w:w="1607" w:type="dxa"/>
            <w:vAlign w:val="center"/>
          </w:tcPr>
          <w:p w14:paraId="525D991E"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4.203</w:t>
            </w:r>
          </w:p>
        </w:tc>
        <w:tc>
          <w:tcPr>
            <w:tcW w:w="1535" w:type="dxa"/>
            <w:vAlign w:val="center"/>
          </w:tcPr>
          <w:p w14:paraId="6BC7E2DF"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49.799</w:t>
            </w:r>
          </w:p>
        </w:tc>
        <w:tc>
          <w:tcPr>
            <w:tcW w:w="1532" w:type="dxa"/>
            <w:vAlign w:val="center"/>
          </w:tcPr>
          <w:p w14:paraId="6E577015" w14:textId="77777777" w:rsidR="001F7E4F" w:rsidRPr="001F7E4F" w:rsidRDefault="001F7E4F" w:rsidP="00B12D2A">
            <w:pPr>
              <w:spacing w:line="360" w:lineRule="auto"/>
              <w:ind w:firstLine="0"/>
              <w:jc w:val="center"/>
              <w:rPr>
                <w:rFonts w:cs="Times New Roman"/>
                <w:color w:val="000000"/>
              </w:rPr>
            </w:pPr>
            <w:r w:rsidRPr="001F7E4F">
              <w:rPr>
                <w:rFonts w:cs="Times New Roman"/>
                <w:color w:val="000000"/>
              </w:rPr>
              <w:t>49.854</w:t>
            </w:r>
          </w:p>
        </w:tc>
        <w:tc>
          <w:tcPr>
            <w:tcW w:w="1367" w:type="dxa"/>
            <w:vAlign w:val="center"/>
          </w:tcPr>
          <w:p w14:paraId="2B73C533" w14:textId="77777777" w:rsidR="001F7E4F" w:rsidRPr="001F7E4F" w:rsidRDefault="001F7E4F" w:rsidP="00B12D2A">
            <w:pPr>
              <w:spacing w:line="240" w:lineRule="auto"/>
              <w:ind w:firstLine="0"/>
              <w:jc w:val="center"/>
              <w:rPr>
                <w:rFonts w:cs="Times New Roman"/>
                <w:color w:val="000000"/>
                <w:szCs w:val="24"/>
              </w:rPr>
            </w:pPr>
            <w:r w:rsidRPr="001F7E4F">
              <w:rPr>
                <w:rFonts w:cs="Times New Roman"/>
                <w:color w:val="000000"/>
                <w:szCs w:val="24"/>
              </w:rPr>
              <w:t>Heat treated @ 50 psi</w:t>
            </w:r>
          </w:p>
        </w:tc>
      </w:tr>
    </w:tbl>
    <w:p w14:paraId="45F270E3" w14:textId="77777777" w:rsidR="001F7E4F" w:rsidRDefault="001F7E4F" w:rsidP="001F7E4F">
      <w:pPr>
        <w:rPr>
          <w:rFonts w:cs="Times New Roman"/>
          <w:szCs w:val="24"/>
        </w:rPr>
      </w:pPr>
    </w:p>
    <w:p w14:paraId="035C49C3" w14:textId="41097DC7" w:rsidR="001F7E4F" w:rsidRDefault="00837C7A" w:rsidP="00B63058">
      <w:pPr>
        <w:pStyle w:val="Heading3"/>
      </w:pPr>
      <w:bookmarkStart w:id="264" w:name="_Toc531943775"/>
      <w:r>
        <w:t>Characterization of as-received and heat treated foams</w:t>
      </w:r>
      <w:bookmarkEnd w:id="264"/>
    </w:p>
    <w:p w14:paraId="75D8BA1D" w14:textId="525A88E1" w:rsidR="009C5D4A" w:rsidRDefault="001F7E4F" w:rsidP="00682F7B">
      <w:r>
        <w:t xml:space="preserve">A quick glance on </w:t>
      </w:r>
      <w:r>
        <w:fldChar w:fldCharType="begin"/>
      </w:r>
      <w:r>
        <w:instrText xml:space="preserve"> REF _Ref523216276 \h </w:instrText>
      </w:r>
      <w:r w:rsidR="00682F7B">
        <w:instrText xml:space="preserve"> \* MERGEFORMAT </w:instrText>
      </w:r>
      <w:r>
        <w:fldChar w:fldCharType="separate"/>
      </w:r>
      <w:r w:rsidR="006D52C2">
        <w:t xml:space="preserve">Table </w:t>
      </w:r>
      <w:r w:rsidR="006D52C2">
        <w:rPr>
          <w:noProof/>
        </w:rPr>
        <w:t>10</w:t>
      </w:r>
      <w:r>
        <w:fldChar w:fldCharType="end"/>
      </w:r>
      <w:r>
        <w:t xml:space="preserve"> yields a thickness reduction due to heat treatment on foams. Heat treatment under 30 psi and 50 psi lead to thickness reduction ranging from 17% to 29% and 67% to 75%, respectively. Thickness reduction suggests that the heat treatment has changed the microstructure of the foam</w:t>
      </w:r>
      <w:r w:rsidR="007021B3">
        <w:t>s</w:t>
      </w:r>
      <w:r>
        <w:t xml:space="preserve"> as predicted. To </w:t>
      </w:r>
      <w:r w:rsidR="00C75E53">
        <w:t>analyze the effect of microstructural changes on moisture absorption, variations in the cell size, cell geometry, porosity</w:t>
      </w:r>
      <w:r w:rsidR="00CB64A3">
        <w:t>,</w:t>
      </w:r>
      <w:r w:rsidR="00C75E53">
        <w:t xml:space="preserve"> and density have been sought. </w:t>
      </w:r>
    </w:p>
    <w:p w14:paraId="321623FA" w14:textId="27F057D8" w:rsidR="00A8679F" w:rsidRDefault="00B12D2A" w:rsidP="00682F7B">
      <w:r>
        <w:t xml:space="preserve">Density of as-received and heat treated foams are measured by </w:t>
      </w:r>
      <w:proofErr w:type="spellStart"/>
      <w:r>
        <w:t>A</w:t>
      </w:r>
      <w:r w:rsidRPr="00B12D2A">
        <w:t>ccupyc</w:t>
      </w:r>
      <w:proofErr w:type="spellEnd"/>
      <w:r w:rsidRPr="00B12D2A">
        <w:t xml:space="preserve"> </w:t>
      </w:r>
      <w:r>
        <w:t>II</w:t>
      </w:r>
      <w:r w:rsidRPr="00B12D2A">
        <w:t xml:space="preserve"> 1340</w:t>
      </w:r>
      <w:r>
        <w:t xml:space="preserve"> gas pycnometer and given in </w:t>
      </w:r>
      <w:r w:rsidR="00006EB6">
        <w:fldChar w:fldCharType="begin"/>
      </w:r>
      <w:r w:rsidR="00006EB6">
        <w:instrText xml:space="preserve"> REF _Ref523219924 \h </w:instrText>
      </w:r>
      <w:r w:rsidR="00682F7B">
        <w:instrText xml:space="preserve"> \* MERGEFORMAT </w:instrText>
      </w:r>
      <w:r w:rsidR="00006EB6">
        <w:fldChar w:fldCharType="separate"/>
      </w:r>
      <w:r w:rsidR="006D52C2">
        <w:t xml:space="preserve">Figure </w:t>
      </w:r>
      <w:r w:rsidR="006D52C2">
        <w:rPr>
          <w:noProof/>
        </w:rPr>
        <w:t>52</w:t>
      </w:r>
      <w:r w:rsidR="00006EB6">
        <w:fldChar w:fldCharType="end"/>
      </w:r>
      <w:r w:rsidR="00006EB6">
        <w:t>.</w:t>
      </w:r>
      <w:r w:rsidR="00EB58FF">
        <w:t xml:space="preserve"> </w:t>
      </w:r>
      <w:r w:rsidR="00A8679F">
        <w:t xml:space="preserve">The increase in density is observed to be consistent with the decrease in the thickness due to heat treatments. As the foams are compressed at </w:t>
      </w:r>
      <w:r w:rsidR="00A8679F">
        <w:lastRenderedPageBreak/>
        <w:t>elevated temperature, pores shrink to smaller size resulting in thickness reduction. Since no chemical reaction occur</w:t>
      </w:r>
      <w:r w:rsidR="00DB6D6A">
        <w:t>s</w:t>
      </w:r>
      <w:r w:rsidR="00A8679F">
        <w:t xml:space="preserve">, the amount of polymeric matrix in the sample does not change. Reduced volume of </w:t>
      </w:r>
      <w:r w:rsidR="00DB6D6A">
        <w:t xml:space="preserve">a </w:t>
      </w:r>
      <w:r w:rsidR="00A8679F">
        <w:t>constant mass indicates</w:t>
      </w:r>
      <w:r w:rsidR="00DB6D6A">
        <w:t xml:space="preserve"> an</w:t>
      </w:r>
      <w:r w:rsidR="00A8679F">
        <w:t xml:space="preserve"> increase in density.</w:t>
      </w:r>
    </w:p>
    <w:p w14:paraId="68DED73F" w14:textId="49B9234C" w:rsidR="00515025" w:rsidRDefault="00A8679F" w:rsidP="00682F7B">
      <w:r>
        <w:t>Change in density is not identical for foams with different thicknesses. For example, 30 psi pressure increased the density of 3 mm thick foams about 8.7% whereas for 6 mm and 9 mm thick foams, 27.5% and 47.0% density increase is measured, respectively.</w:t>
      </w:r>
      <w:r w:rsidR="005E1E63">
        <w:t xml:space="preserve"> Moreover, more than twofold increase in density is observed when the foams are subjected to heat treatment under 50 psi pressure. </w:t>
      </w:r>
    </w:p>
    <w:p w14:paraId="28FEDC1C" w14:textId="3FBA0B33" w:rsidR="003D7CA0" w:rsidRDefault="006C198A" w:rsidP="003D7CA0">
      <w:pPr>
        <w:pStyle w:val="NoSpacing"/>
      </w:pPr>
      <w:r>
        <w:rPr>
          <w:noProof/>
          <w:lang w:bidi="ar-SA"/>
        </w:rPr>
        <w:drawing>
          <wp:inline distT="0" distB="0" distL="0" distR="0" wp14:anchorId="5DB43DB5" wp14:editId="14DCAC0A">
            <wp:extent cx="5486400" cy="2746371"/>
            <wp:effectExtent l="0" t="0" r="0" b="0"/>
            <wp:docPr id="4197" name="Picture 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86400" cy="2746371"/>
                    </a:xfrm>
                    <a:prstGeom prst="rect">
                      <a:avLst/>
                    </a:prstGeom>
                    <a:noFill/>
                  </pic:spPr>
                </pic:pic>
              </a:graphicData>
            </a:graphic>
          </wp:inline>
        </w:drawing>
      </w:r>
    </w:p>
    <w:p w14:paraId="544ED817" w14:textId="77777777" w:rsidR="003D7CA0" w:rsidRDefault="003D7CA0" w:rsidP="003D7CA0">
      <w:pPr>
        <w:pStyle w:val="Caption"/>
      </w:pPr>
      <w:bookmarkStart w:id="265" w:name="_Ref523219924"/>
      <w:bookmarkStart w:id="266" w:name="_Toc530997408"/>
      <w:r>
        <w:t xml:space="preserve">Figure </w:t>
      </w:r>
      <w:r>
        <w:rPr>
          <w:noProof/>
        </w:rPr>
        <w:fldChar w:fldCharType="begin"/>
      </w:r>
      <w:r>
        <w:rPr>
          <w:noProof/>
        </w:rPr>
        <w:instrText xml:space="preserve"> SEQ Figure \* ARABIC </w:instrText>
      </w:r>
      <w:r>
        <w:rPr>
          <w:noProof/>
        </w:rPr>
        <w:fldChar w:fldCharType="separate"/>
      </w:r>
      <w:r w:rsidR="006D52C2">
        <w:rPr>
          <w:noProof/>
        </w:rPr>
        <w:t>52</w:t>
      </w:r>
      <w:r>
        <w:rPr>
          <w:noProof/>
        </w:rPr>
        <w:fldChar w:fldCharType="end"/>
      </w:r>
      <w:bookmarkEnd w:id="265"/>
      <w:r>
        <w:t>. Measured densities of untreated and heat treated Rohacell foams.</w:t>
      </w:r>
      <w:bookmarkEnd w:id="266"/>
    </w:p>
    <w:p w14:paraId="6FC4D3DA" w14:textId="77777777" w:rsidR="003D7CA0" w:rsidRDefault="003D7CA0" w:rsidP="003D7CA0">
      <w:pPr>
        <w:rPr>
          <w:rFonts w:cs="Times New Roman"/>
          <w:szCs w:val="24"/>
        </w:rPr>
      </w:pPr>
    </w:p>
    <w:p w14:paraId="547B7164" w14:textId="4A66C752" w:rsidR="003D7CA0" w:rsidRDefault="005E1E63" w:rsidP="00682F7B">
      <w:r>
        <w:t>Comparison between the densities of the 3mm, 6mm</w:t>
      </w:r>
      <w:r w:rsidR="00CB64A3">
        <w:t>,</w:t>
      </w:r>
      <w:r>
        <w:t xml:space="preserve"> and 9mm as-received foams shows that as the foams get thinner they get denser. Even though the as-received foams was supposed to have identical properties, different densities lead to further investigate the microstructure of each foam. </w:t>
      </w:r>
      <w:r w:rsidR="00227905">
        <w:t xml:space="preserve">Hence, SEM images of as-received and heat treated foams are captured using </w:t>
      </w:r>
      <w:r w:rsidR="00227905" w:rsidRPr="00227905">
        <w:t>Z</w:t>
      </w:r>
      <w:r w:rsidR="00227905">
        <w:t>eiss</w:t>
      </w:r>
      <w:r w:rsidR="00227905" w:rsidRPr="00227905">
        <w:t xml:space="preserve"> N</w:t>
      </w:r>
      <w:r w:rsidR="00227905">
        <w:t>eon high r</w:t>
      </w:r>
      <w:r w:rsidR="00227905" w:rsidRPr="00227905">
        <w:t>esolution SEM</w:t>
      </w:r>
      <w:r w:rsidR="00227905">
        <w:t xml:space="preserve"> and demonstrated in </w:t>
      </w:r>
      <w:r w:rsidR="008362BC">
        <w:fldChar w:fldCharType="begin"/>
      </w:r>
      <w:r w:rsidR="008362BC">
        <w:instrText xml:space="preserve"> REF _Ref523908519 \h </w:instrText>
      </w:r>
      <w:r w:rsidR="00682F7B">
        <w:instrText xml:space="preserve"> \* MERGEFORMAT </w:instrText>
      </w:r>
      <w:r w:rsidR="008362BC">
        <w:fldChar w:fldCharType="separate"/>
      </w:r>
      <w:r w:rsidR="006D52C2">
        <w:t xml:space="preserve">Figure </w:t>
      </w:r>
      <w:r w:rsidR="006D52C2">
        <w:rPr>
          <w:noProof/>
        </w:rPr>
        <w:t>53</w:t>
      </w:r>
      <w:r w:rsidR="008362BC">
        <w:fldChar w:fldCharType="end"/>
      </w:r>
      <w:r w:rsidR="00227905">
        <w:t>.</w:t>
      </w:r>
    </w:p>
    <w:p w14:paraId="5F85E90C" w14:textId="49493EBD" w:rsidR="003D7CA0" w:rsidRDefault="00227905" w:rsidP="00682F7B">
      <w:r>
        <w:lastRenderedPageBreak/>
        <w:t>In</w:t>
      </w:r>
      <w:r w:rsidR="003D7CA0">
        <w:t xml:space="preserve"> </w:t>
      </w:r>
      <w:r w:rsidR="003D7CA0">
        <w:fldChar w:fldCharType="begin"/>
      </w:r>
      <w:r w:rsidR="003D7CA0">
        <w:instrText xml:space="preserve"> REF _Ref523908519 \h </w:instrText>
      </w:r>
      <w:r w:rsidR="00682F7B">
        <w:instrText xml:space="preserve"> \* MERGEFORMAT </w:instrText>
      </w:r>
      <w:r w:rsidR="003D7CA0">
        <w:fldChar w:fldCharType="separate"/>
      </w:r>
      <w:r w:rsidR="006D52C2">
        <w:t xml:space="preserve">Figure </w:t>
      </w:r>
      <w:r w:rsidR="006D52C2">
        <w:rPr>
          <w:noProof/>
        </w:rPr>
        <w:t>53</w:t>
      </w:r>
      <w:r w:rsidR="003D7CA0">
        <w:fldChar w:fldCharType="end"/>
      </w:r>
      <w:r>
        <w:t xml:space="preserve">, representative </w:t>
      </w:r>
      <w:r w:rsidR="008A207C">
        <w:t xml:space="preserve">through-the-thickness </w:t>
      </w:r>
      <w:r>
        <w:t>SEM images of 3mm, 6mm</w:t>
      </w:r>
      <w:r w:rsidR="00CB64A3">
        <w:t>,</w:t>
      </w:r>
      <w:r>
        <w:t xml:space="preserve"> and 9mm as-received foams are illustrated. </w:t>
      </w:r>
      <w:r w:rsidR="008A207C">
        <w:t xml:space="preserve">Immediately, large cell sizes stand out in </w:t>
      </w:r>
      <w:r w:rsidR="003D7CA0">
        <w:fldChar w:fldCharType="begin"/>
      </w:r>
      <w:r w:rsidR="003D7CA0">
        <w:instrText xml:space="preserve"> REF _Ref523908519 \h </w:instrText>
      </w:r>
      <w:r w:rsidR="00682F7B">
        <w:instrText xml:space="preserve"> \* MERGEFORMAT </w:instrText>
      </w:r>
      <w:r w:rsidR="003D7CA0">
        <w:fldChar w:fldCharType="separate"/>
      </w:r>
      <w:r w:rsidR="006D52C2">
        <w:t xml:space="preserve">Figure </w:t>
      </w:r>
      <w:r w:rsidR="006D52C2">
        <w:rPr>
          <w:noProof/>
        </w:rPr>
        <w:t>53</w:t>
      </w:r>
      <w:r w:rsidR="003D7CA0">
        <w:fldChar w:fldCharType="end"/>
      </w:r>
      <w:r w:rsidR="008A207C">
        <w:t xml:space="preserve">. </w:t>
      </w:r>
      <w:r w:rsidR="00482C49">
        <w:t>Even though the cell geometries</w:t>
      </w:r>
      <w:r w:rsidR="008A207C">
        <w:t xml:space="preserve"> and the cell sizes of foams with three different thicknesses are comparable, open large cells at the surfaces may be the reason of the density difference. </w:t>
      </w:r>
      <w:r w:rsidR="00482C49">
        <w:t xml:space="preserve">Pycnometer </w:t>
      </w:r>
      <w:r w:rsidR="003B26C0">
        <w:t xml:space="preserve">basically </w:t>
      </w:r>
      <w:r w:rsidR="00482C49">
        <w:t xml:space="preserve">measures the volume of a sample by </w:t>
      </w:r>
      <w:r w:rsidR="003B26C0">
        <w:t>pressurizing</w:t>
      </w:r>
      <w:r w:rsidR="00482C49">
        <w:t xml:space="preserve"> </w:t>
      </w:r>
      <w:r w:rsidR="003B26C0">
        <w:t xml:space="preserve">a cup of known volume (via calibration) with an inert gas, admitting the pressurized gas to the chamber containing the sample and measuring the pressure. Then using ideal gas equation it calculates the volume of the sample. While measuring the volume of the closed-cell porous media, </w:t>
      </w:r>
      <w:r w:rsidR="00FC6235">
        <w:t>open-cell</w:t>
      </w:r>
      <w:r w:rsidR="003B26C0">
        <w:t>s at the surface would be filled with pressurized gas and will not be accounted as solid part. Thus, in thinner samples open-cell to closed-cell ratio would be higher</w:t>
      </w:r>
      <w:r w:rsidR="00786B8F">
        <w:t>,</w:t>
      </w:r>
      <w:r w:rsidR="003B26C0">
        <w:t xml:space="preserve"> if the cell size is comparable to any dimension of the sample. </w:t>
      </w:r>
      <w:r w:rsidR="007021B3">
        <w:t>For example, 2-</w:t>
      </w:r>
      <w:r w:rsidR="007021B3" w:rsidRPr="003D7CA0">
        <w:t>3</w:t>
      </w:r>
      <w:r w:rsidR="007021B3">
        <w:t xml:space="preserve"> closed-cell can fit through-the-thickness of 3mm foam while </w:t>
      </w:r>
      <w:r w:rsidR="007021B3" w:rsidRPr="003D7CA0">
        <w:t>6-7</w:t>
      </w:r>
      <w:r w:rsidR="007021B3">
        <w:t xml:space="preserve"> closed-cell is observed through-the-thickness of 6mm foam. Open-cell to closed</w:t>
      </w:r>
      <w:r w:rsidR="00FC6235">
        <w:t>-</w:t>
      </w:r>
      <w:r w:rsidR="007021B3">
        <w:t>cell ratio is higher in 3mm samples resulting in higher density.</w:t>
      </w:r>
    </w:p>
    <w:p w14:paraId="123D882D" w14:textId="77777777" w:rsidR="00226BD7" w:rsidRDefault="00226BD7" w:rsidP="00682F7B"/>
    <w:p w14:paraId="2785F093" w14:textId="77777777" w:rsidR="00225D92" w:rsidRDefault="00225D92" w:rsidP="00682F7B"/>
    <w:p w14:paraId="047425E2" w14:textId="77777777" w:rsidR="00225D92" w:rsidRDefault="00225D92" w:rsidP="00682F7B"/>
    <w:tbl>
      <w:tblPr>
        <w:tblStyle w:val="TableGrid"/>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3860"/>
        <w:gridCol w:w="403"/>
        <w:gridCol w:w="3937"/>
      </w:tblGrid>
      <w:tr w:rsidR="003D7CA0" w14:paraId="5F64A658" w14:textId="77777777" w:rsidTr="003D7CA0">
        <w:tc>
          <w:tcPr>
            <w:tcW w:w="446" w:type="dxa"/>
          </w:tcPr>
          <w:p w14:paraId="70628B3B" w14:textId="77777777" w:rsidR="003D7CA0" w:rsidRPr="003D7CA0" w:rsidRDefault="003D7CA0" w:rsidP="00D401AB">
            <w:pPr>
              <w:pStyle w:val="NoSpacing"/>
              <w:rPr>
                <w:i/>
              </w:rPr>
            </w:pPr>
            <w:r w:rsidRPr="003D7CA0">
              <w:rPr>
                <w:i/>
              </w:rPr>
              <w:lastRenderedPageBreak/>
              <w:t>a)</w:t>
            </w:r>
          </w:p>
        </w:tc>
        <w:tc>
          <w:tcPr>
            <w:tcW w:w="8200" w:type="dxa"/>
            <w:gridSpan w:val="3"/>
          </w:tcPr>
          <w:p w14:paraId="0F843EAA" w14:textId="77777777" w:rsidR="003D7CA0" w:rsidRDefault="003D7CA0" w:rsidP="00D401AB">
            <w:pPr>
              <w:pStyle w:val="NoSpacing"/>
            </w:pPr>
            <w:r>
              <w:rPr>
                <w:noProof/>
                <w:lang w:bidi="ar-SA"/>
              </w:rPr>
              <w:drawing>
                <wp:inline distT="0" distB="0" distL="0" distR="0" wp14:anchorId="719C1733" wp14:editId="7F7E26D8">
                  <wp:extent cx="4845534" cy="2286000"/>
                  <wp:effectExtent l="0" t="0" r="0" b="0"/>
                  <wp:docPr id="4139" name="Picture 4139" descr="C:\Users\Administrator\Desktop\proje\PhD Dissertation\Foam\SEM\UT-3MM-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Foam\SEM\UT-3MM-03.png"/>
                          <pic:cNvPicPr>
                            <a:picLocks noChangeAspect="1" noChangeArrowheads="1"/>
                          </pic:cNvPicPr>
                        </pic:nvPicPr>
                        <pic:blipFill>
                          <a:blip r:embed="rId89">
                            <a:extLst>
                              <a:ext uri="{BEBA8EAE-BF5A-486C-A8C5-ECC9F3942E4B}">
                                <a14:imgProps xmlns:a14="http://schemas.microsoft.com/office/drawing/2010/main">
                                  <a14:imgLayer r:embed="rId9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845534" cy="2286000"/>
                          </a:xfrm>
                          <a:prstGeom prst="rect">
                            <a:avLst/>
                          </a:prstGeom>
                          <a:noFill/>
                          <a:ln>
                            <a:noFill/>
                          </a:ln>
                        </pic:spPr>
                      </pic:pic>
                    </a:graphicData>
                  </a:graphic>
                </wp:inline>
              </w:drawing>
            </w:r>
          </w:p>
        </w:tc>
      </w:tr>
      <w:tr w:rsidR="003D7CA0" w14:paraId="3259B8E6" w14:textId="77777777" w:rsidTr="003D7CA0">
        <w:tc>
          <w:tcPr>
            <w:tcW w:w="446" w:type="dxa"/>
          </w:tcPr>
          <w:p w14:paraId="334E6CB7" w14:textId="77777777" w:rsidR="003D7CA0" w:rsidRPr="003D7CA0" w:rsidRDefault="003D7CA0" w:rsidP="00D401AB">
            <w:pPr>
              <w:pStyle w:val="NoSpacing"/>
              <w:rPr>
                <w:i/>
              </w:rPr>
            </w:pPr>
          </w:p>
        </w:tc>
        <w:tc>
          <w:tcPr>
            <w:tcW w:w="8200" w:type="dxa"/>
            <w:gridSpan w:val="3"/>
          </w:tcPr>
          <w:p w14:paraId="62AD6DCA" w14:textId="77777777" w:rsidR="003D7CA0" w:rsidRDefault="003D7CA0" w:rsidP="00D401AB">
            <w:pPr>
              <w:pStyle w:val="NoSpacing"/>
              <w:rPr>
                <w:noProof/>
              </w:rPr>
            </w:pPr>
          </w:p>
        </w:tc>
      </w:tr>
      <w:tr w:rsidR="003D7CA0" w14:paraId="190BB7EF" w14:textId="77777777" w:rsidTr="003D7CA0">
        <w:tc>
          <w:tcPr>
            <w:tcW w:w="446" w:type="dxa"/>
          </w:tcPr>
          <w:p w14:paraId="37171337" w14:textId="77777777" w:rsidR="003D7CA0" w:rsidRPr="003D7CA0" w:rsidRDefault="003D7CA0" w:rsidP="00D401AB">
            <w:pPr>
              <w:pStyle w:val="NoSpacing"/>
              <w:rPr>
                <w:i/>
              </w:rPr>
            </w:pPr>
            <w:r w:rsidRPr="003D7CA0">
              <w:rPr>
                <w:i/>
              </w:rPr>
              <w:t>b)</w:t>
            </w:r>
          </w:p>
        </w:tc>
        <w:tc>
          <w:tcPr>
            <w:tcW w:w="3860" w:type="dxa"/>
          </w:tcPr>
          <w:p w14:paraId="0B48FFA6" w14:textId="77777777" w:rsidR="003D7CA0" w:rsidRDefault="003D7CA0" w:rsidP="00D401AB">
            <w:pPr>
              <w:pStyle w:val="NoSpacing"/>
            </w:pPr>
            <w:r>
              <w:rPr>
                <w:noProof/>
                <w:lang w:bidi="ar-SA"/>
              </w:rPr>
              <w:drawing>
                <wp:inline distT="0" distB="0" distL="0" distR="0" wp14:anchorId="19FCCC88" wp14:editId="123F30A9">
                  <wp:extent cx="2314337" cy="1737360"/>
                  <wp:effectExtent l="0" t="0" r="0" b="0"/>
                  <wp:docPr id="4140" name="Picture 4140" descr="C:\Users\Administrator\Desktop\proje\PhD Dissertation\Foam\SEM\UT-6MM-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proje\PhD Dissertation\Foam\SEM\UT-6MM-05.t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14337" cy="1737360"/>
                          </a:xfrm>
                          <a:prstGeom prst="rect">
                            <a:avLst/>
                          </a:prstGeom>
                          <a:noFill/>
                          <a:ln>
                            <a:noFill/>
                          </a:ln>
                        </pic:spPr>
                      </pic:pic>
                    </a:graphicData>
                  </a:graphic>
                </wp:inline>
              </w:drawing>
            </w:r>
          </w:p>
        </w:tc>
        <w:tc>
          <w:tcPr>
            <w:tcW w:w="403" w:type="dxa"/>
          </w:tcPr>
          <w:p w14:paraId="0A842E8B" w14:textId="77777777" w:rsidR="003D7CA0" w:rsidRPr="003D7CA0" w:rsidRDefault="003D7CA0" w:rsidP="00D401AB">
            <w:pPr>
              <w:pStyle w:val="NoSpacing"/>
              <w:rPr>
                <w:i/>
              </w:rPr>
            </w:pPr>
            <w:r w:rsidRPr="003D7CA0">
              <w:rPr>
                <w:i/>
              </w:rPr>
              <w:t>c)</w:t>
            </w:r>
          </w:p>
        </w:tc>
        <w:tc>
          <w:tcPr>
            <w:tcW w:w="3937" w:type="dxa"/>
          </w:tcPr>
          <w:p w14:paraId="0BFA368F" w14:textId="77777777" w:rsidR="003D7CA0" w:rsidRDefault="003D7CA0" w:rsidP="00D401AB">
            <w:pPr>
              <w:pStyle w:val="NoSpacing"/>
            </w:pPr>
            <w:r>
              <w:rPr>
                <w:noProof/>
                <w:lang w:bidi="ar-SA"/>
              </w:rPr>
              <w:drawing>
                <wp:inline distT="0" distB="0" distL="0" distR="0" wp14:anchorId="1D3A802A" wp14:editId="68538AA5">
                  <wp:extent cx="2314337" cy="1737360"/>
                  <wp:effectExtent l="0" t="0" r="0" b="0"/>
                  <wp:docPr id="4141" name="Picture 4141" descr="C:\Users\Administrator\Desktop\proje\PhD Dissertation\Foam\SEM\UT-9MM-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proje\PhD Dissertation\Foam\SEM\UT-9MM-07.t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14337" cy="1737360"/>
                          </a:xfrm>
                          <a:prstGeom prst="rect">
                            <a:avLst/>
                          </a:prstGeom>
                          <a:noFill/>
                          <a:ln>
                            <a:noFill/>
                          </a:ln>
                        </pic:spPr>
                      </pic:pic>
                    </a:graphicData>
                  </a:graphic>
                </wp:inline>
              </w:drawing>
            </w:r>
          </w:p>
        </w:tc>
      </w:tr>
    </w:tbl>
    <w:p w14:paraId="525A61B0" w14:textId="6F8B9290" w:rsidR="003D7CA0" w:rsidRDefault="003D7CA0" w:rsidP="003D7CA0">
      <w:pPr>
        <w:pStyle w:val="Caption"/>
      </w:pPr>
      <w:bookmarkStart w:id="267" w:name="_Ref523908519"/>
      <w:bookmarkStart w:id="268" w:name="_Toc530997409"/>
      <w:r>
        <w:t xml:space="preserve">Figure </w:t>
      </w:r>
      <w:r w:rsidR="00E96206">
        <w:rPr>
          <w:noProof/>
        </w:rPr>
        <w:fldChar w:fldCharType="begin"/>
      </w:r>
      <w:r w:rsidR="00E96206">
        <w:rPr>
          <w:noProof/>
        </w:rPr>
        <w:instrText xml:space="preserve"> SEQ Figure \* ARABIC </w:instrText>
      </w:r>
      <w:r w:rsidR="00E96206">
        <w:rPr>
          <w:noProof/>
        </w:rPr>
        <w:fldChar w:fldCharType="separate"/>
      </w:r>
      <w:r w:rsidR="006D52C2">
        <w:rPr>
          <w:noProof/>
        </w:rPr>
        <w:t>53</w:t>
      </w:r>
      <w:r w:rsidR="00E96206">
        <w:rPr>
          <w:noProof/>
        </w:rPr>
        <w:fldChar w:fldCharType="end"/>
      </w:r>
      <w:bookmarkEnd w:id="267"/>
      <w:r>
        <w:t xml:space="preserve">. </w:t>
      </w:r>
      <w:r w:rsidR="00D401AB">
        <w:t>Representative</w:t>
      </w:r>
      <w:r w:rsidR="00A66159">
        <w:t xml:space="preserve"> SEM images of foam samples -</w:t>
      </w:r>
      <w:r w:rsidR="00A66159" w:rsidRPr="00A66159">
        <w:t xml:space="preserve"> </w:t>
      </w:r>
      <w:r w:rsidR="00A66159">
        <w:t>as-received</w:t>
      </w:r>
      <w:r w:rsidR="00A66159">
        <w:br/>
      </w:r>
      <w:r w:rsidR="00D401AB" w:rsidRPr="00D401AB">
        <w:rPr>
          <w:i/>
        </w:rPr>
        <w:t>a)</w:t>
      </w:r>
      <w:r w:rsidR="00D401AB">
        <w:t xml:space="preserve"> 3mm </w:t>
      </w:r>
      <w:r w:rsidR="00D401AB" w:rsidRPr="00D401AB">
        <w:rPr>
          <w:i/>
        </w:rPr>
        <w:t>b)</w:t>
      </w:r>
      <w:r w:rsidR="00D401AB">
        <w:t xml:space="preserve"> 6mm </w:t>
      </w:r>
      <w:r w:rsidR="00D401AB" w:rsidRPr="00D401AB">
        <w:rPr>
          <w:i/>
        </w:rPr>
        <w:t>c)</w:t>
      </w:r>
      <w:r w:rsidR="00D401AB">
        <w:t xml:space="preserve"> 9mm</w:t>
      </w:r>
      <w:bookmarkEnd w:id="268"/>
    </w:p>
    <w:p w14:paraId="1BF39F1A" w14:textId="77777777" w:rsidR="003D7CA0" w:rsidRDefault="003D7CA0" w:rsidP="003D7CA0">
      <w:pPr>
        <w:rPr>
          <w:rFonts w:cs="Times New Roman"/>
          <w:szCs w:val="24"/>
        </w:rPr>
      </w:pPr>
    </w:p>
    <w:p w14:paraId="3A41F36E" w14:textId="7343DCEC" w:rsidR="00626900" w:rsidRDefault="00A66159" w:rsidP="00682F7B">
      <w:r>
        <w:fldChar w:fldCharType="begin"/>
      </w:r>
      <w:r>
        <w:instrText xml:space="preserve"> REF _Ref523910212 \h </w:instrText>
      </w:r>
      <w:r w:rsidR="00682F7B">
        <w:instrText xml:space="preserve"> \* MERGEFORMAT </w:instrText>
      </w:r>
      <w:r>
        <w:fldChar w:fldCharType="separate"/>
      </w:r>
      <w:r w:rsidR="006D52C2">
        <w:t xml:space="preserve">Figure </w:t>
      </w:r>
      <w:r w:rsidR="006D52C2">
        <w:rPr>
          <w:noProof/>
        </w:rPr>
        <w:t>54</w:t>
      </w:r>
      <w:r>
        <w:fldChar w:fldCharType="end"/>
      </w:r>
      <w:r>
        <w:t xml:space="preserve"> </w:t>
      </w:r>
      <w:r w:rsidR="00626900">
        <w:t>illustrates through-the-thickness SEM images of 3mm, 6mm</w:t>
      </w:r>
      <w:r w:rsidR="00CB64A3">
        <w:t>,</w:t>
      </w:r>
      <w:r w:rsidR="00626900">
        <w:t xml:space="preserve"> and 9mm foams which are heat treated under 30 psi pressure. </w:t>
      </w:r>
      <w:r w:rsidR="00ED4DFD">
        <w:t xml:space="preserve">Smaller and </w:t>
      </w:r>
      <w:r w:rsidR="007021B3">
        <w:t xml:space="preserve">slightly </w:t>
      </w:r>
      <w:r w:rsidR="00ED4DFD">
        <w:t xml:space="preserve">elongated cells are observed in </w:t>
      </w:r>
      <w:r>
        <w:fldChar w:fldCharType="begin"/>
      </w:r>
      <w:r>
        <w:instrText xml:space="preserve"> REF _Ref523910212 \h </w:instrText>
      </w:r>
      <w:r w:rsidR="00682F7B">
        <w:instrText xml:space="preserve"> \* MERGEFORMAT </w:instrText>
      </w:r>
      <w:r>
        <w:fldChar w:fldCharType="separate"/>
      </w:r>
      <w:r w:rsidR="006D52C2">
        <w:t xml:space="preserve">Figure </w:t>
      </w:r>
      <w:r w:rsidR="006D52C2">
        <w:rPr>
          <w:noProof/>
        </w:rPr>
        <w:t>54</w:t>
      </w:r>
      <w:r>
        <w:fldChar w:fldCharType="end"/>
      </w:r>
      <w:r>
        <w:t xml:space="preserve"> </w:t>
      </w:r>
      <w:r w:rsidR="00ED4DFD">
        <w:t xml:space="preserve">as compared to the cell size and geometry of as-received foams. </w:t>
      </w:r>
      <w:r w:rsidR="00354405">
        <w:t>However, compared to the closed-cells in the matrix, open-cells on the surface are observed to be greatly squeezed causing the majority of thickness reduction. Moreover, squeezing of the surface cells resulted</w:t>
      </w:r>
      <w:r w:rsidR="00ED4DFD">
        <w:t xml:space="preserve"> in </w:t>
      </w:r>
      <w:r w:rsidR="00354405">
        <w:t xml:space="preserve">less variation in </w:t>
      </w:r>
      <w:r w:rsidR="00FC6235">
        <w:t>open-cell</w:t>
      </w:r>
      <w:r w:rsidR="00ED4DFD">
        <w:t xml:space="preserve"> volume to closed</w:t>
      </w:r>
      <w:r w:rsidR="00FC6235">
        <w:t>-</w:t>
      </w:r>
      <w:r w:rsidR="00ED4DFD">
        <w:t>cell volume ratio</w:t>
      </w:r>
      <w:r w:rsidR="00354405">
        <w:t xml:space="preserve"> in samples with different thicknesses</w:t>
      </w:r>
      <w:r w:rsidR="00ED4DFD">
        <w:t xml:space="preserve">. </w:t>
      </w:r>
      <w:r w:rsidR="00354405">
        <w:t xml:space="preserve">In turn, </w:t>
      </w:r>
      <w:r w:rsidR="00ED4DFD">
        <w:t xml:space="preserve">density variation </w:t>
      </w:r>
      <w:r w:rsidR="00354405">
        <w:t xml:space="preserve">between the samples with different thicknesses is decreased compared to </w:t>
      </w:r>
      <w:r w:rsidR="00ED4DFD">
        <w:t xml:space="preserve">the as-received samples. </w:t>
      </w:r>
    </w:p>
    <w:p w14:paraId="22669C82" w14:textId="77777777" w:rsidR="003D7CA0" w:rsidRDefault="003D7CA0" w:rsidP="00682F7B"/>
    <w:tbl>
      <w:tblPr>
        <w:tblStyle w:val="TableGrid"/>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
        <w:gridCol w:w="4098"/>
        <w:gridCol w:w="403"/>
        <w:gridCol w:w="3721"/>
      </w:tblGrid>
      <w:tr w:rsidR="003D7CA0" w14:paraId="369ADFFD" w14:textId="77777777" w:rsidTr="00D401AB">
        <w:tc>
          <w:tcPr>
            <w:tcW w:w="461" w:type="dxa"/>
          </w:tcPr>
          <w:p w14:paraId="3E157F70" w14:textId="77777777" w:rsidR="003D7CA0" w:rsidRPr="003D7CA0" w:rsidRDefault="003D7CA0" w:rsidP="00D401AB">
            <w:pPr>
              <w:pStyle w:val="NoSpacing"/>
              <w:rPr>
                <w:i/>
              </w:rPr>
            </w:pPr>
            <w:r w:rsidRPr="003D7CA0">
              <w:rPr>
                <w:i/>
              </w:rPr>
              <w:lastRenderedPageBreak/>
              <w:t>a)</w:t>
            </w:r>
          </w:p>
        </w:tc>
        <w:tc>
          <w:tcPr>
            <w:tcW w:w="8185" w:type="dxa"/>
            <w:gridSpan w:val="3"/>
          </w:tcPr>
          <w:p w14:paraId="59C6B1AB" w14:textId="01E4BD1F" w:rsidR="003D7CA0" w:rsidRDefault="003D7CA0" w:rsidP="00D401AB">
            <w:pPr>
              <w:pStyle w:val="NoSpacing"/>
            </w:pPr>
            <w:r>
              <w:rPr>
                <w:noProof/>
                <w:lang w:bidi="ar-SA"/>
              </w:rPr>
              <w:drawing>
                <wp:inline distT="0" distB="0" distL="0" distR="0" wp14:anchorId="75A649EC" wp14:editId="1C193EBB">
                  <wp:extent cx="4864958" cy="1828800"/>
                  <wp:effectExtent l="0" t="0" r="0" b="0"/>
                  <wp:docPr id="202" name="Picture 202" descr="C:\Users\Administrator\Desktop\proje\PhD Dissertation\Foam\SEM\30P-3MM-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proje\PhD Dissertation\Foam\SEM\30P-3MM-11.t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64958" cy="1828800"/>
                          </a:xfrm>
                          <a:prstGeom prst="rect">
                            <a:avLst/>
                          </a:prstGeom>
                          <a:noFill/>
                          <a:ln>
                            <a:noFill/>
                          </a:ln>
                        </pic:spPr>
                      </pic:pic>
                    </a:graphicData>
                  </a:graphic>
                </wp:inline>
              </w:drawing>
            </w:r>
          </w:p>
        </w:tc>
      </w:tr>
      <w:tr w:rsidR="003D7CA0" w14:paraId="24F5F235" w14:textId="77777777" w:rsidTr="00D401AB">
        <w:tc>
          <w:tcPr>
            <w:tcW w:w="461" w:type="dxa"/>
          </w:tcPr>
          <w:p w14:paraId="6E8FB1D7" w14:textId="77777777" w:rsidR="003D7CA0" w:rsidRPr="003D7CA0" w:rsidRDefault="003D7CA0" w:rsidP="00D401AB">
            <w:pPr>
              <w:pStyle w:val="NoSpacing"/>
              <w:rPr>
                <w:i/>
              </w:rPr>
            </w:pPr>
          </w:p>
        </w:tc>
        <w:tc>
          <w:tcPr>
            <w:tcW w:w="8185" w:type="dxa"/>
            <w:gridSpan w:val="3"/>
          </w:tcPr>
          <w:p w14:paraId="19A68982" w14:textId="77777777" w:rsidR="003D7CA0" w:rsidRDefault="003D7CA0" w:rsidP="00D401AB">
            <w:pPr>
              <w:pStyle w:val="NoSpacing"/>
              <w:rPr>
                <w:noProof/>
              </w:rPr>
            </w:pPr>
          </w:p>
        </w:tc>
      </w:tr>
      <w:tr w:rsidR="003D7CA0" w14:paraId="64618884" w14:textId="77777777" w:rsidTr="00D401AB">
        <w:tc>
          <w:tcPr>
            <w:tcW w:w="461" w:type="dxa"/>
          </w:tcPr>
          <w:p w14:paraId="0A5994A7" w14:textId="77777777" w:rsidR="003D7CA0" w:rsidRPr="003D7CA0" w:rsidRDefault="003D7CA0" w:rsidP="00D401AB">
            <w:pPr>
              <w:pStyle w:val="NoSpacing"/>
              <w:rPr>
                <w:i/>
              </w:rPr>
            </w:pPr>
            <w:r w:rsidRPr="003D7CA0">
              <w:rPr>
                <w:i/>
              </w:rPr>
              <w:t>b)</w:t>
            </w:r>
          </w:p>
        </w:tc>
        <w:tc>
          <w:tcPr>
            <w:tcW w:w="3805" w:type="dxa"/>
          </w:tcPr>
          <w:p w14:paraId="29A88364" w14:textId="0D6D1975" w:rsidR="003D7CA0" w:rsidRDefault="003D7CA0" w:rsidP="00D401AB">
            <w:pPr>
              <w:pStyle w:val="NoSpacing"/>
            </w:pPr>
            <w:r>
              <w:rPr>
                <w:noProof/>
                <w:lang w:bidi="ar-SA"/>
              </w:rPr>
              <w:drawing>
                <wp:inline distT="0" distB="0" distL="0" distR="0" wp14:anchorId="1FCBD5E0" wp14:editId="23EBA33F">
                  <wp:extent cx="2465165" cy="1645920"/>
                  <wp:effectExtent l="0" t="0" r="0" b="0"/>
                  <wp:docPr id="203" name="Picture 203" descr="C:\Users\Administrator\Desktop\proje\PhD Dissertation\Foam\SEM\30P-6MM-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proje\PhD Dissertation\Foam\SEM\30P-6MM-14.tif"/>
                          <pic:cNvPicPr>
                            <a:picLocks noChangeAspect="1" noChangeArrowheads="1"/>
                          </pic:cNvPicPr>
                        </pic:nvPicPr>
                        <pic:blipFill>
                          <a:blip r:embed="rId94" cstate="print">
                            <a:extLst>
                              <a:ext uri="{BEBA8EAE-BF5A-486C-A8C5-ECC9F3942E4B}">
                                <a14:imgProps xmlns:a14="http://schemas.microsoft.com/office/drawing/2010/main">
                                  <a14:imgLayer r:embed="rId9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5165" cy="1645920"/>
                          </a:xfrm>
                          <a:prstGeom prst="rect">
                            <a:avLst/>
                          </a:prstGeom>
                          <a:noFill/>
                          <a:ln>
                            <a:noFill/>
                          </a:ln>
                        </pic:spPr>
                      </pic:pic>
                    </a:graphicData>
                  </a:graphic>
                </wp:inline>
              </w:drawing>
            </w:r>
          </w:p>
        </w:tc>
        <w:tc>
          <w:tcPr>
            <w:tcW w:w="403" w:type="dxa"/>
          </w:tcPr>
          <w:p w14:paraId="40C55A10" w14:textId="77777777" w:rsidR="003D7CA0" w:rsidRPr="003D7CA0" w:rsidRDefault="003D7CA0" w:rsidP="00D401AB">
            <w:pPr>
              <w:pStyle w:val="NoSpacing"/>
              <w:rPr>
                <w:i/>
              </w:rPr>
            </w:pPr>
            <w:r w:rsidRPr="003D7CA0">
              <w:rPr>
                <w:i/>
              </w:rPr>
              <w:t>c)</w:t>
            </w:r>
          </w:p>
        </w:tc>
        <w:tc>
          <w:tcPr>
            <w:tcW w:w="3977" w:type="dxa"/>
          </w:tcPr>
          <w:p w14:paraId="6E1CDD45" w14:textId="7C377492" w:rsidR="003D7CA0" w:rsidRDefault="003D7CA0" w:rsidP="00D401AB">
            <w:pPr>
              <w:pStyle w:val="NoSpacing"/>
            </w:pPr>
            <w:r>
              <w:rPr>
                <w:noProof/>
                <w:lang w:bidi="ar-SA"/>
              </w:rPr>
              <w:drawing>
                <wp:inline distT="0" distB="0" distL="0" distR="0" wp14:anchorId="794160A2" wp14:editId="38AD3457">
                  <wp:extent cx="2192529" cy="1645920"/>
                  <wp:effectExtent l="0" t="0" r="0" b="0"/>
                  <wp:docPr id="204" name="Picture 204" descr="C:\Users\Administrator\Desktop\proje\PhD Dissertation\Foam\SEM\30P-9MM-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proje\PhD Dissertation\Foam\SEM\30P-9MM-16.tif"/>
                          <pic:cNvPicPr>
                            <a:picLocks noChangeAspect="1" noChangeArrowheads="1"/>
                          </pic:cNvPicPr>
                        </pic:nvPicPr>
                        <pic:blipFill>
                          <a:blip r:embed="rId96" cstate="print">
                            <a:extLst>
                              <a:ext uri="{BEBA8EAE-BF5A-486C-A8C5-ECC9F3942E4B}">
                                <a14:imgProps xmlns:a14="http://schemas.microsoft.com/office/drawing/2010/main">
                                  <a14:imgLayer r:embed="rId9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92529" cy="1645920"/>
                          </a:xfrm>
                          <a:prstGeom prst="rect">
                            <a:avLst/>
                          </a:prstGeom>
                          <a:noFill/>
                          <a:ln>
                            <a:noFill/>
                          </a:ln>
                        </pic:spPr>
                      </pic:pic>
                    </a:graphicData>
                  </a:graphic>
                </wp:inline>
              </w:drawing>
            </w:r>
          </w:p>
        </w:tc>
      </w:tr>
    </w:tbl>
    <w:p w14:paraId="3725BECD" w14:textId="53E2854D" w:rsidR="003D7CA0" w:rsidRDefault="00A66159" w:rsidP="00A66159">
      <w:pPr>
        <w:pStyle w:val="Caption"/>
      </w:pPr>
      <w:bookmarkStart w:id="269" w:name="_Ref523910212"/>
      <w:bookmarkStart w:id="270" w:name="_Toc530997410"/>
      <w:r>
        <w:t xml:space="preserve">Figure </w:t>
      </w:r>
      <w:r w:rsidR="00E96206">
        <w:rPr>
          <w:noProof/>
        </w:rPr>
        <w:fldChar w:fldCharType="begin"/>
      </w:r>
      <w:r w:rsidR="00E96206">
        <w:rPr>
          <w:noProof/>
        </w:rPr>
        <w:instrText xml:space="preserve"> SEQ Figure \* ARABIC </w:instrText>
      </w:r>
      <w:r w:rsidR="00E96206">
        <w:rPr>
          <w:noProof/>
        </w:rPr>
        <w:fldChar w:fldCharType="separate"/>
      </w:r>
      <w:r w:rsidR="006D52C2">
        <w:rPr>
          <w:noProof/>
        </w:rPr>
        <w:t>54</w:t>
      </w:r>
      <w:r w:rsidR="00E96206">
        <w:rPr>
          <w:noProof/>
        </w:rPr>
        <w:fldChar w:fldCharType="end"/>
      </w:r>
      <w:bookmarkEnd w:id="269"/>
      <w:r>
        <w:t>. Representative SEM images of foam samples –</w:t>
      </w:r>
      <w:r w:rsidRPr="00A66159">
        <w:t xml:space="preserve"> </w:t>
      </w:r>
      <w:r>
        <w:t>heat treated under 30 psi</w:t>
      </w:r>
      <w:r>
        <w:br/>
      </w:r>
      <w:r w:rsidRPr="00D401AB">
        <w:rPr>
          <w:i/>
        </w:rPr>
        <w:t>a)</w:t>
      </w:r>
      <w:r>
        <w:t xml:space="preserve"> 3mm </w:t>
      </w:r>
      <w:r w:rsidRPr="00D401AB">
        <w:rPr>
          <w:i/>
        </w:rPr>
        <w:t>b)</w:t>
      </w:r>
      <w:r>
        <w:t xml:space="preserve"> 6mm </w:t>
      </w:r>
      <w:r w:rsidRPr="00D401AB">
        <w:rPr>
          <w:i/>
        </w:rPr>
        <w:t>c)</w:t>
      </w:r>
      <w:r>
        <w:t xml:space="preserve"> 9mm</w:t>
      </w:r>
      <w:bookmarkEnd w:id="270"/>
    </w:p>
    <w:p w14:paraId="47405891" w14:textId="77777777" w:rsidR="00A66159" w:rsidRPr="00A66159" w:rsidRDefault="00A66159" w:rsidP="00682F7B"/>
    <w:p w14:paraId="663D817F" w14:textId="6DF71CE1" w:rsidR="00ED4DFD" w:rsidRDefault="00A66159" w:rsidP="00682F7B">
      <w:pPr>
        <w:rPr>
          <w:rFonts w:cs="Times New Roman"/>
          <w:szCs w:val="24"/>
        </w:rPr>
      </w:pPr>
      <w:r>
        <w:rPr>
          <w:rFonts w:cs="Times New Roman"/>
          <w:szCs w:val="24"/>
        </w:rPr>
        <w:fldChar w:fldCharType="begin"/>
      </w:r>
      <w:r>
        <w:rPr>
          <w:rFonts w:cs="Times New Roman"/>
          <w:szCs w:val="24"/>
        </w:rPr>
        <w:instrText xml:space="preserve"> REF _Ref523910220 \h </w:instrText>
      </w:r>
      <w:r w:rsidR="00682F7B">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Figure </w:t>
      </w:r>
      <w:r w:rsidR="006D52C2">
        <w:rPr>
          <w:noProof/>
        </w:rPr>
        <w:t>55</w:t>
      </w:r>
      <w:r>
        <w:rPr>
          <w:rFonts w:cs="Times New Roman"/>
          <w:szCs w:val="24"/>
        </w:rPr>
        <w:fldChar w:fldCharType="end"/>
      </w:r>
      <w:r>
        <w:rPr>
          <w:rFonts w:cs="Times New Roman"/>
          <w:szCs w:val="24"/>
        </w:rPr>
        <w:t xml:space="preserve"> </w:t>
      </w:r>
      <w:r w:rsidR="00ED4DFD">
        <w:rPr>
          <w:rFonts w:cs="Times New Roman"/>
          <w:szCs w:val="24"/>
        </w:rPr>
        <w:t>shows through-the-thickness SEM images of 3mm, 6mm</w:t>
      </w:r>
      <w:r w:rsidR="00CB64A3">
        <w:rPr>
          <w:rFonts w:cs="Times New Roman"/>
          <w:szCs w:val="24"/>
        </w:rPr>
        <w:t>,</w:t>
      </w:r>
      <w:r w:rsidR="00ED4DFD">
        <w:rPr>
          <w:rFonts w:cs="Times New Roman"/>
          <w:szCs w:val="24"/>
        </w:rPr>
        <w:t xml:space="preserve"> and 9mm foams </w:t>
      </w:r>
      <w:r w:rsidR="0084043A">
        <w:rPr>
          <w:rFonts w:cs="Times New Roman"/>
          <w:szCs w:val="24"/>
        </w:rPr>
        <w:t>which are heat treated under 5</w:t>
      </w:r>
      <w:r w:rsidR="00ED4DFD">
        <w:rPr>
          <w:rFonts w:cs="Times New Roman"/>
          <w:szCs w:val="24"/>
        </w:rPr>
        <w:t>0 psi pressure</w:t>
      </w:r>
      <w:r w:rsidR="0084043A">
        <w:rPr>
          <w:rFonts w:cs="Times New Roman"/>
          <w:szCs w:val="24"/>
        </w:rPr>
        <w:t xml:space="preserve">. Drastic changes in cell size and geometry </w:t>
      </w:r>
      <w:r w:rsidR="006E2304">
        <w:rPr>
          <w:rFonts w:cs="Times New Roman"/>
          <w:szCs w:val="24"/>
        </w:rPr>
        <w:t xml:space="preserve">may </w:t>
      </w:r>
      <w:r w:rsidR="0084043A">
        <w:rPr>
          <w:rFonts w:cs="Times New Roman"/>
          <w:szCs w:val="24"/>
        </w:rPr>
        <w:t xml:space="preserve">easily be observed in SEM images. Cells are extremely elongated. Cell coalescence can be observed. </w:t>
      </w:r>
      <w:r w:rsidR="00C80855">
        <w:rPr>
          <w:rFonts w:cs="Times New Roman"/>
          <w:szCs w:val="24"/>
        </w:rPr>
        <w:t xml:space="preserve">Some degraded and elongated cells reach </w:t>
      </w:r>
      <w:r w:rsidR="00FC6235">
        <w:rPr>
          <w:rFonts w:cs="Times New Roman"/>
          <w:szCs w:val="24"/>
        </w:rPr>
        <w:t>to the surface becoming an open-</w:t>
      </w:r>
      <w:r w:rsidR="00C80855">
        <w:rPr>
          <w:rFonts w:cs="Times New Roman"/>
          <w:szCs w:val="24"/>
        </w:rPr>
        <w:t xml:space="preserve">cell resulting in </w:t>
      </w:r>
      <w:r w:rsidR="00786B8F">
        <w:rPr>
          <w:rFonts w:cs="Times New Roman"/>
          <w:szCs w:val="24"/>
        </w:rPr>
        <w:t>substantial</w:t>
      </w:r>
      <w:r w:rsidR="00C80855">
        <w:rPr>
          <w:rFonts w:cs="Times New Roman"/>
          <w:szCs w:val="24"/>
        </w:rPr>
        <w:t xml:space="preserve"> density increase observed in </w:t>
      </w:r>
      <w:r w:rsidR="003D7CA0">
        <w:rPr>
          <w:rFonts w:cs="Times New Roman"/>
          <w:szCs w:val="24"/>
          <w:highlight w:val="yellow"/>
        </w:rPr>
        <w:fldChar w:fldCharType="begin"/>
      </w:r>
      <w:r w:rsidR="003D7CA0">
        <w:rPr>
          <w:rFonts w:cs="Times New Roman"/>
          <w:szCs w:val="24"/>
        </w:rPr>
        <w:instrText xml:space="preserve"> REF _Ref523219924 \h </w:instrText>
      </w:r>
      <w:r w:rsidR="00682F7B">
        <w:rPr>
          <w:rFonts w:cs="Times New Roman"/>
          <w:szCs w:val="24"/>
          <w:highlight w:val="yellow"/>
        </w:rPr>
        <w:instrText xml:space="preserve"> \* MERGEFORMAT </w:instrText>
      </w:r>
      <w:r w:rsidR="003D7CA0">
        <w:rPr>
          <w:rFonts w:cs="Times New Roman"/>
          <w:szCs w:val="24"/>
          <w:highlight w:val="yellow"/>
        </w:rPr>
      </w:r>
      <w:r w:rsidR="003D7CA0">
        <w:rPr>
          <w:rFonts w:cs="Times New Roman"/>
          <w:szCs w:val="24"/>
          <w:highlight w:val="yellow"/>
        </w:rPr>
        <w:fldChar w:fldCharType="separate"/>
      </w:r>
      <w:r w:rsidR="006D52C2">
        <w:t xml:space="preserve">Figure </w:t>
      </w:r>
      <w:r w:rsidR="006D52C2">
        <w:rPr>
          <w:noProof/>
        </w:rPr>
        <w:t>52</w:t>
      </w:r>
      <w:r w:rsidR="003D7CA0">
        <w:rPr>
          <w:rFonts w:cs="Times New Roman"/>
          <w:szCs w:val="24"/>
          <w:highlight w:val="yellow"/>
        </w:rPr>
        <w:fldChar w:fldCharType="end"/>
      </w:r>
      <w:r w:rsidR="003D7CA0">
        <w:rPr>
          <w:rFonts w:cs="Times New Roman"/>
          <w:szCs w:val="24"/>
        </w:rPr>
        <w:t>.</w:t>
      </w:r>
    </w:p>
    <w:p w14:paraId="5C9C1327" w14:textId="77777777" w:rsidR="00226BD7" w:rsidRDefault="00226BD7" w:rsidP="00682F7B">
      <w:pPr>
        <w:rPr>
          <w:rFonts w:cs="Times New Roman"/>
          <w:szCs w:val="24"/>
        </w:rPr>
      </w:pPr>
    </w:p>
    <w:p w14:paraId="76DE0439" w14:textId="77777777" w:rsidR="00225D92" w:rsidRDefault="00225D92" w:rsidP="00682F7B">
      <w:pPr>
        <w:rPr>
          <w:rFonts w:cs="Times New Roman"/>
          <w:szCs w:val="24"/>
        </w:rPr>
      </w:pPr>
    </w:p>
    <w:tbl>
      <w:tblPr>
        <w:tblStyle w:val="TableGrid"/>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
        <w:gridCol w:w="4360"/>
        <w:gridCol w:w="403"/>
        <w:gridCol w:w="3464"/>
      </w:tblGrid>
      <w:tr w:rsidR="003D7CA0" w14:paraId="6CE9E837" w14:textId="77777777" w:rsidTr="00A66159">
        <w:tc>
          <w:tcPr>
            <w:tcW w:w="419" w:type="dxa"/>
          </w:tcPr>
          <w:p w14:paraId="6CBE93C0" w14:textId="77777777" w:rsidR="003D7CA0" w:rsidRPr="003D7CA0" w:rsidRDefault="003D7CA0" w:rsidP="00D401AB">
            <w:pPr>
              <w:pStyle w:val="NoSpacing"/>
              <w:rPr>
                <w:i/>
              </w:rPr>
            </w:pPr>
            <w:r w:rsidRPr="003D7CA0">
              <w:rPr>
                <w:i/>
              </w:rPr>
              <w:lastRenderedPageBreak/>
              <w:t>a)</w:t>
            </w:r>
          </w:p>
        </w:tc>
        <w:tc>
          <w:tcPr>
            <w:tcW w:w="8227" w:type="dxa"/>
            <w:gridSpan w:val="3"/>
          </w:tcPr>
          <w:p w14:paraId="66372741" w14:textId="52B9E57E" w:rsidR="003D7CA0" w:rsidRDefault="003D7CA0" w:rsidP="00D401AB">
            <w:pPr>
              <w:pStyle w:val="NoSpacing"/>
            </w:pPr>
            <w:r>
              <w:rPr>
                <w:noProof/>
                <w:lang w:bidi="ar-SA"/>
              </w:rPr>
              <w:drawing>
                <wp:inline distT="0" distB="0" distL="0" distR="0" wp14:anchorId="42990080" wp14:editId="17FFF3F7">
                  <wp:extent cx="5064866" cy="1463040"/>
                  <wp:effectExtent l="0" t="0" r="2540" b="3810"/>
                  <wp:docPr id="205" name="Picture 205" descr="C:\Users\Administrator\Desktop\proje\PhD Dissertation\Foam\SEM\50P-3MM-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proje\PhD Dissertation\Foam\SEM\50P-3MM-19.t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64866" cy="1463040"/>
                          </a:xfrm>
                          <a:prstGeom prst="rect">
                            <a:avLst/>
                          </a:prstGeom>
                          <a:noFill/>
                          <a:ln>
                            <a:noFill/>
                          </a:ln>
                        </pic:spPr>
                      </pic:pic>
                    </a:graphicData>
                  </a:graphic>
                </wp:inline>
              </w:drawing>
            </w:r>
          </w:p>
        </w:tc>
      </w:tr>
      <w:tr w:rsidR="003D7CA0" w14:paraId="4A884DCD" w14:textId="77777777" w:rsidTr="00A66159">
        <w:tc>
          <w:tcPr>
            <w:tcW w:w="419" w:type="dxa"/>
          </w:tcPr>
          <w:p w14:paraId="647E6CA1" w14:textId="77777777" w:rsidR="003D7CA0" w:rsidRPr="003D7CA0" w:rsidRDefault="003D7CA0" w:rsidP="00D401AB">
            <w:pPr>
              <w:pStyle w:val="NoSpacing"/>
              <w:rPr>
                <w:i/>
              </w:rPr>
            </w:pPr>
          </w:p>
        </w:tc>
        <w:tc>
          <w:tcPr>
            <w:tcW w:w="8227" w:type="dxa"/>
            <w:gridSpan w:val="3"/>
          </w:tcPr>
          <w:p w14:paraId="611A56FF" w14:textId="77777777" w:rsidR="003D7CA0" w:rsidRDefault="003D7CA0" w:rsidP="00D401AB">
            <w:pPr>
              <w:pStyle w:val="NoSpacing"/>
              <w:rPr>
                <w:noProof/>
              </w:rPr>
            </w:pPr>
          </w:p>
        </w:tc>
      </w:tr>
      <w:tr w:rsidR="003D7CA0" w14:paraId="3C81D9CB" w14:textId="77777777" w:rsidTr="00A66159">
        <w:tc>
          <w:tcPr>
            <w:tcW w:w="419" w:type="dxa"/>
          </w:tcPr>
          <w:p w14:paraId="6A1D9127" w14:textId="77777777" w:rsidR="003D7CA0" w:rsidRPr="003D7CA0" w:rsidRDefault="003D7CA0" w:rsidP="00D401AB">
            <w:pPr>
              <w:pStyle w:val="NoSpacing"/>
              <w:rPr>
                <w:i/>
              </w:rPr>
            </w:pPr>
            <w:r w:rsidRPr="003D7CA0">
              <w:rPr>
                <w:i/>
              </w:rPr>
              <w:t>b)</w:t>
            </w:r>
          </w:p>
        </w:tc>
        <w:tc>
          <w:tcPr>
            <w:tcW w:w="4360" w:type="dxa"/>
          </w:tcPr>
          <w:p w14:paraId="0B5683A7" w14:textId="2850E745" w:rsidR="003D7CA0" w:rsidRDefault="003D7CA0" w:rsidP="00D401AB">
            <w:pPr>
              <w:pStyle w:val="NoSpacing"/>
            </w:pPr>
            <w:r>
              <w:rPr>
                <w:noProof/>
                <w:lang w:bidi="ar-SA"/>
              </w:rPr>
              <w:drawing>
                <wp:inline distT="0" distB="0" distL="0" distR="0" wp14:anchorId="31609575" wp14:editId="63ABDCA9">
                  <wp:extent cx="2631636" cy="1508760"/>
                  <wp:effectExtent l="0" t="0" r="0" b="0"/>
                  <wp:docPr id="206" name="Picture 206" descr="C:\Users\Administrator\Desktop\proje\PhD Dissertation\Foam\SEM\50P-6MM-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proje\PhD Dissertation\Foam\SEM\50P-6MM-27.tif"/>
                          <pic:cNvPicPr>
                            <a:picLocks noChangeAspect="1" noChangeArrowheads="1"/>
                          </pic:cNvPicPr>
                        </pic:nvPicPr>
                        <pic:blipFill>
                          <a:blip r:embed="rId99" cstate="print">
                            <a:extLst>
                              <a:ext uri="{BEBA8EAE-BF5A-486C-A8C5-ECC9F3942E4B}">
                                <a14:imgProps xmlns:a14="http://schemas.microsoft.com/office/drawing/2010/main">
                                  <a14:imgLayer r:embed="rId10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631636" cy="1508760"/>
                          </a:xfrm>
                          <a:prstGeom prst="rect">
                            <a:avLst/>
                          </a:prstGeom>
                          <a:noFill/>
                          <a:ln>
                            <a:noFill/>
                          </a:ln>
                        </pic:spPr>
                      </pic:pic>
                    </a:graphicData>
                  </a:graphic>
                </wp:inline>
              </w:drawing>
            </w:r>
          </w:p>
        </w:tc>
        <w:tc>
          <w:tcPr>
            <w:tcW w:w="403" w:type="dxa"/>
          </w:tcPr>
          <w:p w14:paraId="11054229" w14:textId="77777777" w:rsidR="003D7CA0" w:rsidRPr="003D7CA0" w:rsidRDefault="003D7CA0" w:rsidP="00D401AB">
            <w:pPr>
              <w:pStyle w:val="NoSpacing"/>
              <w:rPr>
                <w:i/>
              </w:rPr>
            </w:pPr>
            <w:r w:rsidRPr="003D7CA0">
              <w:rPr>
                <w:i/>
              </w:rPr>
              <w:t>c)</w:t>
            </w:r>
          </w:p>
        </w:tc>
        <w:tc>
          <w:tcPr>
            <w:tcW w:w="3464" w:type="dxa"/>
          </w:tcPr>
          <w:p w14:paraId="11C7E3FB" w14:textId="2CCEE9F4" w:rsidR="003D7CA0" w:rsidRDefault="003D7CA0" w:rsidP="00D401AB">
            <w:pPr>
              <w:pStyle w:val="NoSpacing"/>
            </w:pPr>
            <w:r>
              <w:rPr>
                <w:noProof/>
                <w:lang w:bidi="ar-SA"/>
              </w:rPr>
              <w:drawing>
                <wp:inline distT="0" distB="0" distL="0" distR="0" wp14:anchorId="528398D4" wp14:editId="3E35289A">
                  <wp:extent cx="2009819" cy="1508760"/>
                  <wp:effectExtent l="0" t="0" r="9525" b="0"/>
                  <wp:docPr id="207" name="Picture 207" descr="C:\Users\Administrator\Desktop\proje\PhD Dissertation\Foam\SEM\50P-9MM-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esktop\proje\PhD Dissertation\Foam\SEM\50P-9MM-31.tif"/>
                          <pic:cNvPicPr>
                            <a:picLocks noChangeAspect="1" noChangeArrowheads="1"/>
                          </pic:cNvPicPr>
                        </pic:nvPicPr>
                        <pic:blipFill>
                          <a:blip r:embed="rId101" cstate="print">
                            <a:extLst>
                              <a:ext uri="{BEBA8EAE-BF5A-486C-A8C5-ECC9F3942E4B}">
                                <a14:imgProps xmlns:a14="http://schemas.microsoft.com/office/drawing/2010/main">
                                  <a14:imgLayer r:embed="rId10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09819" cy="1508760"/>
                          </a:xfrm>
                          <a:prstGeom prst="rect">
                            <a:avLst/>
                          </a:prstGeom>
                          <a:noFill/>
                          <a:ln>
                            <a:noFill/>
                          </a:ln>
                        </pic:spPr>
                      </pic:pic>
                    </a:graphicData>
                  </a:graphic>
                </wp:inline>
              </w:drawing>
            </w:r>
          </w:p>
        </w:tc>
      </w:tr>
    </w:tbl>
    <w:p w14:paraId="5BFFE171" w14:textId="2DB9AD76" w:rsidR="00A66159" w:rsidRDefault="00A66159" w:rsidP="00A66159">
      <w:pPr>
        <w:pStyle w:val="Caption"/>
      </w:pPr>
      <w:bookmarkStart w:id="271" w:name="_Ref523910220"/>
      <w:bookmarkStart w:id="272" w:name="_Toc530997411"/>
      <w:r>
        <w:t xml:space="preserve">Figure </w:t>
      </w:r>
      <w:r w:rsidR="00E96206">
        <w:rPr>
          <w:noProof/>
        </w:rPr>
        <w:fldChar w:fldCharType="begin"/>
      </w:r>
      <w:r w:rsidR="00E96206">
        <w:rPr>
          <w:noProof/>
        </w:rPr>
        <w:instrText xml:space="preserve"> SEQ Figure \* ARABIC </w:instrText>
      </w:r>
      <w:r w:rsidR="00E96206">
        <w:rPr>
          <w:noProof/>
        </w:rPr>
        <w:fldChar w:fldCharType="separate"/>
      </w:r>
      <w:r w:rsidR="006D52C2">
        <w:rPr>
          <w:noProof/>
        </w:rPr>
        <w:t>55</w:t>
      </w:r>
      <w:r w:rsidR="00E96206">
        <w:rPr>
          <w:noProof/>
        </w:rPr>
        <w:fldChar w:fldCharType="end"/>
      </w:r>
      <w:bookmarkEnd w:id="271"/>
      <w:r>
        <w:t>. Representative SEM images of foam samples –</w:t>
      </w:r>
      <w:r w:rsidRPr="00A66159">
        <w:t xml:space="preserve"> </w:t>
      </w:r>
      <w:r>
        <w:t>heat treated under 50 psi</w:t>
      </w:r>
      <w:r>
        <w:br/>
      </w:r>
      <w:r w:rsidRPr="00D401AB">
        <w:rPr>
          <w:i/>
        </w:rPr>
        <w:t>a)</w:t>
      </w:r>
      <w:r>
        <w:t xml:space="preserve"> 3mm </w:t>
      </w:r>
      <w:r w:rsidRPr="00D401AB">
        <w:rPr>
          <w:i/>
        </w:rPr>
        <w:t>b)</w:t>
      </w:r>
      <w:r>
        <w:t xml:space="preserve"> 6mm </w:t>
      </w:r>
      <w:r w:rsidRPr="00D401AB">
        <w:rPr>
          <w:i/>
        </w:rPr>
        <w:t>c)</w:t>
      </w:r>
      <w:r>
        <w:t xml:space="preserve"> 9mm</w:t>
      </w:r>
      <w:bookmarkEnd w:id="272"/>
    </w:p>
    <w:p w14:paraId="15F2E5AB" w14:textId="77777777" w:rsidR="00FB04CF" w:rsidRDefault="00FB04CF" w:rsidP="00682F7B"/>
    <w:p w14:paraId="41C3C7CF" w14:textId="61B7F7C2" w:rsidR="00227905" w:rsidRDefault="00DB22C3" w:rsidP="00682F7B">
      <w:r>
        <w:t xml:space="preserve">Cell sizes of as-received and heat treated foams are calculated using image processing tool ImageJ and shown in </w:t>
      </w:r>
      <w:r>
        <w:fldChar w:fldCharType="begin"/>
      </w:r>
      <w:r>
        <w:instrText xml:space="preserve"> REF _Ref523911226 \h </w:instrText>
      </w:r>
      <w:r w:rsidR="00682F7B">
        <w:instrText xml:space="preserve"> \* MERGEFORMAT </w:instrText>
      </w:r>
      <w:r>
        <w:fldChar w:fldCharType="separate"/>
      </w:r>
      <w:r w:rsidR="006D52C2">
        <w:t xml:space="preserve">Figure </w:t>
      </w:r>
      <w:r w:rsidR="006D52C2">
        <w:rPr>
          <w:noProof/>
        </w:rPr>
        <w:t>56</w:t>
      </w:r>
      <w:r>
        <w:fldChar w:fldCharType="end"/>
      </w:r>
      <w:r>
        <w:t xml:space="preserve">. To calculate the cell size, average of </w:t>
      </w:r>
      <w:r w:rsidR="00DB6D6A">
        <w:t xml:space="preserve">the </w:t>
      </w:r>
      <w:r>
        <w:t xml:space="preserve">longest and shortest diagonals of approximately 100 hexagonal </w:t>
      </w:r>
      <w:r w:rsidR="008847B1">
        <w:t>closed-</w:t>
      </w:r>
      <w:r>
        <w:t>cells</w:t>
      </w:r>
      <w:r w:rsidR="00EE6F85">
        <w:t xml:space="preserve"> per foam sample</w:t>
      </w:r>
      <w:r>
        <w:t xml:space="preserve"> are used</w:t>
      </w:r>
      <w:r w:rsidR="00EE6F85">
        <w:t xml:space="preserve">. As observed in SEM images, </w:t>
      </w:r>
      <w:r w:rsidR="008847B1">
        <w:t>change</w:t>
      </w:r>
      <w:r w:rsidR="00EE6F85">
        <w:t xml:space="preserve"> in average cell size </w:t>
      </w:r>
      <w:r w:rsidR="008847B1">
        <w:t>with</w:t>
      </w:r>
      <w:r w:rsidR="00EE6F85">
        <w:t xml:space="preserve"> heat treatment pressure has been quantified. Decrease in cell size </w:t>
      </w:r>
      <w:r w:rsidR="00EE6F85" w:rsidRPr="001F3C04">
        <w:t>due</w:t>
      </w:r>
      <w:r w:rsidR="00EE6F85">
        <w:t xml:space="preserve"> to heat treatment is slightly higher for 3mm samples</w:t>
      </w:r>
      <w:r w:rsidR="008847B1">
        <w:t xml:space="preserve"> because of extra compression of surface open</w:t>
      </w:r>
      <w:r w:rsidR="00FC6235">
        <w:t>-</w:t>
      </w:r>
      <w:r w:rsidR="008847B1">
        <w:t>cells compared to the closed</w:t>
      </w:r>
      <w:r w:rsidR="00FC6235">
        <w:t>-</w:t>
      </w:r>
      <w:r w:rsidR="008847B1">
        <w:t>cells</w:t>
      </w:r>
      <w:r w:rsidR="00EE6F85">
        <w:t xml:space="preserve">. Moreover, all the as-received foams have the same average cell size. Even though the as-received foams have identical microstructure, their density </w:t>
      </w:r>
      <w:r w:rsidR="008847B1">
        <w:t>is</w:t>
      </w:r>
      <w:r w:rsidR="00EE6F85">
        <w:t xml:space="preserve"> different due to open</w:t>
      </w:r>
      <w:r w:rsidR="00FC6235">
        <w:t>-</w:t>
      </w:r>
      <w:r w:rsidR="00EE6F85">
        <w:t>cells on the surface. Since cell size for the as-received foams are approximately 1mm, open</w:t>
      </w:r>
      <w:r w:rsidR="00FC6235">
        <w:t>-</w:t>
      </w:r>
      <w:r w:rsidR="00EE6F85">
        <w:t>cells on the surface have significant impact on the density of thin samples.</w:t>
      </w:r>
    </w:p>
    <w:p w14:paraId="52747DD0" w14:textId="289DE14D" w:rsidR="00DB22C3" w:rsidRDefault="006C198A" w:rsidP="00DB22C3">
      <w:pPr>
        <w:pStyle w:val="NoSpacing"/>
        <w:rPr>
          <w:szCs w:val="24"/>
        </w:rPr>
      </w:pPr>
      <w:r>
        <w:rPr>
          <w:noProof/>
          <w:szCs w:val="24"/>
          <w:lang w:bidi="ar-SA"/>
        </w:rPr>
        <w:lastRenderedPageBreak/>
        <w:drawing>
          <wp:inline distT="0" distB="0" distL="0" distR="0" wp14:anchorId="51A7FC07" wp14:editId="02A90127">
            <wp:extent cx="5492750" cy="2743200"/>
            <wp:effectExtent l="0" t="0" r="0" b="0"/>
            <wp:docPr id="4199" name="Picture 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92750" cy="2743200"/>
                    </a:xfrm>
                    <a:prstGeom prst="rect">
                      <a:avLst/>
                    </a:prstGeom>
                    <a:noFill/>
                  </pic:spPr>
                </pic:pic>
              </a:graphicData>
            </a:graphic>
          </wp:inline>
        </w:drawing>
      </w:r>
    </w:p>
    <w:p w14:paraId="7C64ED38" w14:textId="0CCB59AF" w:rsidR="00DB22C3" w:rsidRDefault="00DB22C3" w:rsidP="00DB22C3">
      <w:pPr>
        <w:pStyle w:val="Caption"/>
      </w:pPr>
      <w:bookmarkStart w:id="273" w:name="_Ref523911226"/>
      <w:bookmarkStart w:id="274" w:name="_Toc530997412"/>
      <w:r>
        <w:t xml:space="preserve">Figure </w:t>
      </w:r>
      <w:r w:rsidR="00E96206">
        <w:rPr>
          <w:noProof/>
        </w:rPr>
        <w:fldChar w:fldCharType="begin"/>
      </w:r>
      <w:r w:rsidR="00E96206">
        <w:rPr>
          <w:noProof/>
        </w:rPr>
        <w:instrText xml:space="preserve"> SEQ Figure \* ARABIC </w:instrText>
      </w:r>
      <w:r w:rsidR="00E96206">
        <w:rPr>
          <w:noProof/>
        </w:rPr>
        <w:fldChar w:fldCharType="separate"/>
      </w:r>
      <w:r w:rsidR="006D52C2">
        <w:rPr>
          <w:noProof/>
        </w:rPr>
        <w:t>56</w:t>
      </w:r>
      <w:r w:rsidR="00E96206">
        <w:rPr>
          <w:noProof/>
        </w:rPr>
        <w:fldChar w:fldCharType="end"/>
      </w:r>
      <w:bookmarkEnd w:id="273"/>
      <w:r>
        <w:t>. Average cell sizes of as-received and heat treated Rohacell foams</w:t>
      </w:r>
      <w:bookmarkEnd w:id="274"/>
    </w:p>
    <w:p w14:paraId="0950B252" w14:textId="77777777" w:rsidR="00515025" w:rsidRDefault="00515025" w:rsidP="00682F7B"/>
    <w:p w14:paraId="3F503854" w14:textId="552FCBA2" w:rsidR="00DB22C3" w:rsidRDefault="00DB22C3" w:rsidP="00682F7B">
      <w:r w:rsidRPr="00623299">
        <w:t>Each set of samples have three different thickness</w:t>
      </w:r>
      <w:r>
        <w:t>es</w:t>
      </w:r>
      <w:r w:rsidRPr="00623299">
        <w:t xml:space="preserve">. If the samples had no pore, they would </w:t>
      </w:r>
      <w:r w:rsidR="008847B1">
        <w:t xml:space="preserve">have the same absorption parameters and </w:t>
      </w:r>
      <w:r w:rsidRPr="00623299">
        <w:t>absorb the same amount of maximum moisture. However, pores absorbs and retains water. Different porosity results in distinctive maximum moisture content</w:t>
      </w:r>
      <w:r>
        <w:t>. To utilize the Void Filling Hindered Diffusion Model</w:t>
      </w:r>
      <w:r w:rsidR="00786B8F">
        <w:t xml:space="preserve">, </w:t>
      </w:r>
      <w:r>
        <w:t>porosity</w:t>
      </w:r>
      <w:r w:rsidR="00786B8F">
        <w:t xml:space="preserve"> </w:t>
      </w:r>
      <w:r>
        <w:t>(</w:t>
      </w:r>
      <m:oMath>
        <m:r>
          <w:rPr>
            <w:rFonts w:ascii="Cambria Math" w:hAnsi="Cambria Math"/>
          </w:rPr>
          <m:t>p</m:t>
        </m:r>
      </m:oMath>
      <w:r>
        <w:t xml:space="preserve">) of the foams must be identified to </w:t>
      </w:r>
      <w:r w:rsidR="00786B8F">
        <w:t>determine</w:t>
      </w:r>
      <w:r>
        <w:t xml:space="preserve"> the ratio of pores to solid</w:t>
      </w:r>
      <w:proofErr w:type="gramStart"/>
      <w:r>
        <w:t xml:space="preserve">, </w:t>
      </w:r>
      <w:proofErr w:type="gramEnd"/>
      <m:oMath>
        <m:r>
          <w:rPr>
            <w:rFonts w:ascii="Cambria Math" w:hAnsi="Cambria Math"/>
          </w:rPr>
          <m:t>ζ=</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v</m:t>
                </m:r>
              </m:sub>
            </m:sSub>
          </m:num>
          <m:den>
            <m:sSub>
              <m:sSubPr>
                <m:ctrlPr>
                  <w:rPr>
                    <w:rFonts w:ascii="Cambria Math" w:hAnsi="Cambria Math"/>
                    <w:i/>
                  </w:rPr>
                </m:ctrlPr>
              </m:sSubPr>
              <m:e>
                <m:r>
                  <w:rPr>
                    <w:rFonts w:ascii="Cambria Math" w:hAnsi="Cambria Math"/>
                  </w:rPr>
                  <m:t>v</m:t>
                </m:r>
              </m:e>
              <m:sub>
                <m:r>
                  <w:rPr>
                    <w:rFonts w:ascii="Cambria Math" w:hAnsi="Cambria Math"/>
                  </w:rPr>
                  <m:t>m</m:t>
                </m:r>
              </m:sub>
            </m:sSub>
          </m:den>
        </m:f>
      </m:oMath>
      <w:r>
        <w:t xml:space="preserve">. Ratio of pores to solid, </w:t>
      </w:r>
      <m:oMath>
        <m:r>
          <w:rPr>
            <w:rFonts w:ascii="Cambria Math" w:hAnsi="Cambria Math"/>
          </w:rPr>
          <m:t>ζ</m:t>
        </m:r>
      </m:oMath>
      <w:r>
        <w:t xml:space="preserve"> can be expressed in terms of porosity </w:t>
      </w:r>
      <w:proofErr w:type="gramStart"/>
      <w:r>
        <w:t xml:space="preserve">as </w:t>
      </w:r>
      <w:proofErr w:type="gramEnd"/>
      <m:oMath>
        <m:r>
          <w:rPr>
            <w:rFonts w:ascii="Cambria Math" w:hAnsi="Cambria Math"/>
          </w:rPr>
          <m:t>ζ=</m:t>
        </m:r>
        <m:f>
          <m:fPr>
            <m:ctrlPr>
              <w:rPr>
                <w:rFonts w:ascii="Cambria Math" w:hAnsi="Cambria Math"/>
                <w:i/>
              </w:rPr>
            </m:ctrlPr>
          </m:fPr>
          <m:num>
            <m:r>
              <w:rPr>
                <w:rFonts w:ascii="Cambria Math" w:hAnsi="Cambria Math"/>
              </w:rPr>
              <m:t>p</m:t>
            </m:r>
          </m:num>
          <m:den>
            <m:r>
              <w:rPr>
                <w:rFonts w:ascii="Cambria Math" w:hAnsi="Cambria Math"/>
              </w:rPr>
              <m:t>1-p</m:t>
            </m:r>
          </m:den>
        </m:f>
      </m:oMath>
      <w:r>
        <w:t xml:space="preserve">. </w:t>
      </w:r>
    </w:p>
    <w:p w14:paraId="17315804" w14:textId="7D6D369C" w:rsidR="00DB22C3" w:rsidRPr="00623299" w:rsidRDefault="00DB22C3" w:rsidP="00682F7B">
      <w:r>
        <w:t>Porosities of each foam are determined by two different methods. First, porosities are calculated by using the densities of the foams and the density of the polymer matrix</w:t>
      </w:r>
      <w:r w:rsidR="004B2559">
        <w:t xml:space="preserve"> (</w:t>
      </w:r>
      <w:proofErr w:type="spellStart"/>
      <w:r w:rsidR="004B2559">
        <w:t>Polymethacrylimide</w:t>
      </w:r>
      <w:proofErr w:type="spellEnd"/>
      <w:r w:rsidR="004B2559">
        <w:t>)</w:t>
      </w:r>
      <w:r>
        <w:t xml:space="preserve"> using Eq. (66).</w:t>
      </w:r>
      <w:r w:rsidR="004B2559">
        <w:t xml:space="preserve"> </w:t>
      </w:r>
    </w:p>
    <w:tbl>
      <w:tblPr>
        <w:tblW w:w="0" w:type="auto"/>
        <w:tblLayout w:type="fixed"/>
        <w:tblLook w:val="04A0" w:firstRow="1" w:lastRow="0" w:firstColumn="1" w:lastColumn="0" w:noHBand="0" w:noVBand="1"/>
      </w:tblPr>
      <w:tblGrid>
        <w:gridCol w:w="7830"/>
        <w:gridCol w:w="810"/>
      </w:tblGrid>
      <w:tr w:rsidR="004B2559" w:rsidRPr="001E6BA7" w14:paraId="3383FAEC" w14:textId="77777777" w:rsidTr="00837C7A">
        <w:tc>
          <w:tcPr>
            <w:tcW w:w="7830" w:type="dxa"/>
            <w:vAlign w:val="center"/>
          </w:tcPr>
          <w:p w14:paraId="166AD4BD" w14:textId="12A0A311" w:rsidR="004B2559" w:rsidRPr="003E2E0B" w:rsidRDefault="004B2559" w:rsidP="00682F7B">
            <w:pPr>
              <w:pStyle w:val="Equations"/>
            </w:pPr>
            <m:oMathPara>
              <m:oMath>
                <m:r>
                  <w:rPr>
                    <w:rFonts w:ascii="Cambria Math" w:hAnsi="Cambria Math"/>
                  </w:rPr>
                  <m:t>p</m:t>
                </m:r>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ρ</m:t>
                        </m:r>
                      </m:e>
                      <m:sub>
                        <m:r>
                          <w:rPr>
                            <w:rFonts w:ascii="Cambria Math" w:hAnsi="Cambria Math"/>
                          </w:rPr>
                          <m:t>foam</m:t>
                        </m:r>
                      </m:sub>
                    </m:sSub>
                  </m:num>
                  <m:den>
                    <m:sSub>
                      <m:sSubPr>
                        <m:ctrlPr>
                          <w:rPr>
                            <w:rFonts w:ascii="Cambria Math" w:hAnsi="Cambria Math"/>
                          </w:rPr>
                        </m:ctrlPr>
                      </m:sSubPr>
                      <m:e>
                        <m:r>
                          <w:rPr>
                            <w:rFonts w:ascii="Cambria Math" w:hAnsi="Cambria Math"/>
                          </w:rPr>
                          <m:t>ρ</m:t>
                        </m:r>
                      </m:e>
                      <m:sub>
                        <m:r>
                          <w:rPr>
                            <w:rFonts w:ascii="Cambria Math" w:hAnsi="Cambria Math"/>
                          </w:rPr>
                          <m:t>PMI</m:t>
                        </m:r>
                      </m:sub>
                    </m:sSub>
                  </m:den>
                </m:f>
              </m:oMath>
            </m:oMathPara>
          </w:p>
        </w:tc>
        <w:tc>
          <w:tcPr>
            <w:tcW w:w="810" w:type="dxa"/>
            <w:vAlign w:val="center"/>
          </w:tcPr>
          <w:p w14:paraId="1B700531" w14:textId="36B8E614" w:rsidR="004B2559" w:rsidRPr="001E6BA7" w:rsidRDefault="004B2559" w:rsidP="00682F7B">
            <w:pPr>
              <w:pStyle w:val="Equations"/>
              <w:rPr>
                <w:rFonts w:eastAsiaTheme="majorEastAsia"/>
              </w:rPr>
            </w:pPr>
            <w:r w:rsidRPr="001E6BA7">
              <w:rPr>
                <w:rFonts w:eastAsiaTheme="majorEastAsia"/>
              </w:rPr>
              <w:t>(</w:t>
            </w:r>
            <w:r>
              <w:rPr>
                <w:rFonts w:eastAsiaTheme="majorEastAsia"/>
              </w:rPr>
              <w:t>66</w:t>
            </w:r>
            <w:r w:rsidRPr="001E6BA7">
              <w:rPr>
                <w:rFonts w:eastAsiaTheme="majorEastAsia"/>
              </w:rPr>
              <w:t>)</w:t>
            </w:r>
          </w:p>
        </w:tc>
      </w:tr>
    </w:tbl>
    <w:p w14:paraId="1ED8FDA3" w14:textId="51FBE2FD" w:rsidR="00A10F9D" w:rsidRPr="00682F7B" w:rsidRDefault="004B2559" w:rsidP="00682F7B">
      <w:r>
        <w:t>To find the density of PMI (</w:t>
      </w:r>
      <w:proofErr w:type="spellStart"/>
      <w:r>
        <w:t>Polymethacrylimide</w:t>
      </w:r>
      <w:proofErr w:type="spellEnd"/>
      <w:r>
        <w:t xml:space="preserve">), a small sample of untreated foam is </w:t>
      </w:r>
      <w:r w:rsidR="00786B8F">
        <w:t xml:space="preserve">ground to obtain PMI </w:t>
      </w:r>
      <w:r>
        <w:t>powder. The density of the PMI powder is measured using pycnometer as</w:t>
      </w:r>
      <w:r w:rsidR="00A8679F">
        <w:rPr>
          <w:rFonts w:cs="Times New Roman"/>
          <w:szCs w:val="24"/>
        </w:rPr>
        <w:t xml:space="preserve"> </w:t>
      </w:r>
      <w:r w:rsidR="00515025">
        <w:rPr>
          <w:rFonts w:cs="Times New Roman"/>
          <w:szCs w:val="24"/>
        </w:rPr>
        <w:t>68</w:t>
      </w:r>
      <w:r>
        <w:rPr>
          <w:rFonts w:cs="Times New Roman"/>
          <w:szCs w:val="24"/>
        </w:rPr>
        <w:t>0 kg/m</w:t>
      </w:r>
      <w:r>
        <w:rPr>
          <w:rFonts w:cs="Times New Roman"/>
          <w:szCs w:val="24"/>
          <w:vertAlign w:val="superscript"/>
        </w:rPr>
        <w:t>3</w:t>
      </w:r>
      <w:r>
        <w:rPr>
          <w:rFonts w:cs="Times New Roman"/>
          <w:szCs w:val="24"/>
        </w:rPr>
        <w:t>.</w:t>
      </w:r>
      <w:r w:rsidR="0035488A">
        <w:rPr>
          <w:rFonts w:cs="Times New Roman"/>
          <w:szCs w:val="24"/>
        </w:rPr>
        <w:t xml:space="preserve"> Calculated porosities of the foams are charted in </w:t>
      </w:r>
      <w:r w:rsidR="0035488A">
        <w:rPr>
          <w:rFonts w:cs="Times New Roman"/>
          <w:szCs w:val="24"/>
        </w:rPr>
        <w:fldChar w:fldCharType="begin"/>
      </w:r>
      <w:r w:rsidR="0035488A">
        <w:rPr>
          <w:rFonts w:cs="Times New Roman"/>
          <w:szCs w:val="24"/>
        </w:rPr>
        <w:instrText xml:space="preserve"> REF _Ref523913454 \h </w:instrText>
      </w:r>
      <w:r w:rsidR="00682F7B">
        <w:rPr>
          <w:rFonts w:cs="Times New Roman"/>
          <w:szCs w:val="24"/>
        </w:rPr>
        <w:instrText xml:space="preserve"> \* MERGEFORMAT </w:instrText>
      </w:r>
      <w:r w:rsidR="0035488A">
        <w:rPr>
          <w:rFonts w:cs="Times New Roman"/>
          <w:szCs w:val="24"/>
        </w:rPr>
      </w:r>
      <w:r w:rsidR="0035488A">
        <w:rPr>
          <w:rFonts w:cs="Times New Roman"/>
          <w:szCs w:val="24"/>
        </w:rPr>
        <w:fldChar w:fldCharType="separate"/>
      </w:r>
      <w:r w:rsidR="006D52C2">
        <w:t xml:space="preserve">Figure </w:t>
      </w:r>
      <w:r w:rsidR="006D52C2">
        <w:rPr>
          <w:noProof/>
        </w:rPr>
        <w:t>57</w:t>
      </w:r>
      <w:r w:rsidR="0035488A">
        <w:rPr>
          <w:rFonts w:cs="Times New Roman"/>
          <w:szCs w:val="24"/>
        </w:rPr>
        <w:fldChar w:fldCharType="end"/>
      </w:r>
      <w:r w:rsidR="0035488A">
        <w:rPr>
          <w:rFonts w:cs="Times New Roman"/>
          <w:szCs w:val="24"/>
        </w:rPr>
        <w:t xml:space="preserve">. </w:t>
      </w:r>
      <w:r w:rsidR="0035488A">
        <w:rPr>
          <w:rFonts w:cs="Times New Roman"/>
          <w:szCs w:val="24"/>
        </w:rPr>
        <w:lastRenderedPageBreak/>
        <w:t xml:space="preserve">Second, the porosities are determined by using the SEM images. Porosities by image </w:t>
      </w:r>
      <w:r w:rsidR="0035488A" w:rsidRPr="00682F7B">
        <w:t xml:space="preserve">process are demonstrated in </w:t>
      </w:r>
      <w:r w:rsidR="0035488A" w:rsidRPr="00682F7B">
        <w:fldChar w:fldCharType="begin"/>
      </w:r>
      <w:r w:rsidR="0035488A" w:rsidRPr="00682F7B">
        <w:instrText xml:space="preserve"> REF _Ref523913700 \h </w:instrText>
      </w:r>
      <w:r w:rsidR="00682F7B" w:rsidRPr="00682F7B">
        <w:instrText xml:space="preserve"> \* MERGEFORMAT </w:instrText>
      </w:r>
      <w:r w:rsidR="0035488A" w:rsidRPr="00682F7B">
        <w:fldChar w:fldCharType="separate"/>
      </w:r>
      <w:r w:rsidR="006D52C2">
        <w:t>Figure 58</w:t>
      </w:r>
      <w:r w:rsidR="0035488A" w:rsidRPr="00682F7B">
        <w:fldChar w:fldCharType="end"/>
      </w:r>
      <w:r w:rsidR="0035488A" w:rsidRPr="00682F7B">
        <w:t>.</w:t>
      </w:r>
      <w:r w:rsidR="00837C7A" w:rsidRPr="00682F7B">
        <w:t xml:space="preserve"> </w:t>
      </w:r>
      <w:r w:rsidR="00A10F9D" w:rsidRPr="00682F7B">
        <w:t xml:space="preserve">Both calculated porosities and porosities gathered by image processing are in </w:t>
      </w:r>
      <w:r w:rsidR="00786B8F" w:rsidRPr="00682F7B">
        <w:t>good agreement</w:t>
      </w:r>
      <w:r w:rsidR="00A10F9D" w:rsidRPr="00682F7B">
        <w:t xml:space="preserve">. </w:t>
      </w:r>
    </w:p>
    <w:p w14:paraId="7565C47B" w14:textId="77777777" w:rsidR="00EB58FF" w:rsidRDefault="00EB58FF" w:rsidP="00B12D2A">
      <w:pPr>
        <w:pStyle w:val="NoSpacing"/>
      </w:pPr>
    </w:p>
    <w:p w14:paraId="3B7371D2" w14:textId="3730B458" w:rsidR="00B12D2A" w:rsidRDefault="006C198A" w:rsidP="00B12D2A">
      <w:pPr>
        <w:pStyle w:val="NoSpacing"/>
        <w:rPr>
          <w:szCs w:val="24"/>
        </w:rPr>
      </w:pPr>
      <w:r>
        <w:rPr>
          <w:noProof/>
          <w:szCs w:val="24"/>
          <w:lang w:bidi="ar-SA"/>
        </w:rPr>
        <w:drawing>
          <wp:inline distT="0" distB="0" distL="0" distR="0" wp14:anchorId="0E086586" wp14:editId="0562B7C5">
            <wp:extent cx="5492750" cy="2749550"/>
            <wp:effectExtent l="0" t="0" r="0" b="0"/>
            <wp:docPr id="4201" name="Picture 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92750" cy="2749550"/>
                    </a:xfrm>
                    <a:prstGeom prst="rect">
                      <a:avLst/>
                    </a:prstGeom>
                    <a:noFill/>
                  </pic:spPr>
                </pic:pic>
              </a:graphicData>
            </a:graphic>
          </wp:inline>
        </w:drawing>
      </w:r>
    </w:p>
    <w:p w14:paraId="38E8664F" w14:textId="2C06FC12" w:rsidR="00EB58FF" w:rsidRDefault="00EB58FF" w:rsidP="00EB58FF">
      <w:pPr>
        <w:pStyle w:val="Caption"/>
      </w:pPr>
      <w:bookmarkStart w:id="275" w:name="_Ref523913454"/>
      <w:bookmarkStart w:id="276" w:name="_Toc530997413"/>
      <w:r>
        <w:t xml:space="preserve">Figure </w:t>
      </w:r>
      <w:r w:rsidR="00012EB7">
        <w:rPr>
          <w:noProof/>
        </w:rPr>
        <w:fldChar w:fldCharType="begin"/>
      </w:r>
      <w:r w:rsidR="00012EB7">
        <w:rPr>
          <w:noProof/>
        </w:rPr>
        <w:instrText xml:space="preserve"> SEQ Figure \* ARABIC </w:instrText>
      </w:r>
      <w:r w:rsidR="00012EB7">
        <w:rPr>
          <w:noProof/>
        </w:rPr>
        <w:fldChar w:fldCharType="separate"/>
      </w:r>
      <w:r w:rsidR="006D52C2">
        <w:rPr>
          <w:noProof/>
        </w:rPr>
        <w:t>57</w:t>
      </w:r>
      <w:r w:rsidR="00012EB7">
        <w:rPr>
          <w:noProof/>
        </w:rPr>
        <w:fldChar w:fldCharType="end"/>
      </w:r>
      <w:bookmarkEnd w:id="275"/>
      <w:r>
        <w:t>.</w:t>
      </w:r>
      <w:r w:rsidR="0035488A">
        <w:t xml:space="preserve"> %</w:t>
      </w:r>
      <w:r>
        <w:t>Porosity of untreated and heat treated Rohacell foams</w:t>
      </w:r>
      <w:r w:rsidR="00A10F9D">
        <w:t xml:space="preserve"> (Calculated</w:t>
      </w:r>
      <w:r w:rsidR="00786B8F">
        <w:t xml:space="preserve"> from density measurements</w:t>
      </w:r>
      <w:r w:rsidR="00A10F9D">
        <w:t>)</w:t>
      </w:r>
      <w:r>
        <w:t>.</w:t>
      </w:r>
      <w:bookmarkEnd w:id="276"/>
    </w:p>
    <w:p w14:paraId="762F8041" w14:textId="77777777" w:rsidR="00225D92" w:rsidRPr="00225D92" w:rsidRDefault="00225D92" w:rsidP="00225D92"/>
    <w:p w14:paraId="582866F4" w14:textId="2733AAF3" w:rsidR="00C75E53" w:rsidRDefault="006C198A" w:rsidP="0035488A">
      <w:pPr>
        <w:pStyle w:val="NoSpacing"/>
      </w:pPr>
      <w:r>
        <w:rPr>
          <w:noProof/>
          <w:lang w:bidi="ar-SA"/>
        </w:rPr>
        <w:drawing>
          <wp:inline distT="0" distB="0" distL="0" distR="0" wp14:anchorId="611B834F" wp14:editId="4924E360">
            <wp:extent cx="5492750" cy="2749550"/>
            <wp:effectExtent l="0" t="0" r="0" b="0"/>
            <wp:docPr id="4203" name="Picture 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92750" cy="2749550"/>
                    </a:xfrm>
                    <a:prstGeom prst="rect">
                      <a:avLst/>
                    </a:prstGeom>
                    <a:noFill/>
                  </pic:spPr>
                </pic:pic>
              </a:graphicData>
            </a:graphic>
          </wp:inline>
        </w:drawing>
      </w:r>
    </w:p>
    <w:p w14:paraId="16BE6480" w14:textId="0CF077A6" w:rsidR="00123FF9" w:rsidRDefault="0035488A" w:rsidP="0035488A">
      <w:pPr>
        <w:pStyle w:val="Caption"/>
      </w:pPr>
      <w:bookmarkStart w:id="277" w:name="_Ref523913700"/>
      <w:bookmarkStart w:id="278" w:name="_Toc530997414"/>
      <w:r>
        <w:t xml:space="preserve">Figure </w:t>
      </w:r>
      <w:r w:rsidR="00E96206">
        <w:rPr>
          <w:noProof/>
        </w:rPr>
        <w:fldChar w:fldCharType="begin"/>
      </w:r>
      <w:r w:rsidR="00E96206">
        <w:rPr>
          <w:noProof/>
        </w:rPr>
        <w:instrText xml:space="preserve"> SEQ Figure \* ARABIC </w:instrText>
      </w:r>
      <w:r w:rsidR="00E96206">
        <w:rPr>
          <w:noProof/>
        </w:rPr>
        <w:fldChar w:fldCharType="separate"/>
      </w:r>
      <w:r w:rsidR="006D52C2">
        <w:rPr>
          <w:noProof/>
        </w:rPr>
        <w:t>58</w:t>
      </w:r>
      <w:r w:rsidR="00E96206">
        <w:rPr>
          <w:noProof/>
        </w:rPr>
        <w:fldChar w:fldCharType="end"/>
      </w:r>
      <w:bookmarkEnd w:id="277"/>
      <w:r>
        <w:t>. %Porosity of untreated and heat treated Rohacell foams</w:t>
      </w:r>
      <w:r w:rsidR="00A10F9D">
        <w:t xml:space="preserve"> (Image Analysis)</w:t>
      </w:r>
      <w:r>
        <w:t>.</w:t>
      </w:r>
      <w:bookmarkEnd w:id="278"/>
    </w:p>
    <w:p w14:paraId="5FC61BDB" w14:textId="77777777" w:rsidR="00225D92" w:rsidRPr="00225D92" w:rsidRDefault="00225D92" w:rsidP="00225D92"/>
    <w:p w14:paraId="276569A9" w14:textId="585A8C6C" w:rsidR="00837C7A" w:rsidRDefault="00837C7A" w:rsidP="00BB2C1B">
      <w:pPr>
        <w:pStyle w:val="Heading2"/>
      </w:pPr>
      <w:bookmarkStart w:id="279" w:name="_Toc531943776"/>
      <w:r>
        <w:lastRenderedPageBreak/>
        <w:t>4.3. Moisture Absorption into Foams</w:t>
      </w:r>
      <w:bookmarkEnd w:id="279"/>
    </w:p>
    <w:p w14:paraId="31F55479" w14:textId="5D1D8014" w:rsidR="008847B1" w:rsidRDefault="00837C7A" w:rsidP="00682F7B">
      <w:r>
        <w:t>Immersed samples are kept in water bath for approximately two years. During that time, their mass change is periodically measured in order to recover absorption parameters by using the Eq. (65). The mass gain data of as-received foams (R3, R6, R9), foams heat treated under 30 psi (R3-30, R6-30, R9-30)</w:t>
      </w:r>
      <w:r w:rsidR="008847B1">
        <w:t>,</w:t>
      </w:r>
      <w:r>
        <w:t xml:space="preserve"> and foams heat treated under 50 psi (R3-50, R6-50, R9-50) are illustrated in</w:t>
      </w:r>
      <w:r w:rsidR="00A230BA">
        <w:t xml:space="preserve"> </w:t>
      </w:r>
      <w:r w:rsidR="00A230BA">
        <w:fldChar w:fldCharType="begin"/>
      </w:r>
      <w:r w:rsidR="00A230BA">
        <w:instrText xml:space="preserve"> REF _Ref530999090 \h </w:instrText>
      </w:r>
      <w:r w:rsidR="00A230BA">
        <w:fldChar w:fldCharType="separate"/>
      </w:r>
      <w:r w:rsidR="006D52C2">
        <w:t xml:space="preserve">Figure </w:t>
      </w:r>
      <w:r w:rsidR="006D52C2">
        <w:rPr>
          <w:noProof/>
        </w:rPr>
        <w:t>59</w:t>
      </w:r>
      <w:r w:rsidR="00A230BA">
        <w:fldChar w:fldCharType="end"/>
      </w:r>
      <w:r w:rsidR="00A230BA">
        <w:t>.</w:t>
      </w:r>
      <w:r w:rsidR="001C4E50">
        <w:t xml:space="preserve"> First, </w:t>
      </w:r>
      <w:r w:rsidR="00216C41">
        <w:t xml:space="preserve">difference in </w:t>
      </w:r>
      <w:r w:rsidR="001C4E50">
        <w:t>thickness has caused distinct</w:t>
      </w:r>
      <w:r w:rsidR="00216C41">
        <w:t xml:space="preserve"> variations in</w:t>
      </w:r>
      <w:r w:rsidR="001C4E50">
        <w:t xml:space="preserve"> absorption behavior in</w:t>
      </w:r>
      <w:r w:rsidR="002F6182">
        <w:t xml:space="preserve"> foams with</w:t>
      </w:r>
      <w:r w:rsidR="008847B1">
        <w:t xml:space="preserve"> the</w:t>
      </w:r>
      <w:r w:rsidR="002F6182">
        <w:t xml:space="preserve"> same microstructure. This </w:t>
      </w:r>
      <w:r w:rsidR="008847B1">
        <w:t>is</w:t>
      </w:r>
      <w:r w:rsidR="002F6182">
        <w:t xml:space="preserve"> attributed to filling of voids. </w:t>
      </w:r>
      <w:r w:rsidR="008847B1">
        <w:t>Lower porosity in thinner samples leads to decrease in amount of absorbed moisture due to fewer amount of water-filled-voids</w:t>
      </w:r>
      <w:r w:rsidR="002F6182">
        <w:t xml:space="preserve">. </w:t>
      </w:r>
      <w:r w:rsidR="00216C41">
        <w:t xml:space="preserve">Proper application of the </w:t>
      </w:r>
      <w:r w:rsidR="002F6182">
        <w:t>VFHDM should</w:t>
      </w:r>
      <w:r w:rsidR="008847B1">
        <w:t xml:space="preserve"> be able to </w:t>
      </w:r>
      <w:r w:rsidR="00216C41">
        <w:t>explain and predict</w:t>
      </w:r>
      <w:r w:rsidR="008847B1">
        <w:t xml:space="preserve"> this p</w:t>
      </w:r>
      <w:r w:rsidR="00216C41">
        <w:t>henomenon</w:t>
      </w:r>
      <w:r w:rsidR="008847B1">
        <w:t>.</w:t>
      </w:r>
    </w:p>
    <w:p w14:paraId="5FBA0143" w14:textId="5668E352" w:rsidR="00837C7A" w:rsidRDefault="002F6182" w:rsidP="00682F7B">
      <w:r>
        <w:t>Change in absorption behavior due to heat treatment may also be observed in</w:t>
      </w:r>
      <w:r w:rsidR="00A230BA">
        <w:t xml:space="preserve"> </w:t>
      </w:r>
      <w:r w:rsidR="00A230BA">
        <w:fldChar w:fldCharType="begin"/>
      </w:r>
      <w:r w:rsidR="00A230BA">
        <w:instrText xml:space="preserve"> REF _Ref530999090 \h </w:instrText>
      </w:r>
      <w:r w:rsidR="00A230BA">
        <w:fldChar w:fldCharType="separate"/>
      </w:r>
      <w:r w:rsidR="006D52C2">
        <w:t xml:space="preserve">Figure </w:t>
      </w:r>
      <w:r w:rsidR="006D52C2">
        <w:rPr>
          <w:noProof/>
        </w:rPr>
        <w:t>59</w:t>
      </w:r>
      <w:r w:rsidR="00A230BA">
        <w:fldChar w:fldCharType="end"/>
      </w:r>
      <w:r>
        <w:t>. Modifications in cell size and geometry by temperature and pressure resulted in distinct absorption kinetics. Moreover, drastic and non-uniform changes in microstructure of</w:t>
      </w:r>
      <w:r w:rsidR="008847B1">
        <w:t xml:space="preserve"> foams due to heat treatment under </w:t>
      </w:r>
      <w:r>
        <w:t xml:space="preserve">50 psi </w:t>
      </w:r>
      <w:r w:rsidR="008847B1">
        <w:t>produced</w:t>
      </w:r>
      <w:r>
        <w:t xml:space="preserve"> </w:t>
      </w:r>
      <w:r w:rsidR="008847B1">
        <w:t>large</w:t>
      </w:r>
      <w:r>
        <w:t xml:space="preserve"> </w:t>
      </w:r>
      <w:r w:rsidR="00216C41">
        <w:t xml:space="preserve">variations within the same sample group evidenced by the higher </w:t>
      </w:r>
      <w:r>
        <w:t>confidence interval</w:t>
      </w:r>
      <w:r w:rsidR="008847B1">
        <w:t>s</w:t>
      </w:r>
      <w:r>
        <w:t xml:space="preserve"> in moisture absorption </w:t>
      </w:r>
      <w:r w:rsidR="008847B1">
        <w:t>as</w:t>
      </w:r>
      <w:r>
        <w:t xml:space="preserve"> in density and porosity. </w:t>
      </w:r>
      <w:r w:rsidR="008847B1">
        <w:t>To f</w:t>
      </w:r>
      <w:r>
        <w:t>urther discuss the absorption behavior of the foams, absorption parameters of each set of samples are needed to be recovered.</w:t>
      </w:r>
    </w:p>
    <w:p w14:paraId="5EC9DCAE" w14:textId="5FECF9D1" w:rsidR="00634E97" w:rsidRDefault="00634E97" w:rsidP="00682F7B">
      <w:pPr>
        <w:rPr>
          <w:rFonts w:cs="Times New Roman"/>
          <w:szCs w:val="24"/>
        </w:rPr>
      </w:pPr>
      <w:r>
        <w:t>Knowing the porosity of each set of sample and using the mass gain data from the immersed samples, v</w:t>
      </w:r>
      <w:r>
        <w:rPr>
          <w:rFonts w:cs="Times New Roman"/>
          <w:szCs w:val="24"/>
        </w:rPr>
        <w:t xml:space="preserve">oid filling hindered diffusion model (VFHDM) is utilized to recover model parameters </w:t>
      </w:r>
      <w:r w:rsidR="008847B1">
        <w:rPr>
          <w:rFonts w:cs="Times New Roman"/>
          <w:szCs w:val="24"/>
        </w:rPr>
        <w:t>of</w:t>
      </w:r>
      <w:r>
        <w:rPr>
          <w:rFonts w:cs="Times New Roman"/>
          <w:szCs w:val="24"/>
        </w:rPr>
        <w:t xml:space="preserve"> Rohacell closed-cell foam</w:t>
      </w:r>
      <w:r w:rsidR="008847B1">
        <w:rPr>
          <w:rFonts w:cs="Times New Roman"/>
          <w:szCs w:val="24"/>
        </w:rPr>
        <w:t>s</w:t>
      </w:r>
      <w:r>
        <w:rPr>
          <w:rFonts w:cs="Times New Roman"/>
          <w:szCs w:val="24"/>
        </w:rPr>
        <w:t xml:space="preserve">. The resulting VFHDM absorption parameters are given in </w:t>
      </w:r>
      <w:r>
        <w:rPr>
          <w:rFonts w:cs="Times New Roman"/>
          <w:szCs w:val="24"/>
        </w:rPr>
        <w:fldChar w:fldCharType="begin"/>
      </w:r>
      <w:r>
        <w:rPr>
          <w:rFonts w:cs="Times New Roman"/>
          <w:szCs w:val="24"/>
        </w:rPr>
        <w:instrText xml:space="preserve"> REF _Ref523931851 \h </w:instrText>
      </w:r>
      <w:r w:rsidR="00682F7B">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Table </w:t>
      </w:r>
      <w:r w:rsidR="006D52C2">
        <w:rPr>
          <w:noProof/>
        </w:rPr>
        <w:t>11</w:t>
      </w:r>
      <w:r>
        <w:rPr>
          <w:rFonts w:cs="Times New Roman"/>
          <w:szCs w:val="24"/>
        </w:rPr>
        <w:fldChar w:fldCharType="end"/>
      </w:r>
      <w:r>
        <w:rPr>
          <w:rFonts w:cs="Times New Roman"/>
          <w:szCs w:val="24"/>
        </w:rPr>
        <w:t>.</w:t>
      </w:r>
    </w:p>
    <w:p w14:paraId="108F59E8" w14:textId="77777777" w:rsidR="00226BD7" w:rsidRDefault="00226BD7" w:rsidP="00682F7B">
      <w:pPr>
        <w:rPr>
          <w:rFonts w:cs="Times New Roman"/>
          <w:szCs w:val="24"/>
        </w:rPr>
      </w:pPr>
    </w:p>
    <w:p w14:paraId="7D0E15B3" w14:textId="77777777" w:rsidR="00226BD7" w:rsidRDefault="00226BD7" w:rsidP="00682F7B">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8185"/>
      </w:tblGrid>
      <w:tr w:rsidR="002B4D30" w14:paraId="6D1025EC" w14:textId="77777777" w:rsidTr="002B4D30">
        <w:tc>
          <w:tcPr>
            <w:tcW w:w="445" w:type="dxa"/>
          </w:tcPr>
          <w:p w14:paraId="29CEA5B7" w14:textId="77777777" w:rsidR="002B4D30" w:rsidRPr="00C46E11" w:rsidRDefault="002B4D30" w:rsidP="008C30AB">
            <w:pPr>
              <w:pStyle w:val="NoSpacing"/>
              <w:rPr>
                <w:i/>
              </w:rPr>
            </w:pPr>
            <w:bookmarkStart w:id="280" w:name="_Ref523993632"/>
            <w:r w:rsidRPr="00C46E11">
              <w:rPr>
                <w:i/>
              </w:rPr>
              <w:lastRenderedPageBreak/>
              <w:t>a)</w:t>
            </w:r>
          </w:p>
        </w:tc>
        <w:tc>
          <w:tcPr>
            <w:tcW w:w="8185" w:type="dxa"/>
          </w:tcPr>
          <w:p w14:paraId="77B81BD1" w14:textId="2B1AF331" w:rsidR="002B4D30" w:rsidRDefault="002B4D30" w:rsidP="008C30AB">
            <w:pPr>
              <w:pStyle w:val="NoSpacing"/>
            </w:pPr>
            <w:r>
              <w:rPr>
                <w:noProof/>
                <w:lang w:bidi="ar-SA"/>
              </w:rPr>
              <w:drawing>
                <wp:inline distT="0" distB="0" distL="0" distR="0" wp14:anchorId="43F07B43" wp14:editId="3DFAD6FF">
                  <wp:extent cx="5029200" cy="2509865"/>
                  <wp:effectExtent l="0" t="0" r="0" b="5080"/>
                  <wp:docPr id="213" name="Picture 213" descr="C:\Users\Administrator\Desktop\proje\PhD Dissertation\Foam\absorption\Neat dat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C:\Users\Administrator\Desktop\proje\PhD Dissertation\Foam\absorption\Neat dataL.ti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29200" cy="2509865"/>
                          </a:xfrm>
                          <a:prstGeom prst="rect">
                            <a:avLst/>
                          </a:prstGeom>
                          <a:noFill/>
                          <a:ln>
                            <a:noFill/>
                          </a:ln>
                        </pic:spPr>
                      </pic:pic>
                    </a:graphicData>
                  </a:graphic>
                </wp:inline>
              </w:drawing>
            </w:r>
          </w:p>
        </w:tc>
      </w:tr>
      <w:tr w:rsidR="002B4D30" w14:paraId="2CEFFFFC" w14:textId="77777777" w:rsidTr="002B4D30">
        <w:tc>
          <w:tcPr>
            <w:tcW w:w="445" w:type="dxa"/>
          </w:tcPr>
          <w:p w14:paraId="1F8BB876" w14:textId="77777777" w:rsidR="002B4D30" w:rsidRPr="00C46E11" w:rsidRDefault="002B4D30" w:rsidP="008C30AB">
            <w:pPr>
              <w:pStyle w:val="NoSpacing"/>
              <w:rPr>
                <w:i/>
              </w:rPr>
            </w:pPr>
            <w:r w:rsidRPr="00C46E11">
              <w:rPr>
                <w:i/>
              </w:rPr>
              <w:t>b)</w:t>
            </w:r>
          </w:p>
        </w:tc>
        <w:tc>
          <w:tcPr>
            <w:tcW w:w="8185" w:type="dxa"/>
          </w:tcPr>
          <w:p w14:paraId="4E3045BB" w14:textId="21309298" w:rsidR="002B4D30" w:rsidRDefault="002B4D30" w:rsidP="008C30AB">
            <w:pPr>
              <w:pStyle w:val="NoSpacing"/>
            </w:pPr>
            <w:r>
              <w:rPr>
                <w:noProof/>
                <w:lang w:bidi="ar-SA"/>
              </w:rPr>
              <w:drawing>
                <wp:inline distT="0" distB="0" distL="0" distR="0" wp14:anchorId="6507460F" wp14:editId="4A47A85F">
                  <wp:extent cx="5029200" cy="2509865"/>
                  <wp:effectExtent l="0" t="0" r="0" b="5080"/>
                  <wp:docPr id="214" name="Picture 214" descr="C:\Users\Administrator\Desktop\proje\PhD Dissertation\Foam\absorption\30 dat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C:\Users\Administrator\Desktop\proje\PhD Dissertation\Foam\absorption\30 dataL.ti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29200" cy="2509865"/>
                          </a:xfrm>
                          <a:prstGeom prst="rect">
                            <a:avLst/>
                          </a:prstGeom>
                          <a:noFill/>
                          <a:ln>
                            <a:noFill/>
                          </a:ln>
                        </pic:spPr>
                      </pic:pic>
                    </a:graphicData>
                  </a:graphic>
                </wp:inline>
              </w:drawing>
            </w:r>
          </w:p>
        </w:tc>
      </w:tr>
      <w:tr w:rsidR="002B4D30" w14:paraId="03AD38A2" w14:textId="77777777" w:rsidTr="002B4D30">
        <w:tc>
          <w:tcPr>
            <w:tcW w:w="445" w:type="dxa"/>
          </w:tcPr>
          <w:p w14:paraId="0E3C335A" w14:textId="77777777" w:rsidR="002B4D30" w:rsidRPr="00C46E11" w:rsidRDefault="002B4D30" w:rsidP="008C30AB">
            <w:pPr>
              <w:pStyle w:val="NoSpacing"/>
              <w:rPr>
                <w:i/>
              </w:rPr>
            </w:pPr>
            <w:r w:rsidRPr="00C46E11">
              <w:rPr>
                <w:i/>
              </w:rPr>
              <w:t>c)</w:t>
            </w:r>
          </w:p>
        </w:tc>
        <w:tc>
          <w:tcPr>
            <w:tcW w:w="8185" w:type="dxa"/>
          </w:tcPr>
          <w:p w14:paraId="368ABE24" w14:textId="21F1CA9C" w:rsidR="002B4D30" w:rsidRDefault="002B4D30" w:rsidP="008C30AB">
            <w:pPr>
              <w:pStyle w:val="NoSpacing"/>
            </w:pPr>
            <w:r>
              <w:rPr>
                <w:noProof/>
                <w:lang w:bidi="ar-SA"/>
              </w:rPr>
              <w:drawing>
                <wp:inline distT="0" distB="0" distL="0" distR="0" wp14:anchorId="0ACBBC39" wp14:editId="060C29A4">
                  <wp:extent cx="5029200" cy="2509867"/>
                  <wp:effectExtent l="0" t="0" r="0" b="5080"/>
                  <wp:docPr id="215" name="Picture 215" descr="C:\Users\Administrator\Desktop\proje\PhD Dissertation\Foam\absorption\50 dat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C:\Users\Administrator\Desktop\proje\PhD Dissertation\Foam\absorption\50 dataL.t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29200" cy="2509867"/>
                          </a:xfrm>
                          <a:prstGeom prst="rect">
                            <a:avLst/>
                          </a:prstGeom>
                          <a:noFill/>
                          <a:ln>
                            <a:noFill/>
                          </a:ln>
                        </pic:spPr>
                      </pic:pic>
                    </a:graphicData>
                  </a:graphic>
                </wp:inline>
              </w:drawing>
            </w:r>
          </w:p>
        </w:tc>
      </w:tr>
    </w:tbl>
    <w:p w14:paraId="68B1276E" w14:textId="184D569F" w:rsidR="001C4E50" w:rsidRDefault="001C4E50" w:rsidP="001C4E50">
      <w:pPr>
        <w:pStyle w:val="Caption"/>
      </w:pPr>
      <w:bookmarkStart w:id="281" w:name="_Ref530999090"/>
      <w:bookmarkStart w:id="282" w:name="_Toc530997415"/>
      <w:r>
        <w:t xml:space="preserve">Figure </w:t>
      </w:r>
      <w:r w:rsidR="007C6C65">
        <w:rPr>
          <w:noProof/>
        </w:rPr>
        <w:fldChar w:fldCharType="begin"/>
      </w:r>
      <w:r w:rsidR="007C6C65">
        <w:rPr>
          <w:noProof/>
        </w:rPr>
        <w:instrText xml:space="preserve"> SEQ Figure \* ARABIC </w:instrText>
      </w:r>
      <w:r w:rsidR="007C6C65">
        <w:rPr>
          <w:noProof/>
        </w:rPr>
        <w:fldChar w:fldCharType="separate"/>
      </w:r>
      <w:r w:rsidR="006D52C2">
        <w:rPr>
          <w:noProof/>
        </w:rPr>
        <w:t>59</w:t>
      </w:r>
      <w:r w:rsidR="007C6C65">
        <w:rPr>
          <w:noProof/>
        </w:rPr>
        <w:fldChar w:fldCharType="end"/>
      </w:r>
      <w:bookmarkEnd w:id="280"/>
      <w:bookmarkEnd w:id="281"/>
      <w:r>
        <w:t xml:space="preserve">. Moisture uptake mass gain data of foams: </w:t>
      </w:r>
      <w:r w:rsidRPr="001C4E50">
        <w:rPr>
          <w:i/>
        </w:rPr>
        <w:t>a)</w:t>
      </w:r>
      <w:r>
        <w:t xml:space="preserve"> as-received </w:t>
      </w:r>
      <w:r w:rsidRPr="001C4E50">
        <w:rPr>
          <w:i/>
        </w:rPr>
        <w:t>b)</w:t>
      </w:r>
      <w:r>
        <w:t xml:space="preserve"> heat treated under 30 psi </w:t>
      </w:r>
      <w:r w:rsidRPr="001C4E50">
        <w:rPr>
          <w:i/>
        </w:rPr>
        <w:t>c)</w:t>
      </w:r>
      <w:r>
        <w:t xml:space="preserve"> heat treated under 50 psi</w:t>
      </w:r>
      <w:bookmarkEnd w:id="282"/>
    </w:p>
    <w:p w14:paraId="779DF09D" w14:textId="5E824DE1" w:rsidR="00837C7A" w:rsidRPr="002B4D30" w:rsidRDefault="00837C7A" w:rsidP="002B4D30">
      <w:pPr>
        <w:pStyle w:val="NoSpacing"/>
        <w:jc w:val="left"/>
        <w:sectPr w:rsidR="00837C7A" w:rsidRPr="002B4D30" w:rsidSect="00F77E87">
          <w:pgSz w:w="12240" w:h="15840"/>
          <w:pgMar w:top="1440" w:right="1440" w:bottom="1440" w:left="2160" w:header="720" w:footer="720" w:gutter="0"/>
          <w:cols w:space="720"/>
          <w:docGrid w:linePitch="360"/>
        </w:sectPr>
      </w:pPr>
    </w:p>
    <w:p w14:paraId="4FDF5854" w14:textId="70D234F0" w:rsidR="00A4069F" w:rsidRDefault="00E56273" w:rsidP="00A4069F">
      <w:pPr>
        <w:pStyle w:val="Caption"/>
      </w:pPr>
      <w:r>
        <w:lastRenderedPageBreak/>
        <w:t xml:space="preserve"> </w:t>
      </w:r>
      <w:bookmarkStart w:id="283" w:name="_Ref523931851"/>
      <w:bookmarkStart w:id="284" w:name="_Toc530997326"/>
      <w:r w:rsidR="00A4069F">
        <w:t xml:space="preserve">Table </w:t>
      </w:r>
      <w:r w:rsidR="00012EB7">
        <w:rPr>
          <w:noProof/>
        </w:rPr>
        <w:fldChar w:fldCharType="begin"/>
      </w:r>
      <w:r w:rsidR="00012EB7">
        <w:rPr>
          <w:noProof/>
        </w:rPr>
        <w:instrText xml:space="preserve"> SEQ Table \* ARABIC </w:instrText>
      </w:r>
      <w:r w:rsidR="00012EB7">
        <w:rPr>
          <w:noProof/>
        </w:rPr>
        <w:fldChar w:fldCharType="separate"/>
      </w:r>
      <w:r w:rsidR="006D52C2">
        <w:rPr>
          <w:noProof/>
        </w:rPr>
        <w:t>11</w:t>
      </w:r>
      <w:r w:rsidR="00012EB7">
        <w:rPr>
          <w:noProof/>
        </w:rPr>
        <w:fldChar w:fldCharType="end"/>
      </w:r>
      <w:bookmarkEnd w:id="283"/>
      <w:r w:rsidR="00A4069F">
        <w:t>. VFHDM absorption parameters for untreated and heat treated Rohacell foams</w:t>
      </w:r>
      <w:bookmarkEnd w:id="284"/>
    </w:p>
    <w:tbl>
      <w:tblPr>
        <w:tblStyle w:val="TableGrid"/>
        <w:tblW w:w="13313" w:type="dxa"/>
        <w:jc w:val="center"/>
        <w:tblLayout w:type="fixed"/>
        <w:tblLook w:val="04A0" w:firstRow="1" w:lastRow="0" w:firstColumn="1" w:lastColumn="0" w:noHBand="0" w:noVBand="1"/>
      </w:tblPr>
      <w:tblGrid>
        <w:gridCol w:w="985"/>
        <w:gridCol w:w="1980"/>
        <w:gridCol w:w="1080"/>
        <w:gridCol w:w="1080"/>
        <w:gridCol w:w="859"/>
        <w:gridCol w:w="939"/>
        <w:gridCol w:w="1260"/>
        <w:gridCol w:w="1440"/>
        <w:gridCol w:w="1131"/>
        <w:gridCol w:w="1299"/>
        <w:gridCol w:w="1260"/>
      </w:tblGrid>
      <w:tr w:rsidR="00A4069F" w14:paraId="5C3F18CC" w14:textId="77777777" w:rsidTr="004B40BC">
        <w:trPr>
          <w:jc w:val="center"/>
        </w:trPr>
        <w:tc>
          <w:tcPr>
            <w:tcW w:w="985" w:type="dxa"/>
            <w:vAlign w:val="center"/>
          </w:tcPr>
          <w:p w14:paraId="25FAF03E" w14:textId="77777777" w:rsidR="00A4069F" w:rsidRDefault="00A4069F" w:rsidP="004B40BC">
            <w:pPr>
              <w:spacing w:line="360" w:lineRule="auto"/>
              <w:ind w:firstLine="0"/>
              <w:jc w:val="center"/>
              <w:rPr>
                <w:rFonts w:cs="Times New Roman"/>
                <w:szCs w:val="24"/>
              </w:rPr>
            </w:pPr>
          </w:p>
        </w:tc>
        <w:tc>
          <w:tcPr>
            <w:tcW w:w="12328" w:type="dxa"/>
            <w:gridSpan w:val="10"/>
            <w:vAlign w:val="center"/>
          </w:tcPr>
          <w:p w14:paraId="26DF369E" w14:textId="77777777" w:rsidR="00A4069F" w:rsidRDefault="00A4069F" w:rsidP="004B40BC">
            <w:pPr>
              <w:spacing w:line="360" w:lineRule="auto"/>
              <w:ind w:firstLine="0"/>
              <w:jc w:val="center"/>
              <w:rPr>
                <w:rFonts w:cs="Times New Roman"/>
                <w:szCs w:val="24"/>
              </w:rPr>
            </w:pPr>
            <w:r>
              <w:rPr>
                <w:rFonts w:cs="Times New Roman"/>
                <w:szCs w:val="24"/>
              </w:rPr>
              <w:t>Untreated</w:t>
            </w:r>
          </w:p>
        </w:tc>
      </w:tr>
      <w:tr w:rsidR="00A4069F" w14:paraId="2E2A2710" w14:textId="77777777" w:rsidTr="004B40BC">
        <w:trPr>
          <w:jc w:val="center"/>
        </w:trPr>
        <w:tc>
          <w:tcPr>
            <w:tcW w:w="985" w:type="dxa"/>
            <w:vAlign w:val="center"/>
          </w:tcPr>
          <w:p w14:paraId="7BA73C4C" w14:textId="77777777" w:rsidR="00A4069F" w:rsidRDefault="00A4069F" w:rsidP="004B40BC">
            <w:pPr>
              <w:spacing w:line="360" w:lineRule="auto"/>
              <w:ind w:firstLine="0"/>
              <w:jc w:val="center"/>
              <w:rPr>
                <w:rFonts w:cs="Times New Roman"/>
                <w:szCs w:val="24"/>
              </w:rPr>
            </w:pPr>
          </w:p>
        </w:tc>
        <w:tc>
          <w:tcPr>
            <w:tcW w:w="1980" w:type="dxa"/>
            <w:vAlign w:val="center"/>
          </w:tcPr>
          <w:p w14:paraId="59C128EB"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D(</m:t>
                </m:r>
                <m:f>
                  <m:fPr>
                    <m:type m:val="lin"/>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mm</m:t>
                        </m:r>
                      </m:e>
                      <m:sup>
                        <m:r>
                          <w:rPr>
                            <w:rFonts w:ascii="Cambria Math" w:hAnsi="Cambria Math" w:cs="Times New Roman"/>
                            <w:szCs w:val="24"/>
                          </w:rPr>
                          <m:t>2</m:t>
                        </m:r>
                      </m:sup>
                    </m:sSup>
                  </m:num>
                  <m:den>
                    <m:r>
                      <w:rPr>
                        <w:rFonts w:ascii="Cambria Math" w:hAnsi="Cambria Math" w:cs="Times New Roman"/>
                        <w:szCs w:val="24"/>
                      </w:rPr>
                      <m:t>hr)</m:t>
                    </m:r>
                  </m:den>
                </m:f>
                <m:r>
                  <m:rPr>
                    <m:sty m:val="p"/>
                  </m:rPr>
                  <w:rPr>
                    <w:rFonts w:ascii="Cambria Math" w:hAnsi="Cambria Math" w:cs="Times New Roman"/>
                    <w:szCs w:val="24"/>
                  </w:rPr>
                  <w:br/>
                </m:r>
              </m:oMath>
              <m:oMath>
                <m:r>
                  <w:rPr>
                    <w:rFonts w:ascii="Cambria Math" w:hAnsi="Cambria Math" w:cs="Times New Roman"/>
                    <w:szCs w:val="24"/>
                  </w:rPr>
                  <m:t xml:space="preserve"> 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tc>
        <w:tc>
          <w:tcPr>
            <w:tcW w:w="1080" w:type="dxa"/>
            <w:vAlign w:val="center"/>
          </w:tcPr>
          <w:p w14:paraId="624B9C35"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β</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hr</m:t>
                        </m:r>
                      </m:e>
                      <m:sup>
                        <m:r>
                          <w:rPr>
                            <w:rFonts w:ascii="Cambria Math" w:hAnsi="Cambria Math" w:cs="Times New Roman"/>
                            <w:szCs w:val="24"/>
                          </w:rPr>
                          <m:t>-1</m:t>
                        </m:r>
                      </m:sup>
                    </m:sSup>
                  </m:e>
                </m:d>
                <m:r>
                  <m:rPr>
                    <m:sty m:val="p"/>
                  </m:rPr>
                  <w:rPr>
                    <w:rFonts w:ascii="Cambria Math" w:hAnsi="Cambria Math" w:cs="Times New Roman"/>
                    <w:szCs w:val="24"/>
                  </w:rPr>
                  <w:br/>
                </m:r>
              </m:oMath>
              <m:oMath>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3</m:t>
                    </m:r>
                  </m:sup>
                </m:sSup>
              </m:oMath>
            </m:oMathPara>
          </w:p>
        </w:tc>
        <w:tc>
          <w:tcPr>
            <w:tcW w:w="1080" w:type="dxa"/>
            <w:vAlign w:val="center"/>
          </w:tcPr>
          <w:p w14:paraId="09B4791F"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γ</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hr</m:t>
                        </m:r>
                      </m:e>
                      <m:sup>
                        <m:r>
                          <w:rPr>
                            <w:rFonts w:ascii="Cambria Math" w:hAnsi="Cambria Math" w:cs="Times New Roman"/>
                            <w:szCs w:val="24"/>
                          </w:rPr>
                          <m:t>-1</m:t>
                        </m:r>
                      </m:sup>
                    </m:sSup>
                  </m:e>
                </m:d>
                <m:r>
                  <m:rPr>
                    <m:sty m:val="p"/>
                  </m:rPr>
                  <w:rPr>
                    <w:rFonts w:ascii="Cambria Math" w:hAnsi="Cambria Math" w:cs="Times New Roman"/>
                    <w:szCs w:val="24"/>
                  </w:rPr>
                  <w:br/>
                </m:r>
              </m:oMath>
              <m:oMath>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tc>
        <w:tc>
          <w:tcPr>
            <w:tcW w:w="859" w:type="dxa"/>
            <w:vAlign w:val="center"/>
          </w:tcPr>
          <w:p w14:paraId="6B9741E5"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ζ</m:t>
                </m:r>
              </m:oMath>
            </m:oMathPara>
          </w:p>
        </w:tc>
        <w:tc>
          <w:tcPr>
            <w:tcW w:w="939" w:type="dxa"/>
            <w:vAlign w:val="center"/>
          </w:tcPr>
          <w:p w14:paraId="24C7F1C4"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µ=</m:t>
                </m:r>
                <m:f>
                  <m:fPr>
                    <m:ctrlPr>
                      <w:rPr>
                        <w:rFonts w:ascii="Cambria Math" w:hAnsi="Cambria Math" w:cs="Times New Roman"/>
                        <w:i/>
                        <w:szCs w:val="24"/>
                      </w:rPr>
                    </m:ctrlPr>
                  </m:fPr>
                  <m:num>
                    <m:r>
                      <w:rPr>
                        <w:rFonts w:ascii="Cambria Math" w:hAnsi="Cambria Math" w:cs="Times New Roman"/>
                        <w:szCs w:val="24"/>
                      </w:rPr>
                      <m:t>γ</m:t>
                    </m:r>
                  </m:num>
                  <m:den>
                    <m:r>
                      <w:rPr>
                        <w:rFonts w:ascii="Cambria Math" w:hAnsi="Cambria Math" w:cs="Times New Roman"/>
                        <w:szCs w:val="24"/>
                      </w:rPr>
                      <m:t>β</m:t>
                    </m:r>
                  </m:den>
                </m:f>
              </m:oMath>
            </m:oMathPara>
          </w:p>
        </w:tc>
        <w:tc>
          <w:tcPr>
            <w:tcW w:w="1260" w:type="dxa"/>
            <w:vAlign w:val="center"/>
          </w:tcPr>
          <w:p w14:paraId="2592C48C" w14:textId="77777777" w:rsidR="00A4069F" w:rsidRDefault="007B3686" w:rsidP="004B40BC">
            <w:pPr>
              <w:spacing w:line="36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r>
                  <w:rPr>
                    <w:rFonts w:ascii="Cambria Math" w:hAnsi="Cambria Math" w:cs="Times New Roman"/>
                    <w:szCs w:val="24"/>
                  </w:rPr>
                  <m:t>(wt%)</m:t>
                </m:r>
              </m:oMath>
            </m:oMathPara>
          </w:p>
        </w:tc>
        <w:tc>
          <w:tcPr>
            <w:tcW w:w="1440" w:type="dxa"/>
            <w:vAlign w:val="center"/>
          </w:tcPr>
          <w:p w14:paraId="0A8AE842"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∞,unbound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131" w:type="dxa"/>
            <w:vAlign w:val="center"/>
          </w:tcPr>
          <w:p w14:paraId="0DFCE4B3"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∞,bound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299" w:type="dxa"/>
            <w:vAlign w:val="center"/>
          </w:tcPr>
          <w:p w14:paraId="39DE6DC3"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∞,trapped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260" w:type="dxa"/>
            <w:vAlign w:val="center"/>
          </w:tcPr>
          <w:p w14:paraId="2525974D" w14:textId="77777777" w:rsidR="00A4069F" w:rsidRPr="00133B38" w:rsidRDefault="00A4069F" w:rsidP="004B40BC">
            <w:pPr>
              <w:spacing w:line="360" w:lineRule="auto"/>
              <w:ind w:firstLine="0"/>
              <w:jc w:val="center"/>
              <w:rPr>
                <w:rFonts w:eastAsia="Calibri" w:cs="Times New Roman"/>
                <w:szCs w:val="24"/>
              </w:rPr>
            </w:pPr>
            <w:r>
              <w:rPr>
                <w:rFonts w:eastAsia="Calibri" w:cs="Times New Roman"/>
                <w:szCs w:val="24"/>
              </w:rPr>
              <w:t>RMS/data</w:t>
            </w:r>
          </w:p>
        </w:tc>
      </w:tr>
      <w:tr w:rsidR="00A4069F" w14:paraId="4EA44D23" w14:textId="77777777" w:rsidTr="004B40BC">
        <w:trPr>
          <w:jc w:val="center"/>
        </w:trPr>
        <w:tc>
          <w:tcPr>
            <w:tcW w:w="985" w:type="dxa"/>
            <w:vAlign w:val="center"/>
          </w:tcPr>
          <w:p w14:paraId="22294C3C" w14:textId="77777777" w:rsidR="00A4069F" w:rsidRDefault="00A4069F" w:rsidP="004B40BC">
            <w:pPr>
              <w:spacing w:line="360" w:lineRule="auto"/>
              <w:ind w:firstLine="0"/>
              <w:jc w:val="center"/>
              <w:rPr>
                <w:rFonts w:cs="Times New Roman"/>
                <w:szCs w:val="24"/>
              </w:rPr>
            </w:pPr>
            <w:r>
              <w:rPr>
                <w:rFonts w:cs="Times New Roman"/>
                <w:szCs w:val="24"/>
              </w:rPr>
              <w:t>R3</w:t>
            </w:r>
          </w:p>
        </w:tc>
        <w:tc>
          <w:tcPr>
            <w:tcW w:w="1980" w:type="dxa"/>
            <w:vMerge w:val="restart"/>
            <w:vAlign w:val="center"/>
          </w:tcPr>
          <w:p w14:paraId="255E4ED9" w14:textId="7899E178" w:rsidR="00A4069F" w:rsidRDefault="00543F94" w:rsidP="004B40BC">
            <w:pPr>
              <w:spacing w:line="360" w:lineRule="auto"/>
              <w:ind w:firstLine="0"/>
              <w:jc w:val="center"/>
              <w:rPr>
                <w:rFonts w:ascii="Calibri" w:hAnsi="Calibri"/>
                <w:color w:val="000000"/>
              </w:rPr>
            </w:pPr>
            <w:r>
              <w:rPr>
                <w:rFonts w:ascii="Calibri" w:hAnsi="Calibri"/>
                <w:color w:val="000000"/>
              </w:rPr>
              <w:t>4.86</w:t>
            </w:r>
          </w:p>
        </w:tc>
        <w:tc>
          <w:tcPr>
            <w:tcW w:w="1080" w:type="dxa"/>
            <w:vMerge w:val="restart"/>
            <w:vAlign w:val="center"/>
          </w:tcPr>
          <w:p w14:paraId="2E03A563" w14:textId="3661611A" w:rsidR="00A4069F" w:rsidRDefault="00543F94" w:rsidP="004B40BC">
            <w:pPr>
              <w:spacing w:line="360" w:lineRule="auto"/>
              <w:ind w:firstLine="0"/>
              <w:jc w:val="center"/>
              <w:rPr>
                <w:rFonts w:ascii="Calibri" w:hAnsi="Calibri"/>
                <w:color w:val="000000"/>
              </w:rPr>
            </w:pPr>
            <w:r>
              <w:rPr>
                <w:rFonts w:ascii="Calibri" w:hAnsi="Calibri"/>
                <w:color w:val="000000"/>
              </w:rPr>
              <w:t>1.45</w:t>
            </w:r>
          </w:p>
        </w:tc>
        <w:tc>
          <w:tcPr>
            <w:tcW w:w="1080" w:type="dxa"/>
            <w:vMerge w:val="restart"/>
            <w:vAlign w:val="center"/>
          </w:tcPr>
          <w:p w14:paraId="5CEC968A" w14:textId="63376714" w:rsidR="00A4069F" w:rsidRDefault="00543F94" w:rsidP="004B40BC">
            <w:pPr>
              <w:spacing w:line="360" w:lineRule="auto"/>
              <w:ind w:firstLine="0"/>
              <w:jc w:val="center"/>
              <w:rPr>
                <w:rFonts w:ascii="Calibri" w:hAnsi="Calibri"/>
                <w:color w:val="000000"/>
              </w:rPr>
            </w:pPr>
            <w:r>
              <w:rPr>
                <w:rFonts w:ascii="Calibri" w:hAnsi="Calibri"/>
                <w:color w:val="000000"/>
              </w:rPr>
              <w:t>0.71</w:t>
            </w:r>
          </w:p>
        </w:tc>
        <w:tc>
          <w:tcPr>
            <w:tcW w:w="859" w:type="dxa"/>
            <w:vAlign w:val="center"/>
          </w:tcPr>
          <w:p w14:paraId="7B580239" w14:textId="71096C2D" w:rsidR="00A4069F" w:rsidRDefault="00543F94" w:rsidP="004B40BC">
            <w:pPr>
              <w:spacing w:line="360" w:lineRule="auto"/>
              <w:ind w:firstLine="0"/>
              <w:jc w:val="center"/>
              <w:rPr>
                <w:rFonts w:ascii="Calibri" w:hAnsi="Calibri"/>
                <w:color w:val="000000"/>
              </w:rPr>
            </w:pPr>
            <w:r>
              <w:rPr>
                <w:rFonts w:ascii="Calibri" w:hAnsi="Calibri"/>
                <w:color w:val="000000"/>
              </w:rPr>
              <w:t>3.15</w:t>
            </w:r>
          </w:p>
        </w:tc>
        <w:tc>
          <w:tcPr>
            <w:tcW w:w="939" w:type="dxa"/>
            <w:vMerge w:val="restart"/>
            <w:vAlign w:val="center"/>
          </w:tcPr>
          <w:p w14:paraId="7A5A3998" w14:textId="263F8098" w:rsidR="00A4069F" w:rsidRDefault="00543F94" w:rsidP="004B40BC">
            <w:pPr>
              <w:spacing w:line="360" w:lineRule="auto"/>
              <w:ind w:firstLine="0"/>
              <w:jc w:val="center"/>
              <w:rPr>
                <w:rFonts w:ascii="Calibri" w:hAnsi="Calibri"/>
                <w:color w:val="000000"/>
              </w:rPr>
            </w:pPr>
            <w:r>
              <w:rPr>
                <w:rFonts w:ascii="Calibri" w:hAnsi="Calibri"/>
                <w:color w:val="000000"/>
              </w:rPr>
              <w:t>4.90</w:t>
            </w:r>
          </w:p>
        </w:tc>
        <w:tc>
          <w:tcPr>
            <w:tcW w:w="1260" w:type="dxa"/>
            <w:vAlign w:val="center"/>
          </w:tcPr>
          <w:p w14:paraId="726063D8" w14:textId="25D860F3" w:rsidR="00A4069F" w:rsidRDefault="00543F94" w:rsidP="004B40BC">
            <w:pPr>
              <w:spacing w:line="360" w:lineRule="auto"/>
              <w:ind w:firstLine="0"/>
              <w:jc w:val="center"/>
              <w:rPr>
                <w:rFonts w:ascii="Calibri" w:hAnsi="Calibri"/>
                <w:color w:val="000000"/>
              </w:rPr>
            </w:pPr>
            <w:r>
              <w:rPr>
                <w:rFonts w:ascii="Calibri" w:hAnsi="Calibri"/>
                <w:color w:val="000000"/>
              </w:rPr>
              <w:t>673.6</w:t>
            </w:r>
          </w:p>
        </w:tc>
        <w:tc>
          <w:tcPr>
            <w:tcW w:w="1440" w:type="dxa"/>
            <w:vMerge w:val="restart"/>
            <w:vAlign w:val="center"/>
          </w:tcPr>
          <w:p w14:paraId="76E33766" w14:textId="027E0420" w:rsidR="00A4069F" w:rsidRDefault="00543F94" w:rsidP="004B40BC">
            <w:pPr>
              <w:spacing w:line="360" w:lineRule="auto"/>
              <w:ind w:firstLine="0"/>
              <w:jc w:val="center"/>
              <w:rPr>
                <w:rFonts w:ascii="Calibri" w:hAnsi="Calibri"/>
                <w:color w:val="000000"/>
              </w:rPr>
            </w:pPr>
            <w:r>
              <w:rPr>
                <w:rFonts w:ascii="Calibri" w:hAnsi="Calibri"/>
                <w:color w:val="000000"/>
              </w:rPr>
              <w:t>32.8</w:t>
            </w:r>
          </w:p>
        </w:tc>
        <w:tc>
          <w:tcPr>
            <w:tcW w:w="1131" w:type="dxa"/>
            <w:vMerge w:val="restart"/>
            <w:vAlign w:val="center"/>
          </w:tcPr>
          <w:p w14:paraId="05D12D7C" w14:textId="50D5CA41" w:rsidR="00A4069F" w:rsidRDefault="00543F94" w:rsidP="004B40BC">
            <w:pPr>
              <w:spacing w:line="360" w:lineRule="auto"/>
              <w:ind w:firstLine="0"/>
              <w:jc w:val="center"/>
              <w:rPr>
                <w:rFonts w:ascii="Calibri" w:hAnsi="Calibri"/>
                <w:color w:val="000000"/>
              </w:rPr>
            </w:pPr>
            <w:r>
              <w:rPr>
                <w:rFonts w:ascii="Calibri" w:hAnsi="Calibri"/>
                <w:color w:val="000000"/>
              </w:rPr>
              <w:t>160.6</w:t>
            </w:r>
          </w:p>
        </w:tc>
        <w:tc>
          <w:tcPr>
            <w:tcW w:w="1299" w:type="dxa"/>
            <w:vAlign w:val="center"/>
          </w:tcPr>
          <w:p w14:paraId="44CA910A" w14:textId="4055544B" w:rsidR="00A4069F" w:rsidRDefault="00543F94" w:rsidP="004B40BC">
            <w:pPr>
              <w:spacing w:line="360" w:lineRule="auto"/>
              <w:ind w:firstLine="0"/>
              <w:jc w:val="center"/>
              <w:rPr>
                <w:rFonts w:ascii="Calibri" w:hAnsi="Calibri"/>
                <w:color w:val="000000"/>
              </w:rPr>
            </w:pPr>
            <w:r>
              <w:rPr>
                <w:rFonts w:ascii="Calibri" w:hAnsi="Calibri"/>
                <w:color w:val="000000"/>
              </w:rPr>
              <w:t>480.1</w:t>
            </w:r>
          </w:p>
        </w:tc>
        <w:tc>
          <w:tcPr>
            <w:tcW w:w="1260" w:type="dxa"/>
            <w:vMerge w:val="restart"/>
            <w:vAlign w:val="center"/>
          </w:tcPr>
          <w:p w14:paraId="2A2AFFCE" w14:textId="78728F7A" w:rsidR="00A4069F" w:rsidRDefault="00543F94" w:rsidP="004B40BC">
            <w:pPr>
              <w:spacing w:line="360" w:lineRule="auto"/>
              <w:ind w:firstLine="0"/>
              <w:jc w:val="center"/>
              <w:rPr>
                <w:rFonts w:ascii="Calibri" w:hAnsi="Calibri"/>
                <w:color w:val="000000"/>
              </w:rPr>
            </w:pPr>
            <w:r>
              <w:rPr>
                <w:rFonts w:ascii="Calibri" w:hAnsi="Calibri"/>
                <w:color w:val="000000"/>
              </w:rPr>
              <w:t>0.016</w:t>
            </w:r>
          </w:p>
        </w:tc>
      </w:tr>
      <w:tr w:rsidR="00A4069F" w14:paraId="64B6F61A" w14:textId="77777777" w:rsidTr="004B40BC">
        <w:trPr>
          <w:jc w:val="center"/>
        </w:trPr>
        <w:tc>
          <w:tcPr>
            <w:tcW w:w="985" w:type="dxa"/>
            <w:vAlign w:val="center"/>
          </w:tcPr>
          <w:p w14:paraId="1030269D" w14:textId="77777777" w:rsidR="00A4069F" w:rsidRDefault="00A4069F" w:rsidP="004B40BC">
            <w:pPr>
              <w:spacing w:line="360" w:lineRule="auto"/>
              <w:ind w:firstLine="0"/>
              <w:jc w:val="center"/>
              <w:rPr>
                <w:rFonts w:cs="Times New Roman"/>
                <w:szCs w:val="24"/>
              </w:rPr>
            </w:pPr>
            <w:r>
              <w:rPr>
                <w:rFonts w:cs="Times New Roman"/>
                <w:szCs w:val="24"/>
              </w:rPr>
              <w:t>R6</w:t>
            </w:r>
          </w:p>
        </w:tc>
        <w:tc>
          <w:tcPr>
            <w:tcW w:w="1980" w:type="dxa"/>
            <w:vMerge/>
            <w:vAlign w:val="center"/>
          </w:tcPr>
          <w:p w14:paraId="224601EB" w14:textId="77777777" w:rsidR="00A4069F" w:rsidRDefault="00A4069F" w:rsidP="004B40BC">
            <w:pPr>
              <w:spacing w:line="360" w:lineRule="auto"/>
              <w:ind w:firstLine="0"/>
              <w:jc w:val="center"/>
              <w:rPr>
                <w:rFonts w:cs="Times New Roman"/>
                <w:szCs w:val="24"/>
              </w:rPr>
            </w:pPr>
          </w:p>
        </w:tc>
        <w:tc>
          <w:tcPr>
            <w:tcW w:w="1080" w:type="dxa"/>
            <w:vMerge/>
            <w:vAlign w:val="center"/>
          </w:tcPr>
          <w:p w14:paraId="72C466A4" w14:textId="77777777" w:rsidR="00A4069F" w:rsidRDefault="00A4069F" w:rsidP="004B40BC">
            <w:pPr>
              <w:spacing w:line="360" w:lineRule="auto"/>
              <w:ind w:firstLine="0"/>
              <w:jc w:val="center"/>
              <w:rPr>
                <w:rFonts w:cs="Times New Roman"/>
                <w:szCs w:val="24"/>
              </w:rPr>
            </w:pPr>
          </w:p>
        </w:tc>
        <w:tc>
          <w:tcPr>
            <w:tcW w:w="1080" w:type="dxa"/>
            <w:vMerge/>
            <w:vAlign w:val="center"/>
          </w:tcPr>
          <w:p w14:paraId="73A28C59" w14:textId="77777777" w:rsidR="00A4069F" w:rsidRDefault="00A4069F" w:rsidP="004B40BC">
            <w:pPr>
              <w:spacing w:line="360" w:lineRule="auto"/>
              <w:ind w:firstLine="0"/>
              <w:jc w:val="center"/>
              <w:rPr>
                <w:rFonts w:cs="Times New Roman"/>
                <w:szCs w:val="24"/>
              </w:rPr>
            </w:pPr>
          </w:p>
        </w:tc>
        <w:tc>
          <w:tcPr>
            <w:tcW w:w="859" w:type="dxa"/>
            <w:vAlign w:val="center"/>
          </w:tcPr>
          <w:p w14:paraId="3DEF2C64" w14:textId="77777777" w:rsidR="00A4069F" w:rsidRDefault="00A4069F" w:rsidP="004B40BC">
            <w:pPr>
              <w:spacing w:line="360" w:lineRule="auto"/>
              <w:ind w:firstLine="0"/>
              <w:jc w:val="center"/>
              <w:rPr>
                <w:rFonts w:ascii="Calibri" w:hAnsi="Calibri"/>
                <w:color w:val="000000"/>
              </w:rPr>
            </w:pPr>
            <w:r>
              <w:rPr>
                <w:rFonts w:ascii="Calibri" w:hAnsi="Calibri"/>
                <w:color w:val="000000"/>
              </w:rPr>
              <w:t>5.05</w:t>
            </w:r>
          </w:p>
        </w:tc>
        <w:tc>
          <w:tcPr>
            <w:tcW w:w="939" w:type="dxa"/>
            <w:vMerge/>
            <w:vAlign w:val="center"/>
          </w:tcPr>
          <w:p w14:paraId="1B86CE20" w14:textId="77777777" w:rsidR="00A4069F" w:rsidRDefault="00A4069F" w:rsidP="004B40BC">
            <w:pPr>
              <w:spacing w:line="360" w:lineRule="auto"/>
              <w:ind w:firstLine="0"/>
              <w:jc w:val="center"/>
              <w:rPr>
                <w:rFonts w:cs="Times New Roman"/>
                <w:szCs w:val="24"/>
              </w:rPr>
            </w:pPr>
          </w:p>
        </w:tc>
        <w:tc>
          <w:tcPr>
            <w:tcW w:w="1260" w:type="dxa"/>
            <w:vAlign w:val="center"/>
          </w:tcPr>
          <w:p w14:paraId="1D9E5447" w14:textId="305B1081" w:rsidR="00A4069F" w:rsidRDefault="00543F94" w:rsidP="004B40BC">
            <w:pPr>
              <w:spacing w:line="360" w:lineRule="auto"/>
              <w:ind w:firstLine="0"/>
              <w:jc w:val="center"/>
              <w:rPr>
                <w:rFonts w:ascii="Calibri" w:hAnsi="Calibri"/>
                <w:color w:val="000000"/>
              </w:rPr>
            </w:pPr>
            <w:r>
              <w:rPr>
                <w:rFonts w:ascii="Calibri" w:hAnsi="Calibri"/>
                <w:color w:val="000000"/>
              </w:rPr>
              <w:t>1004.8</w:t>
            </w:r>
          </w:p>
        </w:tc>
        <w:tc>
          <w:tcPr>
            <w:tcW w:w="1440" w:type="dxa"/>
            <w:vMerge/>
            <w:vAlign w:val="center"/>
          </w:tcPr>
          <w:p w14:paraId="5E13F98A" w14:textId="77777777" w:rsidR="00A4069F" w:rsidRDefault="00A4069F" w:rsidP="004B40BC">
            <w:pPr>
              <w:spacing w:line="360" w:lineRule="auto"/>
              <w:ind w:firstLine="0"/>
              <w:jc w:val="center"/>
              <w:rPr>
                <w:rFonts w:cs="Times New Roman"/>
                <w:szCs w:val="24"/>
              </w:rPr>
            </w:pPr>
          </w:p>
        </w:tc>
        <w:tc>
          <w:tcPr>
            <w:tcW w:w="1131" w:type="dxa"/>
            <w:vMerge/>
            <w:vAlign w:val="center"/>
          </w:tcPr>
          <w:p w14:paraId="3F59037E" w14:textId="77777777" w:rsidR="00A4069F" w:rsidRDefault="00A4069F" w:rsidP="004B40BC">
            <w:pPr>
              <w:spacing w:line="360" w:lineRule="auto"/>
              <w:ind w:firstLine="0"/>
              <w:jc w:val="center"/>
              <w:rPr>
                <w:rFonts w:cs="Times New Roman"/>
                <w:szCs w:val="24"/>
              </w:rPr>
            </w:pPr>
          </w:p>
        </w:tc>
        <w:tc>
          <w:tcPr>
            <w:tcW w:w="1299" w:type="dxa"/>
            <w:vAlign w:val="center"/>
          </w:tcPr>
          <w:p w14:paraId="54E7C2E0" w14:textId="345A2B5F" w:rsidR="00A4069F" w:rsidRDefault="00543F94" w:rsidP="004B40BC">
            <w:pPr>
              <w:spacing w:line="360" w:lineRule="auto"/>
              <w:ind w:firstLine="0"/>
              <w:jc w:val="center"/>
              <w:rPr>
                <w:rFonts w:ascii="Calibri" w:hAnsi="Calibri"/>
                <w:color w:val="000000"/>
              </w:rPr>
            </w:pPr>
            <w:r>
              <w:rPr>
                <w:rFonts w:ascii="Calibri" w:hAnsi="Calibri"/>
                <w:color w:val="000000"/>
              </w:rPr>
              <w:t>811.4</w:t>
            </w:r>
          </w:p>
        </w:tc>
        <w:tc>
          <w:tcPr>
            <w:tcW w:w="1260" w:type="dxa"/>
            <w:vMerge/>
            <w:vAlign w:val="center"/>
          </w:tcPr>
          <w:p w14:paraId="5A2BFDDD" w14:textId="77777777" w:rsidR="00A4069F" w:rsidRDefault="00A4069F" w:rsidP="004B40BC">
            <w:pPr>
              <w:spacing w:line="360" w:lineRule="auto"/>
              <w:ind w:firstLine="0"/>
              <w:jc w:val="center"/>
              <w:rPr>
                <w:rFonts w:cs="Times New Roman"/>
                <w:szCs w:val="24"/>
              </w:rPr>
            </w:pPr>
          </w:p>
        </w:tc>
      </w:tr>
      <w:tr w:rsidR="00A4069F" w14:paraId="2CCFCDEB" w14:textId="77777777" w:rsidTr="004B40BC">
        <w:trPr>
          <w:jc w:val="center"/>
        </w:trPr>
        <w:tc>
          <w:tcPr>
            <w:tcW w:w="985" w:type="dxa"/>
            <w:vAlign w:val="center"/>
          </w:tcPr>
          <w:p w14:paraId="5A0C3616" w14:textId="77777777" w:rsidR="00A4069F" w:rsidRDefault="00A4069F" w:rsidP="004B40BC">
            <w:pPr>
              <w:spacing w:line="360" w:lineRule="auto"/>
              <w:ind w:firstLine="0"/>
              <w:jc w:val="center"/>
              <w:rPr>
                <w:rFonts w:cs="Times New Roman"/>
                <w:szCs w:val="24"/>
              </w:rPr>
            </w:pPr>
            <w:r>
              <w:rPr>
                <w:rFonts w:cs="Times New Roman"/>
                <w:szCs w:val="24"/>
              </w:rPr>
              <w:t>R9</w:t>
            </w:r>
          </w:p>
        </w:tc>
        <w:tc>
          <w:tcPr>
            <w:tcW w:w="1980" w:type="dxa"/>
            <w:vMerge/>
            <w:vAlign w:val="center"/>
          </w:tcPr>
          <w:p w14:paraId="2183C063" w14:textId="77777777" w:rsidR="00A4069F" w:rsidRDefault="00A4069F" w:rsidP="004B40BC">
            <w:pPr>
              <w:spacing w:line="360" w:lineRule="auto"/>
              <w:ind w:firstLine="0"/>
              <w:jc w:val="center"/>
              <w:rPr>
                <w:rFonts w:cs="Times New Roman"/>
                <w:szCs w:val="24"/>
              </w:rPr>
            </w:pPr>
          </w:p>
        </w:tc>
        <w:tc>
          <w:tcPr>
            <w:tcW w:w="1080" w:type="dxa"/>
            <w:vMerge/>
            <w:vAlign w:val="center"/>
          </w:tcPr>
          <w:p w14:paraId="56785A00" w14:textId="77777777" w:rsidR="00A4069F" w:rsidRDefault="00A4069F" w:rsidP="004B40BC">
            <w:pPr>
              <w:spacing w:line="360" w:lineRule="auto"/>
              <w:ind w:firstLine="0"/>
              <w:jc w:val="center"/>
              <w:rPr>
                <w:rFonts w:cs="Times New Roman"/>
                <w:szCs w:val="24"/>
              </w:rPr>
            </w:pPr>
          </w:p>
        </w:tc>
        <w:tc>
          <w:tcPr>
            <w:tcW w:w="1080" w:type="dxa"/>
            <w:vMerge/>
            <w:vAlign w:val="center"/>
          </w:tcPr>
          <w:p w14:paraId="62218924" w14:textId="77777777" w:rsidR="00A4069F" w:rsidRDefault="00A4069F" w:rsidP="004B40BC">
            <w:pPr>
              <w:spacing w:line="360" w:lineRule="auto"/>
              <w:ind w:firstLine="0"/>
              <w:jc w:val="center"/>
              <w:rPr>
                <w:rFonts w:cs="Times New Roman"/>
                <w:szCs w:val="24"/>
              </w:rPr>
            </w:pPr>
          </w:p>
        </w:tc>
        <w:tc>
          <w:tcPr>
            <w:tcW w:w="859" w:type="dxa"/>
            <w:vAlign w:val="center"/>
          </w:tcPr>
          <w:p w14:paraId="3B970D6F" w14:textId="77777777" w:rsidR="00A4069F" w:rsidRDefault="00A4069F" w:rsidP="004B40BC">
            <w:pPr>
              <w:spacing w:line="360" w:lineRule="auto"/>
              <w:ind w:firstLine="0"/>
              <w:jc w:val="center"/>
              <w:rPr>
                <w:rFonts w:ascii="Calibri" w:hAnsi="Calibri"/>
                <w:color w:val="000000"/>
              </w:rPr>
            </w:pPr>
            <w:r>
              <w:rPr>
                <w:rFonts w:ascii="Calibri" w:hAnsi="Calibri"/>
                <w:color w:val="000000"/>
              </w:rPr>
              <w:t>5.60</w:t>
            </w:r>
          </w:p>
        </w:tc>
        <w:tc>
          <w:tcPr>
            <w:tcW w:w="939" w:type="dxa"/>
            <w:vMerge/>
            <w:vAlign w:val="center"/>
          </w:tcPr>
          <w:p w14:paraId="2CEB2F9F" w14:textId="77777777" w:rsidR="00A4069F" w:rsidRDefault="00A4069F" w:rsidP="004B40BC">
            <w:pPr>
              <w:spacing w:line="360" w:lineRule="auto"/>
              <w:ind w:firstLine="0"/>
              <w:jc w:val="center"/>
              <w:rPr>
                <w:rFonts w:cs="Times New Roman"/>
                <w:szCs w:val="24"/>
              </w:rPr>
            </w:pPr>
          </w:p>
        </w:tc>
        <w:tc>
          <w:tcPr>
            <w:tcW w:w="1260" w:type="dxa"/>
            <w:vAlign w:val="center"/>
          </w:tcPr>
          <w:p w14:paraId="558EA780" w14:textId="5FD0C77E" w:rsidR="00A4069F" w:rsidRDefault="00543F94" w:rsidP="004B40BC">
            <w:pPr>
              <w:spacing w:line="360" w:lineRule="auto"/>
              <w:ind w:firstLine="0"/>
              <w:jc w:val="center"/>
              <w:rPr>
                <w:rFonts w:ascii="Calibri" w:hAnsi="Calibri"/>
                <w:color w:val="000000"/>
              </w:rPr>
            </w:pPr>
            <w:r>
              <w:rPr>
                <w:rFonts w:ascii="Calibri" w:hAnsi="Calibri"/>
                <w:color w:val="000000"/>
              </w:rPr>
              <w:t>1092.4</w:t>
            </w:r>
          </w:p>
        </w:tc>
        <w:tc>
          <w:tcPr>
            <w:tcW w:w="1440" w:type="dxa"/>
            <w:vMerge/>
            <w:vAlign w:val="center"/>
          </w:tcPr>
          <w:p w14:paraId="5CBCB0F1" w14:textId="77777777" w:rsidR="00A4069F" w:rsidRDefault="00A4069F" w:rsidP="004B40BC">
            <w:pPr>
              <w:spacing w:line="360" w:lineRule="auto"/>
              <w:ind w:firstLine="0"/>
              <w:jc w:val="center"/>
              <w:rPr>
                <w:rFonts w:cs="Times New Roman"/>
                <w:szCs w:val="24"/>
              </w:rPr>
            </w:pPr>
          </w:p>
        </w:tc>
        <w:tc>
          <w:tcPr>
            <w:tcW w:w="1131" w:type="dxa"/>
            <w:vMerge/>
            <w:vAlign w:val="center"/>
          </w:tcPr>
          <w:p w14:paraId="4DDCE66A" w14:textId="77777777" w:rsidR="00A4069F" w:rsidRDefault="00A4069F" w:rsidP="004B40BC">
            <w:pPr>
              <w:spacing w:line="360" w:lineRule="auto"/>
              <w:ind w:firstLine="0"/>
              <w:jc w:val="center"/>
              <w:rPr>
                <w:rFonts w:cs="Times New Roman"/>
                <w:szCs w:val="24"/>
              </w:rPr>
            </w:pPr>
          </w:p>
        </w:tc>
        <w:tc>
          <w:tcPr>
            <w:tcW w:w="1299" w:type="dxa"/>
            <w:vAlign w:val="center"/>
          </w:tcPr>
          <w:p w14:paraId="2E805AAF" w14:textId="3A41950F" w:rsidR="00A4069F" w:rsidRDefault="00543F94" w:rsidP="004B40BC">
            <w:pPr>
              <w:spacing w:line="360" w:lineRule="auto"/>
              <w:ind w:firstLine="0"/>
              <w:jc w:val="center"/>
              <w:rPr>
                <w:rFonts w:ascii="Calibri" w:hAnsi="Calibri"/>
                <w:color w:val="000000"/>
              </w:rPr>
            </w:pPr>
            <w:r>
              <w:rPr>
                <w:rFonts w:ascii="Calibri" w:hAnsi="Calibri"/>
                <w:color w:val="000000"/>
              </w:rPr>
              <w:t>899.0</w:t>
            </w:r>
          </w:p>
        </w:tc>
        <w:tc>
          <w:tcPr>
            <w:tcW w:w="1260" w:type="dxa"/>
            <w:vMerge/>
            <w:vAlign w:val="center"/>
          </w:tcPr>
          <w:p w14:paraId="0D23ADD0" w14:textId="77777777" w:rsidR="00A4069F" w:rsidRDefault="00A4069F" w:rsidP="004B40BC">
            <w:pPr>
              <w:spacing w:line="360" w:lineRule="auto"/>
              <w:ind w:firstLine="0"/>
              <w:jc w:val="center"/>
              <w:rPr>
                <w:rFonts w:cs="Times New Roman"/>
                <w:szCs w:val="24"/>
              </w:rPr>
            </w:pPr>
          </w:p>
        </w:tc>
      </w:tr>
      <w:tr w:rsidR="00A4069F" w14:paraId="694D1F00" w14:textId="77777777" w:rsidTr="004B40BC">
        <w:trPr>
          <w:jc w:val="center"/>
        </w:trPr>
        <w:tc>
          <w:tcPr>
            <w:tcW w:w="985" w:type="dxa"/>
            <w:vAlign w:val="center"/>
          </w:tcPr>
          <w:p w14:paraId="3B1B838B" w14:textId="77777777" w:rsidR="00A4069F" w:rsidRDefault="00A4069F" w:rsidP="004B40BC">
            <w:pPr>
              <w:spacing w:line="360" w:lineRule="auto"/>
              <w:ind w:firstLine="0"/>
              <w:jc w:val="center"/>
              <w:rPr>
                <w:rFonts w:cs="Times New Roman"/>
                <w:szCs w:val="24"/>
              </w:rPr>
            </w:pPr>
          </w:p>
        </w:tc>
        <w:tc>
          <w:tcPr>
            <w:tcW w:w="12328" w:type="dxa"/>
            <w:gridSpan w:val="10"/>
            <w:vAlign w:val="center"/>
          </w:tcPr>
          <w:p w14:paraId="299236CD" w14:textId="77777777" w:rsidR="00A4069F" w:rsidRDefault="00A4069F" w:rsidP="004B40BC">
            <w:pPr>
              <w:spacing w:line="360" w:lineRule="auto"/>
              <w:ind w:firstLine="0"/>
              <w:jc w:val="center"/>
              <w:rPr>
                <w:rFonts w:cs="Times New Roman"/>
                <w:szCs w:val="24"/>
              </w:rPr>
            </w:pPr>
            <w:r>
              <w:rPr>
                <w:rFonts w:cs="Times New Roman"/>
                <w:szCs w:val="24"/>
              </w:rPr>
              <w:t xml:space="preserve">@127 </w:t>
            </w:r>
            <w:r w:rsidRPr="00324C24">
              <w:rPr>
                <w:rFonts w:cs="Times New Roman"/>
                <w:szCs w:val="24"/>
              </w:rPr>
              <w:t>°C</w:t>
            </w:r>
            <w:r>
              <w:rPr>
                <w:rFonts w:cs="Times New Roman"/>
                <w:szCs w:val="24"/>
              </w:rPr>
              <w:t xml:space="preserve"> under 30 psi for 3hr @177 </w:t>
            </w:r>
            <w:r w:rsidRPr="00324C24">
              <w:rPr>
                <w:rFonts w:cs="Times New Roman"/>
                <w:szCs w:val="24"/>
              </w:rPr>
              <w:t>°C</w:t>
            </w:r>
            <w:r>
              <w:rPr>
                <w:rFonts w:cs="Times New Roman"/>
                <w:szCs w:val="24"/>
              </w:rPr>
              <w:t xml:space="preserve"> under 30 psi for 3hr</w:t>
            </w:r>
          </w:p>
        </w:tc>
      </w:tr>
      <w:tr w:rsidR="00A4069F" w14:paraId="6CA40950" w14:textId="77777777" w:rsidTr="004B40BC">
        <w:trPr>
          <w:jc w:val="center"/>
        </w:trPr>
        <w:tc>
          <w:tcPr>
            <w:tcW w:w="985" w:type="dxa"/>
            <w:vAlign w:val="center"/>
          </w:tcPr>
          <w:p w14:paraId="4EAB3C9C" w14:textId="77777777" w:rsidR="00A4069F" w:rsidRDefault="00A4069F" w:rsidP="004B40BC">
            <w:pPr>
              <w:spacing w:line="360" w:lineRule="auto"/>
              <w:ind w:firstLine="0"/>
              <w:jc w:val="center"/>
              <w:rPr>
                <w:rFonts w:cs="Times New Roman"/>
                <w:szCs w:val="24"/>
              </w:rPr>
            </w:pPr>
          </w:p>
        </w:tc>
        <w:tc>
          <w:tcPr>
            <w:tcW w:w="1980" w:type="dxa"/>
            <w:vAlign w:val="center"/>
          </w:tcPr>
          <w:p w14:paraId="1A40FEF2"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D(</m:t>
                </m:r>
                <m:f>
                  <m:fPr>
                    <m:type m:val="lin"/>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mm</m:t>
                        </m:r>
                      </m:e>
                      <m:sup>
                        <m:r>
                          <w:rPr>
                            <w:rFonts w:ascii="Cambria Math" w:hAnsi="Cambria Math" w:cs="Times New Roman"/>
                            <w:szCs w:val="24"/>
                          </w:rPr>
                          <m:t>2</m:t>
                        </m:r>
                      </m:sup>
                    </m:sSup>
                  </m:num>
                  <m:den>
                    <m:r>
                      <w:rPr>
                        <w:rFonts w:ascii="Cambria Math" w:hAnsi="Cambria Math" w:cs="Times New Roman"/>
                        <w:szCs w:val="24"/>
                      </w:rPr>
                      <m:t>hr)</m:t>
                    </m:r>
                  </m:den>
                </m:f>
                <m:r>
                  <m:rPr>
                    <m:sty m:val="p"/>
                  </m:rPr>
                  <w:rPr>
                    <w:rFonts w:ascii="Cambria Math" w:hAnsi="Cambria Math" w:cs="Times New Roman"/>
                    <w:szCs w:val="24"/>
                  </w:rPr>
                  <w:br/>
                </m:r>
              </m:oMath>
              <m:oMath>
                <m:r>
                  <w:rPr>
                    <w:rFonts w:ascii="Cambria Math" w:hAnsi="Cambria Math" w:cs="Times New Roman"/>
                    <w:szCs w:val="24"/>
                  </w:rPr>
                  <m:t xml:space="preserve"> 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tc>
        <w:tc>
          <w:tcPr>
            <w:tcW w:w="1080" w:type="dxa"/>
            <w:vAlign w:val="center"/>
          </w:tcPr>
          <w:p w14:paraId="4A814E53"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β</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hr</m:t>
                        </m:r>
                      </m:e>
                      <m:sup>
                        <m:r>
                          <w:rPr>
                            <w:rFonts w:ascii="Cambria Math" w:hAnsi="Cambria Math" w:cs="Times New Roman"/>
                            <w:szCs w:val="24"/>
                          </w:rPr>
                          <m:t>-1</m:t>
                        </m:r>
                      </m:sup>
                    </m:sSup>
                  </m:e>
                </m:d>
                <m:r>
                  <m:rPr>
                    <m:sty m:val="p"/>
                  </m:rPr>
                  <w:rPr>
                    <w:rFonts w:ascii="Cambria Math" w:hAnsi="Cambria Math" w:cs="Times New Roman"/>
                    <w:szCs w:val="24"/>
                  </w:rPr>
                  <w:br/>
                </m:r>
              </m:oMath>
              <m:oMath>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3</m:t>
                    </m:r>
                  </m:sup>
                </m:sSup>
              </m:oMath>
            </m:oMathPara>
          </w:p>
        </w:tc>
        <w:tc>
          <w:tcPr>
            <w:tcW w:w="1080" w:type="dxa"/>
            <w:vAlign w:val="center"/>
          </w:tcPr>
          <w:p w14:paraId="5DA699C5"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γ</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hr</m:t>
                        </m:r>
                      </m:e>
                      <m:sup>
                        <m:r>
                          <w:rPr>
                            <w:rFonts w:ascii="Cambria Math" w:hAnsi="Cambria Math" w:cs="Times New Roman"/>
                            <w:szCs w:val="24"/>
                          </w:rPr>
                          <m:t>-1</m:t>
                        </m:r>
                      </m:sup>
                    </m:sSup>
                  </m:e>
                </m:d>
                <m:r>
                  <m:rPr>
                    <m:sty m:val="p"/>
                  </m:rPr>
                  <w:rPr>
                    <w:rFonts w:ascii="Cambria Math" w:hAnsi="Cambria Math" w:cs="Times New Roman"/>
                    <w:szCs w:val="24"/>
                  </w:rPr>
                  <w:br/>
                </m:r>
              </m:oMath>
              <m:oMath>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tc>
        <w:tc>
          <w:tcPr>
            <w:tcW w:w="859" w:type="dxa"/>
            <w:vAlign w:val="center"/>
          </w:tcPr>
          <w:p w14:paraId="5B660FAE"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ζ</m:t>
                </m:r>
              </m:oMath>
            </m:oMathPara>
          </w:p>
        </w:tc>
        <w:tc>
          <w:tcPr>
            <w:tcW w:w="939" w:type="dxa"/>
            <w:vAlign w:val="center"/>
          </w:tcPr>
          <w:p w14:paraId="75745C60"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µ</m:t>
                </m:r>
              </m:oMath>
            </m:oMathPara>
          </w:p>
        </w:tc>
        <w:tc>
          <w:tcPr>
            <w:tcW w:w="1260" w:type="dxa"/>
            <w:vAlign w:val="center"/>
          </w:tcPr>
          <w:p w14:paraId="0C08CABC" w14:textId="77777777" w:rsidR="00A4069F" w:rsidRDefault="007B3686" w:rsidP="004B40BC">
            <w:pPr>
              <w:spacing w:line="36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r>
                  <w:rPr>
                    <w:rFonts w:ascii="Cambria Math" w:hAnsi="Cambria Math" w:cs="Times New Roman"/>
                    <w:szCs w:val="24"/>
                  </w:rPr>
                  <m:t>(wt%)</m:t>
                </m:r>
              </m:oMath>
            </m:oMathPara>
          </w:p>
        </w:tc>
        <w:tc>
          <w:tcPr>
            <w:tcW w:w="1440" w:type="dxa"/>
            <w:vAlign w:val="center"/>
          </w:tcPr>
          <w:p w14:paraId="48564B83"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∞,unbound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131" w:type="dxa"/>
            <w:vAlign w:val="center"/>
          </w:tcPr>
          <w:p w14:paraId="319BC9CA"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∞,bound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299" w:type="dxa"/>
            <w:vAlign w:val="center"/>
          </w:tcPr>
          <w:p w14:paraId="4099251F"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∞,trapped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260" w:type="dxa"/>
            <w:vAlign w:val="center"/>
          </w:tcPr>
          <w:p w14:paraId="4E31EED4" w14:textId="77777777" w:rsidR="00A4069F" w:rsidRPr="00133B38" w:rsidRDefault="00A4069F" w:rsidP="004B40BC">
            <w:pPr>
              <w:spacing w:line="360" w:lineRule="auto"/>
              <w:ind w:firstLine="0"/>
              <w:jc w:val="center"/>
              <w:rPr>
                <w:rFonts w:eastAsia="Calibri" w:cs="Times New Roman"/>
                <w:szCs w:val="24"/>
              </w:rPr>
            </w:pPr>
            <w:r>
              <w:rPr>
                <w:rFonts w:eastAsia="Calibri" w:cs="Times New Roman"/>
                <w:szCs w:val="24"/>
              </w:rPr>
              <w:t>RMS/data</w:t>
            </w:r>
          </w:p>
        </w:tc>
      </w:tr>
      <w:tr w:rsidR="00A4069F" w14:paraId="0328D2AC" w14:textId="77777777" w:rsidTr="004B40BC">
        <w:trPr>
          <w:jc w:val="center"/>
        </w:trPr>
        <w:tc>
          <w:tcPr>
            <w:tcW w:w="985" w:type="dxa"/>
            <w:vAlign w:val="center"/>
          </w:tcPr>
          <w:p w14:paraId="6C063B25" w14:textId="77777777" w:rsidR="00A4069F" w:rsidRDefault="00A4069F" w:rsidP="004B40BC">
            <w:pPr>
              <w:spacing w:line="360" w:lineRule="auto"/>
              <w:ind w:firstLine="0"/>
              <w:jc w:val="center"/>
              <w:rPr>
                <w:rFonts w:cs="Times New Roman"/>
                <w:szCs w:val="24"/>
              </w:rPr>
            </w:pPr>
            <w:r>
              <w:rPr>
                <w:rFonts w:cs="Times New Roman"/>
                <w:szCs w:val="24"/>
              </w:rPr>
              <w:t>R3-30</w:t>
            </w:r>
          </w:p>
        </w:tc>
        <w:tc>
          <w:tcPr>
            <w:tcW w:w="1980" w:type="dxa"/>
            <w:vMerge w:val="restart"/>
            <w:vAlign w:val="center"/>
          </w:tcPr>
          <w:p w14:paraId="4617E8A9" w14:textId="7F256470" w:rsidR="00A4069F" w:rsidRDefault="00543F94" w:rsidP="004B40BC">
            <w:pPr>
              <w:spacing w:line="360" w:lineRule="auto"/>
              <w:ind w:firstLine="0"/>
              <w:jc w:val="center"/>
              <w:rPr>
                <w:rFonts w:ascii="Calibri" w:hAnsi="Calibri"/>
                <w:color w:val="000000"/>
              </w:rPr>
            </w:pPr>
            <w:r>
              <w:rPr>
                <w:rFonts w:ascii="Calibri" w:hAnsi="Calibri"/>
                <w:color w:val="000000"/>
              </w:rPr>
              <w:t>3.64</w:t>
            </w:r>
          </w:p>
        </w:tc>
        <w:tc>
          <w:tcPr>
            <w:tcW w:w="1080" w:type="dxa"/>
            <w:vMerge w:val="restart"/>
            <w:vAlign w:val="center"/>
          </w:tcPr>
          <w:p w14:paraId="1E457CBB" w14:textId="68A17969" w:rsidR="00A4069F" w:rsidRDefault="00543F94" w:rsidP="004B40BC">
            <w:pPr>
              <w:spacing w:line="360" w:lineRule="auto"/>
              <w:ind w:firstLine="0"/>
              <w:jc w:val="center"/>
              <w:rPr>
                <w:rFonts w:ascii="Calibri" w:hAnsi="Calibri"/>
                <w:color w:val="000000"/>
              </w:rPr>
            </w:pPr>
            <w:r>
              <w:rPr>
                <w:rFonts w:ascii="Calibri" w:hAnsi="Calibri"/>
                <w:color w:val="000000"/>
              </w:rPr>
              <w:t>1.66</w:t>
            </w:r>
          </w:p>
        </w:tc>
        <w:tc>
          <w:tcPr>
            <w:tcW w:w="1080" w:type="dxa"/>
            <w:vMerge w:val="restart"/>
            <w:vAlign w:val="center"/>
          </w:tcPr>
          <w:p w14:paraId="6ACEC389" w14:textId="5C98149D" w:rsidR="00A4069F" w:rsidRDefault="00543F94" w:rsidP="004B40BC">
            <w:pPr>
              <w:spacing w:line="360" w:lineRule="auto"/>
              <w:ind w:firstLine="0"/>
              <w:jc w:val="center"/>
              <w:rPr>
                <w:rFonts w:ascii="Calibri" w:hAnsi="Calibri"/>
                <w:color w:val="000000"/>
              </w:rPr>
            </w:pPr>
            <w:r>
              <w:rPr>
                <w:rFonts w:ascii="Calibri" w:hAnsi="Calibri"/>
                <w:color w:val="000000"/>
              </w:rPr>
              <w:t>1.02</w:t>
            </w:r>
          </w:p>
        </w:tc>
        <w:tc>
          <w:tcPr>
            <w:tcW w:w="859" w:type="dxa"/>
            <w:vAlign w:val="center"/>
          </w:tcPr>
          <w:p w14:paraId="1930420D" w14:textId="1FB19208" w:rsidR="00A4069F" w:rsidRDefault="00A4069F" w:rsidP="004B40BC">
            <w:pPr>
              <w:spacing w:line="360" w:lineRule="auto"/>
              <w:ind w:firstLine="0"/>
              <w:jc w:val="center"/>
              <w:rPr>
                <w:rFonts w:ascii="Calibri" w:hAnsi="Calibri"/>
                <w:color w:val="000000"/>
              </w:rPr>
            </w:pPr>
            <w:r>
              <w:rPr>
                <w:rFonts w:ascii="Calibri" w:hAnsi="Calibri"/>
                <w:color w:val="000000"/>
              </w:rPr>
              <w:t>2.75</w:t>
            </w:r>
          </w:p>
        </w:tc>
        <w:tc>
          <w:tcPr>
            <w:tcW w:w="939" w:type="dxa"/>
            <w:vMerge w:val="restart"/>
            <w:vAlign w:val="center"/>
          </w:tcPr>
          <w:p w14:paraId="6B62BA1F" w14:textId="47A52AF2" w:rsidR="00A4069F" w:rsidRDefault="00543F94" w:rsidP="004B40BC">
            <w:pPr>
              <w:spacing w:line="360" w:lineRule="auto"/>
              <w:ind w:firstLine="0"/>
              <w:jc w:val="center"/>
              <w:rPr>
                <w:rFonts w:ascii="Calibri" w:hAnsi="Calibri"/>
                <w:color w:val="000000"/>
              </w:rPr>
            </w:pPr>
            <w:r>
              <w:rPr>
                <w:rFonts w:ascii="Calibri" w:hAnsi="Calibri"/>
                <w:color w:val="000000"/>
              </w:rPr>
              <w:t>6.13</w:t>
            </w:r>
          </w:p>
        </w:tc>
        <w:tc>
          <w:tcPr>
            <w:tcW w:w="1260" w:type="dxa"/>
            <w:vAlign w:val="center"/>
          </w:tcPr>
          <w:p w14:paraId="458B2974" w14:textId="4BBAEA66" w:rsidR="00A4069F" w:rsidRDefault="00543F94" w:rsidP="004B40BC">
            <w:pPr>
              <w:spacing w:line="360" w:lineRule="auto"/>
              <w:ind w:firstLine="0"/>
              <w:jc w:val="center"/>
              <w:rPr>
                <w:rFonts w:ascii="Calibri" w:hAnsi="Calibri"/>
                <w:color w:val="000000"/>
              </w:rPr>
            </w:pPr>
            <w:r>
              <w:rPr>
                <w:rFonts w:ascii="Calibri" w:hAnsi="Calibri"/>
                <w:color w:val="000000"/>
              </w:rPr>
              <w:t>663.6</w:t>
            </w:r>
          </w:p>
        </w:tc>
        <w:tc>
          <w:tcPr>
            <w:tcW w:w="1440" w:type="dxa"/>
            <w:vMerge w:val="restart"/>
            <w:vAlign w:val="center"/>
          </w:tcPr>
          <w:p w14:paraId="06C21A17" w14:textId="48B06432" w:rsidR="00A4069F" w:rsidRDefault="00A4069F" w:rsidP="00543F94">
            <w:pPr>
              <w:spacing w:line="360" w:lineRule="auto"/>
              <w:ind w:firstLine="0"/>
              <w:jc w:val="center"/>
              <w:rPr>
                <w:rFonts w:ascii="Calibri" w:hAnsi="Calibri"/>
                <w:color w:val="000000"/>
              </w:rPr>
            </w:pPr>
            <w:r>
              <w:rPr>
                <w:rFonts w:ascii="Calibri" w:hAnsi="Calibri"/>
                <w:color w:val="000000"/>
              </w:rPr>
              <w:t>2</w:t>
            </w:r>
            <w:r w:rsidR="00543F94">
              <w:rPr>
                <w:rFonts w:ascii="Calibri" w:hAnsi="Calibri"/>
                <w:color w:val="000000"/>
              </w:rPr>
              <w:t>7.7</w:t>
            </w:r>
          </w:p>
        </w:tc>
        <w:tc>
          <w:tcPr>
            <w:tcW w:w="1131" w:type="dxa"/>
            <w:vMerge w:val="restart"/>
            <w:vAlign w:val="center"/>
          </w:tcPr>
          <w:p w14:paraId="5F6F9AC0" w14:textId="0A55C5B5" w:rsidR="00A4069F" w:rsidRDefault="00A4069F" w:rsidP="00543F94">
            <w:pPr>
              <w:spacing w:line="360" w:lineRule="auto"/>
              <w:ind w:firstLine="0"/>
              <w:jc w:val="center"/>
              <w:rPr>
                <w:rFonts w:ascii="Calibri" w:hAnsi="Calibri"/>
                <w:color w:val="000000"/>
              </w:rPr>
            </w:pPr>
            <w:r>
              <w:rPr>
                <w:rFonts w:ascii="Calibri" w:hAnsi="Calibri"/>
                <w:color w:val="000000"/>
              </w:rPr>
              <w:t>1</w:t>
            </w:r>
            <w:r w:rsidR="00543F94">
              <w:rPr>
                <w:rFonts w:ascii="Calibri" w:hAnsi="Calibri"/>
                <w:color w:val="000000"/>
              </w:rPr>
              <w:t>6</w:t>
            </w:r>
            <w:r>
              <w:rPr>
                <w:rFonts w:ascii="Calibri" w:hAnsi="Calibri"/>
                <w:color w:val="000000"/>
              </w:rPr>
              <w:t>9.</w:t>
            </w:r>
            <w:r w:rsidR="00543F94">
              <w:rPr>
                <w:rFonts w:ascii="Calibri" w:hAnsi="Calibri"/>
                <w:color w:val="000000"/>
              </w:rPr>
              <w:t>6</w:t>
            </w:r>
          </w:p>
        </w:tc>
        <w:tc>
          <w:tcPr>
            <w:tcW w:w="1299" w:type="dxa"/>
            <w:vAlign w:val="center"/>
          </w:tcPr>
          <w:p w14:paraId="5790B302" w14:textId="4BF5C520" w:rsidR="00A4069F" w:rsidRDefault="00A4069F" w:rsidP="004B40BC">
            <w:pPr>
              <w:spacing w:line="360" w:lineRule="auto"/>
              <w:ind w:firstLine="0"/>
              <w:jc w:val="center"/>
              <w:rPr>
                <w:rFonts w:ascii="Calibri" w:hAnsi="Calibri"/>
                <w:color w:val="000000"/>
              </w:rPr>
            </w:pPr>
            <w:r>
              <w:rPr>
                <w:rFonts w:ascii="Calibri" w:hAnsi="Calibri"/>
                <w:color w:val="000000"/>
              </w:rPr>
              <w:t>4</w:t>
            </w:r>
            <w:r w:rsidR="00543F94">
              <w:rPr>
                <w:rFonts w:ascii="Calibri" w:hAnsi="Calibri"/>
                <w:color w:val="000000"/>
              </w:rPr>
              <w:t>66.4</w:t>
            </w:r>
          </w:p>
        </w:tc>
        <w:tc>
          <w:tcPr>
            <w:tcW w:w="1260" w:type="dxa"/>
            <w:vMerge w:val="restart"/>
            <w:vAlign w:val="center"/>
          </w:tcPr>
          <w:p w14:paraId="653025D9" w14:textId="3653D3FC" w:rsidR="00A4069F" w:rsidRDefault="00543F94" w:rsidP="004B40BC">
            <w:pPr>
              <w:spacing w:line="360" w:lineRule="auto"/>
              <w:ind w:firstLine="0"/>
              <w:jc w:val="center"/>
              <w:rPr>
                <w:rFonts w:ascii="Calibri" w:hAnsi="Calibri"/>
                <w:color w:val="000000"/>
              </w:rPr>
            </w:pPr>
            <w:r>
              <w:rPr>
                <w:rFonts w:ascii="Calibri" w:hAnsi="Calibri"/>
                <w:color w:val="000000"/>
              </w:rPr>
              <w:t>0.016</w:t>
            </w:r>
          </w:p>
        </w:tc>
      </w:tr>
      <w:tr w:rsidR="00A4069F" w14:paraId="32BE7739" w14:textId="77777777" w:rsidTr="004B40BC">
        <w:trPr>
          <w:jc w:val="center"/>
        </w:trPr>
        <w:tc>
          <w:tcPr>
            <w:tcW w:w="985" w:type="dxa"/>
            <w:vAlign w:val="center"/>
          </w:tcPr>
          <w:p w14:paraId="5026C5FC" w14:textId="77777777" w:rsidR="00A4069F" w:rsidRDefault="00A4069F" w:rsidP="004B40BC">
            <w:pPr>
              <w:spacing w:line="360" w:lineRule="auto"/>
              <w:ind w:firstLine="0"/>
              <w:jc w:val="center"/>
              <w:rPr>
                <w:rFonts w:cs="Times New Roman"/>
                <w:szCs w:val="24"/>
              </w:rPr>
            </w:pPr>
            <w:r>
              <w:rPr>
                <w:rFonts w:cs="Times New Roman"/>
                <w:szCs w:val="24"/>
              </w:rPr>
              <w:t>R6-30</w:t>
            </w:r>
          </w:p>
        </w:tc>
        <w:tc>
          <w:tcPr>
            <w:tcW w:w="1980" w:type="dxa"/>
            <w:vMerge/>
            <w:vAlign w:val="center"/>
          </w:tcPr>
          <w:p w14:paraId="7A86228C" w14:textId="77777777" w:rsidR="00A4069F" w:rsidRPr="004C07BB" w:rsidRDefault="00A4069F" w:rsidP="004B40BC">
            <w:pPr>
              <w:spacing w:line="360" w:lineRule="auto"/>
              <w:ind w:firstLine="0"/>
              <w:jc w:val="center"/>
              <w:rPr>
                <w:rFonts w:ascii="Calibri" w:hAnsi="Calibri"/>
                <w:color w:val="000000"/>
              </w:rPr>
            </w:pPr>
          </w:p>
        </w:tc>
        <w:tc>
          <w:tcPr>
            <w:tcW w:w="1080" w:type="dxa"/>
            <w:vMerge/>
            <w:vAlign w:val="center"/>
          </w:tcPr>
          <w:p w14:paraId="06E84914" w14:textId="77777777" w:rsidR="00A4069F" w:rsidRPr="004C07BB" w:rsidRDefault="00A4069F" w:rsidP="004B40BC">
            <w:pPr>
              <w:spacing w:line="360" w:lineRule="auto"/>
              <w:ind w:firstLine="0"/>
              <w:jc w:val="center"/>
              <w:rPr>
                <w:rFonts w:ascii="Calibri" w:hAnsi="Calibri"/>
                <w:color w:val="000000"/>
              </w:rPr>
            </w:pPr>
          </w:p>
        </w:tc>
        <w:tc>
          <w:tcPr>
            <w:tcW w:w="1080" w:type="dxa"/>
            <w:vMerge/>
            <w:vAlign w:val="center"/>
          </w:tcPr>
          <w:p w14:paraId="18482D41" w14:textId="77777777" w:rsidR="00A4069F" w:rsidRPr="004C07BB" w:rsidRDefault="00A4069F" w:rsidP="004B40BC">
            <w:pPr>
              <w:spacing w:line="360" w:lineRule="auto"/>
              <w:ind w:firstLine="0"/>
              <w:jc w:val="center"/>
              <w:rPr>
                <w:rFonts w:ascii="Calibri" w:hAnsi="Calibri"/>
                <w:color w:val="000000"/>
              </w:rPr>
            </w:pPr>
          </w:p>
        </w:tc>
        <w:tc>
          <w:tcPr>
            <w:tcW w:w="859" w:type="dxa"/>
            <w:vAlign w:val="center"/>
          </w:tcPr>
          <w:p w14:paraId="23FCD7CE" w14:textId="6A5EDBCE" w:rsidR="00A4069F" w:rsidRDefault="00A4069F" w:rsidP="004B40BC">
            <w:pPr>
              <w:spacing w:line="360" w:lineRule="auto"/>
              <w:ind w:firstLine="0"/>
              <w:jc w:val="center"/>
              <w:rPr>
                <w:rFonts w:ascii="Calibri" w:hAnsi="Calibri"/>
                <w:color w:val="000000"/>
              </w:rPr>
            </w:pPr>
            <w:r>
              <w:rPr>
                <w:rFonts w:ascii="Calibri" w:hAnsi="Calibri"/>
                <w:color w:val="000000"/>
              </w:rPr>
              <w:t>3.79</w:t>
            </w:r>
          </w:p>
        </w:tc>
        <w:tc>
          <w:tcPr>
            <w:tcW w:w="939" w:type="dxa"/>
            <w:vMerge/>
            <w:vAlign w:val="center"/>
          </w:tcPr>
          <w:p w14:paraId="35EFAE5D" w14:textId="77777777" w:rsidR="00A4069F" w:rsidRPr="004C07BB" w:rsidRDefault="00A4069F" w:rsidP="004B40BC">
            <w:pPr>
              <w:spacing w:line="360" w:lineRule="auto"/>
              <w:ind w:firstLine="0"/>
              <w:jc w:val="center"/>
              <w:rPr>
                <w:rFonts w:ascii="Calibri" w:hAnsi="Calibri"/>
                <w:color w:val="000000"/>
              </w:rPr>
            </w:pPr>
          </w:p>
        </w:tc>
        <w:tc>
          <w:tcPr>
            <w:tcW w:w="1260" w:type="dxa"/>
            <w:vAlign w:val="center"/>
          </w:tcPr>
          <w:p w14:paraId="4700E5EC" w14:textId="2EC016CB" w:rsidR="00A4069F" w:rsidRPr="004C07BB" w:rsidRDefault="00543F94" w:rsidP="00A4069F">
            <w:pPr>
              <w:spacing w:line="360" w:lineRule="auto"/>
              <w:ind w:firstLine="0"/>
              <w:jc w:val="center"/>
              <w:rPr>
                <w:rFonts w:ascii="Calibri" w:hAnsi="Calibri"/>
                <w:color w:val="000000"/>
              </w:rPr>
            </w:pPr>
            <w:r>
              <w:rPr>
                <w:rFonts w:ascii="Calibri" w:hAnsi="Calibri"/>
                <w:color w:val="000000"/>
              </w:rPr>
              <w:t>838.8</w:t>
            </w:r>
          </w:p>
        </w:tc>
        <w:tc>
          <w:tcPr>
            <w:tcW w:w="1440" w:type="dxa"/>
            <w:vMerge/>
            <w:vAlign w:val="center"/>
          </w:tcPr>
          <w:p w14:paraId="08817B29" w14:textId="77777777" w:rsidR="00A4069F" w:rsidRPr="004C07BB" w:rsidRDefault="00A4069F" w:rsidP="004B40BC">
            <w:pPr>
              <w:spacing w:line="360" w:lineRule="auto"/>
              <w:ind w:firstLine="0"/>
              <w:jc w:val="center"/>
              <w:rPr>
                <w:rFonts w:ascii="Calibri" w:hAnsi="Calibri"/>
                <w:color w:val="000000"/>
              </w:rPr>
            </w:pPr>
          </w:p>
        </w:tc>
        <w:tc>
          <w:tcPr>
            <w:tcW w:w="1131" w:type="dxa"/>
            <w:vMerge/>
            <w:vAlign w:val="center"/>
          </w:tcPr>
          <w:p w14:paraId="6A5E8100" w14:textId="77777777" w:rsidR="00A4069F" w:rsidRPr="004C07BB" w:rsidRDefault="00A4069F" w:rsidP="004B40BC">
            <w:pPr>
              <w:spacing w:line="360" w:lineRule="auto"/>
              <w:ind w:firstLine="0"/>
              <w:jc w:val="center"/>
              <w:rPr>
                <w:rFonts w:ascii="Calibri" w:hAnsi="Calibri"/>
                <w:color w:val="000000"/>
              </w:rPr>
            </w:pPr>
          </w:p>
        </w:tc>
        <w:tc>
          <w:tcPr>
            <w:tcW w:w="1299" w:type="dxa"/>
            <w:vAlign w:val="center"/>
          </w:tcPr>
          <w:p w14:paraId="4687C42D" w14:textId="1E68DC2F" w:rsidR="00A4069F" w:rsidRPr="004C07BB" w:rsidRDefault="00543F94" w:rsidP="004B40BC">
            <w:pPr>
              <w:spacing w:line="360" w:lineRule="auto"/>
              <w:ind w:firstLine="0"/>
              <w:jc w:val="center"/>
              <w:rPr>
                <w:rFonts w:ascii="Calibri" w:hAnsi="Calibri"/>
                <w:color w:val="000000"/>
              </w:rPr>
            </w:pPr>
            <w:r>
              <w:rPr>
                <w:rFonts w:ascii="Calibri" w:hAnsi="Calibri"/>
                <w:color w:val="000000"/>
              </w:rPr>
              <w:t>641.6</w:t>
            </w:r>
          </w:p>
        </w:tc>
        <w:tc>
          <w:tcPr>
            <w:tcW w:w="1260" w:type="dxa"/>
            <w:vMerge/>
            <w:vAlign w:val="center"/>
          </w:tcPr>
          <w:p w14:paraId="617DD0C1" w14:textId="77777777" w:rsidR="00A4069F" w:rsidRDefault="00A4069F" w:rsidP="004B40BC">
            <w:pPr>
              <w:spacing w:line="360" w:lineRule="auto"/>
              <w:ind w:firstLine="0"/>
              <w:jc w:val="center"/>
              <w:rPr>
                <w:rFonts w:cs="Times New Roman"/>
                <w:szCs w:val="24"/>
              </w:rPr>
            </w:pPr>
          </w:p>
        </w:tc>
      </w:tr>
      <w:tr w:rsidR="00A4069F" w14:paraId="43A3CA19" w14:textId="77777777" w:rsidTr="004B40BC">
        <w:trPr>
          <w:jc w:val="center"/>
        </w:trPr>
        <w:tc>
          <w:tcPr>
            <w:tcW w:w="985" w:type="dxa"/>
            <w:vAlign w:val="center"/>
          </w:tcPr>
          <w:p w14:paraId="4FF089E4" w14:textId="77777777" w:rsidR="00A4069F" w:rsidRDefault="00A4069F" w:rsidP="004B40BC">
            <w:pPr>
              <w:spacing w:line="360" w:lineRule="auto"/>
              <w:ind w:firstLine="0"/>
              <w:jc w:val="center"/>
              <w:rPr>
                <w:rFonts w:cs="Times New Roman"/>
                <w:szCs w:val="24"/>
              </w:rPr>
            </w:pPr>
            <w:r>
              <w:rPr>
                <w:rFonts w:cs="Times New Roman"/>
                <w:szCs w:val="24"/>
              </w:rPr>
              <w:t>R9-30</w:t>
            </w:r>
          </w:p>
        </w:tc>
        <w:tc>
          <w:tcPr>
            <w:tcW w:w="1980" w:type="dxa"/>
            <w:vMerge/>
            <w:vAlign w:val="center"/>
          </w:tcPr>
          <w:p w14:paraId="59E6D4E8" w14:textId="77777777" w:rsidR="00A4069F" w:rsidRPr="004C07BB" w:rsidRDefault="00A4069F" w:rsidP="004B40BC">
            <w:pPr>
              <w:spacing w:line="360" w:lineRule="auto"/>
              <w:ind w:firstLine="0"/>
              <w:jc w:val="center"/>
              <w:rPr>
                <w:rFonts w:ascii="Calibri" w:hAnsi="Calibri"/>
                <w:color w:val="000000"/>
              </w:rPr>
            </w:pPr>
          </w:p>
        </w:tc>
        <w:tc>
          <w:tcPr>
            <w:tcW w:w="1080" w:type="dxa"/>
            <w:vMerge/>
            <w:vAlign w:val="center"/>
          </w:tcPr>
          <w:p w14:paraId="0782A366" w14:textId="77777777" w:rsidR="00A4069F" w:rsidRPr="004C07BB" w:rsidRDefault="00A4069F" w:rsidP="004B40BC">
            <w:pPr>
              <w:spacing w:line="360" w:lineRule="auto"/>
              <w:ind w:firstLine="0"/>
              <w:jc w:val="center"/>
              <w:rPr>
                <w:rFonts w:ascii="Calibri" w:hAnsi="Calibri"/>
                <w:color w:val="000000"/>
              </w:rPr>
            </w:pPr>
          </w:p>
        </w:tc>
        <w:tc>
          <w:tcPr>
            <w:tcW w:w="1080" w:type="dxa"/>
            <w:vMerge/>
            <w:vAlign w:val="center"/>
          </w:tcPr>
          <w:p w14:paraId="39C32EBC" w14:textId="77777777" w:rsidR="00A4069F" w:rsidRPr="004C07BB" w:rsidRDefault="00A4069F" w:rsidP="004B40BC">
            <w:pPr>
              <w:spacing w:line="360" w:lineRule="auto"/>
              <w:ind w:firstLine="0"/>
              <w:jc w:val="center"/>
              <w:rPr>
                <w:rFonts w:ascii="Calibri" w:hAnsi="Calibri"/>
                <w:color w:val="000000"/>
              </w:rPr>
            </w:pPr>
          </w:p>
        </w:tc>
        <w:tc>
          <w:tcPr>
            <w:tcW w:w="859" w:type="dxa"/>
            <w:vAlign w:val="center"/>
          </w:tcPr>
          <w:p w14:paraId="0FE4C25C" w14:textId="69677F2C" w:rsidR="00A4069F" w:rsidRDefault="00A4069F" w:rsidP="004B40BC">
            <w:pPr>
              <w:spacing w:line="360" w:lineRule="auto"/>
              <w:ind w:firstLine="0"/>
              <w:jc w:val="center"/>
              <w:rPr>
                <w:rFonts w:ascii="Calibri" w:hAnsi="Calibri"/>
                <w:color w:val="000000"/>
              </w:rPr>
            </w:pPr>
            <w:r>
              <w:rPr>
                <w:rFonts w:ascii="Calibri" w:hAnsi="Calibri"/>
                <w:color w:val="000000"/>
              </w:rPr>
              <w:t>3.49</w:t>
            </w:r>
          </w:p>
        </w:tc>
        <w:tc>
          <w:tcPr>
            <w:tcW w:w="939" w:type="dxa"/>
            <w:vMerge/>
            <w:vAlign w:val="center"/>
          </w:tcPr>
          <w:p w14:paraId="5600F1A7" w14:textId="77777777" w:rsidR="00A4069F" w:rsidRPr="004C07BB" w:rsidRDefault="00A4069F" w:rsidP="004B40BC">
            <w:pPr>
              <w:spacing w:line="360" w:lineRule="auto"/>
              <w:ind w:firstLine="0"/>
              <w:jc w:val="center"/>
              <w:rPr>
                <w:rFonts w:ascii="Calibri" w:hAnsi="Calibri"/>
                <w:color w:val="000000"/>
              </w:rPr>
            </w:pPr>
          </w:p>
        </w:tc>
        <w:tc>
          <w:tcPr>
            <w:tcW w:w="1260" w:type="dxa"/>
            <w:vAlign w:val="center"/>
          </w:tcPr>
          <w:p w14:paraId="7D437047" w14:textId="51688E5C" w:rsidR="00A4069F" w:rsidRPr="004C07BB" w:rsidRDefault="00543F94" w:rsidP="00A4069F">
            <w:pPr>
              <w:spacing w:line="360" w:lineRule="auto"/>
              <w:ind w:firstLine="0"/>
              <w:jc w:val="center"/>
              <w:rPr>
                <w:rFonts w:ascii="Calibri" w:hAnsi="Calibri"/>
                <w:color w:val="000000"/>
              </w:rPr>
            </w:pPr>
            <w:r>
              <w:rPr>
                <w:rFonts w:ascii="Calibri" w:hAnsi="Calibri"/>
                <w:color w:val="000000"/>
              </w:rPr>
              <w:t>788.5</w:t>
            </w:r>
          </w:p>
        </w:tc>
        <w:tc>
          <w:tcPr>
            <w:tcW w:w="1440" w:type="dxa"/>
            <w:vMerge/>
            <w:vAlign w:val="center"/>
          </w:tcPr>
          <w:p w14:paraId="1F37411E" w14:textId="77777777" w:rsidR="00A4069F" w:rsidRPr="004C07BB" w:rsidRDefault="00A4069F" w:rsidP="004B40BC">
            <w:pPr>
              <w:spacing w:line="360" w:lineRule="auto"/>
              <w:ind w:firstLine="0"/>
              <w:jc w:val="center"/>
              <w:rPr>
                <w:rFonts w:ascii="Calibri" w:hAnsi="Calibri"/>
                <w:color w:val="000000"/>
              </w:rPr>
            </w:pPr>
          </w:p>
        </w:tc>
        <w:tc>
          <w:tcPr>
            <w:tcW w:w="1131" w:type="dxa"/>
            <w:vMerge/>
            <w:vAlign w:val="center"/>
          </w:tcPr>
          <w:p w14:paraId="25C9CFFA" w14:textId="77777777" w:rsidR="00A4069F" w:rsidRPr="004C07BB" w:rsidRDefault="00A4069F" w:rsidP="004B40BC">
            <w:pPr>
              <w:spacing w:line="360" w:lineRule="auto"/>
              <w:ind w:firstLine="0"/>
              <w:jc w:val="center"/>
              <w:rPr>
                <w:rFonts w:ascii="Calibri" w:hAnsi="Calibri"/>
                <w:color w:val="000000"/>
              </w:rPr>
            </w:pPr>
          </w:p>
        </w:tc>
        <w:tc>
          <w:tcPr>
            <w:tcW w:w="1299" w:type="dxa"/>
            <w:vAlign w:val="center"/>
          </w:tcPr>
          <w:p w14:paraId="4A3C6683" w14:textId="501FDF6D" w:rsidR="00A4069F" w:rsidRPr="004C07BB" w:rsidRDefault="00543F94" w:rsidP="004B40BC">
            <w:pPr>
              <w:spacing w:line="360" w:lineRule="auto"/>
              <w:ind w:firstLine="0"/>
              <w:jc w:val="center"/>
              <w:rPr>
                <w:rFonts w:ascii="Calibri" w:hAnsi="Calibri"/>
                <w:color w:val="000000"/>
              </w:rPr>
            </w:pPr>
            <w:r>
              <w:rPr>
                <w:rFonts w:ascii="Calibri" w:hAnsi="Calibri"/>
                <w:color w:val="000000"/>
              </w:rPr>
              <w:t>591.3</w:t>
            </w:r>
          </w:p>
        </w:tc>
        <w:tc>
          <w:tcPr>
            <w:tcW w:w="1260" w:type="dxa"/>
            <w:vMerge/>
            <w:vAlign w:val="center"/>
          </w:tcPr>
          <w:p w14:paraId="0A358E61" w14:textId="77777777" w:rsidR="00A4069F" w:rsidRDefault="00A4069F" w:rsidP="004B40BC">
            <w:pPr>
              <w:spacing w:line="360" w:lineRule="auto"/>
              <w:ind w:firstLine="0"/>
              <w:jc w:val="center"/>
              <w:rPr>
                <w:rFonts w:cs="Times New Roman"/>
                <w:szCs w:val="24"/>
              </w:rPr>
            </w:pPr>
          </w:p>
        </w:tc>
      </w:tr>
      <w:tr w:rsidR="00A4069F" w14:paraId="6A8C4A01" w14:textId="77777777" w:rsidTr="004B40BC">
        <w:trPr>
          <w:jc w:val="center"/>
        </w:trPr>
        <w:tc>
          <w:tcPr>
            <w:tcW w:w="985" w:type="dxa"/>
            <w:vAlign w:val="center"/>
          </w:tcPr>
          <w:p w14:paraId="7D8CF705" w14:textId="77777777" w:rsidR="00A4069F" w:rsidRDefault="00A4069F" w:rsidP="004B40BC">
            <w:pPr>
              <w:spacing w:line="360" w:lineRule="auto"/>
              <w:ind w:firstLine="0"/>
              <w:jc w:val="center"/>
              <w:rPr>
                <w:rFonts w:cs="Times New Roman"/>
                <w:szCs w:val="24"/>
              </w:rPr>
            </w:pPr>
          </w:p>
        </w:tc>
        <w:tc>
          <w:tcPr>
            <w:tcW w:w="12328" w:type="dxa"/>
            <w:gridSpan w:val="10"/>
            <w:vAlign w:val="center"/>
          </w:tcPr>
          <w:p w14:paraId="23ED8822" w14:textId="77777777" w:rsidR="00A4069F" w:rsidRDefault="00A4069F" w:rsidP="004B40BC">
            <w:pPr>
              <w:spacing w:line="360" w:lineRule="auto"/>
              <w:ind w:firstLine="0"/>
              <w:jc w:val="center"/>
              <w:rPr>
                <w:rFonts w:cs="Times New Roman"/>
                <w:szCs w:val="24"/>
              </w:rPr>
            </w:pPr>
            <w:r>
              <w:rPr>
                <w:rFonts w:cs="Times New Roman"/>
                <w:szCs w:val="24"/>
              </w:rPr>
              <w:t xml:space="preserve">@127 </w:t>
            </w:r>
            <w:r w:rsidRPr="00324C24">
              <w:rPr>
                <w:rFonts w:cs="Times New Roman"/>
                <w:szCs w:val="24"/>
              </w:rPr>
              <w:t>°C</w:t>
            </w:r>
            <w:r>
              <w:rPr>
                <w:rFonts w:cs="Times New Roman"/>
                <w:szCs w:val="24"/>
              </w:rPr>
              <w:t xml:space="preserve"> under 50 psi for 3hr @177 </w:t>
            </w:r>
            <w:r w:rsidRPr="00324C24">
              <w:rPr>
                <w:rFonts w:cs="Times New Roman"/>
                <w:szCs w:val="24"/>
              </w:rPr>
              <w:t>°C</w:t>
            </w:r>
            <w:r>
              <w:rPr>
                <w:rFonts w:cs="Times New Roman"/>
                <w:szCs w:val="24"/>
              </w:rPr>
              <w:t xml:space="preserve"> under 50 psi for 3hr</w:t>
            </w:r>
          </w:p>
        </w:tc>
      </w:tr>
      <w:tr w:rsidR="00A4069F" w14:paraId="00A582F0" w14:textId="77777777" w:rsidTr="004B40BC">
        <w:trPr>
          <w:jc w:val="center"/>
        </w:trPr>
        <w:tc>
          <w:tcPr>
            <w:tcW w:w="985" w:type="dxa"/>
            <w:vAlign w:val="center"/>
          </w:tcPr>
          <w:p w14:paraId="22FFF769" w14:textId="77777777" w:rsidR="00A4069F" w:rsidRDefault="00A4069F" w:rsidP="004B40BC">
            <w:pPr>
              <w:spacing w:line="360" w:lineRule="auto"/>
              <w:ind w:firstLine="0"/>
              <w:jc w:val="center"/>
              <w:rPr>
                <w:rFonts w:cs="Times New Roman"/>
                <w:szCs w:val="24"/>
              </w:rPr>
            </w:pPr>
          </w:p>
        </w:tc>
        <w:tc>
          <w:tcPr>
            <w:tcW w:w="1980" w:type="dxa"/>
            <w:vAlign w:val="center"/>
          </w:tcPr>
          <w:p w14:paraId="50C331F6"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D(</m:t>
                </m:r>
                <m:f>
                  <m:fPr>
                    <m:type m:val="lin"/>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mm</m:t>
                        </m:r>
                      </m:e>
                      <m:sup>
                        <m:r>
                          <w:rPr>
                            <w:rFonts w:ascii="Cambria Math" w:hAnsi="Cambria Math" w:cs="Times New Roman"/>
                            <w:szCs w:val="24"/>
                          </w:rPr>
                          <m:t>2</m:t>
                        </m:r>
                      </m:sup>
                    </m:sSup>
                  </m:num>
                  <m:den>
                    <m:r>
                      <w:rPr>
                        <w:rFonts w:ascii="Cambria Math" w:hAnsi="Cambria Math" w:cs="Times New Roman"/>
                        <w:szCs w:val="24"/>
                      </w:rPr>
                      <m:t>hr)</m:t>
                    </m:r>
                  </m:den>
                </m:f>
                <m:r>
                  <m:rPr>
                    <m:sty m:val="p"/>
                  </m:rPr>
                  <w:rPr>
                    <w:rFonts w:ascii="Cambria Math" w:hAnsi="Cambria Math" w:cs="Times New Roman"/>
                    <w:szCs w:val="24"/>
                  </w:rPr>
                  <w:br/>
                </m:r>
              </m:oMath>
              <m:oMath>
                <m:r>
                  <w:rPr>
                    <w:rFonts w:ascii="Cambria Math" w:hAnsi="Cambria Math" w:cs="Times New Roman"/>
                    <w:szCs w:val="24"/>
                  </w:rPr>
                  <m:t xml:space="preserve"> 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tc>
        <w:tc>
          <w:tcPr>
            <w:tcW w:w="1080" w:type="dxa"/>
            <w:vAlign w:val="center"/>
          </w:tcPr>
          <w:p w14:paraId="6B609AC2"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β</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hr</m:t>
                        </m:r>
                      </m:e>
                      <m:sup>
                        <m:r>
                          <w:rPr>
                            <w:rFonts w:ascii="Cambria Math" w:hAnsi="Cambria Math" w:cs="Times New Roman"/>
                            <w:szCs w:val="24"/>
                          </w:rPr>
                          <m:t>-1</m:t>
                        </m:r>
                      </m:sup>
                    </m:sSup>
                  </m:e>
                </m:d>
                <m:r>
                  <m:rPr>
                    <m:sty m:val="p"/>
                  </m:rPr>
                  <w:rPr>
                    <w:rFonts w:ascii="Cambria Math" w:hAnsi="Cambria Math" w:cs="Times New Roman"/>
                    <w:szCs w:val="24"/>
                  </w:rPr>
                  <w:br/>
                </m:r>
              </m:oMath>
              <m:oMath>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3</m:t>
                    </m:r>
                  </m:sup>
                </m:sSup>
              </m:oMath>
            </m:oMathPara>
          </w:p>
        </w:tc>
        <w:tc>
          <w:tcPr>
            <w:tcW w:w="1080" w:type="dxa"/>
            <w:vAlign w:val="center"/>
          </w:tcPr>
          <w:p w14:paraId="741DEFFF"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γ</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hr</m:t>
                        </m:r>
                      </m:e>
                      <m:sup>
                        <m:r>
                          <w:rPr>
                            <w:rFonts w:ascii="Cambria Math" w:hAnsi="Cambria Math" w:cs="Times New Roman"/>
                            <w:szCs w:val="24"/>
                          </w:rPr>
                          <m:t>-1</m:t>
                        </m:r>
                      </m:sup>
                    </m:sSup>
                  </m:e>
                </m:d>
                <m:r>
                  <m:rPr>
                    <m:sty m:val="p"/>
                  </m:rPr>
                  <w:rPr>
                    <w:rFonts w:ascii="Cambria Math" w:hAnsi="Cambria Math" w:cs="Times New Roman"/>
                    <w:szCs w:val="24"/>
                  </w:rPr>
                  <w:br/>
                </m:r>
              </m:oMath>
              <m:oMath>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tc>
        <w:tc>
          <w:tcPr>
            <w:tcW w:w="859" w:type="dxa"/>
            <w:vAlign w:val="center"/>
          </w:tcPr>
          <w:p w14:paraId="3B8CFCA7"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ζ</m:t>
                </m:r>
              </m:oMath>
            </m:oMathPara>
          </w:p>
        </w:tc>
        <w:tc>
          <w:tcPr>
            <w:tcW w:w="939" w:type="dxa"/>
            <w:vAlign w:val="center"/>
          </w:tcPr>
          <w:p w14:paraId="2AC5659D" w14:textId="77777777" w:rsidR="00A4069F" w:rsidRDefault="00A4069F" w:rsidP="004B40BC">
            <w:pPr>
              <w:spacing w:line="360" w:lineRule="auto"/>
              <w:ind w:firstLine="0"/>
              <w:jc w:val="center"/>
              <w:rPr>
                <w:rFonts w:cs="Times New Roman"/>
                <w:szCs w:val="24"/>
              </w:rPr>
            </w:pPr>
            <m:oMathPara>
              <m:oMath>
                <m:r>
                  <w:rPr>
                    <w:rFonts w:ascii="Cambria Math" w:hAnsi="Cambria Math" w:cs="Times New Roman"/>
                    <w:szCs w:val="24"/>
                  </w:rPr>
                  <m:t>µ</m:t>
                </m:r>
              </m:oMath>
            </m:oMathPara>
          </w:p>
        </w:tc>
        <w:tc>
          <w:tcPr>
            <w:tcW w:w="1260" w:type="dxa"/>
            <w:vAlign w:val="center"/>
          </w:tcPr>
          <w:p w14:paraId="71D814CB" w14:textId="77777777" w:rsidR="00A4069F" w:rsidRDefault="007B3686" w:rsidP="004B40BC">
            <w:pPr>
              <w:spacing w:line="36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r>
                  <w:rPr>
                    <w:rFonts w:ascii="Cambria Math" w:hAnsi="Cambria Math" w:cs="Times New Roman"/>
                    <w:szCs w:val="24"/>
                  </w:rPr>
                  <m:t>(wt%)</m:t>
                </m:r>
              </m:oMath>
            </m:oMathPara>
          </w:p>
        </w:tc>
        <w:tc>
          <w:tcPr>
            <w:tcW w:w="1440" w:type="dxa"/>
            <w:vAlign w:val="center"/>
          </w:tcPr>
          <w:p w14:paraId="09A2AB02"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∞,unbound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131" w:type="dxa"/>
            <w:vAlign w:val="center"/>
          </w:tcPr>
          <w:p w14:paraId="4087178F"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∞,bound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299" w:type="dxa"/>
            <w:vAlign w:val="center"/>
          </w:tcPr>
          <w:p w14:paraId="199FACC2" w14:textId="77777777" w:rsidR="00A4069F" w:rsidRDefault="007B3686" w:rsidP="004B40BC">
            <w:pPr>
              <w:spacing w:line="360" w:lineRule="auto"/>
              <w:ind w:firstLine="0"/>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∞,trapped</m:t>
                    </m:r>
                  </m:sub>
                </m:sSub>
                <m:r>
                  <m:rPr>
                    <m:sty m:val="p"/>
                  </m:rPr>
                  <w:rPr>
                    <w:rFonts w:ascii="Cambria Math" w:hAnsi="Cambria Math" w:cs="Times New Roman"/>
                    <w:szCs w:val="24"/>
                  </w:rPr>
                  <w:br/>
                </m:r>
              </m:oMath>
              <m:oMath>
                <m:r>
                  <w:rPr>
                    <w:rFonts w:ascii="Cambria Math" w:hAnsi="Cambria Math" w:cs="Times New Roman"/>
                    <w:szCs w:val="24"/>
                  </w:rPr>
                  <m:t>(wt%)</m:t>
                </m:r>
              </m:oMath>
            </m:oMathPara>
          </w:p>
        </w:tc>
        <w:tc>
          <w:tcPr>
            <w:tcW w:w="1260" w:type="dxa"/>
            <w:vAlign w:val="center"/>
          </w:tcPr>
          <w:p w14:paraId="1DB33FDB" w14:textId="77777777" w:rsidR="00A4069F" w:rsidRPr="00133B38" w:rsidRDefault="00A4069F" w:rsidP="004B40BC">
            <w:pPr>
              <w:spacing w:line="360" w:lineRule="auto"/>
              <w:ind w:firstLine="0"/>
              <w:jc w:val="center"/>
              <w:rPr>
                <w:rFonts w:eastAsia="Calibri" w:cs="Times New Roman"/>
                <w:szCs w:val="24"/>
              </w:rPr>
            </w:pPr>
            <w:r>
              <w:rPr>
                <w:rFonts w:eastAsia="Calibri" w:cs="Times New Roman"/>
                <w:szCs w:val="24"/>
              </w:rPr>
              <w:t>RMS/data</w:t>
            </w:r>
          </w:p>
        </w:tc>
      </w:tr>
      <w:tr w:rsidR="00A4069F" w14:paraId="63ABF006" w14:textId="77777777" w:rsidTr="004B40BC">
        <w:trPr>
          <w:jc w:val="center"/>
        </w:trPr>
        <w:tc>
          <w:tcPr>
            <w:tcW w:w="985" w:type="dxa"/>
            <w:vAlign w:val="center"/>
          </w:tcPr>
          <w:p w14:paraId="689CE483" w14:textId="77777777" w:rsidR="00A4069F" w:rsidRDefault="00A4069F" w:rsidP="004B40BC">
            <w:pPr>
              <w:spacing w:line="360" w:lineRule="auto"/>
              <w:ind w:firstLine="0"/>
              <w:jc w:val="center"/>
              <w:rPr>
                <w:rFonts w:cs="Times New Roman"/>
                <w:szCs w:val="24"/>
              </w:rPr>
            </w:pPr>
            <w:r>
              <w:rPr>
                <w:rFonts w:cs="Times New Roman"/>
                <w:szCs w:val="24"/>
              </w:rPr>
              <w:t>R3-50</w:t>
            </w:r>
          </w:p>
        </w:tc>
        <w:tc>
          <w:tcPr>
            <w:tcW w:w="1980" w:type="dxa"/>
            <w:vMerge w:val="restart"/>
            <w:vAlign w:val="center"/>
          </w:tcPr>
          <w:p w14:paraId="65F75FB0" w14:textId="1C40BA04" w:rsidR="00A4069F" w:rsidRDefault="00543F94" w:rsidP="004B40BC">
            <w:pPr>
              <w:spacing w:line="360" w:lineRule="auto"/>
              <w:ind w:firstLine="0"/>
              <w:jc w:val="center"/>
              <w:rPr>
                <w:rFonts w:ascii="Calibri" w:hAnsi="Calibri"/>
                <w:color w:val="000000"/>
              </w:rPr>
            </w:pPr>
            <w:r>
              <w:rPr>
                <w:rFonts w:ascii="Calibri" w:hAnsi="Calibri"/>
                <w:color w:val="000000"/>
              </w:rPr>
              <w:t>2.84</w:t>
            </w:r>
          </w:p>
        </w:tc>
        <w:tc>
          <w:tcPr>
            <w:tcW w:w="1080" w:type="dxa"/>
            <w:vMerge w:val="restart"/>
            <w:vAlign w:val="center"/>
          </w:tcPr>
          <w:p w14:paraId="5E1ED008" w14:textId="28BB87C1" w:rsidR="00A4069F" w:rsidRDefault="00543F94" w:rsidP="004B40BC">
            <w:pPr>
              <w:spacing w:line="360" w:lineRule="auto"/>
              <w:ind w:firstLine="0"/>
              <w:jc w:val="center"/>
              <w:rPr>
                <w:rFonts w:ascii="Calibri" w:hAnsi="Calibri"/>
                <w:color w:val="000000"/>
              </w:rPr>
            </w:pPr>
            <w:r>
              <w:rPr>
                <w:rFonts w:ascii="Calibri" w:hAnsi="Calibri"/>
                <w:color w:val="000000"/>
              </w:rPr>
              <w:t>1.85</w:t>
            </w:r>
          </w:p>
        </w:tc>
        <w:tc>
          <w:tcPr>
            <w:tcW w:w="1080" w:type="dxa"/>
            <w:vMerge w:val="restart"/>
            <w:vAlign w:val="center"/>
          </w:tcPr>
          <w:p w14:paraId="5F1FAEBA" w14:textId="4E372F5B" w:rsidR="00A4069F" w:rsidRDefault="00543F94" w:rsidP="004B40BC">
            <w:pPr>
              <w:spacing w:line="360" w:lineRule="auto"/>
              <w:ind w:firstLine="0"/>
              <w:jc w:val="center"/>
              <w:rPr>
                <w:rFonts w:ascii="Calibri" w:hAnsi="Calibri"/>
                <w:color w:val="000000"/>
              </w:rPr>
            </w:pPr>
            <w:r>
              <w:rPr>
                <w:rFonts w:ascii="Calibri" w:hAnsi="Calibri"/>
                <w:color w:val="000000"/>
              </w:rPr>
              <w:t>2.49</w:t>
            </w:r>
          </w:p>
        </w:tc>
        <w:tc>
          <w:tcPr>
            <w:tcW w:w="859" w:type="dxa"/>
            <w:vAlign w:val="center"/>
          </w:tcPr>
          <w:p w14:paraId="5D7EFE05" w14:textId="424CDA33" w:rsidR="00A4069F" w:rsidRDefault="00A4069F" w:rsidP="004B40BC">
            <w:pPr>
              <w:spacing w:line="360" w:lineRule="auto"/>
              <w:ind w:firstLine="0"/>
              <w:jc w:val="center"/>
              <w:rPr>
                <w:rFonts w:ascii="Calibri" w:hAnsi="Calibri"/>
                <w:color w:val="000000"/>
              </w:rPr>
            </w:pPr>
            <w:r>
              <w:rPr>
                <w:rFonts w:ascii="Calibri" w:hAnsi="Calibri"/>
                <w:color w:val="000000"/>
              </w:rPr>
              <w:t>1.12</w:t>
            </w:r>
          </w:p>
        </w:tc>
        <w:tc>
          <w:tcPr>
            <w:tcW w:w="939" w:type="dxa"/>
            <w:vMerge w:val="restart"/>
            <w:vAlign w:val="center"/>
          </w:tcPr>
          <w:p w14:paraId="6BE3E798" w14:textId="2AC6FBBD" w:rsidR="00A4069F" w:rsidRDefault="00543F94" w:rsidP="004B40BC">
            <w:pPr>
              <w:spacing w:line="360" w:lineRule="auto"/>
              <w:ind w:firstLine="0"/>
              <w:jc w:val="center"/>
              <w:rPr>
                <w:rFonts w:ascii="Calibri" w:hAnsi="Calibri"/>
                <w:color w:val="000000"/>
              </w:rPr>
            </w:pPr>
            <w:r>
              <w:rPr>
                <w:rFonts w:ascii="Calibri" w:hAnsi="Calibri"/>
                <w:color w:val="000000"/>
              </w:rPr>
              <w:t>13.44</w:t>
            </w:r>
          </w:p>
        </w:tc>
        <w:tc>
          <w:tcPr>
            <w:tcW w:w="1260" w:type="dxa"/>
            <w:vAlign w:val="center"/>
          </w:tcPr>
          <w:p w14:paraId="2138B3FF" w14:textId="6864C9B7" w:rsidR="00A4069F" w:rsidRDefault="00543F94" w:rsidP="00A4069F">
            <w:pPr>
              <w:spacing w:line="360" w:lineRule="auto"/>
              <w:ind w:firstLine="0"/>
              <w:jc w:val="center"/>
              <w:rPr>
                <w:rFonts w:ascii="Calibri" w:hAnsi="Calibri"/>
                <w:color w:val="000000"/>
              </w:rPr>
            </w:pPr>
            <w:r>
              <w:rPr>
                <w:rFonts w:ascii="Calibri" w:hAnsi="Calibri"/>
                <w:color w:val="000000"/>
              </w:rPr>
              <w:t>384.6</w:t>
            </w:r>
          </w:p>
        </w:tc>
        <w:tc>
          <w:tcPr>
            <w:tcW w:w="1440" w:type="dxa"/>
            <w:vMerge w:val="restart"/>
            <w:vAlign w:val="center"/>
          </w:tcPr>
          <w:p w14:paraId="175E0831" w14:textId="5F0542C8" w:rsidR="00A4069F" w:rsidRDefault="00543F94" w:rsidP="004B40BC">
            <w:pPr>
              <w:spacing w:line="360" w:lineRule="auto"/>
              <w:ind w:firstLine="0"/>
              <w:jc w:val="center"/>
              <w:rPr>
                <w:rFonts w:ascii="Calibri" w:hAnsi="Calibri"/>
                <w:color w:val="000000"/>
              </w:rPr>
            </w:pPr>
            <w:r>
              <w:rPr>
                <w:rFonts w:ascii="Calibri" w:hAnsi="Calibri"/>
                <w:color w:val="000000"/>
              </w:rPr>
              <w:t>13.0</w:t>
            </w:r>
          </w:p>
        </w:tc>
        <w:tc>
          <w:tcPr>
            <w:tcW w:w="1131" w:type="dxa"/>
            <w:vMerge w:val="restart"/>
            <w:vAlign w:val="center"/>
          </w:tcPr>
          <w:p w14:paraId="0D6D0F61" w14:textId="1161428B" w:rsidR="00A4069F" w:rsidRDefault="00543F94" w:rsidP="004B40BC">
            <w:pPr>
              <w:spacing w:line="360" w:lineRule="auto"/>
              <w:ind w:firstLine="0"/>
              <w:jc w:val="center"/>
              <w:rPr>
                <w:rFonts w:ascii="Calibri" w:hAnsi="Calibri"/>
                <w:color w:val="000000"/>
              </w:rPr>
            </w:pPr>
            <w:r>
              <w:rPr>
                <w:rFonts w:ascii="Calibri" w:hAnsi="Calibri"/>
                <w:color w:val="000000"/>
              </w:rPr>
              <w:t>175</w:t>
            </w:r>
            <w:r w:rsidR="00A4069F">
              <w:rPr>
                <w:rFonts w:ascii="Calibri" w:hAnsi="Calibri"/>
                <w:color w:val="000000"/>
              </w:rPr>
              <w:t>.0</w:t>
            </w:r>
          </w:p>
        </w:tc>
        <w:tc>
          <w:tcPr>
            <w:tcW w:w="1299" w:type="dxa"/>
            <w:vAlign w:val="center"/>
          </w:tcPr>
          <w:p w14:paraId="2BF3ABF8" w14:textId="0C4EB55E" w:rsidR="00A4069F" w:rsidRDefault="00543F94" w:rsidP="004B40BC">
            <w:pPr>
              <w:spacing w:line="360" w:lineRule="auto"/>
              <w:ind w:firstLine="0"/>
              <w:jc w:val="center"/>
              <w:rPr>
                <w:rFonts w:ascii="Calibri" w:hAnsi="Calibri"/>
                <w:color w:val="000000"/>
              </w:rPr>
            </w:pPr>
            <w:r>
              <w:rPr>
                <w:rFonts w:ascii="Calibri" w:hAnsi="Calibri"/>
                <w:color w:val="000000"/>
              </w:rPr>
              <w:t>196.6</w:t>
            </w:r>
          </w:p>
        </w:tc>
        <w:tc>
          <w:tcPr>
            <w:tcW w:w="1260" w:type="dxa"/>
            <w:vMerge w:val="restart"/>
            <w:vAlign w:val="center"/>
          </w:tcPr>
          <w:p w14:paraId="3E19179E" w14:textId="6BD585D7" w:rsidR="00A4069F" w:rsidRDefault="00543F94" w:rsidP="004B40BC">
            <w:pPr>
              <w:spacing w:line="360" w:lineRule="auto"/>
              <w:ind w:firstLine="0"/>
              <w:jc w:val="center"/>
              <w:rPr>
                <w:rFonts w:ascii="Calibri" w:hAnsi="Calibri"/>
                <w:color w:val="000000"/>
              </w:rPr>
            </w:pPr>
            <w:r>
              <w:rPr>
                <w:rFonts w:ascii="Calibri" w:hAnsi="Calibri"/>
                <w:color w:val="000000"/>
              </w:rPr>
              <w:t>0.016</w:t>
            </w:r>
          </w:p>
        </w:tc>
      </w:tr>
      <w:tr w:rsidR="00A4069F" w14:paraId="10925007" w14:textId="77777777" w:rsidTr="004B40BC">
        <w:trPr>
          <w:jc w:val="center"/>
        </w:trPr>
        <w:tc>
          <w:tcPr>
            <w:tcW w:w="985" w:type="dxa"/>
            <w:vAlign w:val="center"/>
          </w:tcPr>
          <w:p w14:paraId="5623F809" w14:textId="77777777" w:rsidR="00A4069F" w:rsidRDefault="00A4069F" w:rsidP="004B40BC">
            <w:pPr>
              <w:spacing w:line="360" w:lineRule="auto"/>
              <w:ind w:firstLine="0"/>
              <w:jc w:val="center"/>
              <w:rPr>
                <w:rFonts w:cs="Times New Roman"/>
                <w:szCs w:val="24"/>
              </w:rPr>
            </w:pPr>
            <w:r>
              <w:rPr>
                <w:rFonts w:cs="Times New Roman"/>
                <w:szCs w:val="24"/>
              </w:rPr>
              <w:t>R6-50</w:t>
            </w:r>
          </w:p>
        </w:tc>
        <w:tc>
          <w:tcPr>
            <w:tcW w:w="1980" w:type="dxa"/>
            <w:vMerge/>
            <w:vAlign w:val="center"/>
          </w:tcPr>
          <w:p w14:paraId="3CEF53A7" w14:textId="77777777" w:rsidR="00A4069F" w:rsidRDefault="00A4069F" w:rsidP="004B40BC">
            <w:pPr>
              <w:spacing w:line="360" w:lineRule="auto"/>
              <w:ind w:firstLine="0"/>
              <w:jc w:val="center"/>
              <w:rPr>
                <w:rFonts w:cs="Times New Roman"/>
                <w:szCs w:val="24"/>
              </w:rPr>
            </w:pPr>
          </w:p>
        </w:tc>
        <w:tc>
          <w:tcPr>
            <w:tcW w:w="1080" w:type="dxa"/>
            <w:vMerge/>
            <w:vAlign w:val="center"/>
          </w:tcPr>
          <w:p w14:paraId="4468F41A" w14:textId="77777777" w:rsidR="00A4069F" w:rsidRDefault="00A4069F" w:rsidP="004B40BC">
            <w:pPr>
              <w:spacing w:line="360" w:lineRule="auto"/>
              <w:ind w:firstLine="0"/>
              <w:jc w:val="center"/>
              <w:rPr>
                <w:rFonts w:cs="Times New Roman"/>
                <w:szCs w:val="24"/>
              </w:rPr>
            </w:pPr>
          </w:p>
        </w:tc>
        <w:tc>
          <w:tcPr>
            <w:tcW w:w="1080" w:type="dxa"/>
            <w:vMerge/>
            <w:vAlign w:val="center"/>
          </w:tcPr>
          <w:p w14:paraId="09695966" w14:textId="77777777" w:rsidR="00A4069F" w:rsidRDefault="00A4069F" w:rsidP="004B40BC">
            <w:pPr>
              <w:spacing w:line="360" w:lineRule="auto"/>
              <w:ind w:firstLine="0"/>
              <w:jc w:val="center"/>
              <w:rPr>
                <w:rFonts w:cs="Times New Roman"/>
                <w:szCs w:val="24"/>
              </w:rPr>
            </w:pPr>
          </w:p>
        </w:tc>
        <w:tc>
          <w:tcPr>
            <w:tcW w:w="859" w:type="dxa"/>
            <w:vAlign w:val="center"/>
          </w:tcPr>
          <w:p w14:paraId="29974A44" w14:textId="6F3344AD" w:rsidR="00A4069F" w:rsidRDefault="00A4069F" w:rsidP="004B40BC">
            <w:pPr>
              <w:spacing w:line="360" w:lineRule="auto"/>
              <w:ind w:firstLine="0"/>
              <w:jc w:val="center"/>
              <w:rPr>
                <w:rFonts w:ascii="Calibri" w:hAnsi="Calibri"/>
                <w:color w:val="000000"/>
              </w:rPr>
            </w:pPr>
            <w:r>
              <w:rPr>
                <w:rFonts w:ascii="Calibri" w:hAnsi="Calibri"/>
                <w:color w:val="000000"/>
              </w:rPr>
              <w:t>1.65</w:t>
            </w:r>
          </w:p>
        </w:tc>
        <w:tc>
          <w:tcPr>
            <w:tcW w:w="939" w:type="dxa"/>
            <w:vMerge/>
            <w:vAlign w:val="center"/>
          </w:tcPr>
          <w:p w14:paraId="2C08CCA0" w14:textId="77777777" w:rsidR="00A4069F" w:rsidRDefault="00A4069F" w:rsidP="004B40BC">
            <w:pPr>
              <w:spacing w:line="360" w:lineRule="auto"/>
              <w:ind w:firstLine="0"/>
              <w:jc w:val="center"/>
              <w:rPr>
                <w:rFonts w:cs="Times New Roman"/>
                <w:szCs w:val="24"/>
              </w:rPr>
            </w:pPr>
          </w:p>
        </w:tc>
        <w:tc>
          <w:tcPr>
            <w:tcW w:w="1260" w:type="dxa"/>
            <w:vAlign w:val="center"/>
          </w:tcPr>
          <w:p w14:paraId="689ED942" w14:textId="4C573B6C" w:rsidR="00A4069F" w:rsidRDefault="00543F94" w:rsidP="00A4069F">
            <w:pPr>
              <w:spacing w:line="360" w:lineRule="auto"/>
              <w:ind w:firstLine="0"/>
              <w:jc w:val="center"/>
              <w:rPr>
                <w:rFonts w:cs="Times New Roman"/>
                <w:szCs w:val="24"/>
              </w:rPr>
            </w:pPr>
            <w:r>
              <w:rPr>
                <w:rFonts w:ascii="Calibri" w:hAnsi="Calibri"/>
                <w:color w:val="000000"/>
              </w:rPr>
              <w:t>476.0</w:t>
            </w:r>
          </w:p>
        </w:tc>
        <w:tc>
          <w:tcPr>
            <w:tcW w:w="1440" w:type="dxa"/>
            <w:vMerge/>
            <w:vAlign w:val="center"/>
          </w:tcPr>
          <w:p w14:paraId="3101AF97" w14:textId="77777777" w:rsidR="00A4069F" w:rsidRDefault="00A4069F" w:rsidP="004B40BC">
            <w:pPr>
              <w:spacing w:line="360" w:lineRule="auto"/>
              <w:ind w:firstLine="0"/>
              <w:jc w:val="center"/>
              <w:rPr>
                <w:rFonts w:cs="Times New Roman"/>
                <w:szCs w:val="24"/>
              </w:rPr>
            </w:pPr>
          </w:p>
        </w:tc>
        <w:tc>
          <w:tcPr>
            <w:tcW w:w="1131" w:type="dxa"/>
            <w:vMerge/>
            <w:vAlign w:val="center"/>
          </w:tcPr>
          <w:p w14:paraId="28B9FBF0" w14:textId="77777777" w:rsidR="00A4069F" w:rsidRDefault="00A4069F" w:rsidP="004B40BC">
            <w:pPr>
              <w:spacing w:line="360" w:lineRule="auto"/>
              <w:ind w:firstLine="0"/>
              <w:jc w:val="center"/>
              <w:rPr>
                <w:rFonts w:cs="Times New Roman"/>
                <w:szCs w:val="24"/>
              </w:rPr>
            </w:pPr>
          </w:p>
        </w:tc>
        <w:tc>
          <w:tcPr>
            <w:tcW w:w="1299" w:type="dxa"/>
            <w:vAlign w:val="center"/>
          </w:tcPr>
          <w:p w14:paraId="0202F5FE" w14:textId="3BE407AA" w:rsidR="00A4069F" w:rsidRDefault="00543F94" w:rsidP="004B40BC">
            <w:pPr>
              <w:spacing w:line="360" w:lineRule="auto"/>
              <w:ind w:firstLine="0"/>
              <w:jc w:val="center"/>
              <w:rPr>
                <w:rFonts w:cs="Times New Roman"/>
                <w:szCs w:val="24"/>
              </w:rPr>
            </w:pPr>
            <w:r>
              <w:rPr>
                <w:rFonts w:ascii="Calibri" w:hAnsi="Calibri"/>
                <w:color w:val="000000"/>
              </w:rPr>
              <w:t>288.1</w:t>
            </w:r>
          </w:p>
        </w:tc>
        <w:tc>
          <w:tcPr>
            <w:tcW w:w="1260" w:type="dxa"/>
            <w:vMerge/>
            <w:vAlign w:val="center"/>
          </w:tcPr>
          <w:p w14:paraId="46A3AF8B" w14:textId="77777777" w:rsidR="00A4069F" w:rsidRDefault="00A4069F" w:rsidP="004B40BC">
            <w:pPr>
              <w:spacing w:line="360" w:lineRule="auto"/>
              <w:ind w:firstLine="0"/>
              <w:jc w:val="center"/>
              <w:rPr>
                <w:rFonts w:cs="Times New Roman"/>
                <w:szCs w:val="24"/>
              </w:rPr>
            </w:pPr>
          </w:p>
        </w:tc>
      </w:tr>
      <w:tr w:rsidR="00A4069F" w14:paraId="44D71F1B" w14:textId="77777777" w:rsidTr="004B40BC">
        <w:trPr>
          <w:jc w:val="center"/>
        </w:trPr>
        <w:tc>
          <w:tcPr>
            <w:tcW w:w="985" w:type="dxa"/>
            <w:vAlign w:val="center"/>
          </w:tcPr>
          <w:p w14:paraId="5814CF91" w14:textId="77777777" w:rsidR="00A4069F" w:rsidRDefault="00A4069F" w:rsidP="004B40BC">
            <w:pPr>
              <w:spacing w:line="360" w:lineRule="auto"/>
              <w:ind w:firstLine="0"/>
              <w:jc w:val="center"/>
              <w:rPr>
                <w:rFonts w:cs="Times New Roman"/>
                <w:szCs w:val="24"/>
              </w:rPr>
            </w:pPr>
            <w:r>
              <w:rPr>
                <w:rFonts w:cs="Times New Roman"/>
                <w:szCs w:val="24"/>
              </w:rPr>
              <w:t>R9-50</w:t>
            </w:r>
          </w:p>
        </w:tc>
        <w:tc>
          <w:tcPr>
            <w:tcW w:w="1980" w:type="dxa"/>
            <w:vMerge/>
            <w:vAlign w:val="center"/>
          </w:tcPr>
          <w:p w14:paraId="316BE244" w14:textId="77777777" w:rsidR="00A4069F" w:rsidRDefault="00A4069F" w:rsidP="004B40BC">
            <w:pPr>
              <w:spacing w:line="360" w:lineRule="auto"/>
              <w:ind w:firstLine="0"/>
              <w:jc w:val="center"/>
              <w:rPr>
                <w:rFonts w:cs="Times New Roman"/>
                <w:szCs w:val="24"/>
              </w:rPr>
            </w:pPr>
          </w:p>
        </w:tc>
        <w:tc>
          <w:tcPr>
            <w:tcW w:w="1080" w:type="dxa"/>
            <w:vMerge/>
            <w:vAlign w:val="center"/>
          </w:tcPr>
          <w:p w14:paraId="12D41675" w14:textId="77777777" w:rsidR="00A4069F" w:rsidRDefault="00A4069F" w:rsidP="004B40BC">
            <w:pPr>
              <w:spacing w:line="360" w:lineRule="auto"/>
              <w:ind w:firstLine="0"/>
              <w:jc w:val="center"/>
              <w:rPr>
                <w:rFonts w:cs="Times New Roman"/>
                <w:szCs w:val="24"/>
              </w:rPr>
            </w:pPr>
          </w:p>
        </w:tc>
        <w:tc>
          <w:tcPr>
            <w:tcW w:w="1080" w:type="dxa"/>
            <w:vMerge/>
            <w:vAlign w:val="center"/>
          </w:tcPr>
          <w:p w14:paraId="6D6E527B" w14:textId="77777777" w:rsidR="00A4069F" w:rsidRDefault="00A4069F" w:rsidP="004B40BC">
            <w:pPr>
              <w:spacing w:line="360" w:lineRule="auto"/>
              <w:ind w:firstLine="0"/>
              <w:jc w:val="center"/>
              <w:rPr>
                <w:rFonts w:cs="Times New Roman"/>
                <w:szCs w:val="24"/>
              </w:rPr>
            </w:pPr>
          </w:p>
        </w:tc>
        <w:tc>
          <w:tcPr>
            <w:tcW w:w="859" w:type="dxa"/>
            <w:vAlign w:val="center"/>
          </w:tcPr>
          <w:p w14:paraId="3C5F1991" w14:textId="24597B86" w:rsidR="00A4069F" w:rsidRDefault="00A4069F" w:rsidP="004B40BC">
            <w:pPr>
              <w:spacing w:line="360" w:lineRule="auto"/>
              <w:ind w:firstLine="0"/>
              <w:jc w:val="center"/>
              <w:rPr>
                <w:rFonts w:ascii="Calibri" w:hAnsi="Calibri"/>
                <w:color w:val="000000"/>
              </w:rPr>
            </w:pPr>
            <w:r>
              <w:rPr>
                <w:rFonts w:ascii="Calibri" w:hAnsi="Calibri"/>
                <w:color w:val="000000"/>
              </w:rPr>
              <w:t>1.94</w:t>
            </w:r>
          </w:p>
        </w:tc>
        <w:tc>
          <w:tcPr>
            <w:tcW w:w="939" w:type="dxa"/>
            <w:vMerge/>
            <w:vAlign w:val="center"/>
          </w:tcPr>
          <w:p w14:paraId="2764A446" w14:textId="77777777" w:rsidR="00A4069F" w:rsidRDefault="00A4069F" w:rsidP="004B40BC">
            <w:pPr>
              <w:spacing w:line="360" w:lineRule="auto"/>
              <w:ind w:firstLine="0"/>
              <w:jc w:val="center"/>
              <w:rPr>
                <w:rFonts w:cs="Times New Roman"/>
                <w:szCs w:val="24"/>
              </w:rPr>
            </w:pPr>
          </w:p>
        </w:tc>
        <w:tc>
          <w:tcPr>
            <w:tcW w:w="1260" w:type="dxa"/>
            <w:vAlign w:val="center"/>
          </w:tcPr>
          <w:p w14:paraId="5AFEC7AD" w14:textId="077FD711" w:rsidR="00A4069F" w:rsidRDefault="00543F94" w:rsidP="00A4069F">
            <w:pPr>
              <w:spacing w:line="360" w:lineRule="auto"/>
              <w:ind w:firstLine="0"/>
              <w:jc w:val="center"/>
              <w:rPr>
                <w:rFonts w:cs="Times New Roman"/>
                <w:szCs w:val="24"/>
              </w:rPr>
            </w:pPr>
            <w:r>
              <w:rPr>
                <w:rFonts w:ascii="Calibri" w:hAnsi="Calibri"/>
                <w:color w:val="000000"/>
              </w:rPr>
              <w:t>528.0</w:t>
            </w:r>
          </w:p>
        </w:tc>
        <w:tc>
          <w:tcPr>
            <w:tcW w:w="1440" w:type="dxa"/>
            <w:vMerge/>
            <w:vAlign w:val="center"/>
          </w:tcPr>
          <w:p w14:paraId="7B3F252A" w14:textId="77777777" w:rsidR="00A4069F" w:rsidRDefault="00A4069F" w:rsidP="004B40BC">
            <w:pPr>
              <w:spacing w:line="360" w:lineRule="auto"/>
              <w:ind w:firstLine="0"/>
              <w:jc w:val="center"/>
              <w:rPr>
                <w:rFonts w:cs="Times New Roman"/>
                <w:szCs w:val="24"/>
              </w:rPr>
            </w:pPr>
          </w:p>
        </w:tc>
        <w:tc>
          <w:tcPr>
            <w:tcW w:w="1131" w:type="dxa"/>
            <w:vMerge/>
            <w:vAlign w:val="center"/>
          </w:tcPr>
          <w:p w14:paraId="4081BCFC" w14:textId="77777777" w:rsidR="00A4069F" w:rsidRDefault="00A4069F" w:rsidP="004B40BC">
            <w:pPr>
              <w:spacing w:line="360" w:lineRule="auto"/>
              <w:ind w:firstLine="0"/>
              <w:jc w:val="center"/>
              <w:rPr>
                <w:rFonts w:cs="Times New Roman"/>
                <w:szCs w:val="24"/>
              </w:rPr>
            </w:pPr>
          </w:p>
        </w:tc>
        <w:tc>
          <w:tcPr>
            <w:tcW w:w="1299" w:type="dxa"/>
            <w:vAlign w:val="center"/>
          </w:tcPr>
          <w:p w14:paraId="4C3BEBC8" w14:textId="3D8E482C" w:rsidR="00A4069F" w:rsidRDefault="00543F94" w:rsidP="00A4069F">
            <w:pPr>
              <w:spacing w:line="360" w:lineRule="auto"/>
              <w:ind w:firstLine="0"/>
              <w:jc w:val="center"/>
              <w:rPr>
                <w:rFonts w:cs="Times New Roman"/>
                <w:szCs w:val="24"/>
              </w:rPr>
            </w:pPr>
            <w:r>
              <w:rPr>
                <w:rFonts w:ascii="Calibri" w:hAnsi="Calibri"/>
                <w:color w:val="000000"/>
              </w:rPr>
              <w:t>340.0</w:t>
            </w:r>
          </w:p>
        </w:tc>
        <w:tc>
          <w:tcPr>
            <w:tcW w:w="1260" w:type="dxa"/>
            <w:vMerge/>
            <w:vAlign w:val="center"/>
          </w:tcPr>
          <w:p w14:paraId="31D14880" w14:textId="77777777" w:rsidR="00A4069F" w:rsidRDefault="00A4069F" w:rsidP="004B40BC">
            <w:pPr>
              <w:spacing w:line="360" w:lineRule="auto"/>
              <w:ind w:firstLine="0"/>
              <w:jc w:val="center"/>
              <w:rPr>
                <w:rFonts w:cs="Times New Roman"/>
                <w:szCs w:val="24"/>
              </w:rPr>
            </w:pPr>
          </w:p>
        </w:tc>
      </w:tr>
    </w:tbl>
    <w:p w14:paraId="464C7B9C" w14:textId="77777777" w:rsidR="00A4069F" w:rsidRDefault="00A4069F" w:rsidP="00B93B63">
      <w:pPr>
        <w:ind w:firstLine="0"/>
        <w:rPr>
          <w:rFonts w:cs="Times New Roman"/>
          <w:szCs w:val="24"/>
        </w:rPr>
        <w:sectPr w:rsidR="00A4069F" w:rsidSect="00A230BA">
          <w:pgSz w:w="15840" w:h="12240" w:orient="landscape"/>
          <w:pgMar w:top="2160" w:right="1440" w:bottom="1440" w:left="1440" w:header="720" w:footer="720" w:gutter="0"/>
          <w:cols w:space="720"/>
          <w:docGrid w:linePitch="360"/>
        </w:sectPr>
      </w:pPr>
    </w:p>
    <w:p w14:paraId="2A1B043A" w14:textId="6DAFF3B3" w:rsidR="00AB6491" w:rsidRDefault="00837C7A" w:rsidP="00682F7B">
      <w:pPr>
        <w:rPr>
          <w:szCs w:val="24"/>
        </w:rPr>
      </w:pPr>
      <w:r>
        <w:lastRenderedPageBreak/>
        <w:t xml:space="preserve">In </w:t>
      </w:r>
      <w:r>
        <w:fldChar w:fldCharType="begin"/>
      </w:r>
      <w:r>
        <w:instrText xml:space="preserve"> REF _Ref523931851 \h </w:instrText>
      </w:r>
      <w:r w:rsidR="00682F7B">
        <w:instrText xml:space="preserve"> \* MERGEFORMAT </w:instrText>
      </w:r>
      <w:r>
        <w:fldChar w:fldCharType="separate"/>
      </w:r>
      <w:r w:rsidR="006D52C2">
        <w:t xml:space="preserve">Table </w:t>
      </w:r>
      <w:r w:rsidR="006D52C2">
        <w:rPr>
          <w:noProof/>
        </w:rPr>
        <w:t>11</w:t>
      </w:r>
      <w:r>
        <w:fldChar w:fldCharType="end"/>
      </w:r>
      <w:r>
        <w:t>, absorption parameters of as-received and heat treated foams are separately tabulated. Thickness dep</w:t>
      </w:r>
      <w:r w:rsidR="008D74B8">
        <w:t xml:space="preserve">endence </w:t>
      </w:r>
      <w:r w:rsidR="00C546CE">
        <w:t xml:space="preserve">observed in mass gain data can be also noticed in absorption parameters. However, VFHDM resolves the thickness dependence by incorporating porosity and attributes the additional mass gain due void filling. In </w:t>
      </w:r>
      <w:r w:rsidR="00C546CE">
        <w:fldChar w:fldCharType="begin"/>
      </w:r>
      <w:r w:rsidR="00C546CE">
        <w:instrText xml:space="preserve"> REF _Ref523931851 \h </w:instrText>
      </w:r>
      <w:r w:rsidR="00682F7B">
        <w:instrText xml:space="preserve"> \* MERGEFORMAT </w:instrText>
      </w:r>
      <w:r w:rsidR="00C546CE">
        <w:fldChar w:fldCharType="separate"/>
      </w:r>
      <w:r w:rsidR="006D52C2">
        <w:t xml:space="preserve">Table </w:t>
      </w:r>
      <w:r w:rsidR="006D52C2">
        <w:rPr>
          <w:noProof/>
        </w:rPr>
        <w:t>11</w:t>
      </w:r>
      <w:r w:rsidR="00C546CE">
        <w:fldChar w:fldCharType="end"/>
      </w:r>
      <w:r w:rsidR="00C546CE">
        <w:t xml:space="preserve">, for the foams with </w:t>
      </w:r>
      <w:r w:rsidR="00DB6D6A">
        <w:t xml:space="preserve">the </w:t>
      </w:r>
      <w:r w:rsidR="00C546CE">
        <w:t xml:space="preserve">same microstructure but different thicknesses, all absorption parameters are identical except porosity dependent parameters, </w:t>
      </w:r>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∞,trapped</m:t>
            </m:r>
          </m:sub>
        </m:sSub>
      </m:oMath>
      <w:r w:rsidR="00C546CE">
        <w:rPr>
          <w:szCs w:val="24"/>
        </w:rPr>
        <w:t xml:space="preserve"> and</w:t>
      </w:r>
      <w:r w:rsidR="007F0232">
        <w:rPr>
          <w:szCs w:val="24"/>
        </w:rPr>
        <w:t xml:space="preserve"> </w:t>
      </w:r>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r>
          <w:rPr>
            <w:rFonts w:ascii="Cambria Math" w:hAnsi="Cambria Math" w:cs="Times New Roman"/>
            <w:szCs w:val="24"/>
          </w:rPr>
          <m:t>.</m:t>
        </m:r>
      </m:oMath>
      <w:r w:rsidR="00C546CE">
        <w:rPr>
          <w:szCs w:val="24"/>
        </w:rPr>
        <w:t xml:space="preserve"> Actually, </w:t>
      </w:r>
      <w:r w:rsidR="007F0232">
        <w:rPr>
          <w:szCs w:val="24"/>
        </w:rPr>
        <w:t xml:space="preserve">thickness </w:t>
      </w:r>
      <w:r w:rsidR="00C546CE">
        <w:rPr>
          <w:szCs w:val="24"/>
        </w:rPr>
        <w:t>dependence of maximum moisture content,</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oMath>
      <w:r w:rsidR="00C546CE">
        <w:rPr>
          <w:szCs w:val="24"/>
        </w:rPr>
        <w:t>, is due to maximum trapped moisture content,</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∞,trapped</m:t>
            </m:r>
          </m:sub>
        </m:sSub>
      </m:oMath>
      <w:r w:rsidR="00C546CE">
        <w:rPr>
          <w:szCs w:val="24"/>
        </w:rPr>
        <w:t xml:space="preserve">. Maximum moisture content in VFHDM is </w:t>
      </w:r>
      <w:r w:rsidR="00DB6D6A">
        <w:rPr>
          <w:szCs w:val="24"/>
        </w:rPr>
        <w:t xml:space="preserve">a </w:t>
      </w:r>
      <w:r w:rsidR="00C546CE">
        <w:rPr>
          <w:szCs w:val="24"/>
        </w:rPr>
        <w:t>combination of maximum bound, unbound</w:t>
      </w:r>
      <w:r w:rsidR="00CB64A3">
        <w:rPr>
          <w:szCs w:val="24"/>
        </w:rPr>
        <w:t>,</w:t>
      </w:r>
      <w:r w:rsidR="00C546CE">
        <w:rPr>
          <w:szCs w:val="24"/>
        </w:rPr>
        <w:t xml:space="preserve"> and trapped moisture content. Thus, variation in mass gain data due to foam thickness is credited to </w:t>
      </w:r>
      <w:r w:rsidR="007F0232">
        <w:rPr>
          <w:szCs w:val="24"/>
        </w:rPr>
        <w:t>trapped moisture absorption into the pores</w:t>
      </w:r>
      <w:r w:rsidR="00C546CE">
        <w:rPr>
          <w:szCs w:val="24"/>
        </w:rPr>
        <w:t>.</w:t>
      </w:r>
      <w:r w:rsidR="00AB6491">
        <w:rPr>
          <w:szCs w:val="24"/>
        </w:rPr>
        <w:t xml:space="preserve"> </w:t>
      </w:r>
      <w:r w:rsidR="007F0232">
        <w:rPr>
          <w:rFonts w:cs="Times New Roman"/>
          <w:szCs w:val="24"/>
        </w:rPr>
        <w:t>Pores</w:t>
      </w:r>
      <w:r w:rsidR="00AB6491" w:rsidRPr="00D834BB">
        <w:rPr>
          <w:rFonts w:cs="Times New Roman"/>
          <w:szCs w:val="24"/>
        </w:rPr>
        <w:t xml:space="preserve">-to-solid ratio, </w:t>
      </w:r>
      <m:oMath>
        <m:r>
          <w:rPr>
            <w:rFonts w:ascii="Cambria Math" w:hAnsi="Cambria Math" w:cs="Times New Roman"/>
            <w:szCs w:val="24"/>
          </w:rPr>
          <m:t>ζ</m:t>
        </m:r>
      </m:oMath>
      <w:r w:rsidR="00AB6491" w:rsidRPr="00D834BB">
        <w:rPr>
          <w:rFonts w:cs="Times New Roman"/>
          <w:szCs w:val="24"/>
        </w:rPr>
        <w:t xml:space="preserve"> basically scales the maximum moisture content </w:t>
      </w:r>
      <w:r w:rsidR="00AB6491">
        <w:rPr>
          <w:rFonts w:cs="Times New Roman"/>
          <w:szCs w:val="24"/>
        </w:rPr>
        <w:t xml:space="preserve">of solid phase </w:t>
      </w:r>
      <w:r w:rsidR="00AB6491" w:rsidRPr="00D834BB">
        <w:rPr>
          <w:rFonts w:cs="Times New Roman"/>
          <w:szCs w:val="24"/>
        </w:rPr>
        <w:t xml:space="preserve">and unbound-to-bound transformation per unit time, in turn, generates distinctive moisture absorption. </w:t>
      </w:r>
    </w:p>
    <w:p w14:paraId="273FF47B" w14:textId="02A99AB4" w:rsidR="00B33B0E" w:rsidRDefault="00CC482E" w:rsidP="00682F7B">
      <w:pPr>
        <w:rPr>
          <w:rFonts w:cs="Times New Roman"/>
          <w:szCs w:val="24"/>
        </w:rPr>
      </w:pPr>
      <w:r>
        <w:t xml:space="preserve">Comparing </w:t>
      </w:r>
      <w:r w:rsidR="00B33B0E">
        <w:t xml:space="preserve">foams </w:t>
      </w:r>
      <w:r>
        <w:t xml:space="preserve">heat treated under 30 psi and as-received foams </w:t>
      </w:r>
      <w:r w:rsidR="00AB6491">
        <w:t xml:space="preserve">reveals that as-received </w:t>
      </w:r>
      <w:r w:rsidR="00AB6491" w:rsidRPr="00D834BB">
        <w:rPr>
          <w:rFonts w:cs="Times New Roman"/>
          <w:szCs w:val="24"/>
        </w:rPr>
        <w:t>Rohacell</w:t>
      </w:r>
      <w:r w:rsidR="00AB6491">
        <w:rPr>
          <w:rFonts w:cs="Times New Roman"/>
          <w:szCs w:val="24"/>
        </w:rPr>
        <w:t xml:space="preserve"> foams</w:t>
      </w:r>
      <w:r w:rsidR="00AB6491" w:rsidRPr="00D834BB">
        <w:rPr>
          <w:rFonts w:cs="Times New Roman"/>
          <w:szCs w:val="24"/>
        </w:rPr>
        <w:t xml:space="preserve"> and </w:t>
      </w:r>
      <w:r w:rsidR="00B33B0E" w:rsidRPr="00D834BB">
        <w:rPr>
          <w:rFonts w:cs="Times New Roman"/>
          <w:szCs w:val="24"/>
        </w:rPr>
        <w:t>samples</w:t>
      </w:r>
      <w:r w:rsidR="00B33B0E">
        <w:rPr>
          <w:rFonts w:cs="Times New Roman"/>
          <w:szCs w:val="24"/>
        </w:rPr>
        <w:t xml:space="preserve"> </w:t>
      </w:r>
      <w:r w:rsidR="00AB6491">
        <w:rPr>
          <w:rFonts w:cs="Times New Roman"/>
          <w:szCs w:val="24"/>
        </w:rPr>
        <w:t>compressed under 30 psi</w:t>
      </w:r>
      <w:r w:rsidR="00AB6491" w:rsidRPr="00D834BB">
        <w:rPr>
          <w:rFonts w:cs="Times New Roman"/>
          <w:szCs w:val="24"/>
        </w:rPr>
        <w:t xml:space="preserve"> seems to have </w:t>
      </w:r>
      <w:r w:rsidR="00216C41">
        <w:rPr>
          <w:rFonts w:cs="Times New Roman"/>
          <w:szCs w:val="24"/>
        </w:rPr>
        <w:t>similar</w:t>
      </w:r>
      <w:r w:rsidR="00AB6491" w:rsidRPr="00D834BB">
        <w:rPr>
          <w:rFonts w:cs="Times New Roman"/>
          <w:szCs w:val="24"/>
        </w:rPr>
        <w:t xml:space="preserve"> absorption parameters- except diffusion coefficient. As the foam compressed, the cell size decreases and cell geometry changes. Since there is no material loss or gain, the diffusion path change</w:t>
      </w:r>
      <w:r w:rsidR="00B33B0E">
        <w:rPr>
          <w:rFonts w:cs="Times New Roman"/>
          <w:szCs w:val="24"/>
        </w:rPr>
        <w:t>s</w:t>
      </w:r>
      <w:r w:rsidR="00AB6491" w:rsidRPr="00D834BB">
        <w:rPr>
          <w:rFonts w:cs="Times New Roman"/>
          <w:szCs w:val="24"/>
        </w:rPr>
        <w:t xml:space="preserve">. </w:t>
      </w:r>
      <w:r w:rsidR="00B33B0E">
        <w:rPr>
          <w:rFonts w:cs="Times New Roman"/>
          <w:szCs w:val="24"/>
        </w:rPr>
        <w:t>Heat treatment</w:t>
      </w:r>
      <w:r w:rsidR="00AB6491" w:rsidRPr="00D834BB">
        <w:rPr>
          <w:rFonts w:cs="Times New Roman"/>
          <w:szCs w:val="24"/>
        </w:rPr>
        <w:t xml:space="preserve"> would create a more complex closed-cell foam structure, thus creating a more tortuous path for penetrant. Even though compressed Rohacell have a more tortuous diffusion path, the length of the path </w:t>
      </w:r>
      <w:r w:rsidR="00B33B0E">
        <w:rPr>
          <w:rFonts w:cs="Times New Roman"/>
          <w:szCs w:val="24"/>
        </w:rPr>
        <w:t>is similar</w:t>
      </w:r>
      <w:r w:rsidR="00AB6491">
        <w:rPr>
          <w:rFonts w:cs="Times New Roman"/>
          <w:szCs w:val="24"/>
        </w:rPr>
        <w:t xml:space="preserve"> </w:t>
      </w:r>
      <w:r w:rsidR="00B33B0E">
        <w:rPr>
          <w:rFonts w:cs="Times New Roman"/>
          <w:szCs w:val="24"/>
        </w:rPr>
        <w:t>due to thickness reduction</w:t>
      </w:r>
      <w:r w:rsidR="00AB6491" w:rsidRPr="00D834BB">
        <w:rPr>
          <w:rFonts w:cs="Times New Roman"/>
          <w:szCs w:val="24"/>
        </w:rPr>
        <w:t>.</w:t>
      </w:r>
    </w:p>
    <w:p w14:paraId="74AFC4A7" w14:textId="615CFDB8" w:rsidR="00AB6491" w:rsidRDefault="00AB6491" w:rsidP="00A230BA">
      <w:pPr>
        <w:rPr>
          <w:rFonts w:cs="Times New Roman"/>
          <w:szCs w:val="24"/>
        </w:rPr>
      </w:pPr>
      <w:r w:rsidRPr="00D834BB">
        <w:rPr>
          <w:rFonts w:cs="Times New Roman"/>
          <w:szCs w:val="24"/>
        </w:rPr>
        <w:t>The diffusion</w:t>
      </w:r>
      <w:r w:rsidR="00B33B0E">
        <w:rPr>
          <w:rFonts w:cs="Times New Roman"/>
          <w:szCs w:val="24"/>
        </w:rPr>
        <w:t xml:space="preserve"> process</w:t>
      </w:r>
      <w:r w:rsidRPr="00D834BB">
        <w:rPr>
          <w:rFonts w:cs="Times New Roman"/>
          <w:szCs w:val="24"/>
        </w:rPr>
        <w:t xml:space="preserve"> in VF</w:t>
      </w:r>
      <w:r>
        <w:rPr>
          <w:rFonts w:cs="Times New Roman"/>
          <w:szCs w:val="24"/>
        </w:rPr>
        <w:t>H</w:t>
      </w:r>
      <w:r w:rsidRPr="00D834BB">
        <w:rPr>
          <w:rFonts w:cs="Times New Roman"/>
          <w:szCs w:val="24"/>
        </w:rPr>
        <w:t xml:space="preserve">DM is governed </w:t>
      </w:r>
      <w:proofErr w:type="gramStart"/>
      <w:r w:rsidRPr="00D834BB">
        <w:rPr>
          <w:rFonts w:cs="Times New Roman"/>
          <w:szCs w:val="24"/>
        </w:rPr>
        <w:t xml:space="preserve">by </w:t>
      </w:r>
      <w:proofErr w:type="gramEnd"/>
      <m:oMath>
        <m:r>
          <w:rPr>
            <w:rFonts w:ascii="Cambria Math" w:hAnsi="Cambria Math" w:cs="Times New Roman"/>
            <w:szCs w:val="24"/>
          </w:rPr>
          <m:t>K</m:t>
        </m:r>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r>
              <w:rPr>
                <w:rFonts w:ascii="Cambria Math" w:hAnsi="Cambria Math" w:cs="Times New Roman"/>
                <w:szCs w:val="24"/>
              </w:rPr>
              <m:t>D</m:t>
            </m:r>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oMath>
      <w:r w:rsidRPr="00D834BB">
        <w:rPr>
          <w:rFonts w:cs="Times New Roman"/>
          <w:szCs w:val="24"/>
        </w:rPr>
        <w:t xml:space="preserve">. </w:t>
      </w:r>
      <m:oMath>
        <m:r>
          <w:rPr>
            <w:rFonts w:ascii="Cambria Math" w:hAnsi="Cambria Math" w:cs="Times New Roman"/>
            <w:szCs w:val="24"/>
          </w:rPr>
          <m:t>K</m:t>
        </m:r>
      </m:oMath>
      <w:r w:rsidRPr="00D834BB">
        <w:rPr>
          <w:rFonts w:cs="Times New Roman"/>
          <w:szCs w:val="24"/>
        </w:rPr>
        <w:t xml:space="preserve"> </w:t>
      </w:r>
      <w:proofErr w:type="gramStart"/>
      <w:r>
        <w:rPr>
          <w:rFonts w:cs="Times New Roman"/>
          <w:szCs w:val="24"/>
        </w:rPr>
        <w:t>values</w:t>
      </w:r>
      <w:proofErr w:type="gramEnd"/>
      <w:r>
        <w:rPr>
          <w:rFonts w:cs="Times New Roman"/>
          <w:szCs w:val="24"/>
        </w:rPr>
        <w:t xml:space="preserve"> </w:t>
      </w:r>
      <w:r w:rsidRPr="00D834BB">
        <w:rPr>
          <w:rFonts w:cs="Times New Roman"/>
          <w:szCs w:val="24"/>
        </w:rPr>
        <w:t xml:space="preserve">of </w:t>
      </w:r>
      <w:r w:rsidR="00B33B0E">
        <w:rPr>
          <w:rFonts w:cs="Times New Roman"/>
          <w:szCs w:val="24"/>
        </w:rPr>
        <w:t xml:space="preserve">foams </w:t>
      </w:r>
      <w:r w:rsidRPr="00D834BB">
        <w:rPr>
          <w:rFonts w:cs="Times New Roman"/>
          <w:szCs w:val="24"/>
        </w:rPr>
        <w:t>compressed</w:t>
      </w:r>
      <w:r w:rsidR="00C46E11">
        <w:rPr>
          <w:rFonts w:cs="Times New Roman"/>
          <w:szCs w:val="24"/>
        </w:rPr>
        <w:t xml:space="preserve"> under 30 p</w:t>
      </w:r>
      <w:r w:rsidR="002B4D30">
        <w:rPr>
          <w:rFonts w:cs="Times New Roman"/>
          <w:szCs w:val="24"/>
        </w:rPr>
        <w:t>s</w:t>
      </w:r>
      <w:r w:rsidR="00C46E11">
        <w:rPr>
          <w:rFonts w:cs="Times New Roman"/>
          <w:szCs w:val="24"/>
        </w:rPr>
        <w:t>i</w:t>
      </w:r>
      <w:r w:rsidRPr="00D834BB">
        <w:rPr>
          <w:rFonts w:cs="Times New Roman"/>
          <w:szCs w:val="24"/>
        </w:rPr>
        <w:t xml:space="preserve"> and </w:t>
      </w:r>
      <w:r w:rsidR="00B33B0E">
        <w:rPr>
          <w:rFonts w:cs="Times New Roman"/>
          <w:szCs w:val="24"/>
        </w:rPr>
        <w:t>as-received foams</w:t>
      </w:r>
      <w:r>
        <w:rPr>
          <w:rFonts w:cs="Times New Roman"/>
          <w:szCs w:val="24"/>
        </w:rPr>
        <w:t xml:space="preserve"> are compared in </w:t>
      </w:r>
      <w:r>
        <w:rPr>
          <w:rFonts w:cs="Times New Roman"/>
          <w:szCs w:val="24"/>
        </w:rPr>
        <w:fldChar w:fldCharType="begin"/>
      </w:r>
      <w:r>
        <w:rPr>
          <w:rFonts w:cs="Times New Roman"/>
          <w:szCs w:val="24"/>
        </w:rPr>
        <w:instrText xml:space="preserve"> REF _Ref524002977 \h </w:instrText>
      </w:r>
      <w:r w:rsidR="00682F7B">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Table </w:t>
      </w:r>
      <w:r w:rsidR="006D52C2">
        <w:rPr>
          <w:noProof/>
        </w:rPr>
        <w:t>12</w:t>
      </w:r>
      <w:r>
        <w:rPr>
          <w:rFonts w:cs="Times New Roman"/>
          <w:szCs w:val="24"/>
        </w:rPr>
        <w:fldChar w:fldCharType="end"/>
      </w:r>
      <w:r>
        <w:rPr>
          <w:rFonts w:cs="Times New Roman"/>
          <w:szCs w:val="24"/>
        </w:rPr>
        <w:t xml:space="preserve"> and they are remarkably close. However, for Rohacell foam heat treated under 50 psi, this relation does </w:t>
      </w:r>
      <w:r>
        <w:rPr>
          <w:rFonts w:cs="Times New Roman"/>
          <w:szCs w:val="24"/>
        </w:rPr>
        <w:lastRenderedPageBreak/>
        <w:t>not hold.</w:t>
      </w:r>
      <w:r w:rsidRPr="00AB6491">
        <w:rPr>
          <w:rFonts w:cs="Times New Roman"/>
          <w:szCs w:val="24"/>
        </w:rPr>
        <w:t xml:space="preserve"> </w:t>
      </w:r>
      <w:r>
        <w:rPr>
          <w:rFonts w:cs="Times New Roman"/>
          <w:szCs w:val="24"/>
        </w:rPr>
        <w:t>Rohacell foams compressed under 50</w:t>
      </w:r>
      <w:r w:rsidR="00C46E11">
        <w:rPr>
          <w:rFonts w:cs="Times New Roman"/>
          <w:szCs w:val="24"/>
        </w:rPr>
        <w:t xml:space="preserve"> </w:t>
      </w:r>
      <w:r>
        <w:rPr>
          <w:rFonts w:cs="Times New Roman"/>
          <w:szCs w:val="24"/>
        </w:rPr>
        <w:t>psi changed closed-cell foam structure</w:t>
      </w:r>
      <w:r w:rsidR="00A230BA">
        <w:rPr>
          <w:rFonts w:cs="Times New Roman"/>
          <w:szCs w:val="24"/>
        </w:rPr>
        <w:t xml:space="preserve"> </w:t>
      </w:r>
      <w:r>
        <w:rPr>
          <w:rFonts w:cs="Times New Roman"/>
          <w:szCs w:val="24"/>
        </w:rPr>
        <w:t>drastically. Cells not only compressed but also coalesce. The drastic changes i</w:t>
      </w:r>
      <w:r w:rsidR="001745DA">
        <w:rPr>
          <w:rFonts w:cs="Times New Roman"/>
          <w:szCs w:val="24"/>
        </w:rPr>
        <w:t>n microstructure of foam result</w:t>
      </w:r>
      <w:r>
        <w:rPr>
          <w:rFonts w:cs="Times New Roman"/>
          <w:szCs w:val="24"/>
        </w:rPr>
        <w:t xml:space="preserve"> in distinctive absorption parameters. </w:t>
      </w:r>
    </w:p>
    <w:p w14:paraId="04626D74" w14:textId="262DD1EA" w:rsidR="00AB6491" w:rsidRDefault="00AB6491" w:rsidP="00AB6491">
      <w:pPr>
        <w:pStyle w:val="Caption"/>
      </w:pPr>
      <w:bookmarkStart w:id="285" w:name="_Ref524002977"/>
      <w:bookmarkStart w:id="286" w:name="_Toc530997327"/>
      <w:r>
        <w:t xml:space="preserve">Table </w:t>
      </w:r>
      <w:r w:rsidR="00414F89">
        <w:rPr>
          <w:noProof/>
        </w:rPr>
        <w:fldChar w:fldCharType="begin"/>
      </w:r>
      <w:r w:rsidR="00414F89">
        <w:rPr>
          <w:noProof/>
        </w:rPr>
        <w:instrText xml:space="preserve"> SEQ Table \* ARABIC </w:instrText>
      </w:r>
      <w:r w:rsidR="00414F89">
        <w:rPr>
          <w:noProof/>
        </w:rPr>
        <w:fldChar w:fldCharType="separate"/>
      </w:r>
      <w:r w:rsidR="006D52C2">
        <w:rPr>
          <w:noProof/>
        </w:rPr>
        <w:t>12</w:t>
      </w:r>
      <w:r w:rsidR="00414F89">
        <w:rPr>
          <w:noProof/>
        </w:rPr>
        <w:fldChar w:fldCharType="end"/>
      </w:r>
      <w:bookmarkEnd w:id="285"/>
      <w:r>
        <w:t xml:space="preserve">. Diffusion rate comparison between </w:t>
      </w:r>
      <w:proofErr w:type="gramStart"/>
      <w:r>
        <w:t>heat</w:t>
      </w:r>
      <w:proofErr w:type="gramEnd"/>
      <w:r>
        <w:t xml:space="preserve"> treated u</w:t>
      </w:r>
      <w:r w:rsidR="00F02114">
        <w:t>nder 5</w:t>
      </w:r>
      <w:r>
        <w:t>0 psi</w:t>
      </w:r>
      <w:r w:rsidR="00F02114">
        <w:t>, 30 psi</w:t>
      </w:r>
      <w:r>
        <w:t xml:space="preserve"> and as-received foams</w:t>
      </w:r>
      <w:bookmarkEnd w:id="286"/>
    </w:p>
    <w:tbl>
      <w:tblPr>
        <w:tblW w:w="4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102"/>
        <w:gridCol w:w="1053"/>
        <w:gridCol w:w="1053"/>
      </w:tblGrid>
      <w:tr w:rsidR="00F02114" w:rsidRPr="00F66468" w14:paraId="0B87B131" w14:textId="6EC12C69" w:rsidTr="00F02114">
        <w:trPr>
          <w:trHeight w:val="315"/>
          <w:jc w:val="center"/>
        </w:trPr>
        <w:tc>
          <w:tcPr>
            <w:tcW w:w="1004" w:type="dxa"/>
          </w:tcPr>
          <w:p w14:paraId="06C4211A" w14:textId="77777777" w:rsidR="00F02114" w:rsidRDefault="00F02114" w:rsidP="00AB6491">
            <w:pPr>
              <w:pStyle w:val="NoSpacing"/>
              <w:rPr>
                <w:rFonts w:eastAsia="Calibri"/>
              </w:rPr>
            </w:pPr>
          </w:p>
        </w:tc>
        <w:tc>
          <w:tcPr>
            <w:tcW w:w="1102" w:type="dxa"/>
            <w:shd w:val="clear" w:color="auto" w:fill="auto"/>
            <w:noWrap/>
            <w:vAlign w:val="bottom"/>
            <w:hideMark/>
          </w:tcPr>
          <w:p w14:paraId="2D369B64" w14:textId="77777777" w:rsidR="00F02114" w:rsidRPr="00F66468" w:rsidRDefault="007B3686" w:rsidP="00AB6491">
            <w:pPr>
              <w:pStyle w:val="NoSpacing"/>
              <w:rPr>
                <w:rFonts w:ascii="Calibri" w:hAnsi="Calibri"/>
              </w:rPr>
            </w:pPr>
            <m:oMathPara>
              <m:oMath>
                <m:sSub>
                  <m:sSubPr>
                    <m:ctrlPr>
                      <w:rPr>
                        <w:rFonts w:ascii="Cambria Math" w:hAnsi="Cambria Math"/>
                        <w:i/>
                      </w:rPr>
                    </m:ctrlPr>
                  </m:sSubPr>
                  <m:e>
                    <m:r>
                      <w:rPr>
                        <w:rFonts w:ascii="Cambria Math" w:hAnsi="Cambria Math"/>
                      </w:rPr>
                      <m:t>K</m:t>
                    </m:r>
                  </m:e>
                  <m:sub>
                    <m:r>
                      <w:rPr>
                        <w:rFonts w:ascii="Cambria Math" w:hAnsi="Cambria Math"/>
                      </w:rPr>
                      <m:t>Rohacell</m:t>
                    </m:r>
                  </m:sub>
                </m:sSub>
              </m:oMath>
            </m:oMathPara>
          </w:p>
        </w:tc>
        <w:tc>
          <w:tcPr>
            <w:tcW w:w="1053" w:type="dxa"/>
            <w:shd w:val="clear" w:color="auto" w:fill="auto"/>
            <w:noWrap/>
            <w:vAlign w:val="bottom"/>
            <w:hideMark/>
          </w:tcPr>
          <w:p w14:paraId="22F426F8" w14:textId="77777777" w:rsidR="00F02114" w:rsidRPr="00F66468" w:rsidRDefault="007B3686" w:rsidP="00AB6491">
            <w:pPr>
              <w:pStyle w:val="NoSpacing"/>
              <w:rPr>
                <w:rFonts w:ascii="Calibri" w:hAnsi="Calibri"/>
              </w:rPr>
            </w:pPr>
            <m:oMathPara>
              <m:oMath>
                <m:sSub>
                  <m:sSubPr>
                    <m:ctrlPr>
                      <w:rPr>
                        <w:rFonts w:ascii="Cambria Math" w:hAnsi="Cambria Math"/>
                        <w:i/>
                      </w:rPr>
                    </m:ctrlPr>
                  </m:sSubPr>
                  <m:e>
                    <m:r>
                      <w:rPr>
                        <w:rFonts w:ascii="Cambria Math" w:hAnsi="Cambria Math"/>
                      </w:rPr>
                      <m:t>K</m:t>
                    </m:r>
                  </m:e>
                  <m:sub>
                    <m:r>
                      <w:rPr>
                        <w:rFonts w:ascii="Cambria Math" w:hAnsi="Cambria Math"/>
                      </w:rPr>
                      <m:t>30psi</m:t>
                    </m:r>
                  </m:sub>
                </m:sSub>
              </m:oMath>
            </m:oMathPara>
          </w:p>
        </w:tc>
        <w:tc>
          <w:tcPr>
            <w:tcW w:w="1053" w:type="dxa"/>
          </w:tcPr>
          <w:p w14:paraId="03D19A01" w14:textId="241D8D07" w:rsidR="00F02114" w:rsidRDefault="007B3686" w:rsidP="00F02114">
            <w:pPr>
              <w:pStyle w:val="NoSpacing"/>
              <w:rPr>
                <w:rFonts w:ascii="Calibri" w:hAnsi="Calibri"/>
              </w:rPr>
            </w:pPr>
            <m:oMathPara>
              <m:oMath>
                <m:sSub>
                  <m:sSubPr>
                    <m:ctrlPr>
                      <w:rPr>
                        <w:rFonts w:ascii="Cambria Math" w:hAnsi="Cambria Math"/>
                        <w:i/>
                      </w:rPr>
                    </m:ctrlPr>
                  </m:sSubPr>
                  <m:e>
                    <m:r>
                      <w:rPr>
                        <w:rFonts w:ascii="Cambria Math" w:hAnsi="Cambria Math"/>
                      </w:rPr>
                      <m:t>K</m:t>
                    </m:r>
                  </m:e>
                  <m:sub>
                    <m:r>
                      <w:rPr>
                        <w:rFonts w:ascii="Cambria Math" w:hAnsi="Cambria Math"/>
                      </w:rPr>
                      <m:t>50psi</m:t>
                    </m:r>
                  </m:sub>
                </m:sSub>
              </m:oMath>
            </m:oMathPara>
          </w:p>
        </w:tc>
      </w:tr>
      <w:tr w:rsidR="00F02114" w:rsidRPr="00F66468" w14:paraId="7C7E3790" w14:textId="1B0DD489" w:rsidTr="00F02114">
        <w:trPr>
          <w:trHeight w:val="315"/>
          <w:jc w:val="center"/>
        </w:trPr>
        <w:tc>
          <w:tcPr>
            <w:tcW w:w="1004" w:type="dxa"/>
          </w:tcPr>
          <w:p w14:paraId="6FA56802" w14:textId="77777777" w:rsidR="00F02114" w:rsidRPr="00F66468" w:rsidRDefault="00F02114" w:rsidP="00F02114">
            <w:pPr>
              <w:pStyle w:val="NoSpacing"/>
              <w:rPr>
                <w:rFonts w:ascii="Calibri" w:hAnsi="Calibri"/>
              </w:rPr>
            </w:pPr>
            <w:r>
              <w:rPr>
                <w:rFonts w:ascii="Calibri" w:hAnsi="Calibri"/>
              </w:rPr>
              <w:t>3mm</w:t>
            </w:r>
          </w:p>
        </w:tc>
        <w:tc>
          <w:tcPr>
            <w:tcW w:w="1102" w:type="dxa"/>
            <w:shd w:val="clear" w:color="auto" w:fill="auto"/>
            <w:noWrap/>
            <w:vAlign w:val="center"/>
            <w:hideMark/>
          </w:tcPr>
          <w:p w14:paraId="3794124F" w14:textId="12B96802" w:rsidR="00F02114" w:rsidRDefault="00F02114" w:rsidP="00F02114">
            <w:pPr>
              <w:pStyle w:val="NoSpacing"/>
              <w:rPr>
                <w:rFonts w:ascii="Calibri" w:hAnsi="Calibri"/>
              </w:rPr>
            </w:pPr>
            <w:r>
              <w:rPr>
                <w:rFonts w:ascii="Calibri" w:hAnsi="Calibri"/>
              </w:rPr>
              <w:t>0.051</w:t>
            </w:r>
          </w:p>
        </w:tc>
        <w:tc>
          <w:tcPr>
            <w:tcW w:w="1053" w:type="dxa"/>
            <w:shd w:val="clear" w:color="auto" w:fill="auto"/>
            <w:noWrap/>
            <w:vAlign w:val="bottom"/>
            <w:hideMark/>
          </w:tcPr>
          <w:p w14:paraId="468F24A9" w14:textId="0C4D4BDD" w:rsidR="00F02114" w:rsidRDefault="00F02114" w:rsidP="00F02114">
            <w:pPr>
              <w:pStyle w:val="NoSpacing"/>
              <w:rPr>
                <w:rFonts w:ascii="Calibri" w:hAnsi="Calibri"/>
              </w:rPr>
            </w:pPr>
            <w:r>
              <w:rPr>
                <w:rFonts w:ascii="Calibri" w:hAnsi="Calibri"/>
              </w:rPr>
              <w:t>0.056</w:t>
            </w:r>
          </w:p>
        </w:tc>
        <w:tc>
          <w:tcPr>
            <w:tcW w:w="1053" w:type="dxa"/>
          </w:tcPr>
          <w:p w14:paraId="7C9F39C6" w14:textId="24DB31B5" w:rsidR="00F02114" w:rsidRDefault="00F02114" w:rsidP="00F02114">
            <w:pPr>
              <w:pStyle w:val="NoSpacing"/>
              <w:rPr>
                <w:rFonts w:ascii="Calibri" w:hAnsi="Calibri"/>
              </w:rPr>
            </w:pPr>
            <w:r w:rsidRPr="002F6000">
              <w:t>0.158</w:t>
            </w:r>
          </w:p>
        </w:tc>
      </w:tr>
      <w:tr w:rsidR="00F02114" w:rsidRPr="00F66468" w14:paraId="0C6097FA" w14:textId="03784F01" w:rsidTr="00F02114">
        <w:trPr>
          <w:trHeight w:val="315"/>
          <w:jc w:val="center"/>
        </w:trPr>
        <w:tc>
          <w:tcPr>
            <w:tcW w:w="1004" w:type="dxa"/>
          </w:tcPr>
          <w:p w14:paraId="11269D28" w14:textId="77777777" w:rsidR="00F02114" w:rsidRPr="00F66468" w:rsidRDefault="00F02114" w:rsidP="00F02114">
            <w:pPr>
              <w:pStyle w:val="NoSpacing"/>
              <w:rPr>
                <w:rFonts w:ascii="Calibri" w:hAnsi="Calibri"/>
              </w:rPr>
            </w:pPr>
            <w:r>
              <w:rPr>
                <w:rFonts w:ascii="Calibri" w:hAnsi="Calibri"/>
              </w:rPr>
              <w:t>6mm</w:t>
            </w:r>
          </w:p>
        </w:tc>
        <w:tc>
          <w:tcPr>
            <w:tcW w:w="1102" w:type="dxa"/>
            <w:shd w:val="clear" w:color="auto" w:fill="auto"/>
            <w:noWrap/>
            <w:vAlign w:val="center"/>
            <w:hideMark/>
          </w:tcPr>
          <w:p w14:paraId="1167B52A" w14:textId="77777777" w:rsidR="00F02114" w:rsidRDefault="00F02114" w:rsidP="00F02114">
            <w:pPr>
              <w:pStyle w:val="NoSpacing"/>
              <w:rPr>
                <w:rFonts w:ascii="Calibri" w:hAnsi="Calibri"/>
              </w:rPr>
            </w:pPr>
            <w:r>
              <w:rPr>
                <w:rFonts w:ascii="Calibri" w:hAnsi="Calibri"/>
              </w:rPr>
              <w:t>0.013</w:t>
            </w:r>
          </w:p>
        </w:tc>
        <w:tc>
          <w:tcPr>
            <w:tcW w:w="1053" w:type="dxa"/>
            <w:shd w:val="clear" w:color="auto" w:fill="auto"/>
            <w:noWrap/>
            <w:vAlign w:val="bottom"/>
            <w:hideMark/>
          </w:tcPr>
          <w:p w14:paraId="529DD77C" w14:textId="789B7B36" w:rsidR="00F02114" w:rsidRDefault="00F02114" w:rsidP="00F02114">
            <w:pPr>
              <w:pStyle w:val="NoSpacing"/>
              <w:rPr>
                <w:rFonts w:ascii="Calibri" w:hAnsi="Calibri"/>
              </w:rPr>
            </w:pPr>
            <w:r>
              <w:rPr>
                <w:rFonts w:ascii="Calibri" w:hAnsi="Calibri"/>
              </w:rPr>
              <w:t>0.016</w:t>
            </w:r>
          </w:p>
        </w:tc>
        <w:tc>
          <w:tcPr>
            <w:tcW w:w="1053" w:type="dxa"/>
          </w:tcPr>
          <w:p w14:paraId="397B8665" w14:textId="080EA88D" w:rsidR="00F02114" w:rsidRDefault="00F02114" w:rsidP="00F02114">
            <w:pPr>
              <w:pStyle w:val="NoSpacing"/>
              <w:rPr>
                <w:rFonts w:ascii="Calibri" w:hAnsi="Calibri"/>
              </w:rPr>
            </w:pPr>
            <w:r w:rsidRPr="002F6000">
              <w:t>0.033</w:t>
            </w:r>
          </w:p>
        </w:tc>
      </w:tr>
      <w:tr w:rsidR="00F02114" w:rsidRPr="00F66468" w14:paraId="66A03F43" w14:textId="52DFB0E6" w:rsidTr="00F02114">
        <w:trPr>
          <w:trHeight w:val="315"/>
          <w:jc w:val="center"/>
        </w:trPr>
        <w:tc>
          <w:tcPr>
            <w:tcW w:w="1004" w:type="dxa"/>
          </w:tcPr>
          <w:p w14:paraId="70B302D2" w14:textId="77777777" w:rsidR="00F02114" w:rsidRPr="00F66468" w:rsidRDefault="00F02114" w:rsidP="00F02114">
            <w:pPr>
              <w:pStyle w:val="NoSpacing"/>
              <w:rPr>
                <w:rFonts w:ascii="Calibri" w:hAnsi="Calibri"/>
              </w:rPr>
            </w:pPr>
            <w:r>
              <w:rPr>
                <w:rFonts w:ascii="Calibri" w:hAnsi="Calibri"/>
              </w:rPr>
              <w:t>9mm</w:t>
            </w:r>
          </w:p>
        </w:tc>
        <w:tc>
          <w:tcPr>
            <w:tcW w:w="1102" w:type="dxa"/>
            <w:shd w:val="clear" w:color="auto" w:fill="auto"/>
            <w:noWrap/>
            <w:vAlign w:val="center"/>
            <w:hideMark/>
          </w:tcPr>
          <w:p w14:paraId="1E802A8D" w14:textId="77777777" w:rsidR="00F02114" w:rsidRDefault="00F02114" w:rsidP="00F02114">
            <w:pPr>
              <w:pStyle w:val="NoSpacing"/>
              <w:rPr>
                <w:rFonts w:ascii="Calibri" w:hAnsi="Calibri"/>
              </w:rPr>
            </w:pPr>
            <w:r>
              <w:rPr>
                <w:rFonts w:ascii="Calibri" w:hAnsi="Calibri"/>
              </w:rPr>
              <w:t>0.006</w:t>
            </w:r>
          </w:p>
        </w:tc>
        <w:tc>
          <w:tcPr>
            <w:tcW w:w="1053" w:type="dxa"/>
            <w:shd w:val="clear" w:color="auto" w:fill="auto"/>
            <w:noWrap/>
            <w:vAlign w:val="bottom"/>
            <w:hideMark/>
          </w:tcPr>
          <w:p w14:paraId="35ED2B3B" w14:textId="5416B88D" w:rsidR="00F02114" w:rsidRDefault="00F02114" w:rsidP="00F02114">
            <w:pPr>
              <w:pStyle w:val="NoSpacing"/>
              <w:rPr>
                <w:rFonts w:ascii="Calibri" w:hAnsi="Calibri"/>
              </w:rPr>
            </w:pPr>
            <w:r>
              <w:rPr>
                <w:rFonts w:ascii="Calibri" w:hAnsi="Calibri"/>
              </w:rPr>
              <w:t>0.009</w:t>
            </w:r>
          </w:p>
        </w:tc>
        <w:tc>
          <w:tcPr>
            <w:tcW w:w="1053" w:type="dxa"/>
          </w:tcPr>
          <w:p w14:paraId="6A924A15" w14:textId="3564DAC0" w:rsidR="00F02114" w:rsidRDefault="00F02114" w:rsidP="00F02114">
            <w:pPr>
              <w:pStyle w:val="NoSpacing"/>
              <w:rPr>
                <w:rFonts w:ascii="Calibri" w:hAnsi="Calibri"/>
              </w:rPr>
            </w:pPr>
            <w:r w:rsidRPr="002F6000">
              <w:t>0.016</w:t>
            </w:r>
          </w:p>
        </w:tc>
      </w:tr>
    </w:tbl>
    <w:p w14:paraId="30C2A394" w14:textId="77777777" w:rsidR="00A06646" w:rsidRDefault="00A06646" w:rsidP="00A06646">
      <w:pPr>
        <w:spacing w:after="120"/>
        <w:rPr>
          <w:rFonts w:cs="Times New Roman"/>
          <w:szCs w:val="24"/>
        </w:rPr>
      </w:pPr>
    </w:p>
    <w:p w14:paraId="3156F283" w14:textId="0A6118AD" w:rsidR="00A06646" w:rsidRDefault="00A06646" w:rsidP="00682F7B">
      <w:r>
        <w:t xml:space="preserve">In </w:t>
      </w:r>
      <w:r>
        <w:fldChar w:fldCharType="begin"/>
      </w:r>
      <w:r>
        <w:instrText xml:space="preserve"> REF _Ref524005541 \h </w:instrText>
      </w:r>
      <w:r w:rsidR="00682F7B">
        <w:instrText xml:space="preserve"> \* MERGEFORMAT </w:instrText>
      </w:r>
      <w:r>
        <w:fldChar w:fldCharType="separate"/>
      </w:r>
      <w:r w:rsidR="006D52C2">
        <w:t xml:space="preserve">Figure </w:t>
      </w:r>
      <w:r w:rsidR="006D52C2">
        <w:rPr>
          <w:noProof/>
        </w:rPr>
        <w:t>60</w:t>
      </w:r>
      <w:r>
        <w:fldChar w:fldCharType="end"/>
      </w:r>
      <w:r>
        <w:t>, the thermogravimetric</w:t>
      </w:r>
      <w:r w:rsidR="00EF7602">
        <w:t xml:space="preserve"> moisture absorption</w:t>
      </w:r>
      <w:r>
        <w:t xml:space="preserve"> data of 3mm, 6mm, and 9mm (R3, R6, and R9) as-received foams and one-dimensional void filling hindered diffusion model </w:t>
      </w:r>
      <w:r w:rsidR="00EF7602">
        <w:t>predictions</w:t>
      </w:r>
      <w:r>
        <w:t xml:space="preserve"> are shown. All the VFHDM moisture absorption curves</w:t>
      </w:r>
      <w:r w:rsidRPr="00DE088E">
        <w:t xml:space="preserve"> </w:t>
      </w:r>
      <w:r>
        <w:t xml:space="preserve">match </w:t>
      </w:r>
      <w:r w:rsidR="00216C41">
        <w:t>well with</w:t>
      </w:r>
      <w:r>
        <w:t xml:space="preserve"> their respective experimental gravimetric data</w:t>
      </w:r>
      <w:r w:rsidRPr="00A06646">
        <w:t xml:space="preserve"> </w:t>
      </w:r>
      <w:r>
        <w:t xml:space="preserve">as </w:t>
      </w:r>
      <w:r w:rsidR="00216C41">
        <w:t>seen by the very small</w:t>
      </w:r>
      <w:r>
        <w:t xml:space="preserve"> the root mean square error per data point values in </w:t>
      </w:r>
      <w:r>
        <w:fldChar w:fldCharType="begin"/>
      </w:r>
      <w:r>
        <w:instrText xml:space="preserve"> REF _Ref523931851 \h </w:instrText>
      </w:r>
      <w:r w:rsidR="00682F7B">
        <w:instrText xml:space="preserve"> \* MERGEFORMAT </w:instrText>
      </w:r>
      <w:r>
        <w:fldChar w:fldCharType="separate"/>
      </w:r>
      <w:r w:rsidR="006D52C2">
        <w:t xml:space="preserve">Table </w:t>
      </w:r>
      <w:r w:rsidR="006D52C2">
        <w:rPr>
          <w:noProof/>
        </w:rPr>
        <w:t>11</w:t>
      </w:r>
      <w:r>
        <w:fldChar w:fldCharType="end"/>
      </w:r>
      <w:r>
        <w:t xml:space="preserve">. </w:t>
      </w:r>
      <w:r w:rsidR="004F0357">
        <w:t xml:space="preserve">It should be noted here that the last data point taken after 3 years of immersion is not used for VFHDM recovery. </w:t>
      </w:r>
      <w:r>
        <w:t xml:space="preserve">VFHDM was able to predict the change in maximum moisture content </w:t>
      </w:r>
      <w:r w:rsidR="00EF7602">
        <w:t xml:space="preserve">along </w:t>
      </w:r>
      <w:r>
        <w:t xml:space="preserve">with the thickness of the sample. In spite of the distinct maximum moisture content in foams with different thickness, there should be similarities in moisture absorption kinetics according to the VFHDM absorption </w:t>
      </w:r>
      <w:r w:rsidR="002B38A6">
        <w:t>parameters</w:t>
      </w:r>
      <w:r>
        <w:t xml:space="preserve"> in </w:t>
      </w:r>
      <w:r>
        <w:fldChar w:fldCharType="begin"/>
      </w:r>
      <w:r>
        <w:instrText xml:space="preserve"> REF _Ref523931851 \h </w:instrText>
      </w:r>
      <w:r w:rsidR="00682F7B">
        <w:instrText xml:space="preserve"> \* MERGEFORMAT </w:instrText>
      </w:r>
      <w:r>
        <w:fldChar w:fldCharType="separate"/>
      </w:r>
      <w:r w:rsidR="006D52C2">
        <w:t xml:space="preserve">Table </w:t>
      </w:r>
      <w:r w:rsidR="006D52C2">
        <w:rPr>
          <w:noProof/>
        </w:rPr>
        <w:t>11</w:t>
      </w:r>
      <w:r>
        <w:fldChar w:fldCharType="end"/>
      </w:r>
      <w:r>
        <w:t xml:space="preserve">. </w:t>
      </w:r>
      <w:r w:rsidR="002B38A6">
        <w:t>To thoroughly investigate the absorption behavior of foams, unbound, b</w:t>
      </w:r>
      <w:r w:rsidR="007C6C65">
        <w:t>ound</w:t>
      </w:r>
      <w:r w:rsidR="00CB64A3">
        <w:t>,</w:t>
      </w:r>
      <w:r w:rsidR="007C6C65">
        <w:t xml:space="preserve"> and</w:t>
      </w:r>
      <w:r w:rsidR="002B38A6">
        <w:t xml:space="preserve"> trapped curves are illustrated in </w:t>
      </w:r>
      <w:r w:rsidR="002B38A6">
        <w:fldChar w:fldCharType="begin"/>
      </w:r>
      <w:r w:rsidR="002B38A6">
        <w:instrText xml:space="preserve"> REF _Ref524006159 \h </w:instrText>
      </w:r>
      <w:r w:rsidR="00682F7B">
        <w:instrText xml:space="preserve"> \* MERGEFORMAT </w:instrText>
      </w:r>
      <w:r w:rsidR="002B38A6">
        <w:fldChar w:fldCharType="separate"/>
      </w:r>
      <w:r w:rsidR="006D52C2">
        <w:t xml:space="preserve">Figure </w:t>
      </w:r>
      <w:r w:rsidR="006D52C2">
        <w:rPr>
          <w:noProof/>
        </w:rPr>
        <w:t>61</w:t>
      </w:r>
      <w:r w:rsidR="002B38A6">
        <w:fldChar w:fldCharType="end"/>
      </w:r>
      <w:r w:rsidR="002B38A6">
        <w:t>.</w:t>
      </w:r>
    </w:p>
    <w:p w14:paraId="3E9F6123" w14:textId="77777777" w:rsidR="00A06646" w:rsidRDefault="00A06646" w:rsidP="00682F7B"/>
    <w:p w14:paraId="035E5FC0" w14:textId="77777777" w:rsidR="00A06646" w:rsidRDefault="00A06646" w:rsidP="00682F7B"/>
    <w:p w14:paraId="568BE8AB" w14:textId="77777777" w:rsidR="00A06646" w:rsidRDefault="00A06646" w:rsidP="00682F7B"/>
    <w:p w14:paraId="5069D07F" w14:textId="77777777" w:rsidR="00A06646" w:rsidRDefault="00A06646" w:rsidP="00AB6491">
      <w:pPr>
        <w:rPr>
          <w:rFonts w:cs="Times New Roman"/>
          <w:szCs w:val="24"/>
        </w:rPr>
      </w:pPr>
    </w:p>
    <w:p w14:paraId="3D40A7C4" w14:textId="26548AF0" w:rsidR="00837C7A" w:rsidRDefault="004F0357" w:rsidP="00A06646">
      <w:pPr>
        <w:pStyle w:val="NoSpacing"/>
      </w:pPr>
      <w:r>
        <w:rPr>
          <w:noProof/>
          <w:lang w:bidi="ar-SA"/>
        </w:rPr>
        <w:lastRenderedPageBreak/>
        <w:drawing>
          <wp:inline distT="0" distB="0" distL="0" distR="0" wp14:anchorId="42EDD91F" wp14:editId="2EC536BF">
            <wp:extent cx="5035319" cy="3657600"/>
            <wp:effectExtent l="0" t="0" r="0" b="0"/>
            <wp:docPr id="4186" name="Picture 4186" descr="C:\Users\Administrator\Desktop\proje\PhD Dissertation\Foam\absorption\Neat 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proje\PhD Dissertation\Foam\absorption\Neat all.ti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35319" cy="3657600"/>
                    </a:xfrm>
                    <a:prstGeom prst="rect">
                      <a:avLst/>
                    </a:prstGeom>
                    <a:noFill/>
                    <a:ln>
                      <a:noFill/>
                    </a:ln>
                  </pic:spPr>
                </pic:pic>
              </a:graphicData>
            </a:graphic>
          </wp:inline>
        </w:drawing>
      </w:r>
    </w:p>
    <w:p w14:paraId="3F276CA1" w14:textId="0B1E4103" w:rsidR="00A06646" w:rsidRDefault="00A06646" w:rsidP="00A06646">
      <w:pPr>
        <w:pStyle w:val="Caption"/>
      </w:pPr>
      <w:bookmarkStart w:id="287" w:name="_Ref524005541"/>
      <w:bookmarkStart w:id="288" w:name="_Toc530997416"/>
      <w:r>
        <w:t xml:space="preserve">Figure </w:t>
      </w:r>
      <w:r w:rsidR="00414F89">
        <w:rPr>
          <w:noProof/>
        </w:rPr>
        <w:fldChar w:fldCharType="begin"/>
      </w:r>
      <w:r w:rsidR="00414F89">
        <w:rPr>
          <w:noProof/>
        </w:rPr>
        <w:instrText xml:space="preserve"> SEQ Figure \* ARABIC </w:instrText>
      </w:r>
      <w:r w:rsidR="00414F89">
        <w:rPr>
          <w:noProof/>
        </w:rPr>
        <w:fldChar w:fldCharType="separate"/>
      </w:r>
      <w:r w:rsidR="006D52C2">
        <w:rPr>
          <w:noProof/>
        </w:rPr>
        <w:t>60</w:t>
      </w:r>
      <w:r w:rsidR="00414F89">
        <w:rPr>
          <w:noProof/>
        </w:rPr>
        <w:fldChar w:fldCharType="end"/>
      </w:r>
      <w:bookmarkEnd w:id="287"/>
      <w:r>
        <w:t xml:space="preserve">. </w:t>
      </w:r>
      <w:r w:rsidR="007C6C65">
        <w:t>Mass gain data and VFHDM predictions of 3mm, 6mm, and 9mm as-received Rohacell foams.</w:t>
      </w:r>
      <w:bookmarkEnd w:id="288"/>
      <w:r w:rsidR="007C6C65">
        <w:t xml:space="preserve"> </w:t>
      </w:r>
    </w:p>
    <w:p w14:paraId="067072F4" w14:textId="77777777" w:rsidR="00A06646" w:rsidRDefault="00A06646" w:rsidP="00A06646"/>
    <w:p w14:paraId="4A5FE6DE" w14:textId="68042199" w:rsidR="0034739C" w:rsidRDefault="00C312A3" w:rsidP="00682F7B">
      <w:r>
        <w:t xml:space="preserve">In </w:t>
      </w:r>
      <w:r>
        <w:fldChar w:fldCharType="begin"/>
      </w:r>
      <w:r>
        <w:instrText xml:space="preserve"> REF _Ref524006159 \h </w:instrText>
      </w:r>
      <w:r w:rsidR="00682F7B">
        <w:instrText xml:space="preserve"> \* MERGEFORMAT </w:instrText>
      </w:r>
      <w:r>
        <w:fldChar w:fldCharType="separate"/>
      </w:r>
      <w:r w:rsidR="006D52C2">
        <w:t xml:space="preserve">Figure </w:t>
      </w:r>
      <w:r w:rsidR="006D52C2">
        <w:rPr>
          <w:noProof/>
        </w:rPr>
        <w:t>61</w:t>
      </w:r>
      <w:r>
        <w:fldChar w:fldCharType="end"/>
      </w:r>
      <w:r>
        <w:t>a, unbound moisture absorption kinetics</w:t>
      </w:r>
      <w:r w:rsidR="00EB20D8">
        <w:t xml:space="preserve"> of as-received Rohacell foams are</w:t>
      </w:r>
      <w:r>
        <w:t xml:space="preserve"> illustrated. Even though all three </w:t>
      </w:r>
      <w:r w:rsidR="006E0155">
        <w:t xml:space="preserve">set of samples with different thicknesses have the same maximum unbound moisture content as observed in </w:t>
      </w:r>
      <w:r w:rsidR="006E0155">
        <w:fldChar w:fldCharType="begin"/>
      </w:r>
      <w:r w:rsidR="006E0155">
        <w:instrText xml:space="preserve"> REF _Ref523931851 \h </w:instrText>
      </w:r>
      <w:r w:rsidR="00682F7B">
        <w:instrText xml:space="preserve"> \* MERGEFORMAT </w:instrText>
      </w:r>
      <w:r w:rsidR="006E0155">
        <w:fldChar w:fldCharType="separate"/>
      </w:r>
      <w:r w:rsidR="006D52C2">
        <w:t xml:space="preserve">Table </w:t>
      </w:r>
      <w:r w:rsidR="006D52C2">
        <w:rPr>
          <w:noProof/>
        </w:rPr>
        <w:t>11</w:t>
      </w:r>
      <w:r w:rsidR="006E0155">
        <w:fldChar w:fldCharType="end"/>
      </w:r>
      <w:r w:rsidR="006E0155">
        <w:t>, they have distinct unbound moisture absorption kinetics due to change in porosity.</w:t>
      </w:r>
      <w:r w:rsidR="00EB20D8">
        <w:t xml:space="preserve"> In thick samples</w:t>
      </w:r>
      <w:r w:rsidR="00216C41">
        <w:t>,</w:t>
      </w:r>
      <w:r w:rsidR="00EB20D8">
        <w:t xml:space="preserve"> unbound moisture must diffuse a longer path due to the thickness of the sample. Moreover, i</w:t>
      </w:r>
      <w:r w:rsidR="006E3809">
        <w:t>ncreased porosity causes faster unbound moisture to trapped moisture</w:t>
      </w:r>
      <w:r w:rsidR="006E3809" w:rsidRPr="006E3809">
        <w:t xml:space="preserve"> </w:t>
      </w:r>
      <w:r w:rsidR="006E3809">
        <w:t xml:space="preserve">transformation. More unbound moisture transforms to trapped moisture per unit time causing hindrance in unbound moisture diffusion. </w:t>
      </w:r>
      <w:r w:rsidR="00EB20D8">
        <w:t>Additionally, i</w:t>
      </w:r>
      <w:r w:rsidR="006E3809">
        <w:t xml:space="preserve">nfluence of porosity on bound moisture absorption may be observed in </w:t>
      </w:r>
      <w:r w:rsidR="006E3809">
        <w:fldChar w:fldCharType="begin"/>
      </w:r>
      <w:r w:rsidR="006E3809">
        <w:instrText xml:space="preserve"> REF _Ref524006159 \h </w:instrText>
      </w:r>
      <w:r w:rsidR="00682F7B">
        <w:instrText xml:space="preserve"> \* MERGEFORMAT </w:instrText>
      </w:r>
      <w:r w:rsidR="006E3809">
        <w:fldChar w:fldCharType="separate"/>
      </w:r>
      <w:r w:rsidR="006D52C2">
        <w:t xml:space="preserve">Figure </w:t>
      </w:r>
      <w:r w:rsidR="006D52C2">
        <w:rPr>
          <w:noProof/>
        </w:rPr>
        <w:t>61</w:t>
      </w:r>
      <w:r w:rsidR="006E3809">
        <w:fldChar w:fldCharType="end"/>
      </w:r>
      <w:r w:rsidR="006E3809">
        <w:t>b.</w:t>
      </w:r>
    </w:p>
    <w:p w14:paraId="106CE93E" w14:textId="12250028" w:rsidR="0034739C" w:rsidRDefault="006E3809" w:rsidP="00682F7B">
      <w:r>
        <w:t>Similarly, thickest foam samples, which have</w:t>
      </w:r>
      <w:r w:rsidR="00DB6D6A">
        <w:t xml:space="preserve"> the</w:t>
      </w:r>
      <w:r>
        <w:t xml:space="preserve"> highest porosity, reach to bound moisture equilibrium </w:t>
      </w:r>
      <w:r w:rsidR="00EB20D8">
        <w:t>later</w:t>
      </w:r>
      <w:r>
        <w:t xml:space="preserve"> than thinner samples. Faster transformation from unbound </w:t>
      </w:r>
      <w:r>
        <w:lastRenderedPageBreak/>
        <w:t>moisture to trapped moisture also affects the absorption kinetics of bound moisture</w:t>
      </w:r>
      <w:r w:rsidR="001C5474">
        <w:t>. As more unbound moisture becomes trapped, less amount of unbound moisture remains per unit volume. Even though the rate of exchange between the unbound and bound moisture remains constant, quantitatively less amount of remaining unbound moisture becomes bound. Thus, bound moisture absorption is more hindered in high porosity samples.</w:t>
      </w:r>
    </w:p>
    <w:p w14:paraId="0B9B360E" w14:textId="191008F9" w:rsidR="00C46E11" w:rsidRDefault="00EE629A" w:rsidP="00682F7B">
      <w:r>
        <w:t xml:space="preserve">In </w:t>
      </w:r>
      <w:r>
        <w:fldChar w:fldCharType="begin"/>
      </w:r>
      <w:r>
        <w:instrText xml:space="preserve"> REF _Ref524006159 \h </w:instrText>
      </w:r>
      <w:r w:rsidR="00682F7B">
        <w:instrText xml:space="preserve"> \* MERGEFORMAT </w:instrText>
      </w:r>
      <w:r>
        <w:fldChar w:fldCharType="separate"/>
      </w:r>
      <w:r w:rsidR="006D52C2">
        <w:t xml:space="preserve">Figure </w:t>
      </w:r>
      <w:r w:rsidR="006D52C2">
        <w:rPr>
          <w:noProof/>
        </w:rPr>
        <w:t>61</w:t>
      </w:r>
      <w:r>
        <w:fldChar w:fldCharType="end"/>
      </w:r>
      <w:r>
        <w:t>c, trapped moisture absorption into as-received Rohacell foams ar</w:t>
      </w:r>
      <w:r w:rsidR="00DB6D6A">
        <w:t>e</w:t>
      </w:r>
      <w:r>
        <w:t xml:space="preserve"> demonstrated. Both absorption kinetics and the maximum trapped moisture content for samples with different thicknesses have </w:t>
      </w:r>
      <w:r w:rsidR="00BF5EED">
        <w:t>certain</w:t>
      </w:r>
      <w:r>
        <w:t xml:space="preserve"> characteristics. The maximum trapped moisture content is related to the porosity of the samples. </w:t>
      </w:r>
      <w:r w:rsidR="00EB20D8">
        <w:t xml:space="preserve">Highly porous samples absorbed more moisture compared to relatively less porous foams. </w:t>
      </w:r>
      <w:r w:rsidR="00C94249">
        <w:t>In VFHDM theory, pores in the matrix are assumed to be fully occ</w:t>
      </w:r>
      <w:r w:rsidR="00EB20D8">
        <w:t>upied with water in equilibrium</w:t>
      </w:r>
      <w:r w:rsidR="00C94249">
        <w:t>.</w:t>
      </w:r>
      <w:r w:rsidR="00EB20D8">
        <w:t xml:space="preserve"> In this extent,</w:t>
      </w:r>
      <w:r w:rsidR="00C94249">
        <w:t xml:space="preserve"> the amount of water trapped inside the pores has been experimentally investigated. All the pores of one of the samples are popped by a small needle to </w:t>
      </w:r>
      <w:r w:rsidR="00EB20D8">
        <w:t>convert the closed-cells to open</w:t>
      </w:r>
      <w:r w:rsidR="00C94249">
        <w:t xml:space="preserve">-cell and remove the trapped water. For fast removal of trapped water, open-cell foam is subjected to 6.5 psi pressure for 1 min. Removal of trapped water by vacuum or in </w:t>
      </w:r>
      <w:r w:rsidR="00EB20D8">
        <w:t>standard</w:t>
      </w:r>
      <w:r w:rsidR="00C94249">
        <w:t xml:space="preserve"> condition</w:t>
      </w:r>
      <w:r w:rsidR="00EB20D8">
        <w:t>s</w:t>
      </w:r>
      <w:r w:rsidR="00C94249">
        <w:t xml:space="preserve"> might result in removal of unbound and/or bound moisture therefore compression for a short period of time on the sample is chosen. </w:t>
      </w:r>
      <w:r w:rsidR="00D75110">
        <w:t xml:space="preserve">After popping the pores and compression, weight of the sample reduced </w:t>
      </w:r>
      <w:r w:rsidR="00EB20D8">
        <w:t>as</w:t>
      </w:r>
      <w:r w:rsidR="00D75110">
        <w:t xml:space="preserve"> 1.7432g (498.8 wt</w:t>
      </w:r>
      <w:proofErr w:type="gramStart"/>
      <w:r w:rsidR="00D75110">
        <w:t>.%</w:t>
      </w:r>
      <w:proofErr w:type="gramEnd"/>
      <w:r w:rsidR="00D75110">
        <w:t>). The amount of trapped moisture in that sample is predicted by VFHDM as 1.6779g (480.1 wt</w:t>
      </w:r>
      <w:proofErr w:type="gramStart"/>
      <w:r w:rsidR="00D75110">
        <w:t>.%</w:t>
      </w:r>
      <w:proofErr w:type="gramEnd"/>
      <w:r w:rsidR="00D75110">
        <w:t>). S</w:t>
      </w:r>
      <w:r w:rsidR="00DB6D6A">
        <w:t>light</w:t>
      </w:r>
      <w:r w:rsidR="00D75110">
        <w:t xml:space="preserve"> difference between the predicted and measured weight gain by trapped moisture is possibly </w:t>
      </w:r>
      <w:r w:rsidR="00EB20D8">
        <w:t xml:space="preserve">due to </w:t>
      </w:r>
      <w:r w:rsidR="00D75110">
        <w:t>desorption of unbound and</w:t>
      </w:r>
      <w:r w:rsidR="00EB20D8">
        <w:t>/or</w:t>
      </w:r>
      <w:r w:rsidR="00D75110">
        <w:t xml:space="preserve"> bound moisture in the sample during popping and compression. Regardless, 3% difference between the theoretical and experimental trapped moisture content </w:t>
      </w:r>
      <w:r w:rsidR="00BF5EED">
        <w:t>substantiates</w:t>
      </w:r>
      <w:r w:rsidR="00D75110">
        <w:t xml:space="preserve"> the capabilities of void filling hindered diffusion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8185"/>
      </w:tblGrid>
      <w:tr w:rsidR="00C46E11" w14:paraId="1D84784C" w14:textId="77777777" w:rsidTr="002B4D30">
        <w:tc>
          <w:tcPr>
            <w:tcW w:w="445" w:type="dxa"/>
          </w:tcPr>
          <w:p w14:paraId="3C0925EB" w14:textId="7FF9881E" w:rsidR="00C46E11" w:rsidRPr="00C46E11" w:rsidRDefault="00C46E11" w:rsidP="00C46E11">
            <w:pPr>
              <w:pStyle w:val="NoSpacing"/>
              <w:rPr>
                <w:i/>
              </w:rPr>
            </w:pPr>
            <w:r w:rsidRPr="00C46E11">
              <w:rPr>
                <w:i/>
              </w:rPr>
              <w:lastRenderedPageBreak/>
              <w:t>a)</w:t>
            </w:r>
          </w:p>
        </w:tc>
        <w:tc>
          <w:tcPr>
            <w:tcW w:w="8185" w:type="dxa"/>
          </w:tcPr>
          <w:p w14:paraId="46008894" w14:textId="1C1048C7" w:rsidR="00C46E11" w:rsidRDefault="0091408E" w:rsidP="00C46E11">
            <w:pPr>
              <w:pStyle w:val="NoSpacing"/>
            </w:pPr>
            <w:r>
              <w:rPr>
                <w:noProof/>
                <w:lang w:bidi="ar-SA"/>
              </w:rPr>
              <w:drawing>
                <wp:inline distT="0" distB="0" distL="0" distR="0" wp14:anchorId="37C4C4D9" wp14:editId="56738D2E">
                  <wp:extent cx="5029200" cy="2509864"/>
                  <wp:effectExtent l="0" t="0" r="0" b="5080"/>
                  <wp:docPr id="4154" name="Picture 4154" descr="C:\Users\Administrator\Desktop\proje\PhD Dissertation\Foam\absorption\R-unb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C:\Users\Administrator\Desktop\proje\PhD Dissertation\Foam\absorption\R-unbound.ti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r w:rsidR="00C46E11" w14:paraId="2049D93A" w14:textId="77777777" w:rsidTr="002B4D30">
        <w:tc>
          <w:tcPr>
            <w:tcW w:w="445" w:type="dxa"/>
          </w:tcPr>
          <w:p w14:paraId="7E07CFFA" w14:textId="5F6CDB9B" w:rsidR="00C46E11" w:rsidRPr="00C46E11" w:rsidRDefault="00C46E11" w:rsidP="00C46E11">
            <w:pPr>
              <w:pStyle w:val="NoSpacing"/>
              <w:rPr>
                <w:i/>
              </w:rPr>
            </w:pPr>
            <w:r w:rsidRPr="00C46E11">
              <w:rPr>
                <w:i/>
              </w:rPr>
              <w:t>b)</w:t>
            </w:r>
          </w:p>
        </w:tc>
        <w:tc>
          <w:tcPr>
            <w:tcW w:w="8185" w:type="dxa"/>
          </w:tcPr>
          <w:p w14:paraId="0CC297E5" w14:textId="6ABB1446" w:rsidR="00C46E11" w:rsidRDefault="0091408E" w:rsidP="00C46E11">
            <w:pPr>
              <w:pStyle w:val="NoSpacing"/>
            </w:pPr>
            <w:r>
              <w:rPr>
                <w:noProof/>
                <w:lang w:bidi="ar-SA"/>
              </w:rPr>
              <w:drawing>
                <wp:inline distT="0" distB="0" distL="0" distR="0" wp14:anchorId="460CBB7C" wp14:editId="2DE4ADED">
                  <wp:extent cx="5029200" cy="2509864"/>
                  <wp:effectExtent l="0" t="0" r="0" b="5080"/>
                  <wp:docPr id="4155" name="Picture 4155" descr="C:\Users\Administrator\Desktop\proje\PhD Dissertation\Foam\absorption\R-b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C:\Users\Administrator\Desktop\proje\PhD Dissertation\Foam\absorption\R-bound.t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r w:rsidR="00C46E11" w14:paraId="70AA4080" w14:textId="77777777" w:rsidTr="002B4D30">
        <w:tc>
          <w:tcPr>
            <w:tcW w:w="445" w:type="dxa"/>
          </w:tcPr>
          <w:p w14:paraId="4C1F3FEA" w14:textId="6E31B9A0" w:rsidR="00C46E11" w:rsidRPr="00C46E11" w:rsidRDefault="00C46E11" w:rsidP="00C46E11">
            <w:pPr>
              <w:pStyle w:val="NoSpacing"/>
              <w:rPr>
                <w:i/>
              </w:rPr>
            </w:pPr>
            <w:r w:rsidRPr="00C46E11">
              <w:rPr>
                <w:i/>
              </w:rPr>
              <w:t>c)</w:t>
            </w:r>
          </w:p>
        </w:tc>
        <w:tc>
          <w:tcPr>
            <w:tcW w:w="8185" w:type="dxa"/>
          </w:tcPr>
          <w:p w14:paraId="65E3D689" w14:textId="11497422" w:rsidR="00C46E11" w:rsidRDefault="0091408E" w:rsidP="00C46E11">
            <w:pPr>
              <w:pStyle w:val="NoSpacing"/>
            </w:pPr>
            <w:r>
              <w:rPr>
                <w:noProof/>
                <w:lang w:bidi="ar-SA"/>
              </w:rPr>
              <w:drawing>
                <wp:inline distT="0" distB="0" distL="0" distR="0" wp14:anchorId="17F9A2FA" wp14:editId="1ABAF337">
                  <wp:extent cx="5029200" cy="2509864"/>
                  <wp:effectExtent l="0" t="0" r="0" b="5080"/>
                  <wp:docPr id="4158" name="Picture 4158" descr="C:\Users\Administrator\Desktop\proje\PhD Dissertation\Foam\absorption\R-trapp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C:\Users\Administrator\Desktop\proje\PhD Dissertation\Foam\absorption\R-trapped.tif"/>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bl>
    <w:p w14:paraId="2DA683FC" w14:textId="32D57226" w:rsidR="002B38A6" w:rsidRDefault="002B38A6" w:rsidP="002B38A6">
      <w:pPr>
        <w:pStyle w:val="Caption"/>
      </w:pPr>
      <w:bookmarkStart w:id="289" w:name="_Ref524006159"/>
      <w:bookmarkStart w:id="290" w:name="_Toc530997417"/>
      <w:r>
        <w:t xml:space="preserve">Figure </w:t>
      </w:r>
      <w:r w:rsidR="00414F89">
        <w:rPr>
          <w:noProof/>
        </w:rPr>
        <w:fldChar w:fldCharType="begin"/>
      </w:r>
      <w:r w:rsidR="00414F89">
        <w:rPr>
          <w:noProof/>
        </w:rPr>
        <w:instrText xml:space="preserve"> SEQ Figure \* ARABIC </w:instrText>
      </w:r>
      <w:r w:rsidR="00414F89">
        <w:rPr>
          <w:noProof/>
        </w:rPr>
        <w:fldChar w:fldCharType="separate"/>
      </w:r>
      <w:r w:rsidR="006D52C2">
        <w:rPr>
          <w:noProof/>
        </w:rPr>
        <w:t>61</w:t>
      </w:r>
      <w:r w:rsidR="00414F89">
        <w:rPr>
          <w:noProof/>
        </w:rPr>
        <w:fldChar w:fldCharType="end"/>
      </w:r>
      <w:bookmarkEnd w:id="289"/>
      <w:r>
        <w:t xml:space="preserve">. </w:t>
      </w:r>
      <w:r w:rsidR="0091408E">
        <w:t xml:space="preserve">VFHDM predictions of </w:t>
      </w:r>
      <w:r w:rsidR="0091408E" w:rsidRPr="0091408E">
        <w:rPr>
          <w:i/>
        </w:rPr>
        <w:t>a)</w:t>
      </w:r>
      <w:r w:rsidR="0091408E">
        <w:t xml:space="preserve"> unbound </w:t>
      </w:r>
      <w:r w:rsidR="0091408E" w:rsidRPr="0091408E">
        <w:rPr>
          <w:i/>
        </w:rPr>
        <w:t>b)</w:t>
      </w:r>
      <w:r w:rsidR="0091408E">
        <w:t xml:space="preserve"> bound and </w:t>
      </w:r>
      <w:r w:rsidR="0091408E" w:rsidRPr="0091408E">
        <w:rPr>
          <w:i/>
        </w:rPr>
        <w:t xml:space="preserve">c) </w:t>
      </w:r>
      <w:r w:rsidR="0091408E">
        <w:t>trapped moisture absorption int</w:t>
      </w:r>
      <w:r w:rsidR="000270C4">
        <w:t>o</w:t>
      </w:r>
      <w:r w:rsidR="0091408E">
        <w:t xml:space="preserve"> as-received Rohacell foams</w:t>
      </w:r>
      <w:r w:rsidR="000270C4">
        <w:t>.</w:t>
      </w:r>
      <w:bookmarkEnd w:id="290"/>
    </w:p>
    <w:p w14:paraId="5678EAF4" w14:textId="77777777" w:rsidR="007C6C65" w:rsidRPr="007C6C65" w:rsidRDefault="007C6C65" w:rsidP="007C6C65"/>
    <w:p w14:paraId="1E285466" w14:textId="49FC5BFF" w:rsidR="000270C4" w:rsidRDefault="000270C4" w:rsidP="00682F7B">
      <w:r>
        <w:lastRenderedPageBreak/>
        <w:t xml:space="preserve">In </w:t>
      </w:r>
      <w:r w:rsidR="003732E4">
        <w:fldChar w:fldCharType="begin"/>
      </w:r>
      <w:r w:rsidR="003732E4">
        <w:instrText xml:space="preserve"> REF _Ref524599147 \h </w:instrText>
      </w:r>
      <w:r w:rsidR="00682F7B">
        <w:instrText xml:space="preserve"> \* MERGEFORMAT </w:instrText>
      </w:r>
      <w:r w:rsidR="003732E4">
        <w:fldChar w:fldCharType="separate"/>
      </w:r>
      <w:r w:rsidR="006D52C2">
        <w:t xml:space="preserve">Figure </w:t>
      </w:r>
      <w:r w:rsidR="006D52C2">
        <w:rPr>
          <w:noProof/>
        </w:rPr>
        <w:t>62</w:t>
      </w:r>
      <w:r w:rsidR="003732E4">
        <w:fldChar w:fldCharType="end"/>
      </w:r>
      <w:r>
        <w:t>,</w:t>
      </w:r>
      <w:r w:rsidR="003732E4">
        <w:t xml:space="preserve"> one-dimensional VFHDM predictions over mass gain</w:t>
      </w:r>
      <w:r>
        <w:t xml:space="preserve"> data of </w:t>
      </w:r>
      <w:r w:rsidR="004E351D">
        <w:t>foams heat treated under 30 psi</w:t>
      </w:r>
      <w:r>
        <w:t xml:space="preserve"> (R3</w:t>
      </w:r>
      <w:r w:rsidR="003732E4">
        <w:t>-30</w:t>
      </w:r>
      <w:r>
        <w:t>, R6</w:t>
      </w:r>
      <w:r w:rsidR="003732E4">
        <w:t>-30</w:t>
      </w:r>
      <w:r>
        <w:t>, and R9</w:t>
      </w:r>
      <w:r w:rsidR="003732E4">
        <w:t>-30</w:t>
      </w:r>
      <w:r>
        <w:t xml:space="preserve">) </w:t>
      </w:r>
      <w:r w:rsidR="003732E4">
        <w:t>are illustrated.</w:t>
      </w:r>
      <w:r>
        <w:t xml:space="preserve"> </w:t>
      </w:r>
      <w:r w:rsidR="003732E4">
        <w:t xml:space="preserve">As in as-received foams, </w:t>
      </w:r>
      <w:r>
        <w:t xml:space="preserve">VFHDM </w:t>
      </w:r>
      <w:r w:rsidR="003732E4">
        <w:t xml:space="preserve">was able to predict the absorption behavior of foams with different thicknesses. </w:t>
      </w:r>
      <w:r w:rsidR="00225D92">
        <w:t xml:space="preserve">The last data point is not used for VFHDM recovery, only illustrated to show the capabilities of the model. </w:t>
      </w:r>
      <w:r w:rsidR="003732E4">
        <w:t xml:space="preserve">The </w:t>
      </w:r>
      <w:r w:rsidR="00BF5EED">
        <w:t>quality</w:t>
      </w:r>
      <w:r w:rsidR="003732E4">
        <w:t xml:space="preserve"> of the prediction can be observed both in </w:t>
      </w:r>
      <w:r w:rsidR="003732E4">
        <w:fldChar w:fldCharType="begin"/>
      </w:r>
      <w:r w:rsidR="003732E4">
        <w:instrText xml:space="preserve"> REF _Ref524599147 \h </w:instrText>
      </w:r>
      <w:r w:rsidR="00682F7B">
        <w:instrText xml:space="preserve"> \* MERGEFORMAT </w:instrText>
      </w:r>
      <w:r w:rsidR="003732E4">
        <w:fldChar w:fldCharType="separate"/>
      </w:r>
      <w:r w:rsidR="006D52C2">
        <w:t xml:space="preserve">Figure </w:t>
      </w:r>
      <w:r w:rsidR="006D52C2">
        <w:rPr>
          <w:noProof/>
        </w:rPr>
        <w:t>62</w:t>
      </w:r>
      <w:r w:rsidR="003732E4">
        <w:fldChar w:fldCharType="end"/>
      </w:r>
      <w:r w:rsidR="003732E4">
        <w:t xml:space="preserve"> and </w:t>
      </w:r>
      <w:r w:rsidR="00BF5EED">
        <w:t>by</w:t>
      </w:r>
      <w:r w:rsidR="003732E4">
        <w:t xml:space="preserve"> the RMS/data pt. column of </w:t>
      </w:r>
      <w:r>
        <w:fldChar w:fldCharType="begin"/>
      </w:r>
      <w:r>
        <w:instrText xml:space="preserve"> REF _Ref523931851 \h </w:instrText>
      </w:r>
      <w:r w:rsidR="00682F7B">
        <w:instrText xml:space="preserve"> \* MERGEFORMAT </w:instrText>
      </w:r>
      <w:r>
        <w:fldChar w:fldCharType="separate"/>
      </w:r>
      <w:r w:rsidR="006D52C2">
        <w:t xml:space="preserve">Table </w:t>
      </w:r>
      <w:r w:rsidR="006D52C2">
        <w:rPr>
          <w:noProof/>
        </w:rPr>
        <w:t>11</w:t>
      </w:r>
      <w:r>
        <w:fldChar w:fldCharType="end"/>
      </w:r>
      <w:r>
        <w:t>.</w:t>
      </w:r>
      <w:r w:rsidR="003732E4">
        <w:t xml:space="preserve"> Each set of </w:t>
      </w:r>
      <w:r w:rsidR="004E351D">
        <w:t xml:space="preserve">samples </w:t>
      </w:r>
      <w:r w:rsidR="003732E4">
        <w:t xml:space="preserve">heat treated under 30 psi foam absorbed less amount of water in comparison with the corresponding set of as-received foam samples. </w:t>
      </w:r>
      <w:r w:rsidR="00415780">
        <w:t xml:space="preserve">The decrease in maximum moisture content is </w:t>
      </w:r>
      <w:r w:rsidR="00AB3439">
        <w:t>associated with</w:t>
      </w:r>
      <w:r w:rsidR="00415780">
        <w:t xml:space="preserve"> the decrease in porosity due to heat treatment and compression. </w:t>
      </w:r>
      <w:r w:rsidR="00AB3439">
        <w:t>Even though no significant change in microstructure</w:t>
      </w:r>
      <w:r w:rsidR="00AB3439" w:rsidRPr="00AB3439">
        <w:t xml:space="preserve"> </w:t>
      </w:r>
      <w:r w:rsidR="00AB3439">
        <w:t>other than</w:t>
      </w:r>
      <w:r w:rsidR="004E351D">
        <w:t xml:space="preserve"> cell shrinkage is observed</w:t>
      </w:r>
      <w:r w:rsidR="00AB3439">
        <w:t xml:space="preserve"> in SEM images, change in absorption kinetics is investigated through the unbound, bound</w:t>
      </w:r>
      <w:r w:rsidR="00CB64A3">
        <w:t>,</w:t>
      </w:r>
      <w:r w:rsidR="00AB3439">
        <w:t xml:space="preserve"> and trapped moisture mass gain in </w:t>
      </w:r>
      <w:r w:rsidR="00AB3439">
        <w:fldChar w:fldCharType="begin"/>
      </w:r>
      <w:r w:rsidR="00AB3439">
        <w:instrText xml:space="preserve"> REF _Ref524600422 \h </w:instrText>
      </w:r>
      <w:r w:rsidR="00682F7B">
        <w:instrText xml:space="preserve"> \* MERGEFORMAT </w:instrText>
      </w:r>
      <w:r w:rsidR="00AB3439">
        <w:fldChar w:fldCharType="separate"/>
      </w:r>
      <w:r w:rsidR="006D52C2">
        <w:t xml:space="preserve">Figure </w:t>
      </w:r>
      <w:r w:rsidR="006D52C2">
        <w:rPr>
          <w:noProof/>
        </w:rPr>
        <w:t>63</w:t>
      </w:r>
      <w:r w:rsidR="00AB3439">
        <w:fldChar w:fldCharType="end"/>
      </w:r>
      <w:r w:rsidR="00AB3439">
        <w:t>.</w:t>
      </w:r>
    </w:p>
    <w:p w14:paraId="033FA44D" w14:textId="6345A162" w:rsidR="00111DE3" w:rsidRDefault="004F0357" w:rsidP="000270C4">
      <w:pPr>
        <w:pStyle w:val="NoSpacing"/>
      </w:pPr>
      <w:r>
        <w:rPr>
          <w:noProof/>
          <w:lang w:bidi="ar-SA"/>
        </w:rPr>
        <w:drawing>
          <wp:inline distT="0" distB="0" distL="0" distR="0" wp14:anchorId="764F4F13" wp14:editId="0091DD17">
            <wp:extent cx="4783553" cy="3474720"/>
            <wp:effectExtent l="0" t="0" r="0" b="0"/>
            <wp:docPr id="4185" name="Picture 4185" descr="C:\Users\Administrator\Desktop\proje\PhD Dissertation\Foam\absorption\30 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Foam\absorption\30 all.t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783553" cy="3474720"/>
                    </a:xfrm>
                    <a:prstGeom prst="rect">
                      <a:avLst/>
                    </a:prstGeom>
                    <a:noFill/>
                    <a:ln>
                      <a:noFill/>
                    </a:ln>
                  </pic:spPr>
                </pic:pic>
              </a:graphicData>
            </a:graphic>
          </wp:inline>
        </w:drawing>
      </w:r>
    </w:p>
    <w:p w14:paraId="5AAD010E" w14:textId="5B5CDB72" w:rsidR="000270C4" w:rsidRDefault="000270C4" w:rsidP="000270C4">
      <w:pPr>
        <w:pStyle w:val="Caption"/>
        <w:rPr>
          <w:b w:val="0"/>
        </w:rPr>
      </w:pPr>
      <w:bookmarkStart w:id="291" w:name="_Ref524599147"/>
      <w:bookmarkStart w:id="292" w:name="_Toc530997418"/>
      <w:r>
        <w:t xml:space="preserve">Figure </w:t>
      </w:r>
      <w:r w:rsidR="008C30AB">
        <w:rPr>
          <w:noProof/>
        </w:rPr>
        <w:fldChar w:fldCharType="begin"/>
      </w:r>
      <w:r w:rsidR="008C30AB">
        <w:rPr>
          <w:noProof/>
        </w:rPr>
        <w:instrText xml:space="preserve"> SEQ Figure \* ARABIC </w:instrText>
      </w:r>
      <w:r w:rsidR="008C30AB">
        <w:rPr>
          <w:noProof/>
        </w:rPr>
        <w:fldChar w:fldCharType="separate"/>
      </w:r>
      <w:r w:rsidR="006D52C2">
        <w:rPr>
          <w:noProof/>
        </w:rPr>
        <w:t>62</w:t>
      </w:r>
      <w:r w:rsidR="008C30AB">
        <w:rPr>
          <w:noProof/>
        </w:rPr>
        <w:fldChar w:fldCharType="end"/>
      </w:r>
      <w:bookmarkEnd w:id="291"/>
      <w:r>
        <w:t>. Mass gain data and VFHDM predictions of 3mm, 6mm, and 9mm Rohacell foams heat treated under 30 psi.</w:t>
      </w:r>
      <w:bookmarkEnd w:id="292"/>
    </w:p>
    <w:p w14:paraId="7670A669" w14:textId="77777777" w:rsidR="000270C4" w:rsidRDefault="000270C4" w:rsidP="00634E97">
      <w:pPr>
        <w:jc w:val="left"/>
        <w:rPr>
          <w:rFonts w:cs="Times New Roman"/>
          <w:b/>
          <w:szCs w:val="24"/>
        </w:rPr>
      </w:pPr>
    </w:p>
    <w:p w14:paraId="61483AEA" w14:textId="7C139188" w:rsidR="003C6184" w:rsidRDefault="0034739C" w:rsidP="00682F7B">
      <w:r>
        <w:lastRenderedPageBreak/>
        <w:t>E</w:t>
      </w:r>
      <w:r w:rsidR="003C6184">
        <w:t>ffect of sample thickness on unbound moisture absorption dynamics</w:t>
      </w:r>
      <w:r>
        <w:t xml:space="preserve"> of foams heat treated under 30 psi</w:t>
      </w:r>
      <w:r w:rsidR="003C6184">
        <w:t xml:space="preserve"> is illustrated in </w:t>
      </w:r>
      <w:r w:rsidR="003C6184">
        <w:fldChar w:fldCharType="begin"/>
      </w:r>
      <w:r w:rsidR="003C6184">
        <w:instrText xml:space="preserve"> REF _Ref524600422 \h </w:instrText>
      </w:r>
      <w:r w:rsidR="00682F7B">
        <w:instrText xml:space="preserve"> \* MERGEFORMAT </w:instrText>
      </w:r>
      <w:r w:rsidR="003C6184">
        <w:fldChar w:fldCharType="separate"/>
      </w:r>
      <w:r w:rsidR="006D52C2">
        <w:t xml:space="preserve">Figure </w:t>
      </w:r>
      <w:r w:rsidR="006D52C2">
        <w:rPr>
          <w:noProof/>
        </w:rPr>
        <w:t>63</w:t>
      </w:r>
      <w:r w:rsidR="003C6184">
        <w:fldChar w:fldCharType="end"/>
      </w:r>
      <w:r w:rsidR="003C6184">
        <w:t xml:space="preserve">a. </w:t>
      </w:r>
      <w:r w:rsidR="00235D1E">
        <w:t xml:space="preserve">As observed in </w:t>
      </w:r>
      <w:r w:rsidR="00235D1E">
        <w:fldChar w:fldCharType="begin"/>
      </w:r>
      <w:r w:rsidR="00235D1E">
        <w:instrText xml:space="preserve"> REF _Ref523931851 \h </w:instrText>
      </w:r>
      <w:r w:rsidR="00682F7B">
        <w:instrText xml:space="preserve"> \* MERGEFORMAT </w:instrText>
      </w:r>
      <w:r w:rsidR="00235D1E">
        <w:fldChar w:fldCharType="separate"/>
      </w:r>
      <w:r w:rsidR="006D52C2">
        <w:t xml:space="preserve">Table </w:t>
      </w:r>
      <w:r w:rsidR="006D52C2">
        <w:rPr>
          <w:noProof/>
        </w:rPr>
        <w:t>11</w:t>
      </w:r>
      <w:r w:rsidR="00235D1E">
        <w:fldChar w:fldCharType="end"/>
      </w:r>
      <w:r w:rsidR="00235D1E">
        <w:t xml:space="preserve">, </w:t>
      </w:r>
      <w:r w:rsidR="004E351D">
        <w:t>unbound moisture content does not change with the sample thickness</w:t>
      </w:r>
      <w:r w:rsidR="00235D1E">
        <w:t xml:space="preserve">. </w:t>
      </w:r>
      <w:r w:rsidR="004E351D">
        <w:t>In contrast, h</w:t>
      </w:r>
      <w:r w:rsidR="00235D1E">
        <w:t>eat treatment under 30 psi has caused 5</w:t>
      </w:r>
      <w:r w:rsidR="00A85490">
        <w:t xml:space="preserve">.1 </w:t>
      </w:r>
      <w:r w:rsidR="00235D1E">
        <w:t>wt</w:t>
      </w:r>
      <w:proofErr w:type="gramStart"/>
      <w:r w:rsidR="00335D7D">
        <w:t>.</w:t>
      </w:r>
      <w:r w:rsidR="00235D1E">
        <w:t>%</w:t>
      </w:r>
      <w:proofErr w:type="gramEnd"/>
      <w:r w:rsidR="00235D1E">
        <w:t xml:space="preserve"> less unbound moisture absorption in Rohacell foams. The compaction under elevated temperature may have led to increase in crosslinking density in turn decrease in free volume where unbound moisture can diffuse into. Alternately, adjacent polymer chains might be compacted to get closer contributing to decrease in free volume. In addition, the change in thickness, thus porosity, resulted in change in absorption behavior similar to the absorption kinetic </w:t>
      </w:r>
      <w:r w:rsidR="004E351D">
        <w:t>variation</w:t>
      </w:r>
      <w:r w:rsidR="00235D1E">
        <w:t xml:space="preserve"> in as-received foam samples.</w:t>
      </w:r>
      <w:r>
        <w:t xml:space="preserve"> Increasing porosity slows down the unbound mass gain because</w:t>
      </w:r>
      <w:r w:rsidR="00235D1E">
        <w:t xml:space="preserve"> </w:t>
      </w:r>
      <w:r>
        <w:t xml:space="preserve">more unbound moisture becomes trapped in pores. </w:t>
      </w:r>
    </w:p>
    <w:p w14:paraId="1F4E5E88" w14:textId="1734F35A" w:rsidR="0034739C" w:rsidRDefault="0034739C" w:rsidP="00682F7B">
      <w:r>
        <w:t xml:space="preserve">In </w:t>
      </w:r>
      <w:r>
        <w:fldChar w:fldCharType="begin"/>
      </w:r>
      <w:r>
        <w:instrText xml:space="preserve"> REF _Ref524600422 \h </w:instrText>
      </w:r>
      <w:r w:rsidR="00682F7B">
        <w:instrText xml:space="preserve"> \* MERGEFORMAT </w:instrText>
      </w:r>
      <w:r>
        <w:fldChar w:fldCharType="separate"/>
      </w:r>
      <w:r w:rsidR="006D52C2">
        <w:t xml:space="preserve">Figure </w:t>
      </w:r>
      <w:r w:rsidR="006D52C2">
        <w:rPr>
          <w:noProof/>
        </w:rPr>
        <w:t>63</w:t>
      </w:r>
      <w:r>
        <w:fldChar w:fldCharType="end"/>
      </w:r>
      <w:r>
        <w:t>b, bound moisture absorption behavior of</w:t>
      </w:r>
      <w:r w:rsidRPr="0034739C">
        <w:t xml:space="preserve"> </w:t>
      </w:r>
      <w:r>
        <w:t xml:space="preserve">foams heat treated under 30 psi is presented. In terms of </w:t>
      </w:r>
      <w:r w:rsidR="00006686">
        <w:t xml:space="preserve">maximum bound moisture content and change in absorption kinetics, foam samples heat treated under 30 psi shows similar properties with as-received foams: </w:t>
      </w:r>
      <w:proofErr w:type="spellStart"/>
      <w:r w:rsidR="00006686">
        <w:t>i</w:t>
      </w:r>
      <w:proofErr w:type="spellEnd"/>
      <w:r w:rsidR="00006686">
        <w:t xml:space="preserve">) thickness has no effect on maximum bound moisture content and ii) increased porosity/thickness decelerate the bound moisture absorption. </w:t>
      </w:r>
      <w:r w:rsidR="00EF6006">
        <w:t>On the other hand, comparison between bound moisture absorption of the as-received foams samples and foam samples heat treated under 30 psi shows that heat treated samples absorb 9 wt.% more bound moisture than as-received foams. This small difference in maximum bound moisture content may be also attributed to increasing crosslinking density due to heat treatment</w:t>
      </w:r>
      <w:r w:rsidR="00676DB2">
        <w:fldChar w:fldCharType="begin" w:fldLock="1"/>
      </w:r>
      <w:r w:rsidR="00B274D5">
        <w:instrText>ADDIN CSL_CITATION {"citationItems":[{"id":"ITEM-1","itemData":{"author":[{"dropping-particle":"","family":"Georjon","given":"Olivier","non-dropping-particle":"","parse-names":false,"suffix":""},{"dropping-particle":"","family":"Galy","given":"Jocelyne","non-dropping-particle":"","parse-names":false,"suffix":""}],"container-title":"Polymer","id":"ITEM-1","issue":"2","issued":{"date-parts":[["1998"]]},"page":"339-345","title":"Effects of crosslink density on the volumetric properties of high Tg polyurethane networks. Consequences on moisture absorption","type":"article-journal","volume":"39"},"uris":["http://www.mendeley.com/documents/?uuid=7366223f-71c4-4094-9bba-3544b67b9f4c"]}],"mendeley":{"formattedCitation":"[139]","plainTextFormattedCitation":"[139]","previouslyFormattedCitation":"[139]"},"properties":{"noteIndex":0},"schema":"https://github.com/citation-style-language/schema/raw/master/csl-citation.json"}</w:instrText>
      </w:r>
      <w:r w:rsidR="00676DB2">
        <w:fldChar w:fldCharType="separate"/>
      </w:r>
      <w:r w:rsidR="00676DB2" w:rsidRPr="00676DB2">
        <w:rPr>
          <w:noProof/>
        </w:rPr>
        <w:t>[139]</w:t>
      </w:r>
      <w:r w:rsidR="00676DB2">
        <w:fldChar w:fldCharType="end"/>
      </w:r>
      <w:r w:rsidR="00EF6006">
        <w:t xml:space="preserve">. Increasing crosslinking density not only would decrease the unbound maximum moisture content due to decreasing free volume but also increase the maximum bound moisture content due to new crosslinks between the polymer chains.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8185"/>
      </w:tblGrid>
      <w:tr w:rsidR="000270C4" w14:paraId="6BA8EE82" w14:textId="77777777" w:rsidTr="000270C4">
        <w:tc>
          <w:tcPr>
            <w:tcW w:w="445" w:type="dxa"/>
          </w:tcPr>
          <w:p w14:paraId="7F8F8658" w14:textId="77777777" w:rsidR="000270C4" w:rsidRPr="00C46E11" w:rsidRDefault="000270C4" w:rsidP="008C30AB">
            <w:pPr>
              <w:pStyle w:val="NoSpacing"/>
              <w:rPr>
                <w:i/>
              </w:rPr>
            </w:pPr>
            <w:r w:rsidRPr="00C46E11">
              <w:rPr>
                <w:i/>
              </w:rPr>
              <w:lastRenderedPageBreak/>
              <w:t>a)</w:t>
            </w:r>
          </w:p>
        </w:tc>
        <w:tc>
          <w:tcPr>
            <w:tcW w:w="8185" w:type="dxa"/>
          </w:tcPr>
          <w:p w14:paraId="4021CC57" w14:textId="780D6562" w:rsidR="000270C4" w:rsidRDefault="000270C4" w:rsidP="008C30AB">
            <w:pPr>
              <w:pStyle w:val="NoSpacing"/>
            </w:pPr>
            <w:r>
              <w:rPr>
                <w:noProof/>
                <w:lang w:bidi="ar-SA"/>
              </w:rPr>
              <w:drawing>
                <wp:inline distT="0" distB="0" distL="0" distR="0" wp14:anchorId="69CFFDCC" wp14:editId="7ACFF4CE">
                  <wp:extent cx="5029200" cy="2509864"/>
                  <wp:effectExtent l="0" t="0" r="0" b="5080"/>
                  <wp:docPr id="4164" name="Picture 4164" descr="C:\Users\Administrator\Desktop\proje\PhD Dissertation\Foam\absorption\R-30-unb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C:\Users\Administrator\Desktop\proje\PhD Dissertation\Foam\absorption\R-30-unbound.t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r w:rsidR="000270C4" w14:paraId="71A27B00" w14:textId="77777777" w:rsidTr="000270C4">
        <w:tc>
          <w:tcPr>
            <w:tcW w:w="445" w:type="dxa"/>
          </w:tcPr>
          <w:p w14:paraId="4AD2E750" w14:textId="77777777" w:rsidR="000270C4" w:rsidRPr="00C46E11" w:rsidRDefault="000270C4" w:rsidP="008C30AB">
            <w:pPr>
              <w:pStyle w:val="NoSpacing"/>
              <w:rPr>
                <w:i/>
              </w:rPr>
            </w:pPr>
            <w:r w:rsidRPr="00C46E11">
              <w:rPr>
                <w:i/>
              </w:rPr>
              <w:t>b)</w:t>
            </w:r>
          </w:p>
        </w:tc>
        <w:tc>
          <w:tcPr>
            <w:tcW w:w="8185" w:type="dxa"/>
          </w:tcPr>
          <w:p w14:paraId="1800CC18" w14:textId="23867F37" w:rsidR="000270C4" w:rsidRDefault="000270C4" w:rsidP="008C30AB">
            <w:pPr>
              <w:pStyle w:val="NoSpacing"/>
            </w:pPr>
            <w:r>
              <w:rPr>
                <w:noProof/>
                <w:lang w:bidi="ar-SA"/>
              </w:rPr>
              <w:drawing>
                <wp:inline distT="0" distB="0" distL="0" distR="0" wp14:anchorId="79CB2A2F" wp14:editId="493E68B5">
                  <wp:extent cx="5029200" cy="2509864"/>
                  <wp:effectExtent l="0" t="0" r="0" b="5080"/>
                  <wp:docPr id="4162" name="Picture 4162" descr="C:\Users\Administrator\Desktop\proje\PhD Dissertation\Foam\absorption\R-30-b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C:\Users\Administrator\Desktop\proje\PhD Dissertation\Foam\absorption\R-30-bound.t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r w:rsidR="000270C4" w14:paraId="64CBD757" w14:textId="77777777" w:rsidTr="000270C4">
        <w:tc>
          <w:tcPr>
            <w:tcW w:w="445" w:type="dxa"/>
          </w:tcPr>
          <w:p w14:paraId="01559761" w14:textId="77777777" w:rsidR="000270C4" w:rsidRPr="00C46E11" w:rsidRDefault="000270C4" w:rsidP="008C30AB">
            <w:pPr>
              <w:pStyle w:val="NoSpacing"/>
              <w:rPr>
                <w:i/>
              </w:rPr>
            </w:pPr>
            <w:r w:rsidRPr="00C46E11">
              <w:rPr>
                <w:i/>
              </w:rPr>
              <w:t>c)</w:t>
            </w:r>
          </w:p>
        </w:tc>
        <w:tc>
          <w:tcPr>
            <w:tcW w:w="8185" w:type="dxa"/>
          </w:tcPr>
          <w:p w14:paraId="4B9D18C3" w14:textId="7A4C3B0B" w:rsidR="000270C4" w:rsidRDefault="000270C4" w:rsidP="008C30AB">
            <w:pPr>
              <w:pStyle w:val="NoSpacing"/>
            </w:pPr>
            <w:r>
              <w:rPr>
                <w:noProof/>
                <w:lang w:bidi="ar-SA"/>
              </w:rPr>
              <w:drawing>
                <wp:inline distT="0" distB="0" distL="0" distR="0" wp14:anchorId="142C1E7C" wp14:editId="2FDB684D">
                  <wp:extent cx="5029200" cy="2509864"/>
                  <wp:effectExtent l="0" t="0" r="0" b="5080"/>
                  <wp:docPr id="4165" name="Picture 4165" descr="C:\Users\Administrator\Desktop\proje\PhD Dissertation\Foam\absorption\R-30-trapp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C:\Users\Administrator\Desktop\proje\PhD Dissertation\Foam\absorption\R-30-trapped.tif"/>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bl>
    <w:p w14:paraId="0C1AE9FF" w14:textId="499677E1" w:rsidR="000270C4" w:rsidRPr="000270C4" w:rsidRDefault="000270C4" w:rsidP="000270C4">
      <w:pPr>
        <w:pStyle w:val="Caption"/>
      </w:pPr>
      <w:bookmarkStart w:id="293" w:name="_Ref524600422"/>
      <w:bookmarkStart w:id="294" w:name="_Toc530997419"/>
      <w:r>
        <w:t xml:space="preserve">Figure </w:t>
      </w:r>
      <w:r w:rsidR="008C30AB">
        <w:rPr>
          <w:noProof/>
        </w:rPr>
        <w:fldChar w:fldCharType="begin"/>
      </w:r>
      <w:r w:rsidR="008C30AB">
        <w:rPr>
          <w:noProof/>
        </w:rPr>
        <w:instrText xml:space="preserve"> SEQ Figure \* ARABIC </w:instrText>
      </w:r>
      <w:r w:rsidR="008C30AB">
        <w:rPr>
          <w:noProof/>
        </w:rPr>
        <w:fldChar w:fldCharType="separate"/>
      </w:r>
      <w:r w:rsidR="006D52C2">
        <w:rPr>
          <w:noProof/>
        </w:rPr>
        <w:t>63</w:t>
      </w:r>
      <w:r w:rsidR="008C30AB">
        <w:rPr>
          <w:noProof/>
        </w:rPr>
        <w:fldChar w:fldCharType="end"/>
      </w:r>
      <w:bookmarkEnd w:id="293"/>
      <w:r>
        <w:t xml:space="preserve">. VFHDM predictions of </w:t>
      </w:r>
      <w:r w:rsidRPr="0091408E">
        <w:rPr>
          <w:i/>
        </w:rPr>
        <w:t>a)</w:t>
      </w:r>
      <w:r>
        <w:t xml:space="preserve"> unbound </w:t>
      </w:r>
      <w:r w:rsidRPr="0091408E">
        <w:rPr>
          <w:i/>
        </w:rPr>
        <w:t>b)</w:t>
      </w:r>
      <w:r>
        <w:t xml:space="preserve"> bound and </w:t>
      </w:r>
      <w:r w:rsidRPr="0091408E">
        <w:rPr>
          <w:i/>
        </w:rPr>
        <w:t xml:space="preserve">c) </w:t>
      </w:r>
      <w:r>
        <w:t>trapped moisture absorption into Rohacell foams heat treated under 30 psi.</w:t>
      </w:r>
      <w:bookmarkEnd w:id="294"/>
    </w:p>
    <w:p w14:paraId="41D30BEB" w14:textId="77777777" w:rsidR="00111DE3" w:rsidRDefault="00111DE3" w:rsidP="00634E97">
      <w:pPr>
        <w:jc w:val="left"/>
        <w:rPr>
          <w:rFonts w:cs="Times New Roman"/>
          <w:b/>
          <w:szCs w:val="24"/>
        </w:rPr>
      </w:pPr>
    </w:p>
    <w:p w14:paraId="10F5E908" w14:textId="2803179C" w:rsidR="00226BD7" w:rsidRDefault="00226BD7" w:rsidP="00682F7B">
      <w:r>
        <w:lastRenderedPageBreak/>
        <w:t xml:space="preserve">In </w:t>
      </w:r>
      <w:r>
        <w:fldChar w:fldCharType="begin"/>
      </w:r>
      <w:r>
        <w:instrText xml:space="preserve"> REF _Ref524600422 \h  \* MERGEFORMAT </w:instrText>
      </w:r>
      <w:r>
        <w:fldChar w:fldCharType="separate"/>
      </w:r>
      <w:r w:rsidR="006D52C2">
        <w:t xml:space="preserve">Figure </w:t>
      </w:r>
      <w:r w:rsidR="006D52C2">
        <w:rPr>
          <w:noProof/>
        </w:rPr>
        <w:t>63</w:t>
      </w:r>
      <w:r>
        <w:fldChar w:fldCharType="end"/>
      </w:r>
      <w:r>
        <w:t>c, trapped moisture absorption into heat treated foams is illustrated. As VFHDM predicts, the amount of trapped water is directly related to the porosity of the foam. Thickness dependence of porosity caused different maximum trapp</w:t>
      </w:r>
      <w:r w:rsidR="0084615F">
        <w:t xml:space="preserve">ed moisture content in sample. </w:t>
      </w:r>
      <w:r>
        <w:t>For example, R6-30 samples absorbed 37.6% more trapped moisture than R3-30 samples. Along the line, R6-30 samples are 37.6% more porous than R3-30 samples. In addition, the effect of decreasing porosity due to heat treatment can be observed in maximum trapped moisture content. Comparison between the as-received foam samples and foam samples heat treated under 30 psi yields that heat treatment compacted the pores and in turn decreased the trapped maximum moisture content.</w:t>
      </w:r>
    </w:p>
    <w:p w14:paraId="0AE85790" w14:textId="7162137C" w:rsidR="000270C4" w:rsidRDefault="000270C4" w:rsidP="00682F7B">
      <w:r>
        <w:t>In</w:t>
      </w:r>
      <w:r w:rsidR="00676DB2">
        <w:t xml:space="preserve"> </w:t>
      </w:r>
      <w:r w:rsidR="00676DB2">
        <w:fldChar w:fldCharType="begin"/>
      </w:r>
      <w:r w:rsidR="00676DB2">
        <w:instrText xml:space="preserve"> REF _Ref524612873 \h </w:instrText>
      </w:r>
      <w:r w:rsidR="00682F7B">
        <w:instrText xml:space="preserve"> \* MERGEFORMAT </w:instrText>
      </w:r>
      <w:r w:rsidR="00676DB2">
        <w:fldChar w:fldCharType="separate"/>
      </w:r>
      <w:r w:rsidR="006D52C2">
        <w:t xml:space="preserve">Figure </w:t>
      </w:r>
      <w:r w:rsidR="006D52C2">
        <w:rPr>
          <w:noProof/>
        </w:rPr>
        <w:t>64</w:t>
      </w:r>
      <w:r w:rsidR="00676DB2">
        <w:fldChar w:fldCharType="end"/>
      </w:r>
      <w:r w:rsidR="008A2484">
        <w:t xml:space="preserve">, one-dimensional VFHDM predictions over </w:t>
      </w:r>
      <w:r w:rsidR="004E351D">
        <w:t xml:space="preserve">thermogravimetric </w:t>
      </w:r>
      <w:r>
        <w:t xml:space="preserve">data </w:t>
      </w:r>
      <w:r w:rsidR="008A2484">
        <w:t xml:space="preserve">foams heat treated under 50 psi </w:t>
      </w:r>
      <w:r w:rsidR="004E351D">
        <w:t xml:space="preserve">(R3-50, R6-50, and R9-50) </w:t>
      </w:r>
      <w:r w:rsidR="008A2484">
        <w:t>are demonstrated</w:t>
      </w:r>
      <w:r>
        <w:t>.</w:t>
      </w:r>
      <w:r w:rsidR="00086618">
        <w:t xml:space="preserve"> As in as-received foam samples and foam samples heat treated under 30 psi, VFHDM successfully represented the overall moisture absorption behavior of foam samples heat treated under 50 psi</w:t>
      </w:r>
      <w:r>
        <w:t xml:space="preserve"> in</w:t>
      </w:r>
      <w:r w:rsidR="00086618">
        <w:t xml:space="preserve"> line</w:t>
      </w:r>
      <w:r>
        <w:t xml:space="preserve"> with the root mean square error per data point values in </w:t>
      </w:r>
      <w:r>
        <w:fldChar w:fldCharType="begin"/>
      </w:r>
      <w:r>
        <w:instrText xml:space="preserve"> REF _Ref523931851 \h </w:instrText>
      </w:r>
      <w:r w:rsidR="00682F7B">
        <w:instrText xml:space="preserve"> \* MERGEFORMAT </w:instrText>
      </w:r>
      <w:r>
        <w:fldChar w:fldCharType="separate"/>
      </w:r>
      <w:r w:rsidR="006D52C2">
        <w:t xml:space="preserve">Table </w:t>
      </w:r>
      <w:r w:rsidR="006D52C2">
        <w:rPr>
          <w:noProof/>
        </w:rPr>
        <w:t>11</w:t>
      </w:r>
      <w:r>
        <w:fldChar w:fldCharType="end"/>
      </w:r>
      <w:r>
        <w:t>.</w:t>
      </w:r>
      <w:r w:rsidR="00796C62">
        <w:t xml:space="preserve"> The last mass gain data is only given to show the predictive abilities, not used for recovery.</w:t>
      </w:r>
      <w:r>
        <w:t xml:space="preserve"> To </w:t>
      </w:r>
      <w:r w:rsidR="00086618">
        <w:t>compare the absorption kinetics of foam samples heat treated under 50 psi with other foam samples,</w:t>
      </w:r>
      <w:r>
        <w:t xml:space="preserve"> unbound, bound</w:t>
      </w:r>
      <w:r w:rsidR="00CB64A3">
        <w:t>,</w:t>
      </w:r>
      <w:r>
        <w:t xml:space="preserve"> and trapped</w:t>
      </w:r>
      <w:r w:rsidR="00086618">
        <w:t xml:space="preserve"> moisture absorption</w:t>
      </w:r>
      <w:r>
        <w:t xml:space="preserve"> curves are </w:t>
      </w:r>
      <w:r w:rsidR="00086618">
        <w:t>plotted and shown</w:t>
      </w:r>
      <w:r>
        <w:t xml:space="preserve"> in</w:t>
      </w:r>
      <w:r w:rsidR="00086618">
        <w:t xml:space="preserve"> </w:t>
      </w:r>
      <w:r w:rsidR="00086618">
        <w:fldChar w:fldCharType="begin"/>
      </w:r>
      <w:r w:rsidR="00086618">
        <w:instrText xml:space="preserve"> REF _Ref524614169 \h </w:instrText>
      </w:r>
      <w:r w:rsidR="00682F7B">
        <w:instrText xml:space="preserve"> \* MERGEFORMAT </w:instrText>
      </w:r>
      <w:r w:rsidR="00086618">
        <w:fldChar w:fldCharType="separate"/>
      </w:r>
      <w:r w:rsidR="006D52C2">
        <w:t xml:space="preserve">Figure </w:t>
      </w:r>
      <w:r w:rsidR="006D52C2">
        <w:rPr>
          <w:noProof/>
        </w:rPr>
        <w:t>65</w:t>
      </w:r>
      <w:r w:rsidR="00086618">
        <w:fldChar w:fldCharType="end"/>
      </w:r>
      <w:r>
        <w:t>.</w:t>
      </w:r>
    </w:p>
    <w:p w14:paraId="2C81CED4" w14:textId="77777777" w:rsidR="000270C4" w:rsidRDefault="000270C4" w:rsidP="00682F7B"/>
    <w:p w14:paraId="5A9456AF" w14:textId="06E17C6E" w:rsidR="000270C4" w:rsidRDefault="004F0357" w:rsidP="000270C4">
      <w:pPr>
        <w:pStyle w:val="NoSpacing"/>
      </w:pPr>
      <w:r>
        <w:rPr>
          <w:noProof/>
          <w:lang w:bidi="ar-SA"/>
        </w:rPr>
        <w:lastRenderedPageBreak/>
        <w:drawing>
          <wp:inline distT="0" distB="0" distL="0" distR="0" wp14:anchorId="3EF7D033" wp14:editId="2F19B469">
            <wp:extent cx="5035319" cy="3657600"/>
            <wp:effectExtent l="0" t="0" r="0" b="0"/>
            <wp:docPr id="4181" name="Picture 4181" descr="C:\Users\Administrator\Desktop\proje\PhD Dissertation\Foam\absorption\50 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Foam\absorption\50 all.ti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35319" cy="3657600"/>
                    </a:xfrm>
                    <a:prstGeom prst="rect">
                      <a:avLst/>
                    </a:prstGeom>
                    <a:noFill/>
                    <a:ln>
                      <a:noFill/>
                    </a:ln>
                  </pic:spPr>
                </pic:pic>
              </a:graphicData>
            </a:graphic>
          </wp:inline>
        </w:drawing>
      </w:r>
    </w:p>
    <w:p w14:paraId="7A619578" w14:textId="59CF4121" w:rsidR="000270C4" w:rsidRDefault="000270C4" w:rsidP="000270C4">
      <w:pPr>
        <w:pStyle w:val="Caption"/>
        <w:rPr>
          <w:b w:val="0"/>
        </w:rPr>
      </w:pPr>
      <w:bookmarkStart w:id="295" w:name="_Ref524612873"/>
      <w:bookmarkStart w:id="296" w:name="_Toc530997420"/>
      <w:r>
        <w:t xml:space="preserve">Figure </w:t>
      </w:r>
      <w:r w:rsidR="008C30AB">
        <w:rPr>
          <w:noProof/>
        </w:rPr>
        <w:fldChar w:fldCharType="begin"/>
      </w:r>
      <w:r w:rsidR="008C30AB">
        <w:rPr>
          <w:noProof/>
        </w:rPr>
        <w:instrText xml:space="preserve"> SEQ Figure \* ARABIC </w:instrText>
      </w:r>
      <w:r w:rsidR="008C30AB">
        <w:rPr>
          <w:noProof/>
        </w:rPr>
        <w:fldChar w:fldCharType="separate"/>
      </w:r>
      <w:r w:rsidR="006D52C2">
        <w:rPr>
          <w:noProof/>
        </w:rPr>
        <w:t>64</w:t>
      </w:r>
      <w:r w:rsidR="008C30AB">
        <w:rPr>
          <w:noProof/>
        </w:rPr>
        <w:fldChar w:fldCharType="end"/>
      </w:r>
      <w:bookmarkEnd w:id="295"/>
      <w:r>
        <w:t>. Mass gain data and VFHDM predictions of 3mm, 6mm, and 9mm Rohacell foams heat treated under 50 psi.</w:t>
      </w:r>
      <w:bookmarkEnd w:id="296"/>
    </w:p>
    <w:p w14:paraId="17A2EC93" w14:textId="0585D5A4" w:rsidR="000270C4" w:rsidRDefault="000270C4" w:rsidP="000270C4">
      <w:pPr>
        <w:pStyle w:val="Caption"/>
      </w:pPr>
    </w:p>
    <w:p w14:paraId="723CF622" w14:textId="77777777" w:rsidR="000270C4" w:rsidRDefault="000270C4" w:rsidP="00682F7B"/>
    <w:p w14:paraId="1CD6F401" w14:textId="4CEB2675" w:rsidR="009D18B3" w:rsidRDefault="00A85490" w:rsidP="00682F7B">
      <w:r>
        <w:t xml:space="preserve">Unbound moisture absorption into foam samples heat treated under 50 psi are demonstrated in </w:t>
      </w:r>
      <w:r>
        <w:fldChar w:fldCharType="begin"/>
      </w:r>
      <w:r>
        <w:instrText xml:space="preserve"> REF _Ref524614169 \h </w:instrText>
      </w:r>
      <w:r w:rsidR="00682F7B">
        <w:instrText xml:space="preserve"> \* MERGEFORMAT </w:instrText>
      </w:r>
      <w:r>
        <w:fldChar w:fldCharType="separate"/>
      </w:r>
      <w:r w:rsidR="006D52C2">
        <w:t xml:space="preserve">Figure </w:t>
      </w:r>
      <w:r w:rsidR="006D52C2">
        <w:rPr>
          <w:noProof/>
        </w:rPr>
        <w:t>65</w:t>
      </w:r>
      <w:r>
        <w:fldChar w:fldCharType="end"/>
      </w:r>
      <w:r>
        <w:t>a. Just like in other foam samples, the difference in unbound moisture absorption behavior</w:t>
      </w:r>
      <w:r w:rsidR="00AB57D6">
        <w:t xml:space="preserve"> and uniformity in the maximum unbound moisture content</w:t>
      </w:r>
      <w:r>
        <w:t xml:space="preserve"> of samples with different thicknesses can be easily observed. For foam samples heat treated under 50 psi, the maximum unbound moistu</w:t>
      </w:r>
      <w:r w:rsidR="00335D7D">
        <w:t>re content is 19.2 and 14.7 wt.</w:t>
      </w:r>
      <w:r>
        <w:t>% less than as-received foams and foam samples heat treated under 30 psi</w:t>
      </w:r>
      <w:r w:rsidR="00FD4A9A">
        <w:t>, respectively</w:t>
      </w:r>
      <w:r>
        <w:t xml:space="preserve">. </w:t>
      </w:r>
      <w:r w:rsidR="009D18B3">
        <w:t xml:space="preserve">This substantial difference in the maximum unbound moisture content is addressed to the change in microstructure. Unlike foam samples heat treated under 30 psi, foam samples heat treated under 50 psi underwent drastic microstructural changes as observed in SEM images in </w:t>
      </w:r>
      <w:r w:rsidR="009D18B3">
        <w:fldChar w:fldCharType="begin"/>
      </w:r>
      <w:r w:rsidR="009D18B3">
        <w:instrText xml:space="preserve"> REF _Ref523910220 \h </w:instrText>
      </w:r>
      <w:r w:rsidR="00682F7B">
        <w:instrText xml:space="preserve"> \* MERGEFORMAT </w:instrText>
      </w:r>
      <w:r w:rsidR="009D18B3">
        <w:fldChar w:fldCharType="separate"/>
      </w:r>
      <w:r w:rsidR="006D52C2">
        <w:t xml:space="preserve">Figure </w:t>
      </w:r>
      <w:r w:rsidR="006D52C2">
        <w:rPr>
          <w:noProof/>
        </w:rPr>
        <w:t>55</w:t>
      </w:r>
      <w:r w:rsidR="009D18B3">
        <w:fldChar w:fldCharType="end"/>
      </w:r>
      <w:r w:rsidR="009D18B3">
        <w:t xml:space="preserve">. Cells not only compressed but also coalesced. These drastic changes would lead </w:t>
      </w:r>
      <w:r w:rsidR="009D18B3">
        <w:lastRenderedPageBreak/>
        <w:t>to decrease in free volume but increase in free surfaces which in turn decrease</w:t>
      </w:r>
      <w:r w:rsidR="00AB57D6">
        <w:t>d</w:t>
      </w:r>
      <w:r w:rsidR="009D18B3">
        <w:t xml:space="preserve"> the maximum unbound moisture content and increase</w:t>
      </w:r>
      <w:r w:rsidR="00AB57D6">
        <w:t>d</w:t>
      </w:r>
      <w:r w:rsidR="009D18B3">
        <w:t xml:space="preserve"> the maximum bound moisture content. </w:t>
      </w:r>
    </w:p>
    <w:p w14:paraId="14F8EC63" w14:textId="742F4432" w:rsidR="009D18B3" w:rsidRDefault="009D18B3" w:rsidP="00682F7B">
      <w:r>
        <w:t xml:space="preserve">In </w:t>
      </w:r>
      <w:r>
        <w:fldChar w:fldCharType="begin"/>
      </w:r>
      <w:r>
        <w:instrText xml:space="preserve"> REF _Ref524614169 \h </w:instrText>
      </w:r>
      <w:r w:rsidR="00682F7B">
        <w:instrText xml:space="preserve"> \* MERGEFORMAT </w:instrText>
      </w:r>
      <w:r>
        <w:fldChar w:fldCharType="separate"/>
      </w:r>
      <w:r w:rsidR="006D52C2">
        <w:t xml:space="preserve">Figure </w:t>
      </w:r>
      <w:r w:rsidR="006D52C2">
        <w:rPr>
          <w:noProof/>
        </w:rPr>
        <w:t>65</w:t>
      </w:r>
      <w:r>
        <w:fldChar w:fldCharType="end"/>
      </w:r>
      <w:r>
        <w:t>b, bound moisture absorption into foam samples heat treated under 50 psi are plotted. Bound moisture absorption trend of foam samples heat treated under 50 psi are the same as the other Rohacell foams in this study. However, foam samples heat treated under 5</w:t>
      </w:r>
      <w:r w:rsidR="00335D7D">
        <w:t>0 psi absorbed 14.4 and 5.4 wt.</w:t>
      </w:r>
      <w:r>
        <w:t>% more bound moisture than as-received foams and foam samples heat treated under 30 psi</w:t>
      </w:r>
      <w:r w:rsidR="00FD4A9A">
        <w:t>, respectively</w:t>
      </w:r>
      <w:r>
        <w:t xml:space="preserve">. </w:t>
      </w:r>
      <w:r w:rsidR="00FD4A9A">
        <w:t xml:space="preserve">The possibly increased crosslinking density and coalesced cell to become open-cell may have risen new interfaces and free surfaces for bound moisture to interact. </w:t>
      </w:r>
    </w:p>
    <w:p w14:paraId="346AE756" w14:textId="54582F5E" w:rsidR="00FD4A9A" w:rsidRDefault="00FD4A9A" w:rsidP="00682F7B">
      <w:r>
        <w:t xml:space="preserve">In </w:t>
      </w:r>
      <w:r>
        <w:fldChar w:fldCharType="begin"/>
      </w:r>
      <w:r>
        <w:instrText xml:space="preserve"> REF _Ref524614169 \h </w:instrText>
      </w:r>
      <w:r w:rsidR="00682F7B">
        <w:instrText xml:space="preserve"> \* MERGEFORMAT </w:instrText>
      </w:r>
      <w:r>
        <w:fldChar w:fldCharType="separate"/>
      </w:r>
      <w:r w:rsidR="006D52C2">
        <w:t xml:space="preserve">Figure </w:t>
      </w:r>
      <w:r w:rsidR="006D52C2">
        <w:rPr>
          <w:noProof/>
        </w:rPr>
        <w:t>65</w:t>
      </w:r>
      <w:r>
        <w:fldChar w:fldCharType="end"/>
      </w:r>
      <w:r>
        <w:t>c,</w:t>
      </w:r>
      <w:r w:rsidRPr="00FD4A9A">
        <w:t xml:space="preserve"> </w:t>
      </w:r>
      <w:r>
        <w:t>trapped moisture absorption of foams heat treated under 50 psi is shown. The trapped moisture predictions are sorted depending on their porosity/thickness. As the heat treatment processing pressure increases, the overall volume of the pores decreases resulting in less moisture intake.</w:t>
      </w:r>
    </w:p>
    <w:p w14:paraId="3836544E" w14:textId="77777777" w:rsidR="00226BD7" w:rsidRDefault="00226BD7" w:rsidP="00682F7B"/>
    <w:p w14:paraId="72019129" w14:textId="77777777" w:rsidR="00226BD7" w:rsidRDefault="00226BD7" w:rsidP="00682F7B"/>
    <w:p w14:paraId="412AD2FF" w14:textId="77777777" w:rsidR="00226BD7" w:rsidRDefault="00226BD7" w:rsidP="00682F7B"/>
    <w:p w14:paraId="7D5E9C8E" w14:textId="77777777" w:rsidR="00086618" w:rsidRDefault="00086618" w:rsidP="00682F7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8185"/>
      </w:tblGrid>
      <w:tr w:rsidR="000270C4" w14:paraId="099D2EDC" w14:textId="77777777" w:rsidTr="000270C4">
        <w:tc>
          <w:tcPr>
            <w:tcW w:w="445" w:type="dxa"/>
          </w:tcPr>
          <w:p w14:paraId="12A5AF35" w14:textId="77777777" w:rsidR="000270C4" w:rsidRPr="00C46E11" w:rsidRDefault="000270C4" w:rsidP="008C30AB">
            <w:pPr>
              <w:pStyle w:val="NoSpacing"/>
              <w:rPr>
                <w:i/>
              </w:rPr>
            </w:pPr>
            <w:r w:rsidRPr="00C46E11">
              <w:rPr>
                <w:i/>
              </w:rPr>
              <w:lastRenderedPageBreak/>
              <w:t>a)</w:t>
            </w:r>
          </w:p>
        </w:tc>
        <w:tc>
          <w:tcPr>
            <w:tcW w:w="8185" w:type="dxa"/>
          </w:tcPr>
          <w:p w14:paraId="793F39E6" w14:textId="7A270B05" w:rsidR="000270C4" w:rsidRDefault="000270C4" w:rsidP="008C30AB">
            <w:pPr>
              <w:pStyle w:val="NoSpacing"/>
            </w:pPr>
            <w:r>
              <w:rPr>
                <w:noProof/>
                <w:lang w:bidi="ar-SA"/>
              </w:rPr>
              <w:drawing>
                <wp:inline distT="0" distB="0" distL="0" distR="0" wp14:anchorId="1328E136" wp14:editId="3C384C7C">
                  <wp:extent cx="5029200" cy="2509864"/>
                  <wp:effectExtent l="0" t="0" r="0" b="5080"/>
                  <wp:docPr id="4168" name="Picture 4168" descr="C:\Users\Administrator\Desktop\proje\PhD Dissertation\Foam\absorption\R-50-unb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C:\Users\Administrator\Desktop\proje\PhD Dissertation\Foam\absorption\R-50-unbound.t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r w:rsidR="000270C4" w14:paraId="17BBDB1C" w14:textId="77777777" w:rsidTr="000270C4">
        <w:tc>
          <w:tcPr>
            <w:tcW w:w="445" w:type="dxa"/>
          </w:tcPr>
          <w:p w14:paraId="6E1B5C9A" w14:textId="77777777" w:rsidR="000270C4" w:rsidRPr="00C46E11" w:rsidRDefault="000270C4" w:rsidP="008C30AB">
            <w:pPr>
              <w:pStyle w:val="NoSpacing"/>
              <w:rPr>
                <w:i/>
              </w:rPr>
            </w:pPr>
            <w:r w:rsidRPr="00C46E11">
              <w:rPr>
                <w:i/>
              </w:rPr>
              <w:t>b)</w:t>
            </w:r>
          </w:p>
        </w:tc>
        <w:tc>
          <w:tcPr>
            <w:tcW w:w="8185" w:type="dxa"/>
          </w:tcPr>
          <w:p w14:paraId="2ABC6001" w14:textId="16D42B38" w:rsidR="000270C4" w:rsidRDefault="000270C4" w:rsidP="008C30AB">
            <w:pPr>
              <w:pStyle w:val="NoSpacing"/>
            </w:pPr>
            <w:r>
              <w:rPr>
                <w:noProof/>
                <w:lang w:bidi="ar-SA"/>
              </w:rPr>
              <w:drawing>
                <wp:inline distT="0" distB="0" distL="0" distR="0" wp14:anchorId="12304546" wp14:editId="25B7818C">
                  <wp:extent cx="5029200" cy="2509864"/>
                  <wp:effectExtent l="0" t="0" r="0" b="5080"/>
                  <wp:docPr id="4169" name="Picture 4169" descr="C:\Users\Administrator\Desktop\proje\PhD Dissertation\Foam\absorption\R-50-b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C:\Users\Administrator\Desktop\proje\PhD Dissertation\Foam\absorption\R-50-bound.tif"/>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r w:rsidR="000270C4" w14:paraId="6E97EED3" w14:textId="77777777" w:rsidTr="000270C4">
        <w:tc>
          <w:tcPr>
            <w:tcW w:w="445" w:type="dxa"/>
          </w:tcPr>
          <w:p w14:paraId="1CD1855C" w14:textId="77777777" w:rsidR="000270C4" w:rsidRPr="00C46E11" w:rsidRDefault="000270C4" w:rsidP="008C30AB">
            <w:pPr>
              <w:pStyle w:val="NoSpacing"/>
              <w:rPr>
                <w:i/>
              </w:rPr>
            </w:pPr>
            <w:r w:rsidRPr="00C46E11">
              <w:rPr>
                <w:i/>
              </w:rPr>
              <w:t>c)</w:t>
            </w:r>
          </w:p>
        </w:tc>
        <w:tc>
          <w:tcPr>
            <w:tcW w:w="8185" w:type="dxa"/>
          </w:tcPr>
          <w:p w14:paraId="2CF5D923" w14:textId="3A290001" w:rsidR="000270C4" w:rsidRDefault="000270C4" w:rsidP="008C30AB">
            <w:pPr>
              <w:pStyle w:val="NoSpacing"/>
            </w:pPr>
            <w:r>
              <w:rPr>
                <w:noProof/>
                <w:lang w:bidi="ar-SA"/>
              </w:rPr>
              <w:drawing>
                <wp:inline distT="0" distB="0" distL="0" distR="0" wp14:anchorId="5C6C8085" wp14:editId="23656B8C">
                  <wp:extent cx="5029200" cy="2509864"/>
                  <wp:effectExtent l="0" t="0" r="0" b="5080"/>
                  <wp:docPr id="4170" name="Picture 4170" descr="C:\Users\Administrator\Desktop\proje\PhD Dissertation\Foam\absorption\R-50-trapp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C:\Users\Administrator\Desktop\proje\PhD Dissertation\Foam\absorption\R-50-trapped.t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9200" cy="2509864"/>
                          </a:xfrm>
                          <a:prstGeom prst="rect">
                            <a:avLst/>
                          </a:prstGeom>
                          <a:noFill/>
                          <a:ln>
                            <a:noFill/>
                          </a:ln>
                        </pic:spPr>
                      </pic:pic>
                    </a:graphicData>
                  </a:graphic>
                </wp:inline>
              </w:drawing>
            </w:r>
          </w:p>
        </w:tc>
      </w:tr>
    </w:tbl>
    <w:p w14:paraId="07CE5BD5" w14:textId="0E73D9CD" w:rsidR="000270C4" w:rsidRDefault="000270C4" w:rsidP="000270C4">
      <w:pPr>
        <w:pStyle w:val="Caption"/>
        <w:rPr>
          <w:b w:val="0"/>
        </w:rPr>
      </w:pPr>
      <w:bookmarkStart w:id="297" w:name="_Ref524614169"/>
      <w:bookmarkStart w:id="298" w:name="_Toc530997421"/>
      <w:r>
        <w:t xml:space="preserve">Figure </w:t>
      </w:r>
      <w:r w:rsidR="008C30AB">
        <w:rPr>
          <w:noProof/>
        </w:rPr>
        <w:fldChar w:fldCharType="begin"/>
      </w:r>
      <w:r w:rsidR="008C30AB">
        <w:rPr>
          <w:noProof/>
        </w:rPr>
        <w:instrText xml:space="preserve"> SEQ Figure \* ARABIC </w:instrText>
      </w:r>
      <w:r w:rsidR="008C30AB">
        <w:rPr>
          <w:noProof/>
        </w:rPr>
        <w:fldChar w:fldCharType="separate"/>
      </w:r>
      <w:r w:rsidR="006D52C2">
        <w:rPr>
          <w:noProof/>
        </w:rPr>
        <w:t>65</w:t>
      </w:r>
      <w:r w:rsidR="008C30AB">
        <w:rPr>
          <w:noProof/>
        </w:rPr>
        <w:fldChar w:fldCharType="end"/>
      </w:r>
      <w:bookmarkEnd w:id="297"/>
      <w:r>
        <w:t xml:space="preserve">. VFHDM predictions of </w:t>
      </w:r>
      <w:r w:rsidRPr="0091408E">
        <w:rPr>
          <w:i/>
        </w:rPr>
        <w:t>a)</w:t>
      </w:r>
      <w:r>
        <w:t xml:space="preserve"> unbound </w:t>
      </w:r>
      <w:r w:rsidRPr="0091408E">
        <w:rPr>
          <w:i/>
        </w:rPr>
        <w:t>b)</w:t>
      </w:r>
      <w:r>
        <w:t xml:space="preserve"> bound and </w:t>
      </w:r>
      <w:r w:rsidRPr="0091408E">
        <w:rPr>
          <w:i/>
        </w:rPr>
        <w:t xml:space="preserve">c) </w:t>
      </w:r>
      <w:r>
        <w:t>trapped moisture absorption into Rohacell foams heat treated under 50 psi</w:t>
      </w:r>
      <w:bookmarkEnd w:id="298"/>
    </w:p>
    <w:p w14:paraId="56E35288" w14:textId="6E6A3CF2" w:rsidR="00E56273" w:rsidRDefault="00E56273" w:rsidP="00E56273">
      <w:pPr>
        <w:rPr>
          <w:rFonts w:cs="Times New Roman"/>
          <w:b/>
          <w:szCs w:val="24"/>
        </w:rPr>
      </w:pPr>
    </w:p>
    <w:p w14:paraId="62C2F6A2" w14:textId="482F86C6" w:rsidR="00DE36EB" w:rsidRDefault="00DE36EB" w:rsidP="00BB2C1B">
      <w:pPr>
        <w:pStyle w:val="Heading2"/>
      </w:pPr>
      <w:bookmarkStart w:id="299" w:name="_Toc531943777"/>
      <w:r>
        <w:lastRenderedPageBreak/>
        <w:t>4.4. Foam Core Sandwich Composites</w:t>
      </w:r>
      <w:bookmarkEnd w:id="299"/>
    </w:p>
    <w:p w14:paraId="38180B54" w14:textId="2EEF4B46" w:rsidR="00DE36EB" w:rsidRDefault="00DE36EB" w:rsidP="00682F7B">
      <w:r>
        <w:t>Successful recovery of the moisture absorption behavior of Rohacell WF-71 closed-cell rigid foams by VFHDM lead to further investigat</w:t>
      </w:r>
      <w:r w:rsidR="00BF5EED">
        <w:t>ion of</w:t>
      </w:r>
      <w:r>
        <w:t xml:space="preserve"> the foam absorption kinetics.</w:t>
      </w:r>
      <w:r w:rsidRPr="00DE36EB">
        <w:t xml:space="preserve"> </w:t>
      </w:r>
      <w:r>
        <w:t xml:space="preserve">The closed-cell foams are commonly used as a core material in sandwich structures. In this respect, moisture absorption kinetics of a sandwich composite having a foam core of Rohacell WF-71 is investigated. </w:t>
      </w:r>
    </w:p>
    <w:p w14:paraId="2225AA0E" w14:textId="2B9D25A7" w:rsidR="00DE36EB" w:rsidRDefault="00DE36EB" w:rsidP="00B63058">
      <w:pPr>
        <w:pStyle w:val="Heading3"/>
        <w:numPr>
          <w:ilvl w:val="0"/>
          <w:numId w:val="36"/>
        </w:numPr>
      </w:pPr>
      <w:bookmarkStart w:id="300" w:name="_Toc531943778"/>
      <w:r w:rsidRPr="005A3E52">
        <w:t>Materials and Sample Preparation</w:t>
      </w:r>
      <w:r>
        <w:t xml:space="preserve"> of Rohacell Closed-Cell Structural Foam Core Sandwich Composite</w:t>
      </w:r>
      <w:bookmarkEnd w:id="300"/>
    </w:p>
    <w:p w14:paraId="37B2ED9E" w14:textId="1025BA8A" w:rsidR="00DE36EB" w:rsidRDefault="00DE36EB" w:rsidP="00682F7B">
      <w:r>
        <w:t>Each sheet of Rohacell foam is cut into two 25</w:t>
      </w:r>
      <w:r w:rsidR="0056752A">
        <w:t>4</w:t>
      </w:r>
      <w:r>
        <w:t xml:space="preserve"> mm </w:t>
      </w:r>
      <w:r w:rsidRPr="00EC6E5C">
        <w:rPr>
          <w:rFonts w:eastAsia="Times New Roman"/>
        </w:rPr>
        <w:t>×</w:t>
      </w:r>
      <w:r>
        <w:rPr>
          <w:rFonts w:eastAsia="Times New Roman"/>
        </w:rPr>
        <w:t xml:space="preserve"> 2</w:t>
      </w:r>
      <w:r>
        <w:t>5</w:t>
      </w:r>
      <w:r w:rsidR="0056752A">
        <w:t>4</w:t>
      </w:r>
      <w:r>
        <w:t xml:space="preserve"> mm (10</w:t>
      </w:r>
      <w:r w:rsidRPr="00123FF9">
        <w:rPr>
          <w:color w:val="222222"/>
          <w:shd w:val="clear" w:color="auto" w:fill="FFFFFF"/>
        </w:rPr>
        <w:t>″</w:t>
      </w:r>
      <w:r>
        <w:t xml:space="preserve"> </w:t>
      </w:r>
      <w:r w:rsidRPr="00EC6E5C">
        <w:rPr>
          <w:rFonts w:eastAsia="Times New Roman"/>
        </w:rPr>
        <w:t>×</w:t>
      </w:r>
      <w:r>
        <w:rPr>
          <w:rFonts w:eastAsia="Times New Roman"/>
        </w:rPr>
        <w:t xml:space="preserve"> </w:t>
      </w:r>
      <w:r>
        <w:rPr>
          <w:color w:val="222222"/>
          <w:shd w:val="clear" w:color="auto" w:fill="FFFFFF"/>
        </w:rPr>
        <w:t>10</w:t>
      </w:r>
      <w:r w:rsidRPr="00123FF9">
        <w:rPr>
          <w:color w:val="222222"/>
          <w:shd w:val="clear" w:color="auto" w:fill="FFFFFF"/>
        </w:rPr>
        <w:t>″</w:t>
      </w:r>
      <w:r>
        <w:t>) panels. Cut panels were dried in vacuum oven at 40</w:t>
      </w:r>
      <w:r w:rsidRPr="00145FCF">
        <w:rPr>
          <w:rFonts w:ascii="Cambria Math" w:hAnsi="Cambria Math" w:cs="Cambria Math"/>
        </w:rPr>
        <w:t>℃</w:t>
      </w:r>
      <w:r>
        <w:t xml:space="preserve"> (104</w:t>
      </w:r>
      <w:r w:rsidRPr="00145FCF">
        <w:rPr>
          <w:rFonts w:ascii="Cambria Math" w:hAnsi="Cambria Math" w:cs="Cambria Math"/>
        </w:rPr>
        <w:t>℉</w:t>
      </w:r>
      <w:r w:rsidRPr="00145FCF">
        <w:t>)</w:t>
      </w:r>
      <w:r>
        <w:t xml:space="preserve">. </w:t>
      </w:r>
      <w:proofErr w:type="spellStart"/>
      <w:r>
        <w:t>Tencate</w:t>
      </w:r>
      <w:proofErr w:type="spellEnd"/>
      <w:r>
        <w:t xml:space="preserve"> Ex1522/IM7</w:t>
      </w:r>
      <w:r w:rsidR="00456971">
        <w:t>,</w:t>
      </w:r>
      <w:r>
        <w:t xml:space="preserve"> epoxy/graphite </w:t>
      </w:r>
      <w:r w:rsidR="00456971">
        <w:t xml:space="preserve">woven fabric </w:t>
      </w:r>
      <w:r>
        <w:t>prepreg was chosen as facesheets of the sandwich composite. Each face of the foam is covered by one ply facesheet. Then, the cure cycle of the prepreg is followed to manufacture the sandwich structure. Uncured sandwich composite</w:t>
      </w:r>
      <w:r w:rsidR="006824E2">
        <w:t>s</w:t>
      </w:r>
      <w:r>
        <w:t xml:space="preserve"> were subjected to 21 MPa (30 psi) or 34 MPa (50 psi) at 127</w:t>
      </w:r>
      <w:r w:rsidRPr="00145FCF">
        <w:rPr>
          <w:rFonts w:ascii="Cambria Math" w:hAnsi="Cambria Math" w:cs="Cambria Math"/>
        </w:rPr>
        <w:t>℃</w:t>
      </w:r>
      <w:r>
        <w:t xml:space="preserve"> (26</w:t>
      </w:r>
      <w:r w:rsidRPr="00145FCF">
        <w:t>0</w:t>
      </w:r>
      <w:r w:rsidRPr="00145FCF">
        <w:rPr>
          <w:rFonts w:ascii="Cambria Math" w:hAnsi="Cambria Math" w:cs="Cambria Math"/>
        </w:rPr>
        <w:t>℉</w:t>
      </w:r>
      <w:r w:rsidRPr="00145FCF">
        <w:t>)</w:t>
      </w:r>
      <w:r>
        <w:t xml:space="preserve"> for 3 hours and further processed at 176</w:t>
      </w:r>
      <w:r w:rsidRPr="00145FCF">
        <w:rPr>
          <w:rFonts w:ascii="Cambria Math" w:hAnsi="Cambria Math" w:cs="Cambria Math"/>
        </w:rPr>
        <w:t>℃</w:t>
      </w:r>
      <w:r>
        <w:t xml:space="preserve"> (350</w:t>
      </w:r>
      <w:r w:rsidRPr="00145FCF">
        <w:rPr>
          <w:rFonts w:ascii="Cambria Math" w:hAnsi="Cambria Math" w:cs="Cambria Math"/>
        </w:rPr>
        <w:t>℉</w:t>
      </w:r>
      <w:r w:rsidRPr="00145FCF">
        <w:t>)</w:t>
      </w:r>
      <w:r>
        <w:t xml:space="preserve"> for another 3 hours. Sandwich composites were cooled down to room temperature at a rate of 2</w:t>
      </w:r>
      <w:r w:rsidRPr="00145FCF">
        <w:rPr>
          <w:rFonts w:ascii="Cambria Math" w:hAnsi="Cambria Math" w:cs="Cambria Math"/>
        </w:rPr>
        <w:t>℃</w:t>
      </w:r>
      <w:r>
        <w:rPr>
          <w:rFonts w:ascii="Cambria Math" w:hAnsi="Cambria Math" w:cs="Cambria Math"/>
        </w:rPr>
        <w:t>/min</w:t>
      </w:r>
      <w:r>
        <w:t xml:space="preserve"> (5</w:t>
      </w:r>
      <w:r w:rsidRPr="00145FCF">
        <w:rPr>
          <w:rFonts w:ascii="Cambria Math" w:hAnsi="Cambria Math" w:cs="Cambria Math"/>
        </w:rPr>
        <w:t>℉</w:t>
      </w:r>
      <w:r>
        <w:rPr>
          <w:rFonts w:ascii="Cambria Math" w:hAnsi="Cambria Math" w:cs="Cambria Math"/>
        </w:rPr>
        <w:t>/min</w:t>
      </w:r>
      <w:r w:rsidRPr="00145FCF">
        <w:t>)</w:t>
      </w:r>
      <w:r>
        <w:t xml:space="preserve"> and cut into eight specimen of 5</w:t>
      </w:r>
      <w:r w:rsidR="0056752A">
        <w:t>1</w:t>
      </w:r>
      <w:r>
        <w:t xml:space="preserve"> mm </w:t>
      </w:r>
      <w:r w:rsidRPr="00EC6E5C">
        <w:rPr>
          <w:rFonts w:eastAsia="Times New Roman"/>
        </w:rPr>
        <w:t>×</w:t>
      </w:r>
      <w:r>
        <w:rPr>
          <w:rFonts w:eastAsia="Times New Roman"/>
        </w:rPr>
        <w:t xml:space="preserve"> </w:t>
      </w:r>
      <w:r>
        <w:t>5</w:t>
      </w:r>
      <w:r w:rsidR="0056752A">
        <w:t>1</w:t>
      </w:r>
      <w:r>
        <w:t xml:space="preserve"> mm (2</w:t>
      </w:r>
      <w:r w:rsidRPr="00123FF9">
        <w:rPr>
          <w:color w:val="222222"/>
          <w:shd w:val="clear" w:color="auto" w:fill="FFFFFF"/>
        </w:rPr>
        <w:t>″</w:t>
      </w:r>
      <w:r>
        <w:t xml:space="preserve"> </w:t>
      </w:r>
      <w:r w:rsidRPr="00EC6E5C">
        <w:rPr>
          <w:rFonts w:eastAsia="Times New Roman"/>
        </w:rPr>
        <w:t>×</w:t>
      </w:r>
      <w:r>
        <w:rPr>
          <w:rFonts w:eastAsia="Times New Roman"/>
        </w:rPr>
        <w:t xml:space="preserve"> </w:t>
      </w:r>
      <w:r>
        <w:rPr>
          <w:color w:val="222222"/>
          <w:shd w:val="clear" w:color="auto" w:fill="FFFFFF"/>
        </w:rPr>
        <w:t>2</w:t>
      </w:r>
      <w:r w:rsidRPr="00123FF9">
        <w:rPr>
          <w:color w:val="222222"/>
          <w:shd w:val="clear" w:color="auto" w:fill="FFFFFF"/>
        </w:rPr>
        <w:t>″</w:t>
      </w:r>
      <w:r>
        <w:t xml:space="preserve">) for absorption test. Lastly, the samples are dried in vacuum oven </w:t>
      </w:r>
      <w:r w:rsidRPr="00145FCF">
        <w:t>43</w:t>
      </w:r>
      <w:r w:rsidRPr="00145FCF">
        <w:rPr>
          <w:rFonts w:ascii="Cambria Math" w:hAnsi="Cambria Math" w:cs="Cambria Math"/>
        </w:rPr>
        <w:t>℃</w:t>
      </w:r>
      <w:r w:rsidRPr="00145FCF">
        <w:t xml:space="preserve"> (110</w:t>
      </w:r>
      <w:r w:rsidRPr="00145FCF">
        <w:rPr>
          <w:rFonts w:ascii="Cambria Math" w:hAnsi="Cambria Math" w:cs="Cambria Math"/>
        </w:rPr>
        <w:t>℉</w:t>
      </w:r>
      <w:r w:rsidRPr="00145FCF">
        <w:t>)</w:t>
      </w:r>
      <w:r>
        <w:t xml:space="preserve"> for approximately 5 days and immersed in distilled water at </w:t>
      </w:r>
      <w:r w:rsidRPr="00145FCF">
        <w:t>25</w:t>
      </w:r>
      <w:r w:rsidRPr="00145FCF">
        <w:rPr>
          <w:rFonts w:ascii="Cambria Math" w:hAnsi="Cambria Math" w:cs="Cambria Math"/>
        </w:rPr>
        <w:t>℃</w:t>
      </w:r>
      <w:r>
        <w:rPr>
          <w:rFonts w:ascii="Cambria Math" w:hAnsi="Cambria Math" w:cs="Cambria Math"/>
        </w:rPr>
        <w:t xml:space="preserve"> </w:t>
      </w:r>
      <w:r>
        <w:t>(77</w:t>
      </w:r>
      <w:r w:rsidRPr="00145FCF">
        <w:rPr>
          <w:rFonts w:ascii="Cambria Math" w:hAnsi="Cambria Math" w:cs="Cambria Math"/>
        </w:rPr>
        <w:t>℉</w:t>
      </w:r>
      <w:r w:rsidRPr="00145FCF">
        <w:t>)</w:t>
      </w:r>
      <w:r>
        <w:t xml:space="preserve">. </w:t>
      </w:r>
    </w:p>
    <w:p w14:paraId="4C6EFB69" w14:textId="559A06B9" w:rsidR="00DE36EB" w:rsidRDefault="00DE36EB" w:rsidP="00B63058">
      <w:pPr>
        <w:pStyle w:val="Heading3"/>
      </w:pPr>
      <w:bookmarkStart w:id="301" w:name="_Toc531943779"/>
      <w:r>
        <w:t>Moisture Absorption into</w:t>
      </w:r>
      <w:r w:rsidRPr="00DE36EB">
        <w:t xml:space="preserve"> </w:t>
      </w:r>
      <w:r>
        <w:t>Foam Core Sandwich Composites</w:t>
      </w:r>
      <w:bookmarkEnd w:id="301"/>
    </w:p>
    <w:p w14:paraId="3C159802" w14:textId="127202E6" w:rsidR="00C95D61" w:rsidRPr="00C95D61" w:rsidRDefault="00C95D61" w:rsidP="00682F7B">
      <w:r>
        <w:t xml:space="preserve">For two and a half years, the sandwich composite samples are subjected to water and change in their weight is measured, periodically. The change in the weight of the composites sandwiches </w:t>
      </w:r>
      <w:r w:rsidR="007D139D">
        <w:t xml:space="preserve">manufactured at 30 psi </w:t>
      </w:r>
      <w:r>
        <w:t xml:space="preserve">(S3-30, S6-30, S9-30), and </w:t>
      </w:r>
      <w:r w:rsidR="007D139D">
        <w:t xml:space="preserve">50 psi </w:t>
      </w:r>
      <w:r>
        <w:t xml:space="preserve">(S3-50, S6-50, S9-50) are illustrated in </w:t>
      </w:r>
      <w:r>
        <w:fldChar w:fldCharType="begin"/>
      </w:r>
      <w:r>
        <w:instrText xml:space="preserve"> REF _Ref524954244 \h </w:instrText>
      </w:r>
      <w:r w:rsidR="00682F7B">
        <w:instrText xml:space="preserve"> \* MERGEFORMAT </w:instrText>
      </w:r>
      <w:r>
        <w:fldChar w:fldCharType="separate"/>
      </w:r>
      <w:r w:rsidR="006D52C2">
        <w:t xml:space="preserve">Figure </w:t>
      </w:r>
      <w:r w:rsidR="006D52C2">
        <w:rPr>
          <w:noProof/>
        </w:rPr>
        <w:t>66</w:t>
      </w:r>
      <w:r>
        <w:fldChar w:fldCharType="end"/>
      </w:r>
      <w:r>
        <w:t xml:space="preserve"> and </w:t>
      </w:r>
      <w:r>
        <w:fldChar w:fldCharType="begin"/>
      </w:r>
      <w:r>
        <w:instrText xml:space="preserve"> REF _Ref524954246 \h </w:instrText>
      </w:r>
      <w:r w:rsidR="00682F7B">
        <w:instrText xml:space="preserve"> \* MERGEFORMAT </w:instrText>
      </w:r>
      <w:r>
        <w:fldChar w:fldCharType="separate"/>
      </w:r>
      <w:r w:rsidR="006D52C2">
        <w:t xml:space="preserve">Figure </w:t>
      </w:r>
      <w:r w:rsidR="006D52C2">
        <w:rPr>
          <w:noProof/>
        </w:rPr>
        <w:t>67</w:t>
      </w:r>
      <w:r>
        <w:fldChar w:fldCharType="end"/>
      </w:r>
      <w:r>
        <w:t xml:space="preserve">, respectively. </w:t>
      </w:r>
      <w:r w:rsidR="009B1973">
        <w:t xml:space="preserve">In both figures, </w:t>
      </w:r>
      <w:r w:rsidR="009B1973">
        <w:lastRenderedPageBreak/>
        <w:t>variation in moisture absorption kinetics due to thickness is easily observed as in the case of absorption into foams</w:t>
      </w:r>
      <w:r>
        <w:t>.</w:t>
      </w:r>
      <w:r w:rsidR="009B1973">
        <w:t xml:space="preserve"> Distinct maximum moisture content of foams with different thicknesses are responsible for the variation in maximum moisture content of the sandwich composites.</w:t>
      </w:r>
      <w:r>
        <w:t xml:space="preserve"> Change in absorption behavior due to </w:t>
      </w:r>
      <w:r w:rsidR="009B1973">
        <w:t xml:space="preserve">manufacturing pressure is also detected from the figures. Processing pressure not only changes the absorption kinetics of the foams as observed in Section 4.3, but also changes the mass intake through the facesheets. </w:t>
      </w:r>
      <w:r w:rsidR="00F92768">
        <w:t xml:space="preserve">Thus, the changes in mass gain curves are as a result of the combined effect of facesheet and foam core. </w:t>
      </w:r>
    </w:p>
    <w:p w14:paraId="6C7C9F5B" w14:textId="3EBCABF3" w:rsidR="00DE36EB" w:rsidRDefault="00C95D61" w:rsidP="00DE36EB">
      <w:pPr>
        <w:pStyle w:val="NoSpacing"/>
      </w:pPr>
      <w:r>
        <w:rPr>
          <w:noProof/>
          <w:lang w:bidi="ar-SA"/>
        </w:rPr>
        <w:drawing>
          <wp:inline distT="0" distB="0" distL="0" distR="0" wp14:anchorId="671D594C" wp14:editId="6BF7B882">
            <wp:extent cx="5028109" cy="3657600"/>
            <wp:effectExtent l="0" t="0" r="1270" b="0"/>
            <wp:docPr id="4138" name="Picture 4138" descr="C:\Users\Administrator\Desktop\proje\PhD Dissertation\Foam\absorption\S-30 da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Foam\absorption\S-30 data.tif"/>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28109" cy="3657600"/>
                    </a:xfrm>
                    <a:prstGeom prst="rect">
                      <a:avLst/>
                    </a:prstGeom>
                    <a:noFill/>
                    <a:ln>
                      <a:noFill/>
                    </a:ln>
                  </pic:spPr>
                </pic:pic>
              </a:graphicData>
            </a:graphic>
          </wp:inline>
        </w:drawing>
      </w:r>
    </w:p>
    <w:p w14:paraId="192ACE19" w14:textId="2A86DFE4" w:rsidR="00C95D61" w:rsidRDefault="00C95D61" w:rsidP="00F92768">
      <w:pPr>
        <w:pStyle w:val="Caption"/>
      </w:pPr>
      <w:bookmarkStart w:id="302" w:name="_Ref524954244"/>
      <w:bookmarkStart w:id="303" w:name="_Toc530997422"/>
      <w:r>
        <w:t xml:space="preserve">Figure </w:t>
      </w:r>
      <w:r w:rsidR="00C7763A">
        <w:rPr>
          <w:noProof/>
        </w:rPr>
        <w:fldChar w:fldCharType="begin"/>
      </w:r>
      <w:r w:rsidR="00C7763A">
        <w:rPr>
          <w:noProof/>
        </w:rPr>
        <w:instrText xml:space="preserve"> SEQ Figure \* ARABIC </w:instrText>
      </w:r>
      <w:r w:rsidR="00C7763A">
        <w:rPr>
          <w:noProof/>
        </w:rPr>
        <w:fldChar w:fldCharType="separate"/>
      </w:r>
      <w:r w:rsidR="006D52C2">
        <w:rPr>
          <w:noProof/>
        </w:rPr>
        <w:t>66</w:t>
      </w:r>
      <w:r w:rsidR="00C7763A">
        <w:rPr>
          <w:noProof/>
        </w:rPr>
        <w:fldChar w:fldCharType="end"/>
      </w:r>
      <w:bookmarkEnd w:id="302"/>
      <w:r>
        <w:t xml:space="preserve">. </w:t>
      </w:r>
      <w:r w:rsidR="00F92768">
        <w:t>Mass gain data of Rohacell foam core sandwich composite manufactured under 30 psi pressure</w:t>
      </w:r>
      <w:bookmarkEnd w:id="303"/>
    </w:p>
    <w:p w14:paraId="34F756D1" w14:textId="77777777" w:rsidR="00C95D61" w:rsidRPr="00C95D61" w:rsidRDefault="00C95D61" w:rsidP="00C95D61"/>
    <w:p w14:paraId="63BA0130" w14:textId="327F233E" w:rsidR="00C95D61" w:rsidRPr="00C95D61" w:rsidRDefault="00C95D61" w:rsidP="00C95D61">
      <w:pPr>
        <w:pStyle w:val="NoSpacing"/>
      </w:pPr>
      <w:r>
        <w:rPr>
          <w:noProof/>
          <w:lang w:bidi="ar-SA"/>
        </w:rPr>
        <w:lastRenderedPageBreak/>
        <w:drawing>
          <wp:inline distT="0" distB="0" distL="0" distR="0" wp14:anchorId="5277C02A" wp14:editId="5713DF67">
            <wp:extent cx="5028109" cy="3657600"/>
            <wp:effectExtent l="0" t="0" r="1270" b="0"/>
            <wp:docPr id="4142" name="Picture 4142" descr="C:\Users\Administrator\Desktop\proje\PhD Dissertation\Foam\absorption\S-50 da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Foam\absorption\S-50 data.ti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28109" cy="3657600"/>
                    </a:xfrm>
                    <a:prstGeom prst="rect">
                      <a:avLst/>
                    </a:prstGeom>
                    <a:noFill/>
                    <a:ln>
                      <a:noFill/>
                    </a:ln>
                  </pic:spPr>
                </pic:pic>
              </a:graphicData>
            </a:graphic>
          </wp:inline>
        </w:drawing>
      </w:r>
    </w:p>
    <w:p w14:paraId="760E70E6" w14:textId="48C9116E" w:rsidR="00F92768" w:rsidRDefault="00C95D61" w:rsidP="00F92768">
      <w:pPr>
        <w:pStyle w:val="Caption"/>
      </w:pPr>
      <w:bookmarkStart w:id="304" w:name="_Ref524954246"/>
      <w:bookmarkStart w:id="305" w:name="_Toc530997423"/>
      <w:r>
        <w:t xml:space="preserve">Figure </w:t>
      </w:r>
      <w:r w:rsidR="00C7763A">
        <w:rPr>
          <w:noProof/>
        </w:rPr>
        <w:fldChar w:fldCharType="begin"/>
      </w:r>
      <w:r w:rsidR="00C7763A">
        <w:rPr>
          <w:noProof/>
        </w:rPr>
        <w:instrText xml:space="preserve"> SEQ Figure \* ARABIC </w:instrText>
      </w:r>
      <w:r w:rsidR="00C7763A">
        <w:rPr>
          <w:noProof/>
        </w:rPr>
        <w:fldChar w:fldCharType="separate"/>
      </w:r>
      <w:r w:rsidR="006D52C2">
        <w:rPr>
          <w:noProof/>
        </w:rPr>
        <w:t>67</w:t>
      </w:r>
      <w:r w:rsidR="00C7763A">
        <w:rPr>
          <w:noProof/>
        </w:rPr>
        <w:fldChar w:fldCharType="end"/>
      </w:r>
      <w:bookmarkEnd w:id="304"/>
      <w:r>
        <w:t xml:space="preserve">. </w:t>
      </w:r>
      <w:r w:rsidR="00F92768">
        <w:t>Mass gain data of Rohacell foam core sandwich composite manufactured under 50 psi pressure</w:t>
      </w:r>
      <w:bookmarkEnd w:id="305"/>
    </w:p>
    <w:p w14:paraId="71CC6B7F" w14:textId="699A4E04" w:rsidR="00C95D61" w:rsidRDefault="00C95D61" w:rsidP="00682F7B"/>
    <w:p w14:paraId="4A44D7E7" w14:textId="3D83E8E2" w:rsidR="00C95D61" w:rsidRDefault="00F92768" w:rsidP="00682F7B">
      <w:r>
        <w:t xml:space="preserve">The moisture absorption data shown in </w:t>
      </w:r>
      <w:r>
        <w:fldChar w:fldCharType="begin"/>
      </w:r>
      <w:r>
        <w:instrText xml:space="preserve"> REF _Ref524954244 \h </w:instrText>
      </w:r>
      <w:r w:rsidR="00682F7B">
        <w:instrText xml:space="preserve"> \* MERGEFORMAT </w:instrText>
      </w:r>
      <w:r>
        <w:fldChar w:fldCharType="separate"/>
      </w:r>
      <w:r w:rsidR="006D52C2">
        <w:t xml:space="preserve">Figure </w:t>
      </w:r>
      <w:r w:rsidR="006D52C2">
        <w:rPr>
          <w:noProof/>
        </w:rPr>
        <w:t>66</w:t>
      </w:r>
      <w:r>
        <w:fldChar w:fldCharType="end"/>
      </w:r>
      <w:r>
        <w:t>-</w:t>
      </w:r>
      <w:r>
        <w:fldChar w:fldCharType="begin"/>
      </w:r>
      <w:r>
        <w:instrText xml:space="preserve"> REF _Ref524954246 \h </w:instrText>
      </w:r>
      <w:r w:rsidR="00682F7B">
        <w:instrText xml:space="preserve"> \* MERGEFORMAT </w:instrText>
      </w:r>
      <w:r>
        <w:fldChar w:fldCharType="separate"/>
      </w:r>
      <w:r w:rsidR="006D52C2">
        <w:rPr>
          <w:noProof/>
        </w:rPr>
        <w:t>Figure</w:t>
      </w:r>
      <w:r w:rsidR="006D52C2">
        <w:t xml:space="preserve"> </w:t>
      </w:r>
      <w:r w:rsidR="006D52C2">
        <w:rPr>
          <w:noProof/>
        </w:rPr>
        <w:t>67</w:t>
      </w:r>
      <w:r>
        <w:fldChar w:fldCharType="end"/>
      </w:r>
      <w:r>
        <w:t xml:space="preserve"> can be further processed by the combination of void filling hindered diffusion model and multilayer hindered diffusion model. However, the data for both set</w:t>
      </w:r>
      <w:r w:rsidR="00456971">
        <w:t>s</w:t>
      </w:r>
      <w:r>
        <w:t xml:space="preserve"> of samples are still premature to recover the absorption parameters. Thus, the absorption kinetics of the sandwich structures will be recovered in the future once the subsequent data is gathered.</w:t>
      </w:r>
    </w:p>
    <w:p w14:paraId="0D774094" w14:textId="572E7367" w:rsidR="000270C4" w:rsidRDefault="00DE36EB" w:rsidP="00BB2C1B">
      <w:pPr>
        <w:pStyle w:val="Heading2"/>
      </w:pPr>
      <w:bookmarkStart w:id="306" w:name="_Toc531943780"/>
      <w:r>
        <w:t>4.5</w:t>
      </w:r>
      <w:r w:rsidR="000270C4">
        <w:t>. Conclusion</w:t>
      </w:r>
      <w:bookmarkEnd w:id="306"/>
    </w:p>
    <w:p w14:paraId="1083272A" w14:textId="0065D88E" w:rsidR="00074B4A" w:rsidRDefault="00074B4A" w:rsidP="00682F7B">
      <w:r>
        <w:t>In this chapter, newly developed one-dimensional void filling hindered diffusion model (VFHDM)</w:t>
      </w:r>
      <w:r w:rsidR="007826F8">
        <w:t xml:space="preserve"> is</w:t>
      </w:r>
      <w:r>
        <w:t xml:space="preserve"> introduced. </w:t>
      </w:r>
      <w:r w:rsidRPr="00074B4A">
        <w:t>VF</w:t>
      </w:r>
      <w:r>
        <w:t>H</w:t>
      </w:r>
      <w:r w:rsidRPr="00074B4A">
        <w:t>DM can incorporate the storage of penetrant in</w:t>
      </w:r>
      <w:r w:rsidR="007826F8">
        <w:t xml:space="preserve"> the</w:t>
      </w:r>
      <w:r w:rsidRPr="00074B4A">
        <w:t xml:space="preserve"> porous media</w:t>
      </w:r>
      <w:r w:rsidRPr="005A3E52">
        <w:t xml:space="preserve"> </w:t>
      </w:r>
      <w:r>
        <w:t>in addition to</w:t>
      </w:r>
      <w:r w:rsidR="007826F8" w:rsidRPr="007826F8">
        <w:t xml:space="preserve"> </w:t>
      </w:r>
      <w:r w:rsidR="007826F8">
        <w:t>the chemical interactions</w:t>
      </w:r>
      <w:r>
        <w:t xml:space="preserve"> </w:t>
      </w:r>
      <w:r w:rsidR="007826F8">
        <w:t xml:space="preserve">between the matrix and penetrant and </w:t>
      </w:r>
      <w:r w:rsidRPr="00074B4A">
        <w:t>absorption due to the dif</w:t>
      </w:r>
      <w:r>
        <w:t xml:space="preserve">fusion which </w:t>
      </w:r>
      <w:r w:rsidR="007826F8">
        <w:t xml:space="preserve">both </w:t>
      </w:r>
      <w:r>
        <w:t xml:space="preserve">can be predicted by 1DHDM. </w:t>
      </w:r>
      <w:r w:rsidRPr="00074B4A">
        <w:t xml:space="preserve">Void filling </w:t>
      </w:r>
      <w:r w:rsidRPr="00074B4A">
        <w:lastRenderedPageBreak/>
        <w:t>diffusion model (VF</w:t>
      </w:r>
      <w:r>
        <w:t>H</w:t>
      </w:r>
      <w:r w:rsidRPr="00074B4A">
        <w:t xml:space="preserve">DM) assumes that the penetrant can diffuse into the matrix, bind to and unbind from the matrix and be trapped inside the </w:t>
      </w:r>
      <w:r>
        <w:t>pores</w:t>
      </w:r>
      <w:r w:rsidRPr="00074B4A">
        <w:t xml:space="preserve">. </w:t>
      </w:r>
      <w:r>
        <w:t>VFHDM modifies the 1DHDM by porosity. Porosity</w:t>
      </w:r>
      <w:r w:rsidRPr="00074B4A">
        <w:t xml:space="preserve"> basically scales the maximum moisture content of solid phase and unbound-to-bound transformation per unit time, in turn, generates distinctive moisture absorption.</w:t>
      </w:r>
    </w:p>
    <w:p w14:paraId="553121C6" w14:textId="0988D92D" w:rsidR="007826F8" w:rsidRDefault="006824E2" w:rsidP="00682F7B">
      <w:r>
        <w:t xml:space="preserve">Validation of </w:t>
      </w:r>
      <w:r w:rsidR="00F61F99">
        <w:t xml:space="preserve">void filling hindered diffusion model has been achieved by characterizing the microstructure and moisture absorption behavior of </w:t>
      </w:r>
      <w:r w:rsidR="00213C6A">
        <w:t xml:space="preserve">closed-cell </w:t>
      </w:r>
      <w:r w:rsidR="00F61F99">
        <w:t>Rohacell foam</w:t>
      </w:r>
      <w:r w:rsidR="00213C6A">
        <w:t>s</w:t>
      </w:r>
      <w:r w:rsidR="00F61F99">
        <w:t xml:space="preserve">. </w:t>
      </w:r>
      <w:r w:rsidR="00762B58">
        <w:t xml:space="preserve">Foams with different thicknesses are chosen for </w:t>
      </w:r>
      <w:r>
        <w:t xml:space="preserve">the </w:t>
      </w:r>
      <w:r w:rsidR="00762B58">
        <w:t xml:space="preserve">absorption test. It has been observed that even though foams with different thicknesses have identical microstructure, they may have distinct densities and porosities. </w:t>
      </w:r>
      <w:r w:rsidR="00FC6235">
        <w:t>Open-cell</w:t>
      </w:r>
      <w:r w:rsidR="00762B58">
        <w:t xml:space="preserve">s at </w:t>
      </w:r>
      <w:r>
        <w:t>the surface of the foams change</w:t>
      </w:r>
      <w:r w:rsidR="00762B58">
        <w:t xml:space="preserve"> the density and porosity of the foams. </w:t>
      </w:r>
    </w:p>
    <w:p w14:paraId="3F9EC7ED" w14:textId="3DAD1537" w:rsidR="00F61F99" w:rsidRDefault="007826F8" w:rsidP="00682F7B">
      <w:r>
        <w:t>Rohacell f</w:t>
      </w:r>
      <w:r w:rsidR="00762B58">
        <w:t>oams are subjected to heat treatments under two different pressure</w:t>
      </w:r>
      <w:r w:rsidR="004D4D8F">
        <w:t>s</w:t>
      </w:r>
      <w:r w:rsidR="00762B58">
        <w:t xml:space="preserve"> (30 psi and 50 psi) to investigate the effect of microstructural changes on absorption kinetics.</w:t>
      </w:r>
      <w:r w:rsidRPr="007826F8">
        <w:t xml:space="preserve"> </w:t>
      </w:r>
      <w:r>
        <w:t>Heat treatment under 30 psi on Rohacell foams led to decrease in thickness, cell size</w:t>
      </w:r>
      <w:r w:rsidR="00CB64A3">
        <w:t>,</w:t>
      </w:r>
      <w:r>
        <w:t xml:space="preserve"> and porosity. Cells slightly elongated normal to the compression direction.</w:t>
      </w:r>
      <w:r w:rsidRPr="007826F8">
        <w:t xml:space="preserve"> </w:t>
      </w:r>
      <w:r>
        <w:t>Foams heat treated under 50 psi pressure has gone through more radical microstructural changes. Some cells are compressed to get smaller however, some cells coalesce to become bigger which created more variation in density, porosity</w:t>
      </w:r>
      <w:r w:rsidR="00CB64A3">
        <w:t>,</w:t>
      </w:r>
      <w:r>
        <w:t xml:space="preserve"> and absorbed moisture. Drastic decrease in porosity is an outcome of the coalescence of open surface cells and close-cells. As the open surface cells and closed-cells in the matrix coalesce, the new cell becomes an </w:t>
      </w:r>
      <w:r w:rsidR="00FC6235">
        <w:t>open-cell</w:t>
      </w:r>
      <w:r>
        <w:t xml:space="preserve"> and does not contribute to the porosity.</w:t>
      </w:r>
    </w:p>
    <w:p w14:paraId="1838202D" w14:textId="73A901D4" w:rsidR="00762B58" w:rsidRDefault="00762B58" w:rsidP="00682F7B">
      <w:r>
        <w:t>Moisture abs</w:t>
      </w:r>
      <w:r w:rsidR="006824E2">
        <w:t>orption test on foams has shown</w:t>
      </w:r>
      <w:r>
        <w:t xml:space="preserve"> that thickness of the foam changes the absorption behavior of the foam samples. As the foam gets thicker, the maximum moisture </w:t>
      </w:r>
      <w:r>
        <w:lastRenderedPageBreak/>
        <w:t>content of the foam increased. VFHDM attributed this phenomen</w:t>
      </w:r>
      <w:r w:rsidR="006824E2">
        <w:t>on</w:t>
      </w:r>
      <w:r>
        <w:t xml:space="preserve"> to the porosity. The ratio of the open surface cell to the closed-cell in the matrix is higher in the thin foams. Thus, porosity of the thin foams are less than thick foams. Since </w:t>
      </w:r>
      <w:r w:rsidR="00FC6235">
        <w:t>open-cell</w:t>
      </w:r>
      <w:r>
        <w:t>s cannot store moisture, it is reasonable to have lower maximum moisture content in thin samples compared to the thick samples.</w:t>
      </w:r>
      <w:r w:rsidR="002F4C9A">
        <w:t xml:space="preserve"> Increase in pores-to-solid ratio by 60% resulted in 49% more maximum moisture uptake. By attributing the excess moisture to the filling o</w:t>
      </w:r>
      <w:r w:rsidR="001C0A1A">
        <w:t>f the pore</w:t>
      </w:r>
      <w:r w:rsidR="002F4C9A">
        <w:t>s, VFHDM successfully predicted the absorption behavior of foams with various thicknesses.</w:t>
      </w:r>
    </w:p>
    <w:p w14:paraId="5710B03C" w14:textId="09D63F51" w:rsidR="001C0A1A" w:rsidRDefault="001C0A1A" w:rsidP="00682F7B">
      <w:r>
        <w:t>Effect</w:t>
      </w:r>
      <w:r w:rsidR="004D4D8F">
        <w:t>s</w:t>
      </w:r>
      <w:r>
        <w:t xml:space="preserve"> of foam microstr</w:t>
      </w:r>
      <w:r w:rsidR="006824E2">
        <w:t>ucture on moisture absorption are</w:t>
      </w:r>
      <w:r>
        <w:t xml:space="preserve"> also investigated using VFHDM. </w:t>
      </w:r>
      <w:r w:rsidR="007826F8">
        <w:t>Heat treatment</w:t>
      </w:r>
      <w:r w:rsidR="000F0089">
        <w:t xml:space="preserve"> under 30 psi caused </w:t>
      </w:r>
      <w:r w:rsidR="009F4B57">
        <w:t>less amount of moisture</w:t>
      </w:r>
      <w:r w:rsidR="000F0089">
        <w:t xml:space="preserve"> absorption</w:t>
      </w:r>
      <w:r w:rsidR="009F4B57">
        <w:t xml:space="preserve"> than as-received foams. </w:t>
      </w:r>
      <w:r w:rsidR="000F0089">
        <w:t>Decrease in the amount of absorbed moisture is attributed to the reduction of porosity and efficiently predicted by VFHDM. In addition, VFHDM prediction of unbound, bound</w:t>
      </w:r>
      <w:r w:rsidR="00CB64A3">
        <w:t>,</w:t>
      </w:r>
      <w:r w:rsidR="000F0089">
        <w:t xml:space="preserve"> and trapped moisture absorption outlined the effect of microstructural changes. </w:t>
      </w:r>
      <w:r w:rsidR="000E7647">
        <w:t>Small decrease in unbound maximum moisture content and increase in bound maximum moisture</w:t>
      </w:r>
      <w:r w:rsidR="004D4D8F">
        <w:t xml:space="preserve"> content due to heat treatment are</w:t>
      </w:r>
      <w:r w:rsidR="000E7647">
        <w:t xml:space="preserve"> assumed to be a result of further crosslinking of the polymer chains of foam matrix. Crosslinking would presumably decrease the free volume that water molecules can diffuse to be unbound moisture and increase the bonding site to create bound moisture. Moreover, decrease in porosity due to heat treatment has shown its effect as decrease in trapped moisture.</w:t>
      </w:r>
    </w:p>
    <w:p w14:paraId="6859F4F7" w14:textId="4D146FEB" w:rsidR="000E7647" w:rsidRDefault="007826F8" w:rsidP="00682F7B">
      <w:r>
        <w:t xml:space="preserve">Foams heat treated under 50 psi were underwent through drastic changes in cell size and morphology. </w:t>
      </w:r>
      <w:r w:rsidR="001E3B75">
        <w:t xml:space="preserve">These severe changes in the microstructure also affected the moisture absorption kinetics. These foams absorbed less amount of moisture compared to the as-received foams and foams heat treated under 30 psi. VFHDM effectually recovered the </w:t>
      </w:r>
      <w:r w:rsidR="001E3B75">
        <w:lastRenderedPageBreak/>
        <w:t>absorption dynamics of foams heat treated under 50 psi using the calculated porosities for each thicknesses. Furthermore, VFHDM is used to describe the effect of microstructural changes on the unbound, bound</w:t>
      </w:r>
      <w:r w:rsidR="00CB64A3">
        <w:t>,</w:t>
      </w:r>
      <w:r w:rsidR="001E3B75">
        <w:t xml:space="preserve"> and trapped moisture absorption. Changes in unbound and bound moisture absorption </w:t>
      </w:r>
      <w:r w:rsidR="006824E2">
        <w:t>are</w:t>
      </w:r>
      <w:r w:rsidR="001E3B75">
        <w:t xml:space="preserve"> also attributed to the increase in crosslinking density.</w:t>
      </w:r>
      <w:r w:rsidR="006824E2">
        <w:t xml:space="preserve"> Changes in trapped moisture were</w:t>
      </w:r>
      <w:r w:rsidR="001E3B75">
        <w:t xml:space="preserve"> predicted by the porosity.</w:t>
      </w:r>
    </w:p>
    <w:p w14:paraId="148FC5F7" w14:textId="3CB6441C" w:rsidR="001E3B75" w:rsidRDefault="001E3B75" w:rsidP="00682F7B">
      <w:r>
        <w:t xml:space="preserve">In conclusion, one-dimensional void filling hindered diffusion model successfully predicted and explained moisture absorption behavior of foams with different porosity </w:t>
      </w:r>
      <w:r w:rsidR="00422B3E">
        <w:t xml:space="preserve">levels </w:t>
      </w:r>
      <w:r>
        <w:t>and microstructure. VFHDM defined and validated the change</w:t>
      </w:r>
      <w:r w:rsidR="007826F8">
        <w:t>s</w:t>
      </w:r>
      <w:r>
        <w:t xml:space="preserve"> in the absorbed moisture content as a function of porosity. Since foams are frequently used in high-end engineering applications as a core material in sandwich composites, VFHDM may be improved using </w:t>
      </w:r>
      <w:r w:rsidR="00F92768">
        <w:t>m</w:t>
      </w:r>
      <w:r>
        <w:t>ultilayer hindered diffusion model to predict the absorption behavior of sandwich structures.</w:t>
      </w:r>
    </w:p>
    <w:p w14:paraId="3115B182" w14:textId="77777777" w:rsidR="002F4C9A" w:rsidRDefault="002F4C9A" w:rsidP="00074B4A">
      <w:pPr>
        <w:rPr>
          <w:rFonts w:cs="Times New Roman"/>
          <w:szCs w:val="24"/>
        </w:rPr>
      </w:pPr>
    </w:p>
    <w:p w14:paraId="14E0ED52" w14:textId="77777777" w:rsidR="00762B58" w:rsidRDefault="00762B58" w:rsidP="00074B4A">
      <w:pPr>
        <w:rPr>
          <w:rFonts w:cs="Times New Roman"/>
          <w:szCs w:val="24"/>
        </w:rPr>
      </w:pPr>
    </w:p>
    <w:p w14:paraId="096205BF" w14:textId="77777777" w:rsidR="00074B4A" w:rsidRPr="00074B4A" w:rsidRDefault="00074B4A" w:rsidP="00074B4A"/>
    <w:p w14:paraId="57703ADF" w14:textId="77777777" w:rsidR="000270C4" w:rsidRPr="000270C4" w:rsidRDefault="000270C4" w:rsidP="000270C4"/>
    <w:p w14:paraId="7959AF0B" w14:textId="2AC20A09" w:rsidR="000270C4" w:rsidRDefault="000270C4" w:rsidP="000270C4">
      <w:r>
        <w:br w:type="page"/>
      </w:r>
    </w:p>
    <w:p w14:paraId="06F6ED3B" w14:textId="0E4B76CC" w:rsidR="007D6FCB" w:rsidRPr="007D6FCB" w:rsidRDefault="007D6FCB" w:rsidP="00C730E9">
      <w:pPr>
        <w:pStyle w:val="Heading1"/>
      </w:pPr>
      <w:bookmarkStart w:id="307" w:name="_Ref520893882"/>
      <w:bookmarkStart w:id="308" w:name="_Toc531943781"/>
      <w:r>
        <w:lastRenderedPageBreak/>
        <w:t>Effect of Moisture Absorption on Mechanical Properties of Polymer and Polymer Composites</w:t>
      </w:r>
      <w:bookmarkEnd w:id="307"/>
      <w:bookmarkEnd w:id="308"/>
    </w:p>
    <w:p w14:paraId="4467A78E" w14:textId="2AB7E440" w:rsidR="00B63058" w:rsidRDefault="00B63058" w:rsidP="00B63058">
      <w:r>
        <w:t xml:space="preserve">Increased used of polymers and polymer composites in </w:t>
      </w:r>
      <w:r w:rsidRPr="007918CF">
        <w:t>engineering applications</w:t>
      </w:r>
      <w:r w:rsidR="00BA1AD9">
        <w:t xml:space="preserve"> have le</w:t>
      </w:r>
      <w:r>
        <w:t xml:space="preserve">d researchers to investigate </w:t>
      </w:r>
      <w:r w:rsidRPr="007918CF">
        <w:t>environmentally induced degradation due to high humidity</w:t>
      </w:r>
      <w:r>
        <w:t xml:space="preserve">. Plasticization, swelling, residual stresses are the most common outcomes of moisture induced damages in polymers </w:t>
      </w:r>
      <w:r w:rsidRPr="007918CF">
        <w:fldChar w:fldCharType="begin" w:fldLock="1"/>
      </w:r>
      <w:r w:rsidR="00430285">
        <w:instrText>ADDIN CSL_CITATION {"citationItems":[{"id":"ITEM-1","itemData":{"DOI":"10.1016/j.compositesb.2013.05.041","ISSN":"13598368","abstract":"When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Engineering","id":"ITEM-1","issued":{"date-parts":[["2013"]]},"page":"86-95","publisher":"Elsevier Ltd","title":"Waterproof characteristics of nanoclay/epoxy nanocomposite in adhesively bonded joints","type":"article-journal","volume":"55"},"uris":["http://www.mendeley.com/documents/?uuid=b629acb3-b997-4858-b3e0-5716ad601362"]},{"id":"ITEM-2","itemData":{"DOI":"10.1016/j.compscitech.2010.01.021","ISSN":"02663538","abstract":"Composite structures in service are typically subjected to different environmental conditions, which may affect their mechanical performance as well as their flammability potential. This study investigates the degradation encountered by lap joints made with woven carbon/epoxy and epoxy-based adhesive, treated in water or anti-icing additive or jet fuel or hydraulic fluid. Gravimetric tests were carried out, and degradation was observed with changes in color, mass, microscopic features and mechanical properties, with the support of statistics. This investigation proves that the performance of the epoxy-based structural adhesive deteriorates considerably when the adhesive is contaminated by hydraulic fluid and anti-icing additive, while the carbon/epoxy weave appears affected by anti-icing additive at a lesser rate. © 2010.","author":[{"dropping-particle":"","family":"Sugita","given":"Yoshino","non-dropping-particle":"","parse-names":false,"suffix":""},{"dropping-particle":"","family":"Winkelmann","given":"Charles","non-dropping-particle":"","parse-names":false,"suffix":""},{"dropping-particle":"","family":"Saponara","given":"Valeria","non-dropping-particle":"La","parse-names":false,"suffix":""}],"container-title":"Composites Science and Technology","id":"ITEM-2","issue":"5","issued":{"date-parts":[["2010"]]},"page":"829-839","publisher":"Elsevier Ltd","title":"Environmental and chemical degradation of carbon/epoxy lap joints for aerospace applications, and effects on their mechanical performance","type":"article-journal","volume":"70"},"uris":["http://www.mendeley.com/documents/?uuid=35e5d106-21c3-4d3f-bb37-871f228d63f4"]},{"id":"ITEM-3","itemData":{"DOI":"10.1016/j.compscitech.2014.01.017","ISBN":"0266-3538","ISSN":"02663538","abstract":"The environmental degradation of the mechanical properties of pultruded jute and jute/glass hybrid reinforced polyester composites with high fibre volume fraction (0.70) has been investigated with special focus on the effects of water ageing and moderate temperature (up to 80. °C). Water absorption tests were conducted by immersing specimens in distilled water at room temperature until saturation (4076. h). Water absorption curves and characteristic parameters such as coefficient of diffusion and equilibrium moisture content were determined. The composites exhibited a deviation from the Fickian behaviour with a positive role played by the addition of glass fibres in terms of moisture resistance. The influence of water uptake on tensile and flexural properties of composites was evaluated and a significant reduction in both strength and modulus was observed, with a superior strength retention offered by hybrid composites. Acoustic emission (AE) and scanning electron microscopy enabled to identify the weakening of fibre/matrix interface induced by water ageing. The effects of temperature were mitigated by glass fibres if compared with the higher degradation experienced by jute fibres. © 2014 Elsevier Ltd.","author":[{"dropping-particle":"","family":"Akil","given":"Hazizan Md","non-dropping-particle":"","parse-names":false,"suffix":""},{"dropping-particle":"","family":"Santulli","given":"Carlo","non-dropping-particle":"","parse-names":false,"suffix":""},{"dropping-particle":"","family":"Sarasini","given":"Fabrizio","non-dropping-particle":"","parse-names":false,"suffix":""},{"dropping-particle":"","family":"Tirillò","given":"Jacopo","non-dropping-particle":"","parse-names":false,"suffix":""},{"dropping-particle":"","family":"Valente","given":"Teodoro","non-dropping-particle":"","parse-names":false,"suffix":""}],"container-title":"Composites Science and Technology","id":"ITEM-3","issued":{"date-parts":[["2014"]]},"page":"62-70","publisher":"Elsevier Ltd","title":"Environmental effects on the mechanical behaviour of pultruded jute/glass fibre-reinforced polyester hybrid composites","type":"article-journal","volume":"94"},"uris":["http://www.mendeley.com/documents/?uuid=6b082c79-c64b-4ae0-9039-75249785bd43"]},{"id":"ITEM-4","itemData":{"DOI":"10.1016/j.cej.2007.11.024","ISBN":"1385-8947","ISSN":"13858947","abstract":"Composite materials were made from Pinus radiata wood flour, and recycled and virgin polyolefin, mainly high density polyethylene (HDPE) and polypropylene (PP) polymer, by using hot-pressing moulding. Long-term water absorption and thickness swelling (TS) kinetics of the composites was investigated with water immersion. It was found that the water absorption and TS increase with wood content and water immersion time before an equilibrium condition was reached. Composites made from the recycled plastics show comparable results as those made of the virgin plastics. It is interesting to find that the water absorption and TS can be reduced significantly with incorporation of a coupling agent (maleated polypropylene) in the composite formulation. Microstructures of the composites were examined to understand the mechanisms for the wood-plastic interaction which affects the water absorption and thickness swelling. Further studies were conducted to model the water diffusion and thickness swelling of the composites. Diffusion coefficients and swelling rate parameters in the models were obtained by fitting the model predictions with the experimental data. © 2007 Elsevier B.V. All rights reserved.","author":[{"dropping-particle":"","family":"Adhikary","given":"Kamal B.","non-dropping-particle":"","parse-names":false,"suffix":""},{"dropping-particle":"","family":"Pang","given":"Shusheng","non-dropping-particle":"","parse-names":false,"suffix":""},{"dropping-particle":"","family":"Staiger","given":"Mark P.","non-dropping-particle":"","parse-names":false,"suffix":""}],"container-title":"Chemical Engineering Journal","id":"ITEM-4","issue":"2","issued":{"date-parts":[["2008"]]},"page":"190-198","title":"Long-term moisture absorption and thickness swelling behaviour of recycled thermoplastics reinforced with Pinus radiata sawdust","type":"article-journal","volume":"142"},"uris":["http://www.mendeley.com/documents/?uuid=cc978df9-d08d-4a89-92d6-426d884c3948"]},{"id":"ITEM-5","itemData":{"DOI":"10.1016/j.matdes.2010.02.030","ISBN":"0261-3069","ISSN":"02641275","abstract":"In this research, aging behaviors of short jute fiber/Polylactide (PLA) composite material in hygrothermal environment were investigated. The material was fabricated by using film stacking hot pressed method. The aging was carried out for uncoated samples and adhesive tape coated samples in saturated vapor at 70°C. Moisture absorption rates of the samples were measured during the aging process. It is found that the moisture absorption process of uncoated samples includes three stages: a short and quick moisture uptaking stage, a slow stable uptaking stage and an abrupt very quick moisture uptaking stage. Microstructures of the samples in different aging stages were observed. The main defects occurred during the aging process include pores, microcracks, delamination and complete relaxation in the whole structure. The results reveal that the moisture absorption and aging process can be effectively retarded by coating. The molecular weight measurement by gel permission chromatography (GPC) indicated that the PLA matrix was severely degraded in hygrothermal environment. Tensile strength severely decreased after aging. © 2010 Elsevier Ltd.","author":[{"dropping-particle":"","family":"Hu","given":"Rui-Hua","non-dropping-particle":"","parse-names":false,"suffix":""},{"dropping-particle":"","family":"Sun","given":"Min-Young","non-dropping-particle":"","parse-names":false,"suffix":""},{"dropping-particle":"","family":"Lim","given":"Jae-Kyoo","non-dropping-particle":"","parse-names":false,"suffix":""}],"container-title":"Materials and Design","id":"ITEM-5","issue":"7","issued":{"date-parts":[["2010"]]},"page":"3167-3173","publisher":"Elsevier Ltd","title":"Moisture absorption, tensile strength and microstructure evolution of short jute fiber/polylactide composite in hygrothermal environment","type":"article-journal","volume":"31"},"uris":["http://www.mendeley.com/documents/?uuid=5c670bbc-43e3-4b71-9d15-5c03ec2b6182"]},{"id":"ITEM-6","itemData":{"DOI":"10.1016/j.compscitech.2010.11.027","ISBN":"0266-3538","ISSN":"02663538","abstract":"In this work we numerically investigate the nucleation and evolution of micromechanical damage in reinforced glassy polymers under transient hygro-mechanical loading. In particular, we demonstrate the role that fiber distribution plays in the evolution of overall damage due to fiber-matrix interfacial debonding under moisture ingress. The heterogeneity of fiber distribution (clustering) is characterized by the coefficient of variation Cvof the center-to-center distances between interacting fibers, determined by identifying a cut-off radius around a typical fiber. The initial moisture diffusion-induced damage provides synergistic conditions for the rapid evolution of debonding under subsequent mechanical loading. The results indicate that microstructural heterogeneity strongly affects the moisture diffusion characteristics that in turn hurt the overall load carrying capacity of a composite due to aggravated damage. The strong dependence of the moisture-induced damage evolution on the fiber arrangement suggests that one should not resort to using simplistic unit cell models that assume regular fiber arrangements in such cases. © 2010 Elsevier Ltd.","author":[{"dropping-particle":"","family":"Abhilash","given":"A. S.","non-dropping-particle":"","parse-names":false,"suffix":""},{"dropping-particle":"","family":"Joshi","given":"Shailendra P.","non-dropping-particle":"","parse-names":false,"suffix":""},{"dropping-particle":"","family":"Mukherjee","given":"Abhijit","non-dropping-particle":"","parse-names":false,"suffix":""},{"dropping-particle":"","family":"Mishnaevsky","given":"Leon","non-dropping-particle":"","parse-names":false,"suffix":""}],"container-title":"Composites Science and Technology","id":"ITEM-6","issue":"3","issued":{"date-parts":[["2011"]]},"page":"333-342","publisher":"Elsevier Ltd","title":"Micromechanics of diffusion-induced damage evolution in reinforced polymers","type":"article-journal","volume":"71"},"uris":["http://www.mendeley.com/documents/?uuid=354f1d9c-112b-4200-8fbc-67dc43f491cb"]},{"id":"ITEM-7","itemData":{"DOI":"10.1177/0021998311428533","ISBN":"0021998311428","ISSN":"00219983","abstract":"This research is a study on the degradation effects caused by seawater absorption of isophthalic polyester and vinyl ester resin employed in boat manufacture. Physical and mechanical tests of the resins were performed before and after the degradation. The results highlighted that the polyester resin is more degraded than the vinyl one, due to a different network organization of the two materials. The polyester has a biphasic structure with a low compactness, so water diffusion into the bulk is highly favored. The degradation occurs mainly by the leaching of small molecules extracted from the resin bulk by the water. Damages (cracks, holes, blisters) are evident and the resin loses its mechanical performance. The vinyl network is monophasic and compact, so avoids the entry of water; its degradation occurs differently, by a hydrolytic surface erosion of resin layers. In this way, it retains its bulk better compared to the polyester one.","author":[{"dropping-particle":"","family":"Visco","given":"A. M.","non-dropping-particle":"","parse-names":false,"suffix":""},{"dropping-particle":"","family":"Brancato","given":"V.","non-dropping-particle":"","parse-names":false,"suffix":""},{"dropping-particle":"","family":"Campo","given":"N.","non-dropping-particle":"","parse-names":false,"suffix":""}],"container-title":"Journal of Composite Materials","id":"ITEM-7","issue":"17","issued":{"date-parts":[["2012"]]},"page":"2025-2040","title":"Degradation effects in polyester and vinyl ester resins induced by accelerated aging in seawater","type":"article-journal","volume":"46"},"uris":["http://www.mendeley.com/documents/?uuid=63d3a5d9-0bfa-42d3-99e3-56a86eaf3cf9"]}],"mendeley":{"formattedCitation":"[11,26–31]","plainTextFormattedCitation":"[11,26–31]","previouslyFormattedCitation":"[3,26–31]"},"properties":{"noteIndex":0},"schema":"https://github.com/citation-style-language/schema/raw/master/csl-citation.json"}</w:instrText>
      </w:r>
      <w:r w:rsidRPr="007918CF">
        <w:fldChar w:fldCharType="separate"/>
      </w:r>
      <w:r w:rsidR="00430285" w:rsidRPr="00430285">
        <w:rPr>
          <w:noProof/>
        </w:rPr>
        <w:t>[11,26–31]</w:t>
      </w:r>
      <w:r w:rsidRPr="007918CF">
        <w:fldChar w:fldCharType="end"/>
      </w:r>
      <w:r>
        <w:t>. These physical damages result in significant loss in electrical, thermal, optical</w:t>
      </w:r>
      <w:r w:rsidR="008E230D">
        <w:t>,</w:t>
      </w:r>
      <w:r>
        <w:t xml:space="preserve"> and mechanical properties. The extent of the property loss should be considered on composite part design for mission critical systems.</w:t>
      </w:r>
    </w:p>
    <w:p w14:paraId="5793D0D8" w14:textId="77777777" w:rsidR="00B63058" w:rsidRDefault="00B63058" w:rsidP="00B63058">
      <w:pPr>
        <w:rPr>
          <w:rFonts w:cs="Times New Roman"/>
          <w:szCs w:val="24"/>
        </w:rPr>
      </w:pPr>
      <w:r>
        <w:rPr>
          <w:rFonts w:cs="Times New Roman"/>
          <w:szCs w:val="24"/>
        </w:rPr>
        <w:t xml:space="preserve"> Dielectric constant and loss tangent are electrical properties describing the conductivity of a polymer. As an alternative to ceramic insulators, polymers having low dielectric constant and loss tangent are investigated as insulators. However, </w:t>
      </w:r>
      <w:proofErr w:type="spellStart"/>
      <w:r>
        <w:rPr>
          <w:rFonts w:cs="Times New Roman"/>
          <w:szCs w:val="24"/>
        </w:rPr>
        <w:t>Kumosa</w:t>
      </w:r>
      <w:proofErr w:type="spellEnd"/>
      <w:r>
        <w:rPr>
          <w:rFonts w:cs="Times New Roman"/>
          <w:szCs w:val="24"/>
        </w:rPr>
        <w:t xml:space="preserve"> et al.</w:t>
      </w:r>
      <w:r w:rsidRPr="001570E7">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{"citationItems":[{"id":"ITEM-1","itemData":{"DOI":"10.1016/j.compositesa.2004.03.008","ISBN":"1359-835X","ISSN":"1359835X","abstract":"Moisture absorption tests were performed on unidirectional glass/polymer composite materials used in high voltage composite (non-ceramic) insulators. The composites were based on E-glass, high seed count ECR-glass and low seed count ECR-glass fibers with modified polyester, epoxy and vinyl ester resins. The composites were exposed to a moist environment with a relative humidity of 80% at 50 °C, and their resistance to moisture absorption in terms of the rate of moisture absorption, maximum moisture content and apparent diffusivities was determined. Moisture absorption in unidirectional composite specimens was also studied numerically in this work using finite element techniques. In particular, the effects of specimen geometry (the edge effect) and specimen orthotropy on moisture absorption by the composites were evaluated. Significant differences in the moisture absorption properties of the composites were found indicating that the effect of moisture on the mechanical and electrical properties of the insulators will depend on the type of composite used. It was shown that the vinyl ester based materials had the most favorable moisture diffusion properties for use in high voltage composite insulator applications. The modified polyester based composites exhibited the worst moisture absorption performance. The epoxy-based materials had adequate rates of absorption, however, these materials did not reach equilibrium and kept slowly taking on more moisture in a non-Fickian manner. © 2004 Elsevier Ltd. All rights reserved.","author":[{"dropping-particle":"","family":"Kumosa","given":"L.","non-dropping-particle":"","parse-names":false,"suffix":""},{"dropping-particle":"","family":"Benedikt","given":"B.","non-dropping-particle":"","parse-names":false,"suffix":""},{"dropping-particle":"","family":"Armentrout","given":"D.","non-dropping-particle":"","parse-names":false,"suffix":""},{"dropping-particle":"","family":"Kumosa","given":"M.","non-dropping-particle":"","parse-names":false,"suffix":""}],"container-title":"Composites Part A: Applied Science and Manufacturing","id":"ITEM-1","issue":"9","issued":{"date-parts":[["2004"]]},"page":"1049-1063","title":"Moisture absorption properties of unidirectional glass/polymer composites used in composite (non-ceramic) insulators","type":"article-journal","volume":"35"},"uris":["http://www.mendeley.com/documents/?uuid=8b64094d-0fc1-440e-b861-f74846257aa7"]}],"mendeley":{"formattedCitation":"[140]","plainTextFormattedCitation":"[140]","previouslyFormattedCitation":"[140]"},"properties":{"noteIndex":0},"schema":"https://github.com/citation-style-language/schema/raw/master/csl-citation.json"}</w:instrText>
      </w:r>
      <w:r>
        <w:rPr>
          <w:rFonts w:cs="Times New Roman"/>
          <w:szCs w:val="24"/>
        </w:rPr>
        <w:fldChar w:fldCharType="separate"/>
      </w:r>
      <w:r w:rsidRPr="000D4466">
        <w:rPr>
          <w:rFonts w:cs="Times New Roman"/>
          <w:noProof/>
          <w:szCs w:val="24"/>
        </w:rPr>
        <w:t>[140]</w:t>
      </w:r>
      <w:r>
        <w:rPr>
          <w:rFonts w:cs="Times New Roman"/>
          <w:szCs w:val="24"/>
        </w:rPr>
        <w:fldChar w:fldCharType="end"/>
      </w:r>
      <w:r>
        <w:rPr>
          <w:rFonts w:cs="Times New Roman"/>
          <w:szCs w:val="24"/>
        </w:rPr>
        <w:t xml:space="preserve">, </w:t>
      </w:r>
      <w:proofErr w:type="spellStart"/>
      <w:r>
        <w:rPr>
          <w:rFonts w:cs="Times New Roman"/>
          <w:szCs w:val="24"/>
        </w:rPr>
        <w:t>Cotinaud</w:t>
      </w:r>
      <w:proofErr w:type="spellEnd"/>
      <w:r>
        <w:rPr>
          <w:rFonts w:cs="Times New Roman"/>
          <w:szCs w:val="24"/>
        </w:rPr>
        <w:t xml:space="preserve"> et al.</w:t>
      </w:r>
      <w:r w:rsidRPr="001570E7">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{"citationItems":[{"id":"ITEM-1","itemData":{"DOI":"10.1007/BF00540386","ISBN":"0022-2461 (Print) 1573-4803 (Online)","ISSN":"00222461","abstract":"The effects of water absorption on the dielectric properties of glass-fibre reinforced epoxy resin have been examined as a function of three types of hardeners used to promote cross-linking of the resin. The tests have been conducted under humid atmospheric conditions 0% relative humidity (r.h.) to 100% r.h. and in immersion in the temperature range 25° C to 90° C. The interpretation of the observed water uptake has been made using diffusion laws and this has revealed three distinct mechanisms of water absorption of which one is only observed in immersion. Under humid conditions there exists a water concentration threshold reached at a specimen weight gain of 0.6 to 0.7% beyond which irreversible changes are observed in the mechanical properties together with ionic conduction. Despite this observation the dielectric properties are reversible in all cases and are function only of the quantity of water absorbed in the body of the material.","author":[{"dropping-particle":"","family":"Cotinaud","given":"M.","non-dropping-particle":"","parse-names":false,"suffix":""},{"dropping-particle":"","family":"Bonniau","given":"P.","non-dropping-particle":"","parse-names":false,"suffix":""},{"dropping-particle":"","family":"Bunsell","given":"A. R.","non-dropping-particle":"","parse-names":false,"suffix":""}],"container-title":"Journal of Materials Science","id":"ITEM-1","issue":"3","issued":{"date-parts":[["1982"]]},"page":"867-877","title":"The effect of water absorption on the electrical properties of glass-fibre reinforced epoxy composites","type":"article-journal","volume":"17"},"uris":["http://www.mendeley.com/documents/?uuid=8f782d16-e44c-4249-8cac-0d89560ab8e8"]}],"mendeley":{"formattedCitation":"[141]","plainTextFormattedCitation":"[141]","previouslyFormattedCitation":"[141]"},"properties":{"noteIndex":0},"schema":"https://github.com/citation-style-language/schema/raw/master/csl-citation.json"}</w:instrText>
      </w:r>
      <w:r>
        <w:rPr>
          <w:rFonts w:cs="Times New Roman"/>
          <w:szCs w:val="24"/>
        </w:rPr>
        <w:fldChar w:fldCharType="separate"/>
      </w:r>
      <w:r w:rsidRPr="000D4466">
        <w:rPr>
          <w:rFonts w:cs="Times New Roman"/>
          <w:noProof/>
          <w:szCs w:val="24"/>
        </w:rPr>
        <w:t>[141]</w:t>
      </w:r>
      <w:r>
        <w:rPr>
          <w:rFonts w:cs="Times New Roman"/>
          <w:szCs w:val="24"/>
        </w:rPr>
        <w:fldChar w:fldCharType="end"/>
      </w:r>
      <w:r w:rsidRPr="007918CF">
        <w:rPr>
          <w:rFonts w:cs="Times New Roman"/>
          <w:szCs w:val="24"/>
        </w:rPr>
        <w:t xml:space="preserve"> </w:t>
      </w:r>
      <w:r>
        <w:rPr>
          <w:rFonts w:cs="Times New Roman"/>
          <w:szCs w:val="24"/>
        </w:rPr>
        <w:t>and Wang et al.</w:t>
      </w:r>
      <w:r w:rsidRPr="001570E7">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{"citationItems":[{"id":"ITEM-1","itemData":{"DOI":"10.1016/j.compscitech.2005.07.027","ISBN":"0266-3538","ISSN":"02663538","abstract":"Moisture absorption of natural fiber plastic composites is one major concern in their outdoor applications. Traditionally diffusion theory is applied to understand the mechanism of moisture absorption; but it cannot address the relationship between the microscopic structure-infinite 3D-network and the moisture absorption. The purpose of this study is to introduce percolation theory into this field and conduct some preliminary work. First, two new concepts, accessible fiber ratio and diffusion-permeability coefficient, were defined; secondly, a percolation model was developed to estimate the critical accessible fiber ratio; finally, the moisture absorption and electrical conduction behavior of composites with different fiber loadings were investigated. At high fiber loading when accessible fiber ratio is high, the diffusion process is the dominant mechanism; while at low fiber loading close to and below percolation threshold, percolation is the dominant mechanism. The over-estimate of accessible fiber ratio led to discrepancies between the observed and model estimates. © 2005 Elsevier Ltd. All rights reserved.","author":[{"dropping-particle":"","family":"Wang","given":"W.","non-dropping-particle":"","parse-names":false,"suffix":""},{"dropping-particle":"","family":"Sain","given":"M.","non-dropping-particle":"","parse-names":false,"suffix":""},{"dropping-particle":"","family":"Cooper","given":"P. A.","non-dropping-particle":"","parse-names":false,"suffix":""}],"container-title":"Composites Science and Technology","id":"ITEM-1","issue":"3-4","issued":{"date-parts":[["2006"]]},"page":"379-386","title":"Study of moisture absorption in natural fiber plastic composites","type":"article-journal","volume":"66"},"uris":["http://www.mendeley.com/documents/?uuid=1961caa9-f5cc-447e-a031-44ebf4bfdd4f"]}],"mendeley":{"formattedCitation":"[142]","plainTextFormattedCitation":"[142]","previouslyFormattedCitation":"[142]"},"properties":{"noteIndex":0},"schema":"https://github.com/citation-style-language/schema/raw/master/csl-citation.json"}</w:instrText>
      </w:r>
      <w:r>
        <w:rPr>
          <w:rFonts w:cs="Times New Roman"/>
          <w:szCs w:val="24"/>
        </w:rPr>
        <w:fldChar w:fldCharType="separate"/>
      </w:r>
      <w:r w:rsidRPr="000D4466">
        <w:rPr>
          <w:rFonts w:cs="Times New Roman"/>
          <w:noProof/>
          <w:szCs w:val="24"/>
        </w:rPr>
        <w:t>[142]</w:t>
      </w:r>
      <w:r>
        <w:rPr>
          <w:rFonts w:cs="Times New Roman"/>
          <w:szCs w:val="24"/>
        </w:rPr>
        <w:fldChar w:fldCharType="end"/>
      </w:r>
      <w:r>
        <w:rPr>
          <w:rFonts w:cs="Times New Roman"/>
          <w:szCs w:val="24"/>
        </w:rPr>
        <w:t xml:space="preserve"> reported that </w:t>
      </w:r>
      <w:r w:rsidRPr="007918CF">
        <w:rPr>
          <w:rFonts w:cs="Times New Roman"/>
          <w:szCs w:val="24"/>
        </w:rPr>
        <w:t>moisture</w:t>
      </w:r>
      <w:r>
        <w:rPr>
          <w:rFonts w:cs="Times New Roman"/>
          <w:szCs w:val="24"/>
        </w:rPr>
        <w:t xml:space="preserve"> </w:t>
      </w:r>
      <w:r w:rsidRPr="007918CF">
        <w:rPr>
          <w:rFonts w:cs="Times New Roman"/>
          <w:szCs w:val="24"/>
        </w:rPr>
        <w:t>ingress</w:t>
      </w:r>
      <w:r>
        <w:rPr>
          <w:rFonts w:cs="Times New Roman"/>
          <w:szCs w:val="24"/>
        </w:rPr>
        <w:t xml:space="preserve"> into polymers significantly increases the electrical conductivity. </w:t>
      </w:r>
      <w:proofErr w:type="spellStart"/>
      <w:r>
        <w:rPr>
          <w:rFonts w:cs="Times New Roman"/>
          <w:szCs w:val="24"/>
        </w:rPr>
        <w:t>Cotinaud</w:t>
      </w:r>
      <w:proofErr w:type="spellEnd"/>
      <w:r>
        <w:rPr>
          <w:rFonts w:cs="Times New Roman"/>
          <w:szCs w:val="24"/>
        </w:rPr>
        <w:t xml:space="preserve"> et al.</w:t>
      </w:r>
      <w:r w:rsidRPr="00D81AB3">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{"citationItems":[{"id":"ITEM-1","itemData":{"DOI":"10.1007/BF00540386","ISBN":"0022-2461 (Print) 1573-4803 (Online)","ISSN":"00222461","abstract":"The effects of water absorption on the dielectric properties of glass-fibre reinforced epoxy resin have been examined as a function of three types of hardeners used to promote cross-linking of the resin. The tests have been conducted under humid atmospheric conditions 0% relative humidity (r.h.) to 100% r.h. and in immersion in the temperature range 25° C to 90° C. The interpretation of the observed water uptake has been made using diffusion laws and this has revealed three distinct mechanisms of water absorption of which one is only observed in immersion. Under humid conditions there exists a water concentration threshold reached at a specimen weight gain of 0.6 to 0.7% beyond which irreversible changes are observed in the mechanical properties together with ionic conduction. Despite this observation the dielectric properties are reversible in all cases and are function only of the quantity of water absorbed in the body of the material.","author":[{"dropping-particle":"","family":"Cotinaud","given":"M.","non-dropping-particle":"","parse-names":false,"suffix":""},{"dropping-particle":"","family":"Bonniau","given":"P.","non-dropping-particle":"","parse-names":false,"suffix":""},{"dropping-particle":"","family":"Bunsell","given":"A. R.","non-dropping-particle":"","parse-names":false,"suffix":""}],"container-title":"Journal of Materials Science","id":"ITEM-1","issue":"3","issued":{"date-parts":[["1982"]]},"page":"867-877","title":"The effect of water absorption on the electrical properties of glass-fibre reinforced epoxy composites","type":"article-journal","volume":"17"},"uris":["http://www.mendeley.com/documents/?uuid=8f782d16-e44c-4249-8cac-0d89560ab8e8"]}],"mendeley":{"formattedCitation":"[141]","plainTextFormattedCitation":"[141]","previouslyFormattedCitation":"[141]"},"properties":{"noteIndex":0},"schema":"https://github.com/citation-style-language/schema/raw/master/csl-citation.json"}</w:instrText>
      </w:r>
      <w:r>
        <w:rPr>
          <w:rFonts w:cs="Times New Roman"/>
          <w:szCs w:val="24"/>
        </w:rPr>
        <w:fldChar w:fldCharType="separate"/>
      </w:r>
      <w:r w:rsidRPr="000D4466">
        <w:rPr>
          <w:rFonts w:cs="Times New Roman"/>
          <w:noProof/>
          <w:szCs w:val="24"/>
        </w:rPr>
        <w:t>[141]</w:t>
      </w:r>
      <w:r>
        <w:rPr>
          <w:rFonts w:cs="Times New Roman"/>
          <w:szCs w:val="24"/>
        </w:rPr>
        <w:fldChar w:fldCharType="end"/>
      </w:r>
      <w:r>
        <w:rPr>
          <w:rFonts w:cs="Times New Roman"/>
          <w:szCs w:val="24"/>
        </w:rPr>
        <w:t xml:space="preserve"> reported </w:t>
      </w:r>
      <w:r w:rsidRPr="007918CF">
        <w:rPr>
          <w:rFonts w:cs="Times New Roman"/>
          <w:szCs w:val="24"/>
        </w:rPr>
        <w:t>a 40% increase in relative</w:t>
      </w:r>
      <w:r>
        <w:rPr>
          <w:rFonts w:cs="Times New Roman"/>
          <w:szCs w:val="24"/>
        </w:rPr>
        <w:t xml:space="preserve"> </w:t>
      </w:r>
      <w:r w:rsidRPr="007918CF">
        <w:rPr>
          <w:rFonts w:cs="Times New Roman"/>
          <w:szCs w:val="24"/>
        </w:rPr>
        <w:t>permittivity for a 1</w:t>
      </w:r>
      <w:r>
        <w:rPr>
          <w:rFonts w:cs="Times New Roman"/>
          <w:szCs w:val="24"/>
        </w:rPr>
        <w:t xml:space="preserve"> wt.</w:t>
      </w:r>
      <w:r w:rsidRPr="007918CF">
        <w:rPr>
          <w:rFonts w:cs="Times New Roman"/>
          <w:szCs w:val="24"/>
        </w:rPr>
        <w:t>% increase in moisture content.</w:t>
      </w:r>
      <w:r w:rsidRPr="00DE7DB4">
        <w:rPr>
          <w:rFonts w:cs="Times New Roman"/>
          <w:szCs w:val="24"/>
        </w:rPr>
        <w:t xml:space="preserve"> </w:t>
      </w:r>
      <w:proofErr w:type="spellStart"/>
      <w:r>
        <w:rPr>
          <w:rFonts w:cs="Times New Roman"/>
          <w:szCs w:val="24"/>
        </w:rPr>
        <w:t>Cotinaud</w:t>
      </w:r>
      <w:proofErr w:type="spellEnd"/>
      <w:r>
        <w:rPr>
          <w:rFonts w:cs="Times New Roman"/>
          <w:szCs w:val="24"/>
        </w:rPr>
        <w:t xml:space="preserve"> et al.</w:t>
      </w:r>
      <w:r w:rsidRPr="00D81AB3">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{"citationItems":[{"id":"ITEM-1","itemData":{"DOI":"10.1007/BF00540386","ISBN":"0022-2461 (Print) 1573-4803 (Online)","ISSN":"00222461","abstract":"The effects of water absorption on the dielectric properties of glass-fibre reinforced epoxy resin have been examined as a function of three types of hardeners used to promote cross-linking of the resin. The tests have been conducted under humid atmospheric conditions 0% relative humidity (r.h.) to 100% r.h. and in immersion in the temperature range 25° C to 90° C. The interpretation of the observed water uptake has been made using diffusion laws and this has revealed three distinct mechanisms of water absorption of which one is only observed in immersion. Under humid conditions there exists a water concentration threshold reached at a specimen weight gain of 0.6 to 0.7% beyond which irreversible changes are observed in the mechanical properties together with ionic conduction. Despite this observation the dielectric properties are reversible in all cases and are function only of the quantity of water absorbed in the body of the material.","author":[{"dropping-particle":"","family":"Cotinaud","given":"M.","non-dropping-particle":"","parse-names":false,"suffix":""},{"dropping-particle":"","family":"Bonniau","given":"P.","non-dropping-particle":"","parse-names":false,"suffix":""},{"dropping-particle":"","family":"Bunsell","given":"A. R.","non-dropping-particle":"","parse-names":false,"suffix":""}],"container-title":"Journal of Materials Science","id":"ITEM-1","issue":"3","issued":{"date-parts":[["1982"]]},"page":"867-877","title":"The effect of water absorption on the electrical properties of glass-fibre reinforced epoxy composites","type":"article-journal","volume":"17"},"uris":["http://www.mendeley.com/documents/?uuid=8f782d16-e44c-4249-8cac-0d89560ab8e8"]}],"mendeley":{"formattedCitation":"[141]","plainTextFormattedCitation":"[141]","previouslyFormattedCitation":"[141]"},"properties":{"noteIndex":0},"schema":"https://github.com/citation-style-language/schema/raw/master/csl-citation.json"}</w:instrText>
      </w:r>
      <w:r>
        <w:rPr>
          <w:rFonts w:cs="Times New Roman"/>
          <w:szCs w:val="24"/>
        </w:rPr>
        <w:fldChar w:fldCharType="separate"/>
      </w:r>
      <w:r w:rsidRPr="000D4466">
        <w:rPr>
          <w:rFonts w:cs="Times New Roman"/>
          <w:noProof/>
          <w:szCs w:val="24"/>
        </w:rPr>
        <w:t>[141]</w:t>
      </w:r>
      <w:r>
        <w:rPr>
          <w:rFonts w:cs="Times New Roman"/>
          <w:szCs w:val="24"/>
        </w:rPr>
        <w:fldChar w:fldCharType="end"/>
      </w:r>
      <w:r>
        <w:rPr>
          <w:rFonts w:cs="Times New Roman"/>
          <w:szCs w:val="24"/>
        </w:rPr>
        <w:t xml:space="preserve"> and Wang et al.</w:t>
      </w:r>
      <w:r w:rsidRPr="001570E7">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{"citationItems":[{"id":"ITEM-1","itemData":{"DOI":"10.1016/j.compscitech.2005.07.027","ISBN":"0266-3538","ISSN":"02663538","abstract":"Moisture absorption of natural fiber plastic composites is one major concern in their outdoor applications. Traditionally diffusion theory is applied to understand the mechanism of moisture absorption; but it cannot address the relationship between the microscopic structure-infinite 3D-network and the moisture absorption. The purpose of this study is to introduce percolation theory into this field and conduct some preliminary work. First, two new concepts, accessible fiber ratio and diffusion-permeability coefficient, were defined; secondly, a percolation model was developed to estimate the critical accessible fiber ratio; finally, the moisture absorption and electrical conduction behavior of composites with different fiber loadings were investigated. At high fiber loading when accessible fiber ratio is high, the diffusion process is the dominant mechanism; while at low fiber loading close to and below percolation threshold, percolation is the dominant mechanism. The over-estimate of accessible fiber ratio led to discrepancies between the observed and model estimates. © 2005 Elsevier Ltd. All rights reserved.","author":[{"dropping-particle":"","family":"Wang","given":"W.","non-dropping-particle":"","parse-names":false,"suffix":""},{"dropping-particle":"","family":"Sain","given":"M.","non-dropping-particle":"","parse-names":false,"suffix":""},{"dropping-particle":"","family":"Cooper","given":"P. A.","non-dropping-particle":"","parse-names":false,"suffix":""}],"container-title":"Composites Science and Technology","id":"ITEM-1","issue":"3-4","issued":{"date-parts":[["2006"]]},"page":"379-386","title":"Study of moisture absorption in natural fiber plastic composites","type":"article-journal","volume":"66"},"uris":["http://www.mendeley.com/documents/?uuid=1961caa9-f5cc-447e-a031-44ebf4bfdd4f"]}],"mendeley":{"formattedCitation":"[142]","plainTextFormattedCitation":"[142]","previouslyFormattedCitation":"[142]"},"properties":{"noteIndex":0},"schema":"https://github.com/citation-style-language/schema/raw/master/csl-citation.json"}</w:instrText>
      </w:r>
      <w:r>
        <w:rPr>
          <w:rFonts w:cs="Times New Roman"/>
          <w:szCs w:val="24"/>
        </w:rPr>
        <w:fldChar w:fldCharType="separate"/>
      </w:r>
      <w:r w:rsidRPr="000D4466">
        <w:rPr>
          <w:rFonts w:cs="Times New Roman"/>
          <w:noProof/>
          <w:szCs w:val="24"/>
        </w:rPr>
        <w:t>[142]</w:t>
      </w:r>
      <w:r>
        <w:rPr>
          <w:rFonts w:cs="Times New Roman"/>
          <w:szCs w:val="24"/>
        </w:rPr>
        <w:fldChar w:fldCharType="end"/>
      </w:r>
      <w:r>
        <w:rPr>
          <w:rFonts w:cs="Times New Roman"/>
          <w:szCs w:val="24"/>
        </w:rPr>
        <w:t xml:space="preserve"> showed that </w:t>
      </w:r>
      <w:r w:rsidRPr="00B274D5">
        <w:rPr>
          <w:rFonts w:cs="Times New Roman"/>
          <w:szCs w:val="24"/>
        </w:rPr>
        <w:t>the</w:t>
      </w:r>
      <w:r>
        <w:rPr>
          <w:rFonts w:cs="Times New Roman"/>
          <w:szCs w:val="24"/>
        </w:rPr>
        <w:t xml:space="preserve"> </w:t>
      </w:r>
      <w:r w:rsidRPr="00B274D5">
        <w:rPr>
          <w:rFonts w:cs="Times New Roman"/>
          <w:szCs w:val="24"/>
        </w:rPr>
        <w:t>dielectric properties</w:t>
      </w:r>
      <w:r>
        <w:rPr>
          <w:rFonts w:cs="Times New Roman"/>
          <w:szCs w:val="24"/>
        </w:rPr>
        <w:t xml:space="preserve"> </w:t>
      </w:r>
      <w:r w:rsidRPr="00B274D5">
        <w:rPr>
          <w:rFonts w:cs="Times New Roman"/>
          <w:szCs w:val="24"/>
        </w:rPr>
        <w:t>show a slight and quasi-linear variation</w:t>
      </w:r>
      <w:r>
        <w:rPr>
          <w:rFonts w:cs="Times New Roman"/>
          <w:szCs w:val="24"/>
        </w:rPr>
        <w:t xml:space="preserve"> during initial moisture uptake. After the quasi-equilibrium moisture absorption state, a</w:t>
      </w:r>
      <w:r w:rsidRPr="00B274D5">
        <w:rPr>
          <w:rFonts w:cs="Times New Roman"/>
          <w:szCs w:val="24"/>
        </w:rPr>
        <w:t xml:space="preserve"> sudden increase in the dielectric</w:t>
      </w:r>
      <w:r>
        <w:rPr>
          <w:rFonts w:cs="Times New Roman"/>
          <w:szCs w:val="24"/>
        </w:rPr>
        <w:t xml:space="preserve"> </w:t>
      </w:r>
      <w:r w:rsidRPr="00B274D5">
        <w:rPr>
          <w:rFonts w:cs="Times New Roman"/>
          <w:szCs w:val="24"/>
        </w:rPr>
        <w:t>constant and loss factor</w:t>
      </w:r>
      <w:r>
        <w:rPr>
          <w:rFonts w:cs="Times New Roman"/>
          <w:szCs w:val="24"/>
        </w:rPr>
        <w:t xml:space="preserve"> created continuous electric current through the polymer. R</w:t>
      </w:r>
      <w:r w:rsidRPr="00B274D5">
        <w:rPr>
          <w:rFonts w:cs="Times New Roman"/>
          <w:szCs w:val="24"/>
        </w:rPr>
        <w:t>edistribution</w:t>
      </w:r>
      <w:r>
        <w:rPr>
          <w:rFonts w:cs="Times New Roman"/>
          <w:szCs w:val="24"/>
        </w:rPr>
        <w:t xml:space="preserve"> </w:t>
      </w:r>
      <w:r w:rsidRPr="00B274D5">
        <w:rPr>
          <w:rFonts w:cs="Times New Roman"/>
          <w:szCs w:val="24"/>
        </w:rPr>
        <w:t>and regrouping of the water molecules</w:t>
      </w:r>
      <w:r>
        <w:rPr>
          <w:rFonts w:cs="Times New Roman"/>
          <w:szCs w:val="24"/>
        </w:rPr>
        <w:t xml:space="preserve"> </w:t>
      </w:r>
      <w:r w:rsidRPr="00B274D5">
        <w:rPr>
          <w:rFonts w:cs="Times New Roman"/>
          <w:szCs w:val="24"/>
        </w:rPr>
        <w:t>occur</w:t>
      </w:r>
      <w:r>
        <w:rPr>
          <w:rFonts w:cs="Times New Roman"/>
          <w:szCs w:val="24"/>
        </w:rPr>
        <w:t xml:space="preserve"> beyond </w:t>
      </w:r>
      <w:r w:rsidRPr="00B274D5">
        <w:rPr>
          <w:rFonts w:cs="Times New Roman"/>
          <w:szCs w:val="24"/>
        </w:rPr>
        <w:t>the existence of a</w:t>
      </w:r>
      <w:r>
        <w:rPr>
          <w:rFonts w:cs="Times New Roman"/>
          <w:szCs w:val="24"/>
        </w:rPr>
        <w:t xml:space="preserve"> </w:t>
      </w:r>
      <w:r w:rsidRPr="00B274D5">
        <w:rPr>
          <w:rFonts w:cs="Times New Roman"/>
          <w:szCs w:val="24"/>
        </w:rPr>
        <w:t>water concentration limit</w:t>
      </w:r>
      <w:r w:rsidRPr="00FD2E97">
        <w:rPr>
          <w:rFonts w:cs="Times New Roman"/>
          <w:szCs w:val="24"/>
        </w:rPr>
        <w:t xml:space="preserve"> </w:t>
      </w:r>
      <w:r>
        <w:rPr>
          <w:rFonts w:cs="Times New Roman"/>
          <w:szCs w:val="24"/>
        </w:rPr>
        <w:t>leading to ionic conduction</w:t>
      </w:r>
      <w:r w:rsidRPr="00D81AB3">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{"citationItems":[{"id":"ITEM-1","itemData":{"DOI":"10.1007/BF00540386","ISBN":"0022-2461 (Print) 1573-4803 (Online)","ISSN":"00222461","abstract":"The effects of water absorption on the dielectric properties of glass-fibre reinforced epoxy resin have been examined as a function of three types of hardeners used to promote cross-linking of the resin. The tests have been conducted under humid atmospheric conditions 0% relative humidity (r.h.) to 100% r.h. and in immersion in the temperature range 25° C to 90° C. The interpretation of the observed water uptake has been made using diffusion laws and this has revealed three distinct mechanisms of water absorption of which one is only observed in immersion. Under humid conditions there exists a water concentration threshold reached at a specimen weight gain of 0.6 to 0.7% beyond which irreversible changes are observed in the mechanical properties together with ionic conduction. Despite this observation the dielectric properties are reversible in all cases and are function only of the quantity of water absorbed in the body of the material.","author":[{"dropping-particle":"","family":"Cotinaud","given":"M.","non-dropping-particle":"","parse-names":false,"suffix":""},{"dropping-particle":"","family":"Bonniau","given":"P.","non-dropping-particle":"","parse-names":false,"suffix":""},{"dropping-particle":"","family":"Bunsell","given":"A. R.","non-dropping-particle":"","parse-names":false,"suffix":""}],"container-title":"Journal of Materials Science","id":"ITEM-1","issue":"3","issued":{"date-parts":[["1982"]]},"page":"867-877","title":"The effect of water absorption on the electrical properties of glass-fibre reinforced epoxy composites","type":"article-journal","volume":"17"},"uris":["http://www.mendeley.com/documents/?uuid=8f782d16-e44c-4249-8cac-0d89560ab8e8"]}],"mendeley":{"formattedCitation":"[141]","plainTextFormattedCitation":"[141]","previouslyFormattedCitation":"[141]"},"properties":{"noteIndex":0},"schema":"https://github.com/citation-style-language/schema/raw/master/csl-citation.json"}</w:instrText>
      </w:r>
      <w:r>
        <w:rPr>
          <w:rFonts w:cs="Times New Roman"/>
          <w:szCs w:val="24"/>
        </w:rPr>
        <w:fldChar w:fldCharType="separate"/>
      </w:r>
      <w:r w:rsidRPr="000D4466">
        <w:rPr>
          <w:rFonts w:cs="Times New Roman"/>
          <w:noProof/>
          <w:szCs w:val="24"/>
        </w:rPr>
        <w:t>[141]</w:t>
      </w:r>
      <w:r>
        <w:rPr>
          <w:rFonts w:cs="Times New Roman"/>
          <w:szCs w:val="24"/>
        </w:rPr>
        <w:fldChar w:fldCharType="end"/>
      </w:r>
      <w:r>
        <w:rPr>
          <w:rFonts w:cs="Times New Roman"/>
          <w:szCs w:val="24"/>
        </w:rPr>
        <w:t xml:space="preserve">. </w:t>
      </w:r>
    </w:p>
    <w:p w14:paraId="5CBFDBA3" w14:textId="77777777" w:rsidR="00B63058" w:rsidRDefault="00B63058" w:rsidP="00B63058">
      <w:pPr>
        <w:rPr>
          <w:rFonts w:cs="Times New Roman"/>
          <w:szCs w:val="24"/>
        </w:rPr>
      </w:pPr>
      <w:r>
        <w:rPr>
          <w:rFonts w:cs="Times New Roman"/>
          <w:szCs w:val="24"/>
        </w:rPr>
        <w:t xml:space="preserve">Thermal stability is another important aspect of polymers affected by the moisture absorption. Zhao and Li </w:t>
      </w:r>
      <w:r>
        <w:fldChar w:fldCharType="begin" w:fldLock="1"/>
      </w:r>
      <w:r>
        <w:instrText>ADDIN CSL_CITATION {"citationItems":[{"id":"ITEM-1","itemData":{"DOI":"10.1016/j.compositesa.2007.07.006","ISBN":"1359-835X","ISSN":"1359835X","abstract":"Spherical alumina (Al2O3) nanoparticles were incorporated into diglycidyl ether of bisphenol A (DGEBA) epoxy resin. The objective of this study is to investigate the effect of water absorption on the mechanical and dielectric properties of the Al2O3/epoxy nanocomposites. The results from tensile tests indicate that the incorporation of the Al2O3nanoparticles into the epoxy can improve the stiffness of the matrix. DMA results show that the stiffness improvement is more pronounced at the rubbery state of the matrix. The Al2O3nanoparticles can increase the dielectric constant of the epoxy resin due to the increase in the total interfacial area. Upon water absorption, the mechanical properties of the Al2O3/epoxy nanocomposites decrease evidently, because of the damage of water on the epoxy resin. However, the ductility can be improved by the water absorption process. In addition, both dielectric constant and dielectric loss of the Al2O3/epoxy nanocomposites increases greatly after water absorption treatment. © 2007 Elsevier Ltd. All rights reserved.","author":[{"dropping-particle":"","family":"Zhao","given":"Hongxia","non-dropping-particle":"","parse-names":false,"suffix":""},{"dropping-particle":"","family":"Li","given":"Robert K Y","non-dropping-particle":"","parse-names":false,"suffix":""}],"container-title":"Composites Part A: Applied Science and Manufacturing","id":"ITEM-1","issue":"4","issued":{"date-parts":[["2008"]]},"page":"602-611","title":"Effect of water absorption on the mechanical and dielectric properties of nano-alumina filled epoxy nanocomposites","type":"article-journal","volume":"39"},"uris":["http://www.mendeley.com/documents/?uuid=c7053996-4c03-4cfa-b914-8df93ee10d3e"]}],"mendeley":{"formattedCitation":"[143]","plainTextFormattedCitation":"[143]","previouslyFormattedCitation":"[143]"},"properties":{"noteIndex":0},"schema":"https://github.com/citation-style-language/schema/raw/master/csl-citation.json"}</w:instrText>
      </w:r>
      <w:r>
        <w:fldChar w:fldCharType="separate"/>
      </w:r>
      <w:r w:rsidRPr="000D4466">
        <w:rPr>
          <w:noProof/>
        </w:rPr>
        <w:t>[143]</w:t>
      </w:r>
      <w:r>
        <w:fldChar w:fldCharType="end"/>
      </w:r>
      <w:r>
        <w:t xml:space="preserve"> investigated the change in thermal expansion coefficient due to water treatment of epoxy and nano alumina/epoxy composites. They reported that the </w:t>
      </w:r>
      <w:r>
        <w:lastRenderedPageBreak/>
        <w:t>thermal expansion coefficient increases by 13% and 19% for epoxy and nano alumina/epoxy composite, respectively. However, the influence of water absorption on thermal expansion coefficient has opposite trend above glass transition temperature</w:t>
      </w:r>
      <w:proofErr w:type="gramStart"/>
      <w:r>
        <w:t xml:space="preserve">, </w:t>
      </w:r>
      <w:proofErr w:type="gramEnd"/>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t>
      </w:r>
      <w:proofErr w:type="gramStart"/>
      <w:r>
        <w:t xml:space="preserve">Above </w:t>
      </w:r>
      <w:proofErr w:type="gramEnd"/>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t>
      </w:r>
      <w:r>
        <w:rPr>
          <w:rFonts w:cs="Times New Roman"/>
          <w:szCs w:val="24"/>
        </w:rPr>
        <w:t>Zhao and Li reported 13% decrease in thermal expansion coefficient by moisture absorption.</w:t>
      </w:r>
      <w:r w:rsidRPr="00FE7D3D">
        <w:t xml:space="preserve"> </w:t>
      </w:r>
      <w:r>
        <w:t xml:space="preserve">Above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the absorbed water has evaporated resulting in vo</w:t>
      </w:r>
      <w:proofErr w:type="spellStart"/>
      <w:r>
        <w:t>lume</w:t>
      </w:r>
      <w:proofErr w:type="spellEnd"/>
      <w:r>
        <w:t xml:space="preserve"> contractions </w:t>
      </w:r>
      <w:r w:rsidRPr="00FE7D3D">
        <w:t>which was counter balanc</w:t>
      </w:r>
      <w:r>
        <w:t>ed by the normal thermal expan</w:t>
      </w:r>
      <w:r w:rsidRPr="00FE7D3D">
        <w:t>sion of materials</w:t>
      </w:r>
      <w:r>
        <w:t xml:space="preserve"> </w:t>
      </w:r>
      <w:r>
        <w:fldChar w:fldCharType="begin" w:fldLock="1"/>
      </w:r>
      <w:r>
        <w:instrText>ADDIN CSL_CITATION {"citationItems":[{"id":"ITEM-1","itemData":{"DOI":"10.1016/j.compositesa.2007.07.006","ISBN":"1359-835X","ISSN":"1359835X","abstract":"Spherical alumina (Al2O3) nanoparticles were incorporated into diglycidyl ether of bisphenol A (DGEBA) epoxy resin. The objective of this study is to investigate the effect of water absorption on the mechanical and dielectric properties of the Al2O3/epoxy nanocomposites. The results from tensile tests indicate that the incorporation of the Al2O3nanoparticles into the epoxy can improve the stiffness of the matrix. DMA results show that the stiffness improvement is more pronounced at the rubbery state of the matrix. The Al2O3nanoparticles can increase the dielectric constant of the epoxy resin due to the increase in the total interfacial area. Upon water absorption, the mechanical properties of the Al2O3/epoxy nanocomposites decrease evidently, because of the damage of water on the epoxy resin. However, the ductility can be improved by the water absorption process. In addition, both dielectric constant and dielectric loss of the Al2O3/epoxy nanocomposites increases greatly after water absorption treatment. © 2007 Elsevier Ltd. All rights reserved.","author":[{"dropping-particle":"","family":"Zhao","given":"Hongxia","non-dropping-particle":"","parse-names":false,"suffix":""},{"dropping-particle":"","family":"Li","given":"Robert K Y","non-dropping-particle":"","parse-names":false,"suffix":""}],"container-title":"Composites Part A: Applied Science and Manufacturing","id":"ITEM-1","issue":"4","issued":{"date-parts":[["2008"]]},"page":"602-611","title":"Effect of water absorption on the mechanical and dielectric properties of nano-alumina filled epoxy nanocomposites","type":"article-journal","volume":"39"},"uris":["http://www.mendeley.com/documents/?uuid=c7053996-4c03-4cfa-b914-8df93ee10d3e"]}],"mendeley":{"formattedCitation":"[143]","plainTextFormattedCitation":"[143]","previouslyFormattedCitation":"[143]"},"properties":{"noteIndex":0},"schema":"https://github.com/citation-style-language/schema/raw/master/csl-citation.json"}</w:instrText>
      </w:r>
      <w:r>
        <w:fldChar w:fldCharType="separate"/>
      </w:r>
      <w:r w:rsidRPr="000D4466">
        <w:rPr>
          <w:noProof/>
        </w:rPr>
        <w:t>[143]</w:t>
      </w:r>
      <w:r>
        <w:fldChar w:fldCharType="end"/>
      </w:r>
      <w:r>
        <w:t>.</w:t>
      </w:r>
    </w:p>
    <w:p w14:paraId="4759EF01" w14:textId="333C550A" w:rsidR="00B63058" w:rsidRDefault="00B63058" w:rsidP="00B63058">
      <w:pPr>
        <w:rPr>
          <w:rFonts w:cs="Times New Roman"/>
          <w:szCs w:val="24"/>
        </w:rPr>
      </w:pPr>
      <w:r>
        <w:t xml:space="preserve">Although polymers such as </w:t>
      </w:r>
      <w:proofErr w:type="spellStart"/>
      <w:r>
        <w:t>polymethyl</w:t>
      </w:r>
      <w:proofErr w:type="spellEnd"/>
      <w:r>
        <w:t xml:space="preserve"> methacrylate (PMMA), polystyrene (PS), polycarbonate (PC), styrene acrylonitrile (SAN) have been used as substitutes for glasses for optical applications, moisture absorption by these polymers may result in change in color and/or clarity of the polymer. </w:t>
      </w:r>
      <w:proofErr w:type="spellStart"/>
      <w:r>
        <w:t>Simar</w:t>
      </w:r>
      <w:proofErr w:type="spellEnd"/>
      <w:r>
        <w:t xml:space="preserve"> et al. </w:t>
      </w:r>
      <w:r>
        <w:fldChar w:fldCharType="begin" w:fldLock="1"/>
      </w:r>
      <w:r>
        <w:instrText>ADDIN CSL_CITATION {"citationItems":[{"id":"ITEM-1","itemData":{"DOI":"10.1016/j.compositesa.2014.07.007","ISBN":"1359835X","ISSN":"1359835X","abstract":"This paper focuses on the humid aging of a high temperature thermosetting resin employed for the realization of aircraft parts manufactured by the RTM process. Accelerated humid aging at several different temperatures (40-90 °C) and relative humidity values (50-100%) has been carried out by means of gravimetric tests. Anomalous behavior with respect to Fick's diffusion law and a color gradient from the edge to the center of the samples has been observed. Drying of samples after aging and mechanical tests on aged and dried samples have shown the existence of irreversible phenomena taking place during humid ageing: uniform tensile tests revealed resin embrittlement, Ultra Micro Indentation tests allowed measuring a gradient of properties from the surface to the centre of the samples. This behavior - associated to the color changes observed on aged samples - indicates that oxidation phenomena take place during hygrothermal aging. © 2014 Elsevier Ltd. All rights reserved.","author":[{"dropping-particle":"","family":"Simar","given":"A.","non-dropping-particle":"","parse-names":false,"suffix":""},{"dropping-particle":"","family":"Gigliotti","given":"M.","non-dropping-particle":"","parse-names":false,"suffix":""},{"dropping-particle":"","family":"Grandidier","given":"J. C.","non-dropping-particle":"","parse-names":false,"suffix":""},{"dropping-particle":"","family":"Ammar-Khodja","given":"I.","non-dropping-particle":"","parse-names":false,"suffix":""}],"container-title":"Composites Part A: Applied Science and Manufacturing","id":"ITEM-1","issued":{"date-parts":[["2014"]]},"page":"175-182","publisher":"Elsevier Ltd","title":"Evidence of thermo-oxidation phenomena occurring during hygrothermal aging of thermosetting resins for RTM composite applications","type":"article-journal","volume":"66"},"uris":["http://www.mendeley.com/documents/?uuid=878dcb11-5e11-4ab0-a3e6-683d7f592fe9"]}],"mendeley":{"formattedCitation":"[144]","plainTextFormattedCitation":"[144]","previouslyFormattedCitation":"[144]"},"properties":{"noteIndex":0},"schema":"https://github.com/citation-style-language/schema/raw/master/csl-citation.json"}</w:instrText>
      </w:r>
      <w:r>
        <w:fldChar w:fldCharType="separate"/>
      </w:r>
      <w:r w:rsidRPr="000D4466">
        <w:rPr>
          <w:noProof/>
        </w:rPr>
        <w:t>[144]</w:t>
      </w:r>
      <w:r>
        <w:fldChar w:fldCharType="end"/>
      </w:r>
      <w:r w:rsidR="0084615F">
        <w:t xml:space="preserve"> </w:t>
      </w:r>
      <w:r>
        <w:t>observed that the water absorption darkens the epoxy</w:t>
      </w:r>
      <w:r>
        <w:fldChar w:fldCharType="begin" w:fldLock="1"/>
      </w:r>
      <w:r>
        <w:instrText>ADDIN CSL_CITATION {"citationItems":[{"id":"ITEM-1","itemData":{"DOI":"10.1016/j.compositesa.2014.07.007","ISBN":"1359835X","ISSN":"1359835X","abstract":"This paper focuses on the humid aging of a high temperature thermosetting resin employed for the realization of aircraft parts manufactured by the RTM process. Accelerated humid aging at several different temperatures (40-90 °C) and relative humidity values (50-100%) has been carried out by means of gravimetric tests. Anomalous behavior with respect to Fick's diffusion law and a color gradient from the edge to the center of the samples has been observed. Drying of samples after aging and mechanical tests on aged and dried samples have shown the existence of irreversible phenomena taking place during humid ageing: uniform tensile tests revealed resin embrittlement, Ultra Micro Indentation tests allowed measuring a gradient of properties from the surface to the centre of the samples. This behavior - associated to the color changes observed on aged samples - indicates that oxidation phenomena take place during hygrothermal aging. © 2014 Elsevier Ltd. All rights reserved.","author":[{"dropping-particle":"","family":"Simar","given":"A.","non-dropping-particle":"","parse-names":false,"suffix":""},{"dropping-particle":"","family":"Gigliotti","given":"M.","non-dropping-particle":"","parse-names":false,"suffix":""},{"dropping-particle":"","family":"Grandidier","given":"J. C.","non-dropping-particle":"","parse-names":false,"suffix":""},{"dropping-particle":"","family":"Ammar-Khodja","given":"I.","non-dropping-particle":"","parse-names":false,"suffix":""}],"container-title":"Composites Part A: Applied Science and Manufacturing","id":"ITEM-1","issued":{"date-parts":[["2014"]]},"page":"175-182","publisher":"Elsevier Ltd","title":"Evidence of thermo-oxidation phenomena occurring during hygrothermal aging of thermosetting resins for RTM composite applications","type":"article-journal","volume":"66"},"uris":["http://www.mendeley.com/documents/?uuid=878dcb11-5e11-4ab0-a3e6-683d7f592fe9"]}],"mendeley":{"formattedCitation":"[144]","plainTextFormattedCitation":"[144]","previouslyFormattedCitation":"[144]"},"properties":{"noteIndex":0},"schema":"https://github.com/citation-style-language/schema/raw/master/csl-citation.json"}</w:instrText>
      </w:r>
      <w:r>
        <w:fldChar w:fldCharType="end"/>
      </w:r>
      <w:r>
        <w:t xml:space="preserve">. During the absorption, color gradient can be observed showing the concentration gradient. </w:t>
      </w:r>
      <w:proofErr w:type="spellStart"/>
      <w:r>
        <w:t>Simar</w:t>
      </w:r>
      <w:proofErr w:type="spellEnd"/>
      <w:r>
        <w:t xml:space="preserve"> et al. </w:t>
      </w:r>
      <w:r>
        <w:fldChar w:fldCharType="begin" w:fldLock="1"/>
      </w:r>
      <w:r>
        <w:instrText>ADDIN CSL_CITATION {"citationItems":[{"id":"ITEM-1","itemData":{"DOI":"10.1016/j.compositesa.2014.07.007","ISBN":"1359835X","ISSN":"1359835X","abstract":"This paper focuses on the humid aging of a high temperature thermosetting resin employed for the realization of aircraft parts manufactured by the RTM process. Accelerated humid aging at several different temperatures (40-90 °C) and relative humidity values (50-100%) has been carried out by means of gravimetric tests. Anomalous behavior with respect to Fick's diffusion law and a color gradient from the edge to the center of the samples has been observed. Drying of samples after aging and mechanical tests on aged and dried samples have shown the existence of irreversible phenomena taking place during humid ageing: uniform tensile tests revealed resin embrittlement, Ultra Micro Indentation tests allowed measuring a gradient of properties from the surface to the centre of the samples. This behavior - associated to the color changes observed on aged samples - indicates that oxidation phenomena take place during hygrothermal aging. © 2014 Elsevier Ltd. All rights reserved.","author":[{"dropping-particle":"","family":"Simar","given":"A.","non-dropping-particle":"","parse-names":false,"suffix":""},{"dropping-particle":"","family":"Gigliotti","given":"M.","non-dropping-particle":"","parse-names":false,"suffix":""},{"dropping-particle":"","family":"Grandidier","given":"J. C.","non-dropping-particle":"","parse-names":false,"suffix":""},{"dropping-particle":"","family":"Ammar-Khodja","given":"I.","non-dropping-particle":"","parse-names":false,"suffix":""}],"container-title":"Composites Part A: Applied Science and Manufacturing","id":"ITEM-1","issued":{"date-parts":[["2014"]]},"page":"175-182","publisher":"Elsevier Ltd","title":"Evidence of thermo-oxidation phenomena occurring during hygrothermal aging of thermosetting resins for RTM composite applications","type":"article-journal","volume":"66"},"uris":["http://www.mendeley.com/documents/?uuid=878dcb11-5e11-4ab0-a3e6-683d7f592fe9"]}],"mendeley":{"formattedCitation":"[144]","plainTextFormattedCitation":"[144]","previouslyFormattedCitation":"[144]"},"properties":{"noteIndex":0},"schema":"https://github.com/citation-style-language/schema/raw/master/csl-citation.json"}</w:instrText>
      </w:r>
      <w:r>
        <w:fldChar w:fldCharType="separate"/>
      </w:r>
      <w:r w:rsidRPr="000D4466">
        <w:rPr>
          <w:noProof/>
        </w:rPr>
        <w:t>[144]</w:t>
      </w:r>
      <w:r>
        <w:fldChar w:fldCharType="end"/>
      </w:r>
      <w:r>
        <w:t xml:space="preserve"> also suggested that the</w:t>
      </w:r>
      <w:r w:rsidRPr="00FE7D3D">
        <w:t xml:space="preserve"> color change could be rel</w:t>
      </w:r>
      <w:r>
        <w:t>ated to hydrolysis or oxidation of the polymer.</w:t>
      </w:r>
    </w:p>
    <w:p w14:paraId="6032DDB1" w14:textId="3E8E9DF1" w:rsidR="00B63058" w:rsidRDefault="00B63058" w:rsidP="00B63058">
      <w:pPr>
        <w:rPr>
          <w:rFonts w:cs="Times New Roman"/>
        </w:rPr>
      </w:pPr>
      <w:r>
        <w:rPr>
          <w:rFonts w:cs="Times New Roman"/>
          <w:szCs w:val="24"/>
        </w:rPr>
        <w:t xml:space="preserve">On the other hand, common use of polymers in structural composites influenced researches to investigate various mechanical property loss due to moisture ingress such as </w:t>
      </w:r>
      <w:r>
        <w:rPr>
          <w:rFonts w:cs="Times New Roman"/>
        </w:rPr>
        <w:t>l</w:t>
      </w:r>
      <w:r w:rsidRPr="00B17EC5">
        <w:rPr>
          <w:rFonts w:cs="Times New Roman"/>
        </w:rPr>
        <w:t>oss in</w:t>
      </w:r>
      <w:r>
        <w:rPr>
          <w:rFonts w:cs="Times New Roman"/>
        </w:rPr>
        <w:t xml:space="preserve"> storage modulus </w:t>
      </w:r>
      <w:r>
        <w:rPr>
          <w:rFonts w:cs="Times New Roman"/>
        </w:rPr>
        <w:fldChar w:fldCharType="begin" w:fldLock="1"/>
      </w:r>
      <w:r>
        <w:rPr>
          <w:rFonts w:cs="Times New Roman"/>
        </w:rPr>
        <w:instrText>ADDIN CSL_CITATION {"citationItems":[{"id":"ITEM-1","itemData":{"DOI":"10.1002/polb.23521","ISSN":"10990488","author":[{"dropping-particle":"","family":"Agubra","given":"Victor A.","non-dropping-particle":"","parse-names":false,"suffix":""},{"dropping-particle":"V.","family":"Mahesh","given":"Hosur","non-dropping-particle":"","parse-names":false,"suffix":""}],"container-title":"Journal of Polymer Science, Part B: Polymer Physics","id":"ITEM-1","issue":"15","issued":{"date-parts":[["2014"]]},"page":"1024-1029","title":"Environmental degradation of E-glass/nanocomposite under the combined effect of UV radiation, moisture, and rain","type":"article-journal","volume":"52"},"uris":["http://www.mendeley.com/documents/?uuid=4955817e-dccf-4f83-861e-23a5725eb8bd"]}],"mendeley":{"formattedCitation":"[117]","plainTextFormattedCitation":"[117]","previouslyFormattedCitation":"[117]"},"properties":{"noteIndex":0},"schema":"https://github.com/citation-style-language/schema/raw/master/csl-citation.json"}</w:instrText>
      </w:r>
      <w:r>
        <w:rPr>
          <w:rFonts w:cs="Times New Roman"/>
        </w:rPr>
        <w:fldChar w:fldCharType="separate"/>
      </w:r>
      <w:r w:rsidRPr="0023077F">
        <w:rPr>
          <w:rFonts w:cs="Times New Roman"/>
          <w:noProof/>
        </w:rPr>
        <w:t>[117]</w:t>
      </w:r>
      <w:r>
        <w:rPr>
          <w:rFonts w:cs="Times New Roman"/>
        </w:rPr>
        <w:fldChar w:fldCharType="end"/>
      </w:r>
      <w:r>
        <w:rPr>
          <w:rFonts w:cs="Times New Roman"/>
        </w:rPr>
        <w:t xml:space="preserve">, </w:t>
      </w:r>
      <w:r>
        <w:rPr>
          <w:rFonts w:cs="Times New Roman"/>
          <w:szCs w:val="24"/>
        </w:rPr>
        <w:t xml:space="preserve">tensile strength </w:t>
      </w:r>
      <w:r>
        <w:rPr>
          <w:rFonts w:cs="Times New Roman"/>
          <w:szCs w:val="24"/>
        </w:rPr>
        <w:fldChar w:fldCharType="begin" w:fldLock="1"/>
      </w:r>
      <w:r>
        <w:rPr>
          <w:rFonts w:cs="Times New Roman"/>
          <w:szCs w:val="24"/>
        </w:rPr>
        <w:instrText>ADDIN CSL_CITATION {"citationItems":[{"id":"ITEM-1","itemData":{"DOI":"10.1016/S1359-835X(96)00154-6","ISBN":"1359-835X","ISSN":"1359835X","abstract":"The effect of moisture on the mechanical properties and the failure behaviour of fibre-reinforced polymer composites was investigated. Moisture was introduced into the specimens by immersion in distilled water. Three materials were investigated, which were all reinforced with continuous carbon fibres. Two thermosetting matrices (unmodified and toughness-modified epoxy) and one thermoplastic matrix (polyetheretherketone) were used. The results showed that the absorbed moisture decreases those properties of both epoxy-based composites which were dominated by the matrix or the interface. The influence of water on the fibre-dominated values, as well as on the properties of the thermoplastic material, was not detectable. The distinct fall of the matrix-and interface-based values due to moisture can be ascribed to the weakening of bonding between fibre and matrix and softening of the matrix material. © 1997 Elsevier Science Limited.","author":[{"dropping-particle":"","family":"Selzer","given":"R.","non-dropping-particle":"","parse-names":false,"suffix":""},{"dropping-particle":"","family":"Friedrich","given":"K.","non-dropping-particle":"","parse-names":false,"suffix":""}],"container-title":"Composites Part A: Applied Science and Manufacturing","id":"ITEM-1","issue":"6","issued":{"date-parts":[["1997"]]},"page":"595-604","title":"Mechanical properties and failure behaviour of carbon fibre-reinforced polymer composites under the influence of moisture","type":"article-journal","volume":"28"},"uris":["http://www.mendeley.com/documents/?uuid=895522f3-fa58-4611-9bc0-40cd360c5b1c"]},{"id":"ITEM-2","itemData":{"DOI":"10.1007/BF00351570","ISSN":"0022-2461","author":[{"dropping-particle":"","family":"Bradley","given":"WL","non-dropping-particle":"","parse-names":false,"suffix":""},{"dropping-particle":"","family":"Grant","given":"TS","non-dropping-particle":"","parse-names":false,"suffix":""}],"container-title":"Journal of materials science","id":"ITEM-2","issued":{"date-parts":[["1995"]]},"page":"5537-5542","title":"The effect of the moisture absorption on the interfacial strength of polymeric matrix composites","type":"article-journal","volume":"30"},"uris":["http://www.mendeley.com/documents/?uuid=de199e86-1cf5-4215-aa07-82e186b98a0f"]},{"id":"ITEM-3","itemData":{"DOI":"10.1007/s10853-012-6947-4","ISBN":"9784931136052","ISSN":"00222461","abstract":"A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Science","id":"ITEM-3","issue":"5","issued":{"date-parts":[["2013"]]},"page":"1873-1882","title":"Effect of moisture absorption on the mechanical behavior of carbon fiber/epoxy matrix composites","type":"article-journal","volume":"48"},"uris":["http://www.mendeley.com/documents/?uuid=a4a09a3c-249b-4cb3-a633-b30388a35348"]},{"id":"ITEM-4","itemData":{"DOI":"10.1016/j.compositesb.2013.05.041","ISSN":"13598368","abstract":"When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Engineering","id":"ITEM-4","issued":{"date-parts":[["2013"]]},"page":"86-95","publisher":"Elsevier Ltd","title":"Waterproof characteristics of nanoclay/epoxy nanocomposite in adhesively bonded joints","type":"article-journal","volume":"55"},"uris":["http://www.mendeley.com/documents/?uuid=b629acb3-b997-4858-b3e0-5716ad601362"]},{"id":"ITEM-5","itemData":{"DOI":"10.1002/polb.23521","ISSN":"10990488","author":[{"dropping-particle":"","family":"Agubra","given":"Victor A.","non-dropping-particle":"","parse-names":false,"suffix":""},{"dropping-particle":"V.","family":"Mahesh","given":"Hosur","non-dropping-particle":"","parse-names":false,"suffix":""}],"container-title":"Journal of Polymer Science, Part B: Polymer Physics","id":"ITEM-5","issue":"15","issued":{"date-parts":[["2014"]]},"page":"1024-1029","title":"Environmental degradation of E-glass/nanocomposite under the combined effect of UV radiation, moisture, and rain","type":"article-journal","volume":"52"},"uris":["http://www.mendeley.com/documents/?uuid=4955817e-dccf-4f83-861e-23a5725eb8bd"]}],"mendeley":{"formattedCitation":"[26,32,35,117,118]","plainTextFormattedCitation":"[26,32,35,117,118]","previouslyFormattedCitation":"[26,32,35,117,118]"},"properties":{"noteIndex":0},"schema":"https://github.com/citation-style-language/schema/raw/master/csl-citation.json"}</w:instrText>
      </w:r>
      <w:r>
        <w:rPr>
          <w:rFonts w:cs="Times New Roman"/>
          <w:szCs w:val="24"/>
        </w:rPr>
        <w:fldChar w:fldCharType="separate"/>
      </w:r>
      <w:r w:rsidRPr="0023077F">
        <w:rPr>
          <w:rFonts w:cs="Times New Roman"/>
          <w:noProof/>
          <w:szCs w:val="24"/>
        </w:rPr>
        <w:t>[26,32,35,117,118]</w:t>
      </w:r>
      <w:r>
        <w:rPr>
          <w:rFonts w:cs="Times New Roman"/>
          <w:szCs w:val="24"/>
        </w:rPr>
        <w:fldChar w:fldCharType="end"/>
      </w:r>
      <w:r>
        <w:rPr>
          <w:rFonts w:cs="Times New Roman"/>
          <w:szCs w:val="24"/>
        </w:rPr>
        <w:t>,</w:t>
      </w:r>
      <w:r>
        <w:rPr>
          <w:rFonts w:cs="Times New Roman"/>
        </w:rPr>
        <w:t xml:space="preserve"> elastic modulus </w:t>
      </w:r>
      <w:r>
        <w:rPr>
          <w:rFonts w:cs="Times New Roman"/>
        </w:rPr>
        <w:fldChar w:fldCharType="begin" w:fldLock="1"/>
      </w:r>
      <w:r>
        <w:rPr>
          <w:rFonts w:cs="Times New Roman"/>
        </w:rPr>
        <w:instrText>ADDIN CSL_CITATION {"citationItems":[{"id":"ITEM-1","itemData":{"DOI":"10.1007/s10853-012-6947-4","ISBN":"9784931136052","ISSN":"00222461","abstract":"A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Science","id":"ITEM-1","issue":"5","issued":{"date-parts":[["2013"]]},"page":"1873-1882","title":"Effect of moisture absorption on the mechanical behavior of carbon fiber/epoxy matrix composites","type":"article-journal","volume":"48"},"uris":["http://www.mendeley.com/documents/?uuid=a4a09a3c-249b-4cb3-a633-b30388a35348"]},{"id":"ITEM-2","itemData":{"DOI":"10.1002/polb.23521","ISSN":"10990488","author":[{"dropping-particle":"","family":"Agubra","given":"Victor A.","non-dropping-particle":"","parse-names":false,"suffix":""},{"dropping-particle":"V.","family":"Mahesh","given":"Hosur","non-dropping-particle":"","parse-names":false,"suffix":""}],"container-title":"Journal of Polymer Science, Part B: Polymer Physics","id":"ITEM-2","issue":"15","issued":{"date-parts":[["2014"]]},"page":"1024-1029","title":"Environmental degradation of E-glass/nanocomposite under the combined effect of UV radiation, moisture, and rain","type":"article-journal","volume":"52"},"uris":["http://www.mendeley.com/documents/?uuid=4955817e-dccf-4f83-861e-23a5725eb8bd"]},{"id":"ITEM-3","itemData":{"DOI":"10.1016/j.compositesb.2013.05.041","ISSN":"13598368","abstract":"When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Engineering","id":"ITEM-3","issued":{"date-parts":[["2013"]]},"page":"86-95","publisher":"Elsevier Ltd","title":"Waterproof characteristics of nanoclay/epoxy nanocomposite in adhesively bonded joints","type":"article-journal","volume":"55"},"uris":["http://www.mendeley.com/documents/?uuid=b629acb3-b997-4858-b3e0-5716ad601362"]},{"id":"ITEM-4","itemData":{"DOI":"10.1016/j.polymertesting.2012.10.003","ISSN":"01429418","abstract":"The water absorption and desorption processes of a commercial polyamide were studied in the temperature range of 20-90 °C. A strong influence of the temperature on the water mass saturation, primarily in the region of the glass transition temperature, was observed. Differences in the parameters related to the diffusion process were also observed between samples with different thicknesses. The results were analyzed using the Langmuir model, which considers two states of absorbed water in the polymer: bound and mobile. The obtained diffusion coefficients were analyzed in terms of the temperature and the state of the polymer, either glassy or rubbery. The influence of the absorbed water on the Young's modulus was evaluated using the impulse excitation technique. It was observed that the water absorbed in the bound state generates the most significant changes in the Young's modulus. © 2012 Elsevier Ltd. All rights reserved.","author":[{"dropping-particle":"","family":"Silva","given":"L.","non-dropping-particle":"","parse-names":false,"suffix":""},{"dropping-particle":"","family":"Tognana","given":"S.","non-dropping-particle":"","parse-names":false,"suffix":""},{"dropping-particle":"","family":"Salgueiro","given":"W.","non-dropping-particle":"","parse-names":false,"suffix":""}],"container-title":"Polymer Testing","id":"ITEM-4","issue":"1","issued":{"date-parts":[["2013"]]},"page":"158-164","publisher":"Elsevier Ltd","title":"Study of the water absorption and its influence on the Young's modulus in a commercial polyamide","type":"article-journal","volume":"32"},"uris":["http://www.mendeley.com/documents/?uuid=c478fd42-9f39-424d-83ae-f0a0c089b300"]}],"mendeley":{"formattedCitation":"[26,32,117,145]","plainTextFormattedCitation":"[26,32,117,145]","previouslyFormattedCitation":"[26,32,117,145]"},"properties":{"noteIndex":0},"schema":"https://github.com/citation-style-language/schema/raw/master/csl-citation.json"}</w:instrText>
      </w:r>
      <w:r>
        <w:rPr>
          <w:rFonts w:cs="Times New Roman"/>
        </w:rPr>
        <w:fldChar w:fldCharType="separate"/>
      </w:r>
      <w:r w:rsidRPr="000D4466">
        <w:rPr>
          <w:rFonts w:cs="Times New Roman"/>
          <w:noProof/>
        </w:rPr>
        <w:t>[26,32,117,145]</w:t>
      </w:r>
      <w:r>
        <w:rPr>
          <w:rFonts w:cs="Times New Roman"/>
        </w:rPr>
        <w:fldChar w:fldCharType="end"/>
      </w:r>
      <w:r>
        <w:rPr>
          <w:rFonts w:cs="Times New Roman"/>
        </w:rPr>
        <w:t xml:space="preserve">, </w:t>
      </w:r>
      <w:proofErr w:type="spellStart"/>
      <w:r>
        <w:rPr>
          <w:rFonts w:cs="Times New Roman"/>
        </w:rPr>
        <w:t>microhardness</w:t>
      </w:r>
      <w:proofErr w:type="spellEnd"/>
      <w:r>
        <w:rPr>
          <w:rFonts w:cs="Times New Roman"/>
        </w:rPr>
        <w:t xml:space="preserve"> </w:t>
      </w:r>
      <w:r>
        <w:rPr>
          <w:rFonts w:cs="Times New Roman"/>
        </w:rPr>
        <w:fldChar w:fldCharType="begin" w:fldLock="1"/>
      </w:r>
      <w:r w:rsidR="00430285">
        <w:rPr>
          <w:rFonts w:cs="Times New Roman"/>
        </w:rPr>
        <w:instrText>ADDIN CSL_CITATION {"citationItems":[{"id":"ITEM-1","itemData":{"DOI":"10.1002/vnl.21367","ISSN":"1083-5601","abstract":"This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rPr>
          <w:rFonts w:cs="Times New Roman"/>
        </w:rPr>
        <w:instrText>screw extrusion","type":"article-journal","volume":"20"},"uris":["http://www.mendeley.com/documents/?uuid=debfc98f-1b18-4d0e-b233-d509b4caa2be"]}],"mendeley":{"formattedCitation":"[3]","plainTextFormattedCitation":"[3]","previouslyFormattedCitation":"[11]"},"properties":{"noteIndex":0},"schema":"https://github.com/citation-style-language/schema/raw/master/csl-citation.json"}</w:instrText>
      </w:r>
      <w:r>
        <w:rPr>
          <w:rFonts w:cs="Times New Roman"/>
        </w:rPr>
        <w:fldChar w:fldCharType="separate"/>
      </w:r>
      <w:r w:rsidR="00430285" w:rsidRPr="00430285">
        <w:rPr>
          <w:rFonts w:cs="Times New Roman"/>
          <w:noProof/>
        </w:rPr>
        <w:t>[3]</w:t>
      </w:r>
      <w:r>
        <w:rPr>
          <w:rFonts w:cs="Times New Roman"/>
        </w:rPr>
        <w:fldChar w:fldCharType="end"/>
      </w:r>
      <w:r>
        <w:rPr>
          <w:rFonts w:cs="Times New Roman"/>
        </w:rPr>
        <w:t xml:space="preserve">, transverse tensile strength </w:t>
      </w:r>
      <w:r>
        <w:rPr>
          <w:rFonts w:cs="Times New Roman"/>
        </w:rPr>
        <w:fldChar w:fldCharType="begin" w:fldLock="1"/>
      </w:r>
      <w:r>
        <w:rPr>
          <w:rFonts w:cs="Times New Roman"/>
        </w:rPr>
        <w:instrText>ADDIN CSL_CITATION {"citationItems":[{"id":"ITEM-1","itemData":{"DOI":"10.1177/002199839402800102","ISSN":"1530793x","author":[{"dropping-particle":"","family":"Pomies","given":"Frédéric","non-dropping-particle":"","parse-names":false,"suffix":""},{"dropping-particle":"","family":"Carlsson","given":"Leif A.","non-dropping-particle":"","parse-names":false,"suffix":""}],"container-title":"Journal of Composite Materials","id":"ITEM-1","issue":"1","issued":{"date-parts":[["1994"]]},"page":"22-35","title":"Analysis of Modulus and Strength of Dry and Wet Thermoset and Thermoplastic Composites Loaded in Transverse Tension","type":"article-journal","volume":"28"},"uris":["http://www.mendeley.com/documents/?uuid=13f9dab4-23ec-4ad3-85a7-87ff2b7e9682"]}],"mendeley":{"formattedCitation":"[36]","plainTextFormattedCitation":"[36]","previouslyFormattedCitation":"[36]"},"properties":{"noteIndex":0},"schema":"https://github.com/citation-style-language/schema/raw/master/csl-citation.json"}</w:instrText>
      </w:r>
      <w:r>
        <w:rPr>
          <w:rFonts w:cs="Times New Roman"/>
        </w:rPr>
        <w:fldChar w:fldCharType="separate"/>
      </w:r>
      <w:r w:rsidRPr="0023077F">
        <w:rPr>
          <w:rFonts w:cs="Times New Roman"/>
          <w:noProof/>
        </w:rPr>
        <w:t>[36]</w:t>
      </w:r>
      <w:r>
        <w:rPr>
          <w:rFonts w:cs="Times New Roman"/>
        </w:rPr>
        <w:fldChar w:fldCharType="end"/>
      </w:r>
      <w:r w:rsidRPr="00B17EC5">
        <w:rPr>
          <w:rFonts w:cs="Times New Roman"/>
        </w:rPr>
        <w:t>, interlaminar shear strength</w:t>
      </w:r>
      <w:r>
        <w:rPr>
          <w:rFonts w:cs="Times New Roman"/>
        </w:rPr>
        <w:t xml:space="preserve"> </w:t>
      </w:r>
      <w:r>
        <w:rPr>
          <w:rFonts w:cs="Times New Roman"/>
          <w:szCs w:val="24"/>
        </w:rPr>
        <w:fldChar w:fldCharType="begin" w:fldLock="1"/>
      </w:r>
      <w:r>
        <w:rPr>
          <w:rFonts w:cs="Times New Roman"/>
          <w:szCs w:val="24"/>
        </w:rPr>
        <w:instrText>ADDIN CSL_CITATION {"citationItems":[{"id":"ITEM-1","itemData":{"DOI":"10.1007/s10853-012-6947-4","ISBN":"9784931136052","ISSN":"00222461","abstract":"A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Science","id":"ITEM-1","issue":"5","issued":{"date-parts":[["2013"]]},"page":"1873-1882","title":"Effect of moisture absorption on the mechanical behavior of carbon fiber/epoxy matrix composites","type":"article-journal","volume":"48"},"uris":["http://www.mendeley.com/documents/?uuid=a4a09a3c-249b-4cb3-a633-b30388a35348"]},{"id":"ITEM-2","itemData":{"DOI":"10.1002/app.38957","ISSN":"0021-8995","abstract":"Abstract The extensive use of composites in aerospace, chemical, marine, and structural applications leads to exposure to humidity and water immersion. Hence, there is a need to study the effect of moisture absorption on the mechanical properties of composite materials, especially the matrix dominated properties, such as the interlaminar shear strength (ILSS). The horizontal shear test with a short-beam specimen in three-point-bending is used as a general method of evaluation for the shear properties in fiber-reinforced composites because of its simplicity. In this work, the ILSS of cross-ply glass-epoxy resin composites is determined in seven different fiber directions with short-beam three-point-bending tests, before and after moisture conditioning. It is found that moisture absorption reduces ILSS and stiffness of the examined composites whereas it leads to larger failure deflections. It is also found that the direction of fibers strongly affects the load?deflection response and the ILSS of the dry and conditioned specimens. ? 2013 Wiley Periodicals, Inc. J. Appl. Polym. Sci., 2013","author":[{"dropping-particle":"","family":"Sideridis","given":"Emilio P","non-dropping-particle":"","parse-names":false,"suffix":""},{"dropping-particle":"","family":"Bikakis","given":"George S","non-dropping-particle":"","parse-names":false,"suffix":""}],"container-title":"Journal of Applied Polymer Science","id":"ITEM-2","issue":"4","issued":{"date-parts":[["2013","1","15"]]},"note":"doi: 10.1002/app.38957","page":"2244-2252","publisher":"Wiley-Blackwell","title":"Shear properties and load–deflection response of cross–ply glass–epoxy composite short–beams subjected to three-point-bending tests, and the effect of moisture absorption","type":"article-journal","volume":"129"},"uris":["http://www.mendeley.com/documents/?uuid=f8154305-caba-4b15-97cf-5ad59b591745"]}],"mendeley":{"formattedCitation":"[32,119]","plainTextFormattedCitation":"[32,119]","previouslyFormattedCitation":"[32,119]"},"properties":{"noteIndex":0},"schema":"https://github.com/citation-style-language/schema/raw/master/csl-citation.json"}</w:instrText>
      </w:r>
      <w:r>
        <w:rPr>
          <w:rFonts w:cs="Times New Roman"/>
          <w:szCs w:val="24"/>
        </w:rPr>
        <w:fldChar w:fldCharType="separate"/>
      </w:r>
      <w:r w:rsidRPr="002D5BA5">
        <w:rPr>
          <w:rFonts w:cs="Times New Roman"/>
          <w:noProof/>
          <w:szCs w:val="24"/>
        </w:rPr>
        <w:t>[32,119]</w:t>
      </w:r>
      <w:r>
        <w:rPr>
          <w:rFonts w:cs="Times New Roman"/>
          <w:szCs w:val="24"/>
        </w:rPr>
        <w:fldChar w:fldCharType="end"/>
      </w:r>
      <w:r>
        <w:rPr>
          <w:rFonts w:cs="Times New Roman"/>
          <w:szCs w:val="24"/>
        </w:rPr>
        <w:t>,</w:t>
      </w:r>
      <w:r w:rsidRPr="00B17EC5">
        <w:rPr>
          <w:rFonts w:cs="Times New Roman"/>
        </w:rPr>
        <w:t xml:space="preserve"> a</w:t>
      </w:r>
      <w:r w:rsidR="0084615F">
        <w:rPr>
          <w:rFonts w:cs="Times New Roman"/>
        </w:rPr>
        <w:t>nd transverse flexural strength</w:t>
      </w:r>
      <w:r>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{"citationItems":[{"id":"ITEM-1","itemData":{"DOI":"10.1177/002199803029417","ISSN":"0021-9983","abstract":"This paper reports the results of an investigation of moisture sorption effects on the properties of a carbon fiber-reinforced high-performance phenylethynyl-terminated poly(etherimide).  Due to the relative newness of this material, minimal information regarding its performance under the duress of environmental effects is known.  Composite and neat resin specimens were cycled to effective moisture equil. during exposure to a 85% relative humidity/90°C environment followed by exposure to a 10% relative humidity/90°C environment.  The composite through-the-thickness moisture diffusion coeffs. (Dz) ranged from 2.3 × 10-6 to 5.1 × 10-6 mm2/s.  The value of Dz for moisture absorption was measured to be about 67% greater than the value of Dz for moisture desorption; residual stress-accelerated diffusion, void-assisted diffusion, and diffusion hindered by moisture-matrix interactions are discussed as possible explanations for this difference.  At 85% relative humidity, the effective moisture equil. content of the composite and neat resin were 0.52 ± 0.02% and 1.60 ± 0.01%, resp.  The av. transverse moisture expansion coeff. of the composite was 1.1 × 10-3 ± 0.7 × 10-3.  The transverse flexural strength (TFS) specimens exhibited 60.7 ± 1.2% retention (85% relative humidity) and 83.6 ± 7.0% retention (10% relative humidity) of the control value of 135.9 ± 9.5 MPa.  No conclusive results were obtained from open-hole compression strength and apparent interlaminar shear strength tests.  The majority of the surfaces of the TFS specimens displayed moisture sorption induced damage.  The dramatic impact that inadequate matrix cure can have on a composite's ability to.  Endure a single moisture sorption cycle is illustrated by comparison with a previous moisture exposure study of this material. [on SciFinder(R)]","author":[{"dropping-particle":"","family":"Bullions","given":"Todd A.","non-dropping-particle":"","parse-names":false,"suffix":""},{"dropping-particle":"","family":"Loos","given":"A. C.","non-dropping-particle":"","parse-names":false,"suffix":""},{"dropping-particle":"","family":"McGrath","given":"J. E.","non-dropping-particle":"","parse-names":false,"suffix":""}],"container-title":"Journal of Composite Materials","id":"ITEM-1","issue":"9","issued":{"date-parts":[["2003"]]},"note":"moisture vs relative humidity","page":"791-809","title":"Moisture Sorption Effects on and Properties of a Carbon Fiber-reinforced Phenylethynyl-terminated Poly(etherimide)","type":"article-journal","volume":"37"},"uris":["http://www.mendeley.com/documents/?uuid=c5f2f4a3-a5f6-4c4a-89f8-9b1f547ff5c5"]}],"mendeley":{"formattedCitation":"[120]","plainTextFormattedCitation":"[120]","previouslyFormattedCitation":"[120]"},"properties":{"noteIndex":0},"schema":"https://github.com/citation-style-language/schema/raw/master/csl-citation.json"}</w:instrText>
      </w:r>
      <w:r>
        <w:rPr>
          <w:rFonts w:cs="Times New Roman"/>
          <w:szCs w:val="24"/>
        </w:rPr>
        <w:fldChar w:fldCharType="separate"/>
      </w:r>
      <w:r w:rsidRPr="0023077F">
        <w:rPr>
          <w:rFonts w:cs="Times New Roman"/>
          <w:noProof/>
          <w:szCs w:val="24"/>
        </w:rPr>
        <w:t>[120]</w:t>
      </w:r>
      <w:r>
        <w:rPr>
          <w:rFonts w:cs="Times New Roman"/>
          <w:szCs w:val="24"/>
        </w:rPr>
        <w:fldChar w:fldCharType="end"/>
      </w:r>
      <w:r w:rsidRPr="00B17EC5">
        <w:rPr>
          <w:rFonts w:cs="Times New Roman"/>
        </w:rPr>
        <w:t xml:space="preserve"> of different composites.</w:t>
      </w:r>
    </w:p>
    <w:p w14:paraId="49F7AD65" w14:textId="08131489" w:rsidR="00B63058" w:rsidRDefault="00B63058" w:rsidP="00B63058">
      <w:pPr>
        <w:pStyle w:val="Heading2"/>
      </w:pPr>
      <w:bookmarkStart w:id="309" w:name="_Toc531943782"/>
      <w:r>
        <w:t>5.1. Mechanical Property Loss due to Moisture Ingress</w:t>
      </w:r>
      <w:bookmarkEnd w:id="309"/>
    </w:p>
    <w:p w14:paraId="3DC3D801" w14:textId="4C8001D8" w:rsidR="00B63058" w:rsidRDefault="00B63058" w:rsidP="00B63058">
      <w:r>
        <w:t>Many researchers have reported the effect of moisture absorption on mechanical properties of polymers. Some of the prominent research findings on various mechanical property loss in polymers a</w:t>
      </w:r>
      <w:r w:rsidR="0084615F">
        <w:t>re summarized in this section.</w:t>
      </w:r>
    </w:p>
    <w:p w14:paraId="1D426FD0" w14:textId="0681611D" w:rsidR="00B63058" w:rsidRDefault="00B63058" w:rsidP="00B63058">
      <w:r>
        <w:lastRenderedPageBreak/>
        <w:t xml:space="preserve">Hu et al. </w:t>
      </w:r>
      <w:r>
        <w:fldChar w:fldCharType="begin" w:fldLock="1"/>
      </w:r>
      <w:r w:rsidR="00430285">
        <w:instrText>ADDIN CSL_CITATION {"citationItems":[{"id":"ITEM-1","itemData":{"DOI":"10.1016/j.matdes.2010.02.030","ISBN":"0261-3069","ISSN":"02641275","abstract":"In this research, aging behaviors of short jute fiber/Polylactide (PLA) composite material in hygrothermal environment were investigated. The material was fabricated by using film stacking hot pressed method. The aging was carried out for uncoated samples and adhesive tape coated samples in saturated vapor at 70°C. Moisture absorption rates of the samples were measured during the aging process. It is found that the moisture absorption process of uncoated samples includes three stages: a short and quick moisture uptaking stage, a slow stable uptaking stage and an abrupt very quick moisture uptaking stage. Microstructures of the samples in different aging stages were observed. The main defects occurred during the aging process include pores, microcracks, delamination and complete relaxation in the whole structure. The results reveal that the moisture absorption and aging process can be effectively retarded by coating. The molecular weight measurement by gel permission chromatography (GPC) indicated that the PLA matrix was severely degraded in hygrothermal environment. Tensile strength severely decreased after aging. © 2010 Elsevier Ltd.","author":[{"dropping-particle":"","family":"Hu","given":"Rui-Hua","non-dropping-particle":"","parse-names":false,"suffix":""},{"dropping-particle":"","family":"Sun","given":"Min-Young","non-dropping-particle":"","parse-names":false,"suffix":""},{"dropping-particle":"","family":"Lim","given":"Jae-Kyoo","non-dropping-particle":"","parse-names":false,"suffix":""}],"container-title":"Materials and Design","id":"ITEM-1","issue":"7","issued":{"date-parts":[["2010"]]},"page":"3167-3173","publisher":"Elsevier Ltd","title":"Moisture absorption, tensile strength and microstructure evolution of short jute fiber/polylactide composite in hygrothermal environment","type":"article-journal","volume":"31"},"uris":["http://www.mendeley.com/documents/?uuid=5c670bbc-43e3-4b71-9d15-5c03ec2b6182"]}],"mendeley":{"formattedCitation":"[11]","plainTextFormattedCitation":"[11]","previouslyFormattedCitation":"[3]"},"properties":{"noteIndex":0},"schema":"https://github.com/citation-style-language/schema/raw/master/csl-citation.json"}</w:instrText>
      </w:r>
      <w:r>
        <w:fldChar w:fldCharType="separate"/>
      </w:r>
      <w:r w:rsidR="00430285" w:rsidRPr="00430285">
        <w:rPr>
          <w:noProof/>
        </w:rPr>
        <w:t>[11]</w:t>
      </w:r>
      <w:r>
        <w:fldChar w:fldCharType="end"/>
      </w:r>
      <w:r>
        <w:t xml:space="preserve"> reported that the tensile strength of </w:t>
      </w:r>
      <w:r w:rsidRPr="00772FFD">
        <w:t>short jute fiber/</w:t>
      </w:r>
      <w:proofErr w:type="spellStart"/>
      <w:r w:rsidRPr="00772FFD">
        <w:t>Polylactide</w:t>
      </w:r>
      <w:proofErr w:type="spellEnd"/>
      <w:r w:rsidRPr="00772FFD">
        <w:t xml:space="preserve"> (PLA</w:t>
      </w:r>
      <w:r>
        <w:t xml:space="preserve">) composite material decreased by 86% and 94% after 72 and 120 hours of moisture absorption, respectively. </w:t>
      </w:r>
      <w:r w:rsidRPr="00772FFD">
        <w:t>The</w:t>
      </w:r>
      <w:r>
        <w:t>y suggested</w:t>
      </w:r>
      <w:r w:rsidRPr="00772FFD">
        <w:t xml:space="preserve"> </w:t>
      </w:r>
      <w:r>
        <w:t>that reliable measures of protection</w:t>
      </w:r>
      <w:r w:rsidRPr="00772FFD">
        <w:t xml:space="preserve"> from moisture must be tak</w:t>
      </w:r>
      <w:r>
        <w:t>en when such composites are used</w:t>
      </w:r>
      <w:r w:rsidRPr="00772FFD">
        <w:t xml:space="preserve"> in </w:t>
      </w:r>
      <w:r>
        <w:t xml:space="preserve">humid </w:t>
      </w:r>
      <w:r w:rsidRPr="00772FFD">
        <w:t>environment</w:t>
      </w:r>
      <w:r>
        <w:t>s</w:t>
      </w:r>
      <w:r w:rsidRPr="00772FFD">
        <w:t>.</w:t>
      </w:r>
      <w:r>
        <w:t xml:space="preserve"> Similarly, </w:t>
      </w:r>
      <w:proofErr w:type="spellStart"/>
      <w:r>
        <w:t>Simar</w:t>
      </w:r>
      <w:proofErr w:type="spellEnd"/>
      <w:r>
        <w:t xml:space="preserve"> et al. </w:t>
      </w:r>
      <w:r>
        <w:fldChar w:fldCharType="begin" w:fldLock="1"/>
      </w:r>
      <w:r>
        <w:instrText>ADDIN CSL_CITATION {"citationItems":[{"id":"ITEM-1","itemData":{"DOI":"10.1016/j.compositesa.2014.07.007","ISBN":"1359835X","ISSN":"1359835X","abstract":"This paper focuses on the humid aging of a high temperature thermosetting resin employed for the realization of aircraft parts manufactured by the RTM process. Accelerated humid aging at several different temperatures (40-90 °C) and relative humidity values (50-100%) has been carried out by means of gravimetric tests. Anomalous behavior with respect to Fick's diffusion law and a color gradient from the edge to the center of the samples has been observed. Drying of samples after aging and mechanical tests on aged and dried samples have shown the existence of irreversible phenomena taking place during humid ageing: uniform tensile tests revealed resin embrittlement, Ultra Micro Indentation tests allowed measuring a gradient of properties from the surface to the centre of the samples. This behavior - associated to the color changes observed on aged samples - indicates that oxidation phenomena take place during hygrothermal aging. © 2014 Elsevier Ltd. All rights reserved.","author":[{"dropping-particle":"","family":"Simar","given":"A.","non-dropping-particle":"","parse-names":false,"suffix":""},{"dropping-particle":"","family":"Gigliotti","given":"M.","non-dropping-particle":"","parse-names":false,"suffix":""},{"dropping-particle":"","family":"Grandidier","given":"J. C.","non-dropping-particle":"","parse-names":false,"suffix":""},{"dropping-particle":"","family":"Ammar-Khodja","given":"I.","non-dropping-particle":"","parse-names":false,"suffix":""}],"container-title":"Composites Part A: Applied Science and Manufacturing","id":"ITEM-1","issued":{"date-parts":[["2014"]]},"page":"175-182","publisher":"Elsevier Ltd","title":"Evidence of thermo-oxidation phenomena occurring during hygrothermal aging of thermosetting resins for RTM composite applications","type":"article-journal","volume":"66"},"uris":["http://www.mendeley.com/documents/?uuid=878dcb11-5e11-4ab0-a3e6-683d7f592fe9"]}],"mendeley":{"formattedCitation":"[144]","plainTextFormattedCitation":"[144]","previouslyFormattedCitation":"[144]"},"properties":{"noteIndex":0},"schema":"https://github.com/citation-style-language/schema/raw/master/csl-citation.json"}</w:instrText>
      </w:r>
      <w:r>
        <w:fldChar w:fldCharType="separate"/>
      </w:r>
      <w:r w:rsidRPr="000D4466">
        <w:rPr>
          <w:noProof/>
        </w:rPr>
        <w:t>[144]</w:t>
      </w:r>
      <w:r>
        <w:fldChar w:fldCharType="end"/>
      </w:r>
      <w:r>
        <w:t xml:space="preserve"> investigated the </w:t>
      </w:r>
      <w:proofErr w:type="spellStart"/>
      <w:r>
        <w:t>hygrothermal</w:t>
      </w:r>
      <w:proofErr w:type="spellEnd"/>
      <w:r>
        <w:t xml:space="preserve"> aging effects on mechanical properties of RTM6 epoxy. Epoxy samples lost their failure strength logarithmically with respect to immersion time. In addition, loss in Young’s modulus, failure strain</w:t>
      </w:r>
      <w:r w:rsidR="008E230D">
        <w:t>,</w:t>
      </w:r>
      <w:r>
        <w:t xml:space="preserve"> and glass transition temperature is observed due to moisture ingress </w:t>
      </w:r>
      <w:r>
        <w:fldChar w:fldCharType="begin" w:fldLock="1"/>
      </w:r>
      <w:r>
        <w:instrText>ADDIN CSL_CITATION {"citationItems":[{"id":"ITEM-1","itemData":{"DOI":"10.1016/j.compositesa.2014.07.007","ISBN":"1359835X","ISSN":"1359835X","abstract":"This paper focuses on the humid aging of a high temperature thermosetting resin employed for the realization of aircraft parts manufactured by the RTM process. Accelerated humid aging at several different temperatures (40-90 °C) and relative humidity values (50-100%) has been carried out by means of gravimetric tests. Anomalous behavior with respect to Fick's diffusion law and a color gradient from the edge to the center of the samples has been observed. Drying of samples after aging and mechanical tests on aged and dried samples have shown the existence of irreversible phenomena taking place during humid ageing: uniform tensile tests revealed resin embrittlement, Ultra Micro Indentation tests allowed measuring a gradient of properties from the surface to the centre of the samples. This behavior - associated to the color changes observed on aged samples - indicates that oxidation phenomena take place during hygrothermal aging. © 2014 Elsevier Ltd. All rights reserved.","author":[{"dropping-particle":"","family":"Simar","given":"A.","non-dropping-particle":"","parse-names":false,"suffix":""},{"dropping-particle":"","family":"Gigliotti","given":"M.","non-dropping-particle":"","parse-names":false,"suffix":""},{"dropping-particle":"","family":"Grandidier","given":"J. C.","non-dropping-particle":"","parse-names":false,"suffix":""},{"dropping-particle":"","family":"Ammar-Khodja","given":"I.","non-dropping-particle":"","parse-names":false,"suffix":""}],"container-title":"Composites Part A: Applied Science and Manufacturing","id":"ITEM-1","issued":{"date-parts":[["2014"]]},"page":"175-182","publisher":"Elsevier Ltd","title":"Evidence of thermo-oxidation phenomena occurring during hygrothermal aging of thermosetting resins for RTM composite applications","type":"article-journal","volume":"66"},"uris":["http://www.mendeley.com/documents/?uuid=878dcb11-5e11-4ab0-a3e6-683d7f592fe9"]}],"mendeley":{"formattedCitation":"[144]","plainTextFormattedCitation":"[144]","previouslyFormattedCitation":"[144]"},"properties":{"noteIndex":0},"schema":"https://github.com/citation-style-language/schema/raw/master/csl-citation.json"}</w:instrText>
      </w:r>
      <w:r>
        <w:fldChar w:fldCharType="separate"/>
      </w:r>
      <w:r w:rsidRPr="000D4466">
        <w:rPr>
          <w:noProof/>
        </w:rPr>
        <w:t>[144]</w:t>
      </w:r>
      <w:r>
        <w:fldChar w:fldCharType="end"/>
      </w:r>
      <w:r>
        <w:t xml:space="preserve">. </w:t>
      </w:r>
    </w:p>
    <w:p w14:paraId="18C8430D" w14:textId="3020BBA0" w:rsidR="00B63058" w:rsidRDefault="00BA1AD9" w:rsidP="00B63058">
      <w:r>
        <w:t>The viscoelastic behavior of</w:t>
      </w:r>
      <w:r w:rsidR="00B63058">
        <w:t xml:space="preserve"> polymers and polymer composites is also highly affected by the environmental conditions. </w:t>
      </w:r>
      <w:proofErr w:type="spellStart"/>
      <w:r w:rsidR="00B63058">
        <w:t>Sarfaraz</w:t>
      </w:r>
      <w:proofErr w:type="spellEnd"/>
      <w:r w:rsidR="00B63058">
        <w:t xml:space="preserve"> et al. </w:t>
      </w:r>
      <w:r w:rsidR="00B63058">
        <w:fldChar w:fldCharType="begin" w:fldLock="1"/>
      </w:r>
      <w:r w:rsidR="00430285">
        <w:instrText>ADDIN CSL_CITATION {"citationItems":[{"id":"ITEM-1","itemData":{"DOI":"10.1016/j.compositesa.2015.03.005","ISSN":"1359835X","abstract":"Water absorption and thermal response of adhesive composite joints were investigated by measurements and numerical simulations. Water diffusivity, saturation, swelling, and thermal expansion of the constituent materials and the joint were obtained from gravimetric experiments and strain measurements using embedded fiber Bragg grating (FBG) sensors. The mechanical response of these materials at different temperatures and water content was characterized by dynamic mechanical analysis. Thermal loading and water absorption in joint specimens were detected by monitoring the FBG wavelength shift caused by thermal expansion or water swelling. The measured parameters were used in finite element models to simulate the response of the embedded sensor. The good correlation of experimental data and simulations confirmed that the change in FBG wavelength could be accurately related to the thermal load or water absorption process. The suitability of the embedded FBG sensors for monitoring of water uptake in adhesive composite joints was demonstrated.","author":[{"dropping-particle":"","family":"Sarfaraz","given":"Roohollah","non-dropping-particle":"","parse-names":false,"suffix":""},{"dropping-particle":"","family":"Canal","given":"Luis P.","non-dropping-particle":"","parse-names":false,"suffix":""},{"dropping-particle":"","family":"Violakis","given":"Georgios","non-dropping-particle":"","parse-names":false,"suffix":""},{"dropping-particle":"","family":"Botsis","given":"John","non-dropping-particle":"","parse-names":false,"suffix":""},{"dropping-particle":"","family":"Michaud","given":"Véronique","non-dropping-particle":"","parse-names":false,"suffix":""},{"dropping-particle":"","family":"Limberger","given":"Hans G.","non-dropping-particle":"","parse-names":false,"suffix":""}],"container-title":"Composites Part A: Applied Science and Manufacturing","id":"ITEM-1","issued":{"date-parts":[["2015"]]},"page":"176-185","publisher":"Elsevier Ltd","title":"An experimental-numerical investigation of hydrothermal response in adhesively bonded composite structures","type":"article-journal","volume":"73"},"uris":["http://www.mendeley.com/documents/?uuid=7431f784-09b0-443a-b588-bf565be0bf64"]}],"mendeley":{"formattedCitation":"[146]","plainTextFormattedCitation":"[146]","previouslyFormattedCitation":"[146]"},"properties":{"noteIndex":0},"schema":"https://github.com/citation-style-language/schema/raw/master/csl-citation.json"}</w:instrText>
      </w:r>
      <w:r w:rsidR="00B63058">
        <w:fldChar w:fldCharType="separate"/>
      </w:r>
      <w:r w:rsidR="004146D2" w:rsidRPr="004146D2">
        <w:rPr>
          <w:noProof/>
        </w:rPr>
        <w:t>[146]</w:t>
      </w:r>
      <w:r w:rsidR="00B63058">
        <w:fldChar w:fldCharType="end"/>
      </w:r>
      <w:r w:rsidR="00B63058">
        <w:t xml:space="preserve"> investigated the effect of moisture absorption on the viscoelastic behavior of</w:t>
      </w:r>
      <w:r w:rsidR="00B63058" w:rsidRPr="002855CE">
        <w:t xml:space="preserve"> epoxy film adhesive </w:t>
      </w:r>
      <w:r w:rsidR="00B63058">
        <w:t xml:space="preserve">and carbon fiber reinforced epoxy. Moisture ingress led to decrease in storage modulus whereas increase in loss modulus for both CFRP composite and epoxy film. </w:t>
      </w:r>
      <w:proofErr w:type="spellStart"/>
      <w:r w:rsidR="00B63058">
        <w:t>Zai</w:t>
      </w:r>
      <w:proofErr w:type="spellEnd"/>
      <w:r w:rsidR="00B63058">
        <w:t xml:space="preserve"> et al. </w:t>
      </w:r>
      <w:r w:rsidR="00B63058">
        <w:fldChar w:fldCharType="begin" w:fldLock="1"/>
      </w:r>
      <w:r w:rsidR="00430285">
        <w:instrText xml:space="preserve">ADDIN CSL_CITATION {"citationItems":[{"id":"ITEM-1","itemData":{"DOI":"10.1007/s12206-009-0908-0","ISBN":"1738-494X","ISSN":"1738494X","abstract":"In this paper ,  the damping and dynamic stiffness of UHN125C carbon fiber/epoxy composite beam was experimentally measured . The effect of fiber orientation angle and stacking sequences on damping ,  resonance frequency ,  and dynamic stiffness was discussed with a focus on the effect of moisture absorption . Dried specimens were immersed in distilled water for a certain period to absorb water for 8 ,  16 ,  and 24 d ,  respectively ,  and the moisture content absorbed in the specimen was measured . Furthermore ,  using the impact hammer technique ,  the measurements of dynamic responses were conducted on a cantilever beam specimen with one end clamped by bolts and metal plates . The damping properties in terms of loss factor were approximated by half-power bandwidth technique . The dynamic stiffness was evaluated using resonance frequency as a function of moisture content . The damping increased with the increase of moisture content ;  however ,  the dynamic stiffness reduced with the reduction of resonance frequency . The results of the dynamic stiffness were aided by measuring the dynamic strain using DBU-120A strain-indicating software . The increment in the dynamic strain strengthened the results obtained for dynamic stiffness . </w:instrText>
      </w:r>
      <w:r w:rsidR="00430285">
        <w:rPr>
          <w:rFonts w:ascii="Tahoma" w:hAnsi="Tahoma" w:cs="Tahoma"/>
        </w:rPr>
        <w:instrText>�</w:instrText>
      </w:r>
      <w:r w:rsidR="00430285">
        <w:instrText xml:space="preserve"> KSME &amp; Springer 2009 AF  - DEPARTMENT OF MECHANICAL ENGINEERING MYONGJI UNIVERSITY YONGIN SOUTH KOREA; KOREAN INSTITUTE OF AEROSPACE TECHNOLOGY KOREAN AIR TAEJON 305 309 SOUTH KOREA;","author":[{"dropping-particle":"","family":"Zai","given":"Behzad Ahmed","non-dropping-particle":"","parse-names":false,"suffix":""},{"dropping-particle":"","family":"Park","given":"M. K.","non-dropping-particle":"","parse-names":false,"suffix":""},{"dropping-particle":"","family":"Choi","given":"H. S.","non-dropping-particle":"","parse-names":false,"suffix":""},{"dropping-particle":"","family":"Mehboob","given":"Hassan","non-dropping-particle":"","parse-names":false,"suffix":""},{"dropping-particle":"","family":"Ali","given":"Rashid","non-dropping-particle":"","parse-names":false,"suffix":""}],"container-title":"Journal of Mechanical Science and Technology","id":"ITEM-1","issue":"11","issued":{"date-parts":[["2010"]]},"page":"2998-3004","title":"Effect of moisture absorption on damping and dynamic stiffness of carbon fiber/epoxy composites","type":"article-journal","volume":"23"},"uris":["http://www.mendeley.com/documents/?uuid=df693236-6d5d-4453-b6f2-989050729a6b"]}],"mendeley":{"formattedCitation":"[147]","plainTextFormattedCitation":"[147]","previouslyFormattedCitation":"[147]"},"properties":{"noteIndex":0},"schema":"https://github.com/citation-style-language/schema/raw/master/csl-citation.json"}</w:instrText>
      </w:r>
      <w:r w:rsidR="00B63058">
        <w:fldChar w:fldCharType="separate"/>
      </w:r>
      <w:r w:rsidR="004146D2" w:rsidRPr="004146D2">
        <w:rPr>
          <w:noProof/>
        </w:rPr>
        <w:t>[147]</w:t>
      </w:r>
      <w:r w:rsidR="00B63058">
        <w:fldChar w:fldCharType="end"/>
      </w:r>
      <w:r w:rsidR="00B63058">
        <w:t xml:space="preserve"> experimented on CFRP composite of different layups. Similarly, 5 wt</w:t>
      </w:r>
      <w:proofErr w:type="gramStart"/>
      <w:r w:rsidR="00B63058">
        <w:t>.%</w:t>
      </w:r>
      <w:proofErr w:type="gramEnd"/>
      <w:r w:rsidR="00B63058">
        <w:t xml:space="preserve"> moisture absorption into CFRP composites decreased storage modulus and increased loss modulus by 17% and 40%, respectively. Comparably, increase in loss modulus and decrease in storage modulus of glass fiber reinforced polymer is observed after 60 days of moisture exposure </w:t>
      </w:r>
      <w:r w:rsidR="00B63058">
        <w:fldChar w:fldCharType="begin" w:fldLock="1"/>
      </w:r>
      <w:r w:rsidR="00430285">
        <w:instrText>ADDIN CSL_CITATION {"citationItems":[{"id":"ITEM-1","itemData":{"DOI":"10.1007/s10853-005-0760-2","ISBN":"0022-2461","ISSN":"00222461","abstract":"The relations between the dynamic mechanical properties, damping test and the influence of high moisture concentration of glass fiber reinforced composites were investigated. Glass fiber/epoxy (GF/E) prepreg with F155 specification was used for composite preparation. The differential scanning calorimetry (DSC) testing was in both dynamic and isothermal heating modes. The dynamic elastic modulus was determined by vibration damping measurements. It was observed that all the natural frequencies and elastic modulus values decreased and damping factor for the samples studied increased with the increase of exposed time in hydrothermal conditioning.","author":[{"dropping-particle":"","family":"Botelho","given":"E. C.","non-dropping-particle":"","parse-names":false,"suffix":""},{"dropping-particle":"","family":"Costa","given":"M. L.","non-dropping-particle":"","parse-names":false,"suffix":""},{"dropping-particle":"","family":"Pardini","given":"L. C.","non-dropping-particle":"","parse-names":false,"suffix":""},{"dropping-particle":"","family":"Rezende","given":"M. C.","non-dropping-particle":"","parse-names":false,"suffix":""}],"container-title":"Journal of Materials Science","id":"ITEM-1","issue":"14","issued":{"date-parts":[["2005"]]},"page":"3615-3623","title":"Processing and hygrothermal effects on viscoelastic behavior of glass fiber/epoxy composites","type":"article-journal","volume":"40"},"uris":["http://www.mendeley.com/documents/?uuid=02829288-3cce-4e32-bb6c-9967eec4a36b"]}],"mendeley":{"formattedCitation":"[148]","plainTextFormattedCitation":"[148]","previouslyFormattedCitation":"[148]"},"properties":{"noteIndex":0},"schema":"https://github.com/citation-style-language/schema/raw/master/csl-citation.json"}</w:instrText>
      </w:r>
      <w:r w:rsidR="00B63058">
        <w:fldChar w:fldCharType="separate"/>
      </w:r>
      <w:r w:rsidR="004146D2" w:rsidRPr="004146D2">
        <w:rPr>
          <w:noProof/>
        </w:rPr>
        <w:t>[148]</w:t>
      </w:r>
      <w:r w:rsidR="00B63058">
        <w:fldChar w:fldCharType="end"/>
      </w:r>
      <w:r w:rsidR="00B63058">
        <w:t>. The change in the viscoelastic behavior has been attributed to plasticization of the polymer.</w:t>
      </w:r>
    </w:p>
    <w:p w14:paraId="55C0FDF2" w14:textId="0072DF01" w:rsidR="00B63058" w:rsidRDefault="00B63058" w:rsidP="00B63058">
      <w:r>
        <w:t xml:space="preserve">Moisture induce damages, especially plasticization, also result in degradation of polymer hardness. </w:t>
      </w:r>
      <w:proofErr w:type="spellStart"/>
      <w:r>
        <w:t>Microhardness</w:t>
      </w:r>
      <w:proofErr w:type="spellEnd"/>
      <w:r>
        <w:t xml:space="preserve"> tests on </w:t>
      </w:r>
      <w:proofErr w:type="spellStart"/>
      <w:r>
        <w:t>vinylester</w:t>
      </w:r>
      <w:proofErr w:type="spellEnd"/>
      <w:r>
        <w:t xml:space="preserve"> and nanoclay/</w:t>
      </w:r>
      <w:proofErr w:type="spellStart"/>
      <w:r>
        <w:t>vinylester</w:t>
      </w:r>
      <w:proofErr w:type="spellEnd"/>
      <w:r>
        <w:t xml:space="preserve"> composites showed up to 17% decrease in Vickers hardness due to 650 hours of immersion </w:t>
      </w:r>
      <w:r>
        <w:fldChar w:fldCharType="begin" w:fldLock="1"/>
      </w:r>
      <w:r w:rsidR="00430285">
        <w:instrText>ADDIN CSL_CITATION {"citationItems":[{"id":"ITEM-1","itemData":{"DOI":"10.1002/vnl.21367","ISSN":"1083-5601","abstract":"This research concerns moisture absorption through nanoclay/vinylester composites in artificial seawater medium and the resulting properties of degradation. Cloisite 15A, an organomodified nanoclay, and Cloisite Na, a naturally occurring nanoclay, were studied to examine the influence of organomodification on the moisture ingress behavior of the nanocomposites processed by using ultrasonication and twin?screw extrusion. Although X?ray diffraction and transmission electron microscopy analysis revealed exfoliation of Cloisite 15A in vinylester, Cloisite Na was only intercalated. Moisture diffusivity decreased by 72% due to the addition of 5 wt% of Cloisite 15A to vinylester. However, the same increased in the case of the addition of Cloisite Na, suggesting a positive influence of the organomodification on the moisture barrier properties. Although Fick's Law of Diffusion showed deviation from the experimental data in the nonlinear region of moisture absorption as a function of duration of exposure, the Langmuir Model was in better agreement with the experimental data in the entire range. (Cloisite 15A)/vinylester showed lower levels of microhardness deterioration due to moisture absorption than that of (Cloisite Na)/vinylester. J. VINYL ADDIT. TECHNOL., 20:152?159, 2014. ? 2014 Society of Plastics Engineers","author":[{"dropping-particle":"","family":"Sridhar","given":"R","non-dropping-particle":"","parse-names":false,"suffix":""},{"dropping-particle":"","family":"Narasimha Murthy","given":"H N","non-dropping-particle":"","parse-names":false,"suffix":""},{"dropping-particle":"","family":"Karthik","given":"B","non-dropping-particle":"","parse-names":false,"suffix":""},{"dropping-particle":"","family":"Vishnu Mahesh","given":"K R","non-dropping-particle":"","parse-names":false,"suffix":""},{"dropping-particle":"","family":"Krishna","given":"M","non-dropping-particle":"","parse-names":false,"suffix":""},{"dropping-particle":"","family":"Ratna","given":"Pal","non-dropping-particle":"","parse-names":false,"suffix":""}],"container-title":"Journal of Vinyl and Additive Technology","id":"ITEM-1","issue":"3","issued":{"date-parts":[["2014","5","22"]]},"note":"doi: 10.1002/vnl.21367","page":"152-159","publisher":"Wiley-Blackwell","title":"Moisture diffusion through nanoclay/vinylester processed using twin</w:instrText>
      </w:r>
      <w:r w:rsidR="00430285">
        <w:rPr>
          <w:rFonts w:ascii="Cambria Math" w:hAnsi="Cambria Math" w:cs="Cambria Math"/>
        </w:rPr>
        <w:instrText>‐</w:instrText>
      </w:r>
      <w:r w:rsidR="00430285">
        <w:instrText>screw extrusion","type":"article-journal","volume":"20"},"uris":["http://www.mendeley.com/documents/?uuid=debfc98f-1b18-4d0e-b233-d509b4caa2be"]}],"mendeley":{"formattedCitation":"[3]","plainTextFormattedCitation":"[3]","previouslyFormattedCitation":"[11]"},"properties":{"noteIndex":0},"schema":"https://github.com/citation-style-language/schema/raw/master/csl-citation.json"}</w:instrText>
      </w:r>
      <w:r>
        <w:fldChar w:fldCharType="separate"/>
      </w:r>
      <w:r w:rsidR="00430285" w:rsidRPr="00430285">
        <w:rPr>
          <w:noProof/>
        </w:rPr>
        <w:t>[3]</w:t>
      </w:r>
      <w:r>
        <w:fldChar w:fldCharType="end"/>
      </w:r>
      <w:r>
        <w:t xml:space="preserve">. </w:t>
      </w:r>
      <w:proofErr w:type="spellStart"/>
      <w:r>
        <w:t>Rajeesh</w:t>
      </w:r>
      <w:proofErr w:type="spellEnd"/>
      <w:r>
        <w:t xml:space="preserve"> et al. </w:t>
      </w:r>
      <w:r>
        <w:fldChar w:fldCharType="begin" w:fldLock="1"/>
      </w:r>
      <w:r w:rsidR="00430285">
        <w:instrText xml:space="preserve">ADDIN CSL_CITATION {"citationItems":[{"id":"ITEM-1","itemData":{"DOI":"10.1016/j.msea.2010.01.070","ISSN":"09215093","abstract":"Humidity affects the mechanical properties of polymers and their composites. Understanding the influence of humidity on the strength, stiffness and fatigue characteristics will aid in better product design. The effect of relative humidity (RH) on indentation hardness and flexural fatigue behavior of polyamide 6 nanocomposites is reported. Indentation hardness and indentation modulus of the material reduces up to </w:instrText>
      </w:r>
      <w:r w:rsidR="00430285">
        <w:rPr>
          <w:rFonts w:ascii="Cambria Math" w:hAnsi="Cambria Math" w:cs="Cambria Math"/>
        </w:rPr>
        <w:instrText>∼</w:instrText>
      </w:r>
      <w:r w:rsidR="00430285">
        <w:instrText>50% in the samples conditioned in water due to the plasticization and associated increased polymer chain mobility. Cantilever bending fatigue tests conducted at different relative humidity levels at constant displacement amplitude revealed increased fatigue life for polyamide 6 nanocomposites at high humidity. Hysteresis heating and molecular reorientation lowers the modulus during fatigue process and causes a reduction in the force amplitude at high humidity levels. The failure mechanisms at different humidity levels are discussed. © 2010 Elsevier B.V. All rights reserved.","author":[{"dropping-particle":"","family":"Rajeesh","given":"K. R.","non-dropping-particle":"","parse-names":false,"suffix":""},{"dropping-particle":"","family":"Gnanamoorthy","given":"R.","non-dropping-particle":"","parse-names":false,"suffix":""},{"dropping-particle":"","family":"Velmurugan","given":"R.","non-dropping-particle":"","parse-names":false,"suffix":""}],"container-title":"Materials Science and Engineering A","id":"ITEM-1","issue":"12","issued":{"date-parts":[["2010"]]},"page":"2826-2830","publisher":"Elsevier B.V.","title":"Effect of humidity on the indentation hardness and flexural fatigue behavior of polyamide 6 nanocomposite","type":"article-journal","volume":"527"},"uris":["http://www.mendeley.com/documents/?uuid=f3c82d40-3eb1-4b72-92cf-2def082749bd"]}],"mendeley":{"formattedCitation":"[149]","plainTextFormattedCitation":"[149]","previouslyFormattedCitation":"[149]"},"properties":{"noteIndex":0},"schema":"https://github.com/citation-style-language/schema/raw/master/csl-citation.json"}</w:instrText>
      </w:r>
      <w:r>
        <w:fldChar w:fldCharType="separate"/>
      </w:r>
      <w:r w:rsidR="004146D2" w:rsidRPr="004146D2">
        <w:rPr>
          <w:noProof/>
        </w:rPr>
        <w:t>[149]</w:t>
      </w:r>
      <w:r>
        <w:fldChar w:fldCharType="end"/>
      </w:r>
      <w:r>
        <w:t xml:space="preserve"> also reported hardness of </w:t>
      </w:r>
      <w:proofErr w:type="spellStart"/>
      <w:r>
        <w:t>hectorite</w:t>
      </w:r>
      <w:proofErr w:type="spellEnd"/>
      <w:r>
        <w:t xml:space="preserve"> clay/</w:t>
      </w:r>
      <w:r w:rsidRPr="005B620C">
        <w:t>polyamide 6 nanocomposites</w:t>
      </w:r>
      <w:r>
        <w:t xml:space="preserve"> is reduced by 9%, 30%, 42%, and 50% under 35%, 60%, 90% relative humidity, and immersion, </w:t>
      </w:r>
      <w:r>
        <w:lastRenderedPageBreak/>
        <w:t xml:space="preserve">respectively. Moreover, the researchers studied the fatigue behavior of </w:t>
      </w:r>
      <w:proofErr w:type="spellStart"/>
      <w:r>
        <w:t>hectorite</w:t>
      </w:r>
      <w:proofErr w:type="spellEnd"/>
      <w:r>
        <w:t xml:space="preserve"> clay/</w:t>
      </w:r>
      <w:r w:rsidRPr="005B620C">
        <w:t>polyamide 6 nanocomposites</w:t>
      </w:r>
      <w:r>
        <w:t xml:space="preserve"> </w:t>
      </w:r>
      <w:r w:rsidR="0084615F">
        <w:t>under wet and humid environment</w:t>
      </w:r>
      <w:r>
        <w:t xml:space="preserve"> </w:t>
      </w:r>
      <w:r>
        <w:fldChar w:fldCharType="begin" w:fldLock="1"/>
      </w:r>
      <w:r w:rsidR="00430285">
        <w:instrText xml:space="preserve">ADDIN CSL_CITATION {"citationItems":[{"id":"ITEM-1","itemData":{"DOI":"10.1016/j.msea.2010.01.070","ISSN":"09215093","abstract":"Humidity affects the mechanical properties of polymers and their composites. Understanding the influence of humidity on the strength, stiffness and fatigue characteristics will aid in better product design. The effect of relative humidity (RH) on indentation hardness and flexural fatigue behavior of polyamide 6 nanocomposites is reported. Indentation hardness and indentation modulus of the material reduces up to </w:instrText>
      </w:r>
      <w:r w:rsidR="00430285">
        <w:rPr>
          <w:rFonts w:ascii="Cambria Math" w:hAnsi="Cambria Math" w:cs="Cambria Math"/>
        </w:rPr>
        <w:instrText>∼</w:instrText>
      </w:r>
      <w:r w:rsidR="00430285">
        <w:instrText>50% in the samples conditioned in water due to the plasticization and associated increased polymer chain mobility. Cantilever bending fatigue tests conducted at different relative humidity levels at constant displacement amplitude revealed increased fatigue life for polyamide 6 nanocomposites at high humidity. Hysteresis heating and molecular reorientation lowers the modulus during fatigue process and causes a reduction in the force amplitude at high humidity levels. The failure mechanisms at different humidity levels are discussed. © 2010 Elsevier B.V. All rights reserved.","author":[{"dropping-particle":"","family":"Rajeesh","given":"K. R.","non-dropping-particle":"","parse-names":false,"suffix":""},{"dropping-particle":"","family":"Gnanamoorthy","given":"R.","non-dropping-particle":"","parse-names":false,"suffix":""},{"dropping-particle":"","family":"Velmurugan","given":"R.","non-dropping-particle":"","parse-names":false,"suffix":""}],"container-title":"Materials Science and Engineering A","id":"ITEM-1","issue":"12","issued":{"date-parts":[["2010"]]},"page":"2826-2830","publisher":"Elsevier B.V.","title":"Effect of humidity on the indentation hardness and flexural fatigue behavior of polyamide 6 nanocomposite","type":"article-journal","volume":"527"},"uris":["http://www.mendeley.com/documents/?uuid=f3c82d40-3eb1-4b72-92cf-2def082749bd"]}],"mendeley":{"formattedCitation":"[149]","plainTextFormattedCitation":"[149]","previouslyFormattedCitation":"[149]"},"properties":{"noteIndex":0},"schema":"https://github.com/citation-style-language/schema/raw/master/csl-citation.json"}</w:instrText>
      </w:r>
      <w:r>
        <w:fldChar w:fldCharType="separate"/>
      </w:r>
      <w:r w:rsidR="004146D2" w:rsidRPr="004146D2">
        <w:rPr>
          <w:noProof/>
        </w:rPr>
        <w:t>[149]</w:t>
      </w:r>
      <w:r>
        <w:fldChar w:fldCharType="end"/>
      </w:r>
      <w:r>
        <w:t xml:space="preserve">. Remarkably, samples conditioned at higher relative humidity showed better fatigue life. Further investigation revealed faster and smoother fracture surfaces on samples conditioned at lower relative humidity. As crack propagates, the absorbed water blunts the crack tip by increasing the chain mobility </w:t>
      </w:r>
      <w:r>
        <w:fldChar w:fldCharType="begin" w:fldLock="1"/>
      </w:r>
      <w:r w:rsidR="00430285">
        <w:instrText xml:space="preserve">ADDIN CSL_CITATION {"citationItems":[{"id":"ITEM-1","itemData":{"DOI":"10.1016/j.msea.2010.01.070","ISSN":"09215093","abstract":"Humidity affects the mechanical properties of polymers and their composites. Understanding the influence of humidity on the strength, stiffness and fatigue characteristics will aid in better product design. The effect of relative humidity (RH) on indentation hardness and flexural fatigue behavior of polyamide 6 nanocomposites is reported. Indentation hardness and indentation modulus of the material reduces up to </w:instrText>
      </w:r>
      <w:r w:rsidR="00430285">
        <w:rPr>
          <w:rFonts w:ascii="Cambria Math" w:hAnsi="Cambria Math" w:cs="Cambria Math"/>
        </w:rPr>
        <w:instrText>∼</w:instrText>
      </w:r>
      <w:r w:rsidR="00430285">
        <w:instrText>50% in the samples conditioned in water due to the plasticization and associated increased polymer chain mobility. Cantilever bending fatigue tests conducted at different relative humidity levels at constant displacement amplitude revealed increased fatigue life for polyamide 6 nanocomposites at high humidity. Hysteresis heating and molecular reorientation lowers the modulus during fatigue process and causes a reduction in the force amplitude at high humidity levels. The failure mechanisms at different humidity levels are discussed. © 2010 Elsevier B.V. All rights reserved.","author":[{"dropping-particle":"","family":"Rajeesh","given":"K. R.","non-dropping-particle":"","parse-names":false,"suffix":""},{"dropping-particle":"","family":"Gnanamoorthy","given":"R.","non-dropping-particle":"","parse-names":false,"suffix":""},{"dropping-particle":"","family":"Velmurugan","given":"R.","non-dropping-particle":"","parse-names":false,"suffix":""}],"container-title":"Materials Science and Engineering A","id":"ITEM-1","issue":"12","issued":{"date-parts":[["2010"]]},"page":"2826-2830","publisher":"Elsevier B.V.","title":"Effect of humidity on the indentation hardness and flexural fatigue behavior of polyamide 6 nanocomposite","type":"article-journal","volume":"527"},"uris":["http://www.mendeley.com/documents/?uuid=f3c82d40-3eb1-4b72-92cf-2def082749bd"]}],"mendeley":{"formattedCitation":"[149]","plainTextFormattedCitation":"[149]","previouslyFormattedCitation":"[149]"},"properties":{"noteIndex":0},"schema":"https://github.com/citation-style-language/schema/raw/master/csl-citation.json"}</w:instrText>
      </w:r>
      <w:r>
        <w:fldChar w:fldCharType="separate"/>
      </w:r>
      <w:r w:rsidR="004146D2" w:rsidRPr="004146D2">
        <w:rPr>
          <w:noProof/>
        </w:rPr>
        <w:t>[149]</w:t>
      </w:r>
      <w:r>
        <w:fldChar w:fldCharType="end"/>
      </w:r>
      <w:r>
        <w:t xml:space="preserve">. </w:t>
      </w:r>
    </w:p>
    <w:p w14:paraId="67DB1DE7" w14:textId="512DCDF1" w:rsidR="00B63058" w:rsidRPr="00772FFD" w:rsidRDefault="00B63058" w:rsidP="00B63058">
      <w:r>
        <w:t xml:space="preserve">Moisture absorption affects the interlaminar shear properties of polymers, as well. Short beam test on carbon fiber/epoxy composite yields an approximately 20% decrease in interlaminar shear strength due to moisture absorption </w:t>
      </w:r>
      <w:r>
        <w:fldChar w:fldCharType="begin" w:fldLock="1"/>
      </w:r>
      <w:r w:rsidR="00430285">
        <w:instrText>ADDIN CSL_CITATION {"citationItems":[{"id":"ITEM-1","itemData":{"DOI":"10.1007/s10853-006-0933-7","ISBN":"1085300609","ISSN":"00222461","abstract":"The environmental factors, such as humidity and temperature, can limit the applications of composites by deteriorating the mechanical properties over a period of time. Environmental factors play an important role during the manufacture step and during composite's life cycle. The degradation of composites due to environmental effects is mainly caused by chemical and/or physical damages in the polymer matrix, loss of adhesion at the fiber/matrix interface, and/or reduction of fiber strength and stiffness. Composite's degradation can be measure by shear tests because shear failure is a matrix dominated property. In this work, the influence of moisture in shear properties of carbon fiber/epoxy composites (laminates [0/0]&lt;inf&gt;s&lt;/inf&gt; and [0/90] &lt;inf&gt;s&lt;/inf&gt;) have been investigated. The interlaminar shear strength (ILSS) was measured by using the short beam shear test, and Iosipescu shear strength and modulus (G &lt;inf&gt;12&lt;/inf&gt;) have been determinated by using the Iosipescu test. Results for laminates [0/0]&lt;inf&gt;s&lt;/inf&gt; and [0/90]&lt;inf&gt;s&lt;/inf&gt;, after hygrothermal conditioning, exhibited a reduction of 21% and 18% on the interlaminar shear strenght, respectively, when compared to the unconditioned samples. Shear modulus follows the same trend. A reduction of 14.1 and 17.6% was found for [0/0]&lt;inf&gt;s&lt;/inf&gt; and [0/90]&lt;inf&gt;s&lt;/inf&gt;, respectively, when compared to the unconditioned samples. Microstructural observations of the fracture surfaces by optical and scanning electron microscopies showed typical damage mechanisms for laminates [0/0]&lt;inf&gt;s&lt;/inf&gt; and [0/90]&lt;inf&gt;s&lt;/inf&gt;. &amp;copy; Springer Science+Business Media, Inc. 2006.","author":[{"dropping-particle":"","family":"Botelho","given":"E. C.","non-dropping-particle":"","parse-names":false,"suffix":""},{"dropping-particle":"","family":"Pardini","given":"L. C.","non-dropping-particle":"","parse-names":false,"suffix":""},{"dropping-particle":"","family":"Rezende","given":"M. C.","non-dropping-particle":"","parse-names":false,"suffix":""}],"container-title":"Journal of Materials Science","id":"ITEM-1","issue":"21","issued":{"date-parts":[["2006"]]},"page":"7111-7118","title":"Hygrothermal effects on the shear properties of carbon fiber/epoxy composites","type":"article-journal","volume":"41"},"uris":["http://www.mendeley.com/documents/?uuid=91cb4544-5451-44a7-aaea-26728dd5183b"]}],"mendeley":{"formattedCitation":"[150]","plainTextFormattedCitation":"[150]","previouslyFormattedCitation":"[150]"},"properties":{"noteIndex":0},"schema":"https://github.com/citation-style-language/schema/raw/master/csl-citation.json"}</w:instrText>
      </w:r>
      <w:r>
        <w:fldChar w:fldCharType="separate"/>
      </w:r>
      <w:r w:rsidR="004146D2" w:rsidRPr="004146D2">
        <w:rPr>
          <w:noProof/>
        </w:rPr>
        <w:t>[150]</w:t>
      </w:r>
      <w:r>
        <w:fldChar w:fldCharType="end"/>
      </w:r>
      <w:r>
        <w:t xml:space="preserve">. </w:t>
      </w:r>
      <w:proofErr w:type="spellStart"/>
      <w:r>
        <w:t>Sideridis</w:t>
      </w:r>
      <w:proofErr w:type="spellEnd"/>
      <w:r>
        <w:t xml:space="preserve"> et al. </w:t>
      </w:r>
      <w:r>
        <w:fldChar w:fldCharType="begin" w:fldLock="1"/>
      </w:r>
      <w:r>
        <w:instrText>ADDIN CSL_CITATION {"citationItems":[{"id":"ITEM-1","itemData":{"DOI":"10.1002/app.38957","ISSN":"0021-8995","abstract":"Abstract The extensive use of composites in aerospace, chemical, marine, and structural applications leads to exposure to humidity and water immersion. Hence, there is a need to study the effect of moisture absorption on the mechanical properties of composite materials, especially the matrix dominated properties, such as the interlaminar shear strength (ILSS). The horizontal shear test with a short-beam specimen in three-point-bending is used as a general method of evaluation for the shear properties in fiber-reinforced composites because of its simplicity. In this work, the ILSS of cross-ply glass-epoxy resin composites is determined in seven different fiber directions with short-beam three-point-bending tests, before and after moisture conditioning. It is found that moisture absorption reduces ILSS and stiffness of the examined composites whereas it leads to larger failure deflections. It is also found that the direction of fibers strongly affects the load?deflection response and the ILSS of the dry and conditioned specimens. ? 2013 Wiley Periodicals, Inc. J. Appl. Polym. Sci., 2013","author":[{"dropping-particle":"","family":"Sideridis","given":"Emilio P","non-dropping-particle":"","parse-names":false,"suffix":""},{"dropping-particle":"","family":"Bikakis","given":"George S","non-dropping-particle":"","parse-names":false,"suffix":""}],"container-title":"Journal of Applied Polymer Science","id":"ITEM-1","issue":"4","issued":{"date-parts":[["2013","1","15"]]},"note":"doi: 10.1002/app.38957","page":"2244-2252","publisher":"Wiley-Blackwell","title":"Shear properties and load–deflection response of cross–ply glass–epoxy composite short–beams subjected to three-point-bending tests, and the effect of moisture absorption","type":"article-journal","volume":"129"},"uris":["http://www.mendeley.com/documents/?uuid=f8154305-caba-4b15-97cf-5ad59b591745"]}],"mendeley":{"formattedCitation":"[119]","plainTextFormattedCitation":"[119]","previouslyFormattedCitation":"[119]"},"properties":{"noteIndex":0},"schema":"https://github.com/citation-style-language/schema/raw/master/csl-citation.json"}</w:instrText>
      </w:r>
      <w:r>
        <w:fldChar w:fldCharType="separate"/>
      </w:r>
      <w:r w:rsidRPr="00472B92">
        <w:rPr>
          <w:noProof/>
        </w:rPr>
        <w:t>[119]</w:t>
      </w:r>
      <w:r>
        <w:fldChar w:fldCharType="end"/>
      </w:r>
      <w:r>
        <w:t xml:space="preserve"> also reported an interlaminar shear strength loss of glass fiber/epoxy composite by 4-23% depending on the orientation angle.</w:t>
      </w:r>
      <w:r w:rsidRPr="00716B6B">
        <w:t xml:space="preserve"> </w:t>
      </w:r>
      <w:r>
        <w:t>Loss in interlaminar shear strength is directly related to the degradation of matrix polymer.</w:t>
      </w:r>
    </w:p>
    <w:p w14:paraId="5C1723D2" w14:textId="40F98B03" w:rsidR="00B63058" w:rsidRDefault="00B63058" w:rsidP="00B63058">
      <w:r>
        <w:t xml:space="preserve">Micromechanical changes in polymers due to water absorption </w:t>
      </w:r>
      <w:r w:rsidR="00BA1AD9">
        <w:t>are</w:t>
      </w:r>
      <w:r>
        <w:t xml:space="preserve"> known to affect the modulus. </w:t>
      </w:r>
      <w:proofErr w:type="spellStart"/>
      <w:r>
        <w:t>Cheour</w:t>
      </w:r>
      <w:proofErr w:type="spellEnd"/>
      <w:r>
        <w:t xml:space="preserve"> et al. </w:t>
      </w:r>
      <w:r>
        <w:fldChar w:fldCharType="begin" w:fldLock="1"/>
      </w:r>
      <w:r w:rsidR="00430285">
        <w:instrText>ADDIN CSL_CITATION {"citationItems":[{"id":"ITEM-1","itemData":{"DOI":"10.1016/j.compstruct.2016.05.045","ISSN":"02638223","abstract":"The aim of this work is to study the effect of water ageing of quasi-Unidirectional Flax fibre Reinforced Epoxy (UFRE) composites on their mechanical and damping properties. The studied composites were manufactured by press platen process and subjected to water immersion at room temperature. Mechanical and damping properties of unaged and aged materials were investigated using free vibrations. Next, they were dried and tested to study the reversibility of the variation of those properties caused by water ageing. The results showed that water uptake induces a decrease in the bending moduli and an increase in loss factors compared in term of ageing time. It was also proven that those variations are practically reversible in the case of loss factors but irreversible in the case of bending moduli.","author":[{"dropping-particle":"","family":"Cheour","given":"Khouloud","non-dropping-particle":"","parse-names":false,"suffix":""},{"dropping-particle":"","family":"Assarar","given":"Mustapha","non-dropping-particle":"","parse-names":false,"suffix":""},{"dropping-particle":"","family":"Scida","given":"Daniel","non-dropping-particle":"","parse-names":false,"suffix":""},{"dropping-particle":"","family":"Ayad","given":"Rezak","non-dropping-particle":"","parse-names":false,"suffix":""},{"dropping-particle":"","family":"Gong","given":"Xiao Lu","non-dropping-particle":"","parse-names":false,"suffix":""}],"container-title":"Composite Structures","id":"ITEM-1","issued":{"date-parts":[["2016"]]},"page":"259-266","publisher":"Elsevier Ltd","title":"Effect of water ageing on the mechanical and damping properties of flax-fibre reinforced composite materials","type":"article-journal","volume":"152"},"uris":["http://www.mendeley.com/documents/?uuid=3851ac37-ba81-4588-8efa-e466bf9d77ef"]}],"mendeley":{"formattedCitation":"[151]","plainTextFormattedCitation":"[151]","previouslyFormattedCitation":"[151]"},"properties":{"noteIndex":0},"schema":"https://github.com/citation-style-language/schema/raw/master/csl-citation.json"}</w:instrText>
      </w:r>
      <w:r>
        <w:fldChar w:fldCharType="separate"/>
      </w:r>
      <w:r w:rsidR="004146D2" w:rsidRPr="004146D2">
        <w:rPr>
          <w:noProof/>
        </w:rPr>
        <w:t>[151]</w:t>
      </w:r>
      <w:r>
        <w:fldChar w:fldCharType="end"/>
      </w:r>
      <w:r>
        <w:t xml:space="preserve"> reported saturated flax fiber reinforced composite has 55% lower bending modulus than the dry one. Even though desorption of the composite samples helped</w:t>
      </w:r>
      <w:r w:rsidR="00BA1AD9">
        <w:t xml:space="preserve"> the</w:t>
      </w:r>
      <w:r>
        <w:t xml:space="preserve"> recovery of the bending modulus up to 85%, damage due to </w:t>
      </w:r>
      <w:proofErr w:type="spellStart"/>
      <w:r>
        <w:t>hygrothermal</w:t>
      </w:r>
      <w:proofErr w:type="spellEnd"/>
      <w:r>
        <w:t xml:space="preserve"> aging is irreversible. Similarly, </w:t>
      </w:r>
      <w:proofErr w:type="spellStart"/>
      <w:r>
        <w:t>Agubra</w:t>
      </w:r>
      <w:proofErr w:type="spellEnd"/>
      <w:r>
        <w:t xml:space="preserve"> et al. </w:t>
      </w:r>
      <w:r>
        <w:fldChar w:fldCharType="begin" w:fldLock="1"/>
      </w:r>
      <w:r>
        <w:instrText>ADDIN CSL_CITATION {"citationItems":[{"id":"ITEM-1","itemData":{"DOI":"10.1002/polb.23521","ISSN":"10990488","author":[{"dropping-particle":"","family":"Agubra","given":"Victor A.","non-dropping-particle":"","parse-names":false,"suffix":""},{"dropping-particle":"V.","family":"Mahesh","given":"Hosur","non-dropping-particle":"","parse-names":false,"suffix":""}],"container-title":"Journal of Polymer Science, Part B: Polymer Physics","id":"ITEM-1","issue":"15","issued":{"date-parts":[["2014"]]},"page":"1024-1029","title":"Environmental degradation of E-glass/nanocomposite under the combined effect of UV radiation, moisture, and rain","type":"article-journal","volume":"52"},"uris":["http://www.mendeley.com/documents/?uuid=4955817e-dccf-4f83-861e-23a5725eb8bd"]}],"mendeley":{"formattedCitation":"[117]","plainTextFormattedCitation":"[117]","previouslyFormattedCitation":"[117]"},"properties":{"noteIndex":0},"schema":"https://github.com/citation-style-language/schema/raw/master/csl-citation.json"}</w:instrText>
      </w:r>
      <w:r>
        <w:fldChar w:fldCharType="separate"/>
      </w:r>
      <w:r w:rsidRPr="000D4466">
        <w:rPr>
          <w:noProof/>
        </w:rPr>
        <w:t>[117]</w:t>
      </w:r>
      <w:r>
        <w:fldChar w:fldCharType="end"/>
      </w:r>
      <w:r>
        <w:t xml:space="preserve"> reported 6-11% decrease in flexural modulus after 60 days of environmental degradation. Many other researchers investigated the modulus loss due to water degradation on polymers. In addition to experimental investigation of degradation in polymer, substantial efforts have been made to theoretically or computationally characterize and validate the property loss due to moisture induced damage. </w:t>
      </w:r>
    </w:p>
    <w:p w14:paraId="12EAF407" w14:textId="6DADA03A" w:rsidR="00B63058" w:rsidRDefault="00B63058" w:rsidP="00B63058">
      <w:pPr>
        <w:pStyle w:val="Heading2"/>
      </w:pPr>
      <w:bookmarkStart w:id="310" w:name="_Toc531943783"/>
      <w:r>
        <w:lastRenderedPageBreak/>
        <w:t>5.2. Moisture Absorption and Flexure Modulus Correlation Models</w:t>
      </w:r>
      <w:bookmarkEnd w:id="310"/>
    </w:p>
    <w:p w14:paraId="5AA06E5C" w14:textId="0A5D8A18" w:rsidR="00B63058" w:rsidRDefault="00B63058" w:rsidP="00B63058">
      <w:pPr>
        <w:pStyle w:val="Heading3"/>
        <w:numPr>
          <w:ilvl w:val="0"/>
          <w:numId w:val="40"/>
        </w:numPr>
      </w:pPr>
      <w:r>
        <w:t xml:space="preserve"> </w:t>
      </w:r>
      <w:bookmarkStart w:id="311" w:name="_Toc531943784"/>
      <w:proofErr w:type="spellStart"/>
      <w:r>
        <w:t>Reimschussell’s</w:t>
      </w:r>
      <w:proofErr w:type="spellEnd"/>
      <w:r>
        <w:t xml:space="preserve"> glass transition temperature model</w:t>
      </w:r>
      <w:bookmarkEnd w:id="311"/>
    </w:p>
    <w:p w14:paraId="57B693A4" w14:textId="05914719" w:rsidR="00B63058" w:rsidRDefault="00B63058" w:rsidP="00B63058">
      <w:r>
        <w:t xml:space="preserve">Reimschussell developed an empirical model correlating the moisture content in polymer and change in glass transition temperature. </w:t>
      </w:r>
      <w:proofErr w:type="spellStart"/>
      <w:r>
        <w:t>Reimschussell’s</w:t>
      </w:r>
      <w:proofErr w:type="spellEnd"/>
      <w:r>
        <w:t xml:space="preserve"> observations led the researcher to suggest that </w:t>
      </w:r>
      <w:r w:rsidRPr="004B1E34">
        <w:t>increasing the</w:t>
      </w:r>
      <w:r>
        <w:t xml:space="preserve"> moisture content always result</w:t>
      </w:r>
      <w:r w:rsidRPr="004B1E34">
        <w:t xml:space="preserve"> in a steady decrease of glass transition temperature toward a limiting</w:t>
      </w:r>
      <w:r w:rsidRPr="00B93D2D">
        <w:t xml:space="preserve"> </w:t>
      </w:r>
      <w:r w:rsidRPr="004B1E34">
        <w:t xml:space="preserve">value </w:t>
      </w:r>
      <w:r>
        <w:fldChar w:fldCharType="begin" w:fldLock="1"/>
      </w:r>
      <w:r>
        <w:instrText>ADDIN CSL_CITATION {"citationItems":[{"id":"ITEM-1","itemData":{"DOI":"10. 1002/pol. 1978.170160606","ISSN":"1542-9369","author":[{"dropping-particle":"","family":"Reimschuessel","given":"H. K.","non-dropping-particle":"","parse-names":false,"suffix":""},{"dropping-particle":"","family":"Chemical","given":"Allied","non-dropping-particle":"","parse-names":false,"suffix":""}],"container-title":"Journal of Polymer Science: Polymer chemisrty Edition","id":"ITEM-1","issue":"6","issued":{"date-parts":[["1978"]]},"page":"1229-1236","title":"Relationships on the effect of water on glass transition temperature and young ’ s modulus of nylon 6","type":"article-journal","volume":"16"},"uris":["http://www.mendeley.com/documents/?uuid=667cf711-1b7f-442e-ade2-50c4e8cf5682"]}],"mendeley":{"formattedCitation":"[40]","plainTextFormattedCitation":"[40]","previouslyFormattedCitation":"[40]"},"properties":{"noteIndex":0},"schema":"https://github.com/citation-style-language/schema/raw/master/csl-citation.json"}</w:instrText>
      </w:r>
      <w:r>
        <w:fldChar w:fldCharType="separate"/>
      </w:r>
      <w:r w:rsidRPr="00BA67DD">
        <w:rPr>
          <w:noProof/>
        </w:rPr>
        <w:t>[40]</w:t>
      </w:r>
      <w:r>
        <w:fldChar w:fldCharType="end"/>
      </w:r>
      <w:r w:rsidRPr="004B1E34">
        <w:t xml:space="preserve">. </w:t>
      </w:r>
      <w:r>
        <w:t>B</w:t>
      </w:r>
      <w:r w:rsidRPr="004B1E34">
        <w:t xml:space="preserve">eyond </w:t>
      </w:r>
      <w:r>
        <w:t>this</w:t>
      </w:r>
      <w:r w:rsidRPr="004B1E34">
        <w:t xml:space="preserve"> limiting</w:t>
      </w:r>
      <w:r w:rsidRPr="00B93D2D">
        <w:t xml:space="preserve"> </w:t>
      </w:r>
      <w:r w:rsidRPr="004B1E34">
        <w:t>value</w:t>
      </w:r>
      <w:r w:rsidR="00BA1AD9">
        <w:t>,</w:t>
      </w:r>
      <w:r w:rsidRPr="004B1E34">
        <w:t xml:space="preserve"> the glass transit</w:t>
      </w:r>
      <w:r>
        <w:t>ion temperature is no</w:t>
      </w:r>
      <w:r w:rsidRPr="004B1E34">
        <w:t xml:space="preserve"> </w:t>
      </w:r>
      <w:r>
        <w:t xml:space="preserve">longer </w:t>
      </w:r>
      <w:r w:rsidRPr="004B1E34">
        <w:t>affected by further inc</w:t>
      </w:r>
      <w:r>
        <w:t>rease in the water content in the polymer. Reimschussell described</w:t>
      </w:r>
      <w:r w:rsidRPr="004B1E34">
        <w:t xml:space="preserve"> </w:t>
      </w:r>
      <w:r>
        <w:t>this phenom</w:t>
      </w:r>
      <w:r w:rsidR="00BA1AD9">
        <w:t>enon</w:t>
      </w:r>
      <w:r>
        <w:t xml:space="preserve"> </w:t>
      </w:r>
      <w:r w:rsidRPr="004B1E34">
        <w:t xml:space="preserve">by a mechanism </w:t>
      </w:r>
      <w:r>
        <w:t>involving</w:t>
      </w:r>
      <w:r w:rsidRPr="004B1E34">
        <w:t xml:space="preserve"> the replacement of </w:t>
      </w:r>
      <w:proofErr w:type="spellStart"/>
      <w:r w:rsidRPr="004B1E34">
        <w:t>intercatenary</w:t>
      </w:r>
      <w:proofErr w:type="spellEnd"/>
      <w:r w:rsidRPr="004B1E34">
        <w:t xml:space="preserve"> hydrogen bonds by interaction with water.</w:t>
      </w:r>
    </w:p>
    <w:p w14:paraId="124ADAB7" w14:textId="5AF93F9A" w:rsidR="00B63058" w:rsidRDefault="00B63058" w:rsidP="00B63058">
      <w:r>
        <w:t xml:space="preserve">Using experimental data, Reimschussell determined that the monotonic decrease of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to an finite value depends on the glass transition temperature of the dry polymer, </w:t>
      </w:r>
      <m:oMath>
        <m:sSub>
          <m:sSubPr>
            <m:ctrlPr>
              <w:rPr>
                <w:rFonts w:ascii="Cambria Math" w:hAnsi="Cambria Math"/>
                <w:i/>
              </w:rPr>
            </m:ctrlPr>
          </m:sSubPr>
          <m:e>
            <m:r>
              <w:rPr>
                <w:rFonts w:ascii="Cambria Math" w:hAnsi="Cambria Math"/>
              </w:rPr>
              <m:t>T</m:t>
            </m:r>
          </m:e>
          <m:sub>
            <m:r>
              <w:rPr>
                <w:rFonts w:ascii="Cambria Math" w:hAnsi="Cambria Math"/>
              </w:rPr>
              <m:t>g0</m:t>
            </m:r>
          </m:sub>
        </m:sSub>
      </m:oMath>
      <w:r>
        <w:t xml:space="preserve">, the glass transition temperature at </w:t>
      </w:r>
      <m:oMath>
        <m:r>
          <w:rPr>
            <w:rFonts w:ascii="Cambria Math" w:hAnsi="Cambria Math"/>
          </w:rPr>
          <m:t>W=</m:t>
        </m:r>
        <m:sSub>
          <m:sSubPr>
            <m:ctrlPr>
              <w:rPr>
                <w:rFonts w:ascii="Cambria Math" w:hAnsi="Cambria Math"/>
                <w:i/>
              </w:rPr>
            </m:ctrlPr>
          </m:sSubPr>
          <m:e>
            <m:r>
              <w:rPr>
                <w:rFonts w:ascii="Cambria Math" w:hAnsi="Cambria Math"/>
              </w:rPr>
              <m:t>W</m:t>
            </m:r>
          </m:e>
          <m:sub>
            <m:r>
              <w:rPr>
                <w:rFonts w:ascii="Cambria Math" w:hAnsi="Cambria Math"/>
              </w:rPr>
              <m:t>l</m:t>
            </m:r>
          </m:sub>
        </m:sSub>
      </m:oMath>
      <w:r>
        <w:t xml:space="preserve">, </w:t>
      </w:r>
      <m:oMath>
        <m:sSub>
          <m:sSubPr>
            <m:ctrlPr>
              <w:rPr>
                <w:rFonts w:ascii="Cambria Math" w:hAnsi="Cambria Math"/>
                <w:i/>
              </w:rPr>
            </m:ctrlPr>
          </m:sSubPr>
          <m:e>
            <m:r>
              <w:rPr>
                <w:rFonts w:ascii="Cambria Math" w:hAnsi="Cambria Math"/>
              </w:rPr>
              <m:t>T</m:t>
            </m:r>
          </m:e>
          <m:sub>
            <m:r>
              <w:rPr>
                <w:rFonts w:ascii="Cambria Math" w:hAnsi="Cambria Math"/>
              </w:rPr>
              <m:t>gl</m:t>
            </m:r>
          </m:sub>
        </m:sSub>
      </m:oMath>
      <w:r>
        <w:t>, and</w:t>
      </w:r>
      <w:r w:rsidRPr="00CF0126">
        <w:t xml:space="preserve"> </w:t>
      </w:r>
      <w:r>
        <w:t xml:space="preserve">the water concentration beyond which any increase in the water content of the polymer will not affect the glass transition temperature, </w:t>
      </w:r>
      <m:oMath>
        <m:sSub>
          <m:sSubPr>
            <m:ctrlPr>
              <w:rPr>
                <w:rFonts w:ascii="Cambria Math" w:hAnsi="Cambria Math"/>
                <w:i/>
              </w:rPr>
            </m:ctrlPr>
          </m:sSubPr>
          <m:e>
            <m:r>
              <w:rPr>
                <w:rFonts w:ascii="Cambria Math" w:hAnsi="Cambria Math"/>
              </w:rPr>
              <m:t>W</m:t>
            </m:r>
          </m:e>
          <m:sub>
            <m:r>
              <w:rPr>
                <w:rFonts w:ascii="Cambria Math" w:hAnsi="Cambria Math"/>
              </w:rPr>
              <m:t>l</m:t>
            </m:r>
          </m:sub>
        </m:sSub>
      </m:oMath>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54D24AB9" w14:textId="77777777" w:rsidTr="009877BF">
        <w:tc>
          <w:tcPr>
            <w:tcW w:w="8185" w:type="dxa"/>
            <w:vAlign w:val="center"/>
          </w:tcPr>
          <w:p w14:paraId="5CB553AE" w14:textId="77777777" w:rsidR="00B63058" w:rsidRDefault="007B3686" w:rsidP="009877BF">
            <w:pPr>
              <w:jc w:val="cente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g</m:t>
                        </m:r>
                      </m:sub>
                    </m:sSub>
                  </m:num>
                  <m:den>
                    <m:r>
                      <w:rPr>
                        <w:rFonts w:ascii="Cambria Math" w:hAnsi="Cambria Math"/>
                      </w:rPr>
                      <m:t>dW</m:t>
                    </m:r>
                  </m:den>
                </m:f>
                <m:r>
                  <w:rPr>
                    <w:rFonts w:ascii="Cambria Math" w:hAnsi="Cambria Math"/>
                  </w:rPr>
                  <m:t>=-κ(</m:t>
                </m:r>
                <m:sSub>
                  <m:sSubPr>
                    <m:ctrlPr>
                      <w:rPr>
                        <w:rFonts w:ascii="Cambria Math" w:hAnsi="Cambria Math"/>
                        <w:i/>
                      </w:rPr>
                    </m:ctrlPr>
                  </m:sSubPr>
                  <m:e>
                    <m:r>
                      <w:rPr>
                        <w:rFonts w:ascii="Cambria Math" w:hAnsi="Cambria Math"/>
                      </w:rPr>
                      <m:t>T</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r>
                  <w:rPr>
                    <w:rFonts w:ascii="Cambria Math" w:hAnsi="Cambria Math"/>
                  </w:rPr>
                  <m:t>)</m:t>
                </m:r>
              </m:oMath>
            </m:oMathPara>
          </w:p>
        </w:tc>
        <w:tc>
          <w:tcPr>
            <w:tcW w:w="445" w:type="dxa"/>
            <w:vAlign w:val="center"/>
          </w:tcPr>
          <w:p w14:paraId="335812B4" w14:textId="77777777" w:rsidR="00B63058" w:rsidRDefault="00B63058" w:rsidP="009877BF">
            <w:pPr>
              <w:ind w:firstLine="0"/>
              <w:jc w:val="center"/>
            </w:pPr>
            <w:r>
              <w:t>(67)</w:t>
            </w:r>
          </w:p>
        </w:tc>
      </w:tr>
    </w:tbl>
    <w:p w14:paraId="2289720D" w14:textId="77777777" w:rsidR="00B63058" w:rsidRDefault="00B63058" w:rsidP="00B63058">
      <w:pPr>
        <w:rPr>
          <w:i/>
        </w:rPr>
      </w:pPr>
      <w:r>
        <w:t xml:space="preserve">The solution of the differential equation in Eq. (67) is found by applying boundary conditions </w:t>
      </w:r>
      <w:proofErr w:type="spellStart"/>
      <w:r w:rsidRPr="00252B13">
        <w:rPr>
          <w:i/>
        </w:rPr>
        <w:t>i</w:t>
      </w:r>
      <w:proofErr w:type="spellEnd"/>
      <w:r w:rsidRPr="00252B13">
        <w:rPr>
          <w:i/>
        </w:rPr>
        <w:t>)</w:t>
      </w:r>
      <w:r>
        <w:rPr>
          <w:i/>
        </w:rPr>
        <w:t xml:space="preserve"> </w:t>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r>
              <w:rPr>
                <w:rFonts w:ascii="Cambria Math" w:hAnsi="Cambria Math"/>
              </w:rPr>
              <m:t>)</m:t>
            </m:r>
          </m:num>
          <m:den>
            <m:r>
              <w:rPr>
                <w:rFonts w:ascii="Cambria Math" w:hAnsi="Cambria Math"/>
              </w:rPr>
              <m:t>dW</m:t>
            </m:r>
          </m:den>
        </m:f>
        <m:r>
          <w:rPr>
            <w:rFonts w:ascii="Cambria Math" w:hAnsi="Cambria Math"/>
          </w:rPr>
          <m:t>=0</m:t>
        </m:r>
      </m:oMath>
      <w:r w:rsidRPr="00252B13">
        <w:rPr>
          <w:i/>
        </w:rPr>
        <w:t xml:space="preserve"> </w:t>
      </w:r>
      <w:r w:rsidRPr="00252B13">
        <w:t>and</w:t>
      </w:r>
      <w:r w:rsidRPr="00252B13">
        <w:rPr>
          <w:i/>
        </w:rPr>
        <w:t xml:space="preserve"> ii</w:t>
      </w:r>
      <w:proofErr w:type="gramStart"/>
      <w:r w:rsidRPr="00252B13">
        <w:rPr>
          <w:i/>
        </w:rPr>
        <w:t xml:space="preserve">) </w:t>
      </w:r>
      <w:proofErr w:type="gramEnd"/>
      <m:oMath>
        <m:sSub>
          <m:sSubPr>
            <m:ctrlPr>
              <w:rPr>
                <w:rFonts w:ascii="Cambria Math" w:hAnsi="Cambria Math"/>
                <w:i/>
              </w:rPr>
            </m:ctrlPr>
          </m:sSubPr>
          <m:e>
            <m:r>
              <w:rPr>
                <w:rFonts w:ascii="Cambria Math" w:hAnsi="Cambria Math"/>
              </w:rPr>
              <m:t>T</m:t>
            </m:r>
          </m:e>
          <m:sub>
            <m:r>
              <w:rPr>
                <w:rFonts w:ascii="Cambria Math" w:hAnsi="Cambria Math"/>
              </w:rPr>
              <m:t>g</m:t>
            </m:r>
          </m:sub>
        </m:sSub>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g0</m:t>
            </m:r>
          </m:sub>
        </m:sSub>
      </m:oMath>
      <w:r>
        <w:rPr>
          <w:i/>
        </w:rPr>
        <w:t>.</w:t>
      </w:r>
    </w:p>
    <w:tbl>
      <w:tblPr>
        <w:tblW w:w="0" w:type="auto"/>
        <w:tblLayout w:type="fixed"/>
        <w:tblLook w:val="04A0" w:firstRow="1" w:lastRow="0" w:firstColumn="1" w:lastColumn="0" w:noHBand="0" w:noVBand="1"/>
      </w:tblPr>
      <w:tblGrid>
        <w:gridCol w:w="7830"/>
        <w:gridCol w:w="810"/>
      </w:tblGrid>
      <w:tr w:rsidR="00B63058" w:rsidRPr="001E6BA7" w14:paraId="6B455CB9" w14:textId="77777777" w:rsidTr="009877BF">
        <w:tc>
          <w:tcPr>
            <w:tcW w:w="7830" w:type="dxa"/>
            <w:vAlign w:val="center"/>
          </w:tcPr>
          <w:p w14:paraId="0DE92435" w14:textId="77777777" w:rsidR="00B63058" w:rsidRPr="00252B13" w:rsidRDefault="007B3686" w:rsidP="009877BF">
            <m:oMathPara>
              <m:oMath>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e>
                </m:d>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W</m:t>
                                </m:r>
                              </m:e>
                              <m:sub>
                                <m:r>
                                  <w:rPr>
                                    <w:rFonts w:ascii="Cambria Math" w:hAnsi="Cambria Math"/>
                                  </w:rPr>
                                  <m:t>l</m:t>
                                </m:r>
                              </m:sub>
                            </m:sSub>
                            <m:r>
                              <w:rPr>
                                <w:rFonts w:ascii="Cambria Math" w:hAnsi="Cambria Math"/>
                              </w:rPr>
                              <m:t>-δ</m:t>
                            </m:r>
                          </m:den>
                        </m:f>
                        <m:r>
                          <w:rPr>
                            <w:rFonts w:ascii="Cambria Math" w:hAnsi="Cambria Math"/>
                          </w:rPr>
                          <m:t>In</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e>
                        </m:d>
                      </m:e>
                    </m:d>
                  </m:e>
                </m:func>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oMath>
            </m:oMathPara>
          </w:p>
        </w:tc>
        <w:tc>
          <w:tcPr>
            <w:tcW w:w="810" w:type="dxa"/>
            <w:vMerge w:val="restart"/>
            <w:vAlign w:val="center"/>
          </w:tcPr>
          <w:p w14:paraId="441EC3AB" w14:textId="77777777" w:rsidR="00B63058" w:rsidRPr="001E6BA7" w:rsidRDefault="00B63058" w:rsidP="009877BF">
            <w:pPr>
              <w:spacing w:afterLines="120" w:after="288" w:line="240" w:lineRule="auto"/>
              <w:ind w:firstLine="0"/>
              <w:jc w:val="center"/>
              <w:rPr>
                <w:rFonts w:eastAsiaTheme="majorEastAsia" w:cs="Times New Roman"/>
                <w:szCs w:val="24"/>
              </w:rPr>
            </w:pPr>
            <w:r w:rsidRPr="001E6BA7">
              <w:rPr>
                <w:rFonts w:eastAsiaTheme="majorEastAsia" w:cs="Times New Roman"/>
                <w:szCs w:val="24"/>
              </w:rPr>
              <w:t>(</w:t>
            </w:r>
            <w:r>
              <w:rPr>
                <w:rFonts w:eastAsiaTheme="majorEastAsia" w:cs="Times New Roman"/>
                <w:szCs w:val="24"/>
              </w:rPr>
              <w:t>68</w:t>
            </w:r>
            <w:r w:rsidRPr="001E6BA7">
              <w:rPr>
                <w:rFonts w:eastAsiaTheme="majorEastAsia" w:cs="Times New Roman"/>
                <w:szCs w:val="24"/>
              </w:rPr>
              <w:t>)</w:t>
            </w:r>
          </w:p>
        </w:tc>
      </w:tr>
      <w:tr w:rsidR="00B63058" w:rsidRPr="001E6BA7" w14:paraId="5E5A101C" w14:textId="77777777" w:rsidTr="009877BF">
        <w:tc>
          <w:tcPr>
            <w:tcW w:w="7830" w:type="dxa"/>
            <w:vAlign w:val="center"/>
          </w:tcPr>
          <w:p w14:paraId="5F030ABC" w14:textId="77777777" w:rsidR="00B63058" w:rsidRPr="00252B13" w:rsidRDefault="00B63058" w:rsidP="009877BF">
            <m:oMathPara>
              <m:oMath>
                <m:r>
                  <w:rPr>
                    <w:rFonts w:ascii="Cambria Math" w:hAnsi="Cambria Math"/>
                  </w:rPr>
                  <m:t>δ=</m:t>
                </m:r>
                <m:sSub>
                  <m:sSubPr>
                    <m:ctrlPr>
                      <w:rPr>
                        <w:rFonts w:ascii="Cambria Math" w:hAnsi="Cambria Math"/>
                        <w:i/>
                      </w:rPr>
                    </m:ctrlPr>
                  </m:sSubPr>
                  <m:e>
                    <m:r>
                      <w:rPr>
                        <w:rFonts w:ascii="Cambria Math" w:hAnsi="Cambria Math"/>
                      </w:rPr>
                      <m:t>W</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1-</m:t>
                    </m:r>
                    <m:f>
                      <m:fPr>
                        <m:ctrlPr>
                          <w:rPr>
                            <w:rFonts w:ascii="Cambria Math" w:hAnsi="Cambria Math"/>
                            <w:i/>
                          </w:rPr>
                        </m:ctrlPr>
                      </m:fPr>
                      <m:num>
                        <m:r>
                          <w:rPr>
                            <w:rFonts w:ascii="Cambria Math" w:hAnsi="Cambria Math"/>
                          </w:rPr>
                          <m:t>In</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e>
                        </m:d>
                      </m:num>
                      <m:den>
                        <m:r>
                          <w:rPr>
                            <w:rFonts w:ascii="Cambria Math" w:hAnsi="Cambria Math"/>
                          </w:rPr>
                          <m:t>In</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gl</m:t>
                                </m:r>
                              </m:sub>
                            </m:sSub>
                          </m:e>
                        </m:d>
                      </m:den>
                    </m:f>
                  </m:den>
                </m:f>
              </m:oMath>
            </m:oMathPara>
          </w:p>
        </w:tc>
        <w:tc>
          <w:tcPr>
            <w:tcW w:w="810" w:type="dxa"/>
            <w:vMerge/>
            <w:vAlign w:val="center"/>
          </w:tcPr>
          <w:p w14:paraId="12BFACEF" w14:textId="77777777" w:rsidR="00B63058" w:rsidRPr="001E6BA7" w:rsidRDefault="00B63058" w:rsidP="009877BF">
            <w:pPr>
              <w:spacing w:afterLines="120" w:after="288" w:line="240" w:lineRule="auto"/>
              <w:ind w:firstLine="0"/>
              <w:jc w:val="center"/>
              <w:rPr>
                <w:rFonts w:eastAsiaTheme="majorEastAsia" w:cs="Times New Roman"/>
                <w:szCs w:val="24"/>
              </w:rPr>
            </w:pPr>
          </w:p>
        </w:tc>
      </w:tr>
    </w:tbl>
    <w:p w14:paraId="7B33E942" w14:textId="77777777" w:rsidR="00B63058" w:rsidRDefault="00B63058" w:rsidP="00B63058">
      <w:r>
        <w:lastRenderedPageBreak/>
        <w:t>Reimschussell</w:t>
      </w:r>
      <w:r w:rsidRPr="004B1E34">
        <w:t xml:space="preserve"> </w:t>
      </w:r>
      <w:r>
        <w:t xml:space="preserve">claimed that the mechanism leading to decrease in glass transition temperature affects the elastic modulus in the same manner. Therefore, </w:t>
      </w:r>
      <m:oMath>
        <m:r>
          <w:rPr>
            <w:rFonts w:ascii="Cambria Math" w:hAnsi="Cambria Math"/>
          </w:rPr>
          <m:t>E</m:t>
        </m:r>
        <m:d>
          <m:dPr>
            <m:ctrlPr>
              <w:rPr>
                <w:rFonts w:ascii="Cambria Math" w:hAnsi="Cambria Math"/>
                <w:i/>
              </w:rPr>
            </m:ctrlPr>
          </m:dPr>
          <m:e>
            <m:r>
              <w:rPr>
                <w:rFonts w:ascii="Cambria Math" w:hAnsi="Cambria Math"/>
              </w:rPr>
              <m:t>W</m:t>
            </m:r>
          </m:e>
        </m:d>
      </m:oMath>
      <w:r>
        <w:t xml:space="preserve"> may be represented in the same analogy as </w:t>
      </w:r>
      <w:proofErr w:type="gramStart"/>
      <w:r>
        <w:t xml:space="preserve">in </w:t>
      </w:r>
      <w:proofErr w:type="gramEnd"/>
      <m:oMath>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(W)</m:t>
        </m:r>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3C88CD6C" w14:textId="77777777" w:rsidTr="009877BF">
        <w:tc>
          <w:tcPr>
            <w:tcW w:w="8185" w:type="dxa"/>
            <w:vAlign w:val="center"/>
          </w:tcPr>
          <w:p w14:paraId="11887FE4" w14:textId="77777777" w:rsidR="00B63058" w:rsidRDefault="00B63058" w:rsidP="009877BF">
            <m:oMathPara>
              <m:oMath>
                <m:r>
                  <w:rPr>
                    <w:rFonts w:ascii="Cambria Math" w:hAnsi="Cambria Math"/>
                  </w:rPr>
                  <m:t>E(W)=</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m:t>
                        </m:r>
                      </m:sub>
                    </m:sSub>
                  </m:e>
                </m:d>
                <m:func>
                  <m:funcPr>
                    <m:ctrlPr>
                      <w:rPr>
                        <w:rFonts w:ascii="Cambria Math" w:hAnsi="Cambria Math"/>
                        <w:i/>
                      </w:rPr>
                    </m:ctrlPr>
                  </m:funcPr>
                  <m:fName>
                    <m:r>
                      <w:rPr>
                        <w:rFonts w:ascii="Cambria Math" w:hAnsi="Cambria Math"/>
                      </w:rPr>
                      <m:t>exp</m:t>
                    </m:r>
                  </m:fName>
                  <m:e>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ϵ</m:t>
                            </m:r>
                            <m:sSub>
                              <m:sSubPr>
                                <m:ctrlPr>
                                  <w:rPr>
                                    <w:rFonts w:ascii="Cambria Math" w:hAnsi="Cambria Math"/>
                                    <w:i/>
                                  </w:rPr>
                                </m:ctrlPr>
                              </m:sSubPr>
                              <m:e>
                                <m:r>
                                  <w:rPr>
                                    <w:rFonts w:ascii="Cambria Math" w:hAnsi="Cambria Math"/>
                                  </w:rPr>
                                  <m:t>W</m:t>
                                </m:r>
                              </m:e>
                              <m:sub>
                                <m:r>
                                  <w:rPr>
                                    <w:rFonts w:ascii="Cambria Math" w:hAnsi="Cambria Math"/>
                                  </w:rPr>
                                  <m:t>l</m:t>
                                </m:r>
                              </m:sub>
                            </m:sSub>
                          </m:den>
                        </m:f>
                        <m:r>
                          <w:rPr>
                            <w:rFonts w:ascii="Cambria Math" w:hAnsi="Cambria Math"/>
                          </w:rPr>
                          <m:t>In</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m:t>
                                </m:r>
                              </m:sub>
                            </m:sSub>
                          </m:e>
                        </m:d>
                      </m:e>
                    </m:d>
                  </m:e>
                </m:func>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m:t>
                    </m:r>
                  </m:sub>
                </m:sSub>
              </m:oMath>
            </m:oMathPara>
          </w:p>
        </w:tc>
        <w:tc>
          <w:tcPr>
            <w:tcW w:w="445" w:type="dxa"/>
            <w:vAlign w:val="center"/>
          </w:tcPr>
          <w:p w14:paraId="3C9F0B7F" w14:textId="77777777" w:rsidR="00B63058" w:rsidRDefault="00B63058" w:rsidP="009877BF">
            <w:pPr>
              <w:ind w:firstLine="0"/>
              <w:jc w:val="center"/>
            </w:pPr>
            <w:r>
              <w:t>(69)</w:t>
            </w:r>
          </w:p>
        </w:tc>
      </w:tr>
    </w:tbl>
    <w:p w14:paraId="673D6A3E" w14:textId="77777777" w:rsidR="00B63058" w:rsidRDefault="00B63058" w:rsidP="00B63058">
      <w:pPr>
        <w:ind w:firstLine="0"/>
      </w:pPr>
      <w:proofErr w:type="gramStart"/>
      <w:r>
        <w:t>where</w:t>
      </w:r>
      <w:proofErr w:type="gramEnd"/>
      <w:r>
        <w:t xml:space="preserve">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t xml:space="preserve"> is the modulus of the dry polymer, </w:t>
      </w:r>
      <m:oMath>
        <m:sSub>
          <m:sSubPr>
            <m:ctrlPr>
              <w:rPr>
                <w:rFonts w:ascii="Cambria Math" w:hAnsi="Cambria Math"/>
                <w:i/>
              </w:rPr>
            </m:ctrlPr>
          </m:sSubPr>
          <m:e>
            <m:r>
              <w:rPr>
                <w:rFonts w:ascii="Cambria Math" w:hAnsi="Cambria Math"/>
              </w:rPr>
              <m:t>E</m:t>
            </m:r>
          </m:e>
          <m:sub>
            <m:r>
              <w:rPr>
                <w:rFonts w:ascii="Cambria Math" w:hAnsi="Cambria Math"/>
              </w:rPr>
              <m:t>l</m:t>
            </m:r>
          </m:sub>
        </m:sSub>
      </m:oMath>
      <w:r>
        <w:t xml:space="preserve"> is the modulus of the polymer at saturation and </w:t>
      </w:r>
      <m:oMath>
        <m:r>
          <w:rPr>
            <w:rFonts w:ascii="Cambria Math" w:hAnsi="Cambria Math"/>
          </w:rPr>
          <m:t>ϵ</m:t>
        </m:r>
      </m:oMath>
      <w:r>
        <w:t xml:space="preserve"> is a constant to be determined experimentally.</w:t>
      </w:r>
    </w:p>
    <w:p w14:paraId="3A21CDB3" w14:textId="2E795238" w:rsidR="00B63058" w:rsidRDefault="00B63058" w:rsidP="00B63058">
      <w:pPr>
        <w:pStyle w:val="Heading3"/>
      </w:pPr>
      <w:bookmarkStart w:id="312" w:name="_Toc531943785"/>
      <w:r>
        <w:t xml:space="preserve">H-Bond </w:t>
      </w:r>
      <w:r w:rsidRPr="00B63058">
        <w:t>dissociation</w:t>
      </w:r>
      <w:r>
        <w:t xml:space="preserve"> model</w:t>
      </w:r>
      <w:bookmarkEnd w:id="312"/>
    </w:p>
    <w:p w14:paraId="3DDD2B90" w14:textId="602FBDCC" w:rsidR="00B63058" w:rsidRDefault="00B63058" w:rsidP="00B63058">
      <w:r>
        <w:t xml:space="preserve">Nissan </w:t>
      </w:r>
      <w:r>
        <w:fldChar w:fldCharType="begin" w:fldLock="1"/>
      </w:r>
      <w:r w:rsidR="00430285">
        <w:instrText>ADDIN CSL_CITATION {"citationItems":[{"id":"ITEM-1","itemData":{"DOI":"10.1021/ma60053a026","ISSN":"15205835","abstract":"Materialzusammensetzung Papier","author":[{"dropping-particle":"","family":"Nissan","given":"A. H.","non-dropping-particle":"","parse-names":false,"suffix":""}],"container-title":"Macromolecules","id":"ITEM-1","issue":"5","issued":{"date-parts":[["1976"]]},"page":"840-850","title":"H-Bond Dissociation in Hydrogen Bond Dominated Solids","type":"article-journal","volume":"9"},"uris":["http://www.mendeley.com/documents/?uuid=73325f8d-a2b4-459a-89f1-5b4ffffd38c1"]}],"mendeley":{"formattedCitation":"[152]","plainTextFormattedCitation":"[152]","previouslyFormattedCitation":"[152]"},"properties":{"noteIndex":0},"schema":"https://github.com/citation-style-language/schema/raw/master/csl-citation.json"}</w:instrText>
      </w:r>
      <w:r>
        <w:fldChar w:fldCharType="separate"/>
      </w:r>
      <w:r w:rsidR="004146D2" w:rsidRPr="004146D2">
        <w:rPr>
          <w:noProof/>
        </w:rPr>
        <w:t>[152]</w:t>
      </w:r>
      <w:r>
        <w:fldChar w:fldCharType="end"/>
      </w:r>
      <w:r>
        <w:t xml:space="preserve"> claimed that mechanical properties of h</w:t>
      </w:r>
      <w:r w:rsidRPr="00A037B6">
        <w:t xml:space="preserve">ydrogen bond dominated solids </w:t>
      </w:r>
      <w:r>
        <w:t>are a function of hydrogen bond per unit area,</w:t>
      </w:r>
      <m:oMath>
        <m:r>
          <w:rPr>
            <w:rFonts w:ascii="Cambria Math" w:hAnsi="Cambria Math"/>
          </w:rPr>
          <m:t xml:space="preserve"> N,</m:t>
        </m:r>
      </m:oMath>
      <w:r>
        <w:t xml:space="preserve"> and the function for the Young’s modulus is </w:t>
      </w:r>
      <m:oMath>
        <m:r>
          <w:rPr>
            <w:rFonts w:ascii="Cambria Math" w:hAnsi="Cambria Math"/>
          </w:rPr>
          <m:t>E=k</m:t>
        </m:r>
        <m:sSup>
          <m:sSupPr>
            <m:ctrlPr>
              <w:rPr>
                <w:rFonts w:ascii="Cambria Math" w:hAnsi="Cambria Math"/>
                <w:i/>
              </w:rPr>
            </m:ctrlPr>
          </m:sSupPr>
          <m:e>
            <m:r>
              <w:rPr>
                <w:rFonts w:ascii="Cambria Math" w:hAnsi="Cambria Math"/>
              </w:rPr>
              <m:t>N</m:t>
            </m:r>
          </m:e>
          <m:sup>
            <m:r>
              <w:rPr>
                <w:rFonts w:ascii="Cambria Math" w:hAnsi="Cambria Math"/>
              </w:rPr>
              <m:t>1/3</m:t>
            </m:r>
          </m:sup>
        </m:sSup>
      </m:oMath>
      <w:r w:rsidRPr="00A037B6">
        <w:t xml:space="preserve"> where </w:t>
      </w:r>
      <m:oMath>
        <m:r>
          <w:rPr>
            <w:rFonts w:ascii="Cambria Math" w:hAnsi="Cambria Math"/>
          </w:rPr>
          <m:t>k</m:t>
        </m:r>
      </m:oMath>
      <w:r>
        <w:t xml:space="preserve"> </w:t>
      </w:r>
      <w:r w:rsidRPr="00A037B6">
        <w:t>is determined by H-bond parameters.</w:t>
      </w:r>
      <w:r>
        <w:t xml:space="preserve"> As the solid absorbs moisture, some hydrogen bonds in the solid will dissociate</w:t>
      </w:r>
      <w:r w:rsidRPr="00C2684A">
        <w:t xml:space="preserve"> </w:t>
      </w:r>
      <w:r>
        <w:t>and form new hydrogen bonds with water. As the number of hydrogen bond in the solid diminishes, Young’s modulus decreases. Nissan states that moisture absorption affects the hydrogen bond density in two different</w:t>
      </w:r>
      <w:r w:rsidR="0084615F">
        <w:t xml:space="preserve"> ways. </w:t>
      </w:r>
      <w:proofErr w:type="spellStart"/>
      <w:r w:rsidRPr="00B263D2">
        <w:rPr>
          <w:i/>
        </w:rPr>
        <w:t>i</w:t>
      </w:r>
      <w:proofErr w:type="spellEnd"/>
      <w:r w:rsidRPr="00B263D2">
        <w:rPr>
          <w:i/>
        </w:rPr>
        <w:t>)</w:t>
      </w:r>
      <w:r>
        <w:t xml:space="preserve"> Regime 1: bond dissociati</w:t>
      </w:r>
      <w:r w:rsidRPr="00C2684A">
        <w:t xml:space="preserve">on takes </w:t>
      </w:r>
      <w:r>
        <w:t xml:space="preserve">place singly and </w:t>
      </w:r>
      <w:r w:rsidRPr="00B263D2">
        <w:rPr>
          <w:i/>
        </w:rPr>
        <w:t>ii)</w:t>
      </w:r>
      <w:r>
        <w:t xml:space="preserve"> Regimes 2: </w:t>
      </w:r>
      <w:r w:rsidRPr="00C2684A">
        <w:t>a number of bond</w:t>
      </w:r>
      <w:r>
        <w:t>s appear to break cooperatively.</w:t>
      </w:r>
    </w:p>
    <w:p w14:paraId="68DCFD7D" w14:textId="77777777" w:rsidR="00B63058" w:rsidRDefault="00B63058" w:rsidP="00B63058">
      <w:r w:rsidRPr="00321445">
        <w:t>Regim</w:t>
      </w:r>
      <w:r>
        <w:t>e 1 operates when</w:t>
      </w:r>
      <m:oMath>
        <m:r>
          <w:rPr>
            <w:rFonts w:ascii="Cambria Math" w:hAnsi="Cambria Math"/>
          </w:rPr>
          <m:t xml:space="preserve"> 0&lt;w&lt;</m:t>
        </m:r>
        <m:sSub>
          <m:sSubPr>
            <m:ctrlPr>
              <w:rPr>
                <w:rFonts w:ascii="Cambria Math" w:hAnsi="Cambria Math"/>
                <w:i/>
              </w:rPr>
            </m:ctrlPr>
          </m:sSubPr>
          <m:e>
            <m:r>
              <w:rPr>
                <w:rFonts w:ascii="Cambria Math" w:hAnsi="Cambria Math"/>
              </w:rPr>
              <m:t>w</m:t>
            </m:r>
          </m:e>
          <m:sub>
            <m:r>
              <w:rPr>
                <w:rFonts w:ascii="Cambria Math" w:hAnsi="Cambria Math"/>
              </w:rPr>
              <m:t>c</m:t>
            </m:r>
          </m:sub>
        </m:sSub>
      </m:oMath>
      <w:r>
        <w:t xml:space="preserve">, </w:t>
      </w:r>
      <w:r w:rsidRPr="00321445">
        <w:t>where</w:t>
      </w:r>
      <w:r>
        <w:t xml:space="preserve"> </w:t>
      </w:r>
      <m:oMath>
        <m:sSub>
          <m:sSubPr>
            <m:ctrlPr>
              <w:rPr>
                <w:rFonts w:ascii="Cambria Math" w:hAnsi="Cambria Math"/>
                <w:i/>
              </w:rPr>
            </m:ctrlPr>
          </m:sSubPr>
          <m:e>
            <m:r>
              <w:rPr>
                <w:rFonts w:ascii="Cambria Math" w:hAnsi="Cambria Math"/>
              </w:rPr>
              <m:t>w</m:t>
            </m:r>
          </m:e>
          <m:sub>
            <m:r>
              <w:rPr>
                <w:rFonts w:ascii="Cambria Math" w:hAnsi="Cambria Math"/>
              </w:rPr>
              <m:t>c</m:t>
            </m:r>
          </m:sub>
        </m:sSub>
      </m:oMath>
      <w:r>
        <w:t xml:space="preserve"> is the </w:t>
      </w:r>
      <w:r w:rsidRPr="00B263D2">
        <w:t xml:space="preserve">critical moisture content of </w:t>
      </w:r>
      <w:r>
        <w:t>BET monomolecular layer</w:t>
      </w:r>
      <w:r w:rsidRPr="00A037B6">
        <w:t>.</w:t>
      </w:r>
      <w:r w:rsidRPr="008F2F10">
        <w:t xml:space="preserve"> </w:t>
      </w:r>
      <w:r>
        <w:t>A unimo</w:t>
      </w:r>
      <w:r w:rsidRPr="008F2F10">
        <w:t xml:space="preserve">lecular reaction </w:t>
      </w:r>
      <w:r>
        <w:t>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0E9C7AFD" w14:textId="77777777" w:rsidTr="009877BF">
        <w:tc>
          <w:tcPr>
            <w:tcW w:w="8185" w:type="dxa"/>
            <w:vAlign w:val="center"/>
          </w:tcPr>
          <w:p w14:paraId="00F59DE0" w14:textId="77777777" w:rsidR="00B63058" w:rsidRDefault="00B63058" w:rsidP="009877BF">
            <m:oMathPara>
              <m:oMath>
                <m:r>
                  <w:rPr>
                    <w:rFonts w:ascii="Cambria Math" w:hAnsi="Cambria Math"/>
                  </w:rPr>
                  <m:t>d</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e>
                </m:d>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e>
                </m:d>
                <m:r>
                  <w:rPr>
                    <w:rFonts w:ascii="Cambria Math" w:hAnsi="Cambria Math"/>
                  </w:rPr>
                  <m:t>d</m:t>
                </m:r>
                <m:d>
                  <m:dPr>
                    <m:ctrlPr>
                      <w:rPr>
                        <w:rFonts w:ascii="Cambria Math" w:hAnsi="Cambria Math"/>
                        <w:i/>
                      </w:rPr>
                    </m:ctrlPr>
                  </m:dPr>
                  <m:e>
                    <m:f>
                      <m:fPr>
                        <m:type m:val="lin"/>
                        <m:ctrlPr>
                          <w:rPr>
                            <w:rFonts w:ascii="Cambria Math" w:hAnsi="Cambria Math"/>
                            <w:i/>
                          </w:rPr>
                        </m:ctrlPr>
                      </m:fPr>
                      <m:num>
                        <m:r>
                          <w:rPr>
                            <w:rFonts w:ascii="Cambria Math" w:hAnsi="Cambria Math"/>
                          </w:rPr>
                          <m:t>w</m:t>
                        </m:r>
                      </m:num>
                      <m:den>
                        <m:r>
                          <w:rPr>
                            <w:rFonts w:ascii="Cambria Math" w:hAnsi="Cambria Math"/>
                          </w:rPr>
                          <m:t>W</m:t>
                        </m:r>
                      </m:den>
                    </m:f>
                  </m:e>
                </m:d>
              </m:oMath>
            </m:oMathPara>
          </w:p>
        </w:tc>
        <w:tc>
          <w:tcPr>
            <w:tcW w:w="445" w:type="dxa"/>
            <w:vAlign w:val="center"/>
          </w:tcPr>
          <w:p w14:paraId="69B63858" w14:textId="77777777" w:rsidR="00B63058" w:rsidRDefault="00B63058" w:rsidP="009877BF">
            <w:pPr>
              <w:ind w:firstLine="0"/>
              <w:jc w:val="center"/>
            </w:pPr>
            <w:r>
              <w:t>(70)</w:t>
            </w:r>
          </w:p>
        </w:tc>
      </w:tr>
    </w:tbl>
    <w:p w14:paraId="2426F3E2" w14:textId="77777777" w:rsidR="00B63058" w:rsidRDefault="00B63058" w:rsidP="00B63058">
      <w:pPr>
        <w:ind w:firstLine="0"/>
      </w:pPr>
      <w:proofErr w:type="gramStart"/>
      <w:r>
        <w:t>where</w:t>
      </w:r>
      <w:proofErr w:type="gramEnd"/>
      <w:r>
        <w:t xml:space="preserve"> </w:t>
      </w:r>
      <m:oMath>
        <m:sSub>
          <m:sSubPr>
            <m:ctrlPr>
              <w:rPr>
                <w:rFonts w:ascii="Cambria Math" w:hAnsi="Cambria Math"/>
                <w:i/>
              </w:rPr>
            </m:ctrlPr>
          </m:sSubPr>
          <m:e>
            <m:r>
              <w:rPr>
                <w:rFonts w:ascii="Cambria Math" w:hAnsi="Cambria Math"/>
              </w:rPr>
              <m:t>N</m:t>
            </m:r>
          </m:e>
          <m:sub>
            <m:r>
              <w:rPr>
                <w:rFonts w:ascii="Cambria Math" w:hAnsi="Cambria Math"/>
              </w:rPr>
              <m:t>0</m:t>
            </m:r>
          </m:sub>
        </m:sSub>
      </m:oMath>
      <w:r>
        <w:t xml:space="preserve"> is the number of hydrogen bond at dry state, </w:t>
      </w:r>
      <m:oMath>
        <m:r>
          <w:rPr>
            <w:rFonts w:ascii="Cambria Math" w:hAnsi="Cambria Math"/>
          </w:rPr>
          <m:t>W</m:t>
        </m:r>
      </m:oMath>
      <w:r>
        <w:t xml:space="preserve"> is t</w:t>
      </w:r>
      <w:r w:rsidRPr="00B263D2">
        <w:t xml:space="preserve">he hypothetical quantity of water required to provide one molecule for </w:t>
      </w:r>
      <w:r>
        <w:t xml:space="preserve">H-donating groups, </w:t>
      </w:r>
      <m:oMath>
        <m:r>
          <w:rPr>
            <w:rFonts w:ascii="Cambria Math" w:hAnsi="Cambria Math"/>
          </w:rPr>
          <m:t xml:space="preserve">w </m:t>
        </m:r>
      </m:oMath>
      <w:r>
        <w:t xml:space="preserve">is the water content and </w:t>
      </w:r>
      <m:oMath>
        <m:r>
          <w:rPr>
            <w:rFonts w:ascii="Cambria Math" w:hAnsi="Cambria Math"/>
          </w:rPr>
          <m:t>N</m:t>
        </m:r>
      </m:oMath>
      <w:r>
        <w:t xml:space="preserve"> is the Hydrogen bond per unit area.</w:t>
      </w:r>
      <w:r w:rsidRPr="00B263D2">
        <w:t xml:space="preserve"> </w:t>
      </w:r>
      <w:r>
        <w:t xml:space="preserve">Applying the initial assumption that </w:t>
      </w:r>
      <m:oMath>
        <m:r>
          <w:rPr>
            <w:rFonts w:ascii="Cambria Math" w:hAnsi="Cambria Math"/>
          </w:rPr>
          <m:t>E=k</m:t>
        </m:r>
        <m:sSup>
          <m:sSupPr>
            <m:ctrlPr>
              <w:rPr>
                <w:rFonts w:ascii="Cambria Math" w:hAnsi="Cambria Math"/>
                <w:i/>
              </w:rPr>
            </m:ctrlPr>
          </m:sSupPr>
          <m:e>
            <m:r>
              <w:rPr>
                <w:rFonts w:ascii="Cambria Math" w:hAnsi="Cambria Math"/>
              </w:rPr>
              <m:t>N</m:t>
            </m:r>
          </m:e>
          <m:sup>
            <m:r>
              <w:rPr>
                <w:rFonts w:ascii="Cambria Math" w:hAnsi="Cambria Math"/>
              </w:rPr>
              <m:t>1/3</m:t>
            </m:r>
          </m:sup>
        </m:sSup>
      </m:oMath>
      <w:r>
        <w:t xml:space="preserve"> yields: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42010DA9" w14:textId="77777777" w:rsidTr="00B63058">
        <w:tc>
          <w:tcPr>
            <w:tcW w:w="8024" w:type="dxa"/>
            <w:vAlign w:val="center"/>
          </w:tcPr>
          <w:p w14:paraId="59806A0B" w14:textId="77777777" w:rsidR="00B63058" w:rsidRDefault="007B3686" w:rsidP="009877BF">
            <m:oMathPara>
              <m:oMath>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f>
                          <m:fPr>
                            <m:type m:val="lin"/>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E</m:t>
                                </m:r>
                              </m:e>
                              <m:sub>
                                <m:r>
                                  <w:rPr>
                                    <w:rFonts w:ascii="Cambria Math" w:hAnsi="Cambria Math"/>
                                  </w:rPr>
                                  <m:t>0</m:t>
                                </m:r>
                              </m:sub>
                            </m:sSub>
                          </m:den>
                        </m:f>
                      </m:e>
                    </m:d>
                  </m:e>
                </m:func>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f>
                      <m:fPr>
                        <m:type m:val="lin"/>
                        <m:ctrlPr>
                          <w:rPr>
                            <w:rFonts w:ascii="Cambria Math" w:hAnsi="Cambria Math"/>
                            <w:i/>
                          </w:rPr>
                        </m:ctrlPr>
                      </m:fPr>
                      <m:num>
                        <m:r>
                          <w:rPr>
                            <w:rFonts w:ascii="Cambria Math" w:hAnsi="Cambria Math"/>
                          </w:rPr>
                          <m:t>w</m:t>
                        </m:r>
                      </m:num>
                      <m:den>
                        <m:r>
                          <w:rPr>
                            <w:rFonts w:ascii="Cambria Math" w:hAnsi="Cambria Math"/>
                          </w:rPr>
                          <m:t>W</m:t>
                        </m:r>
                      </m:den>
                    </m:f>
                  </m:e>
                </m:d>
              </m:oMath>
            </m:oMathPara>
          </w:p>
        </w:tc>
        <w:tc>
          <w:tcPr>
            <w:tcW w:w="616" w:type="dxa"/>
            <w:vAlign w:val="center"/>
          </w:tcPr>
          <w:p w14:paraId="2E710CB3" w14:textId="77777777" w:rsidR="00B63058" w:rsidRDefault="00B63058" w:rsidP="009877BF">
            <w:pPr>
              <w:ind w:firstLine="0"/>
              <w:jc w:val="center"/>
            </w:pPr>
            <w:r>
              <w:t>(71)</w:t>
            </w:r>
          </w:p>
        </w:tc>
      </w:tr>
    </w:tbl>
    <w:p w14:paraId="3D75F60B" w14:textId="328FE371" w:rsidR="00B63058" w:rsidRDefault="00B63058" w:rsidP="00B63058">
      <w:r>
        <w:t>Regime 2 assumes when one bond forms several will form, and when one bond breaks, a whole cluster will ‘dissolve’. Cluster of bond formation and dissolution occurs right after the BET monolayer forms,</w:t>
      </w:r>
      <m:oMath>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c</m:t>
            </m:r>
          </m:sub>
        </m:sSub>
      </m:oMath>
      <w:r>
        <w:t xml:space="preserve"> and continues until the saturation</w:t>
      </w:r>
      <w:proofErr w:type="gramStart"/>
      <w:r>
        <w:t xml:space="preserve">, </w:t>
      </w:r>
      <w:proofErr w:type="gramEnd"/>
      <m:oMath>
        <m:sSub>
          <m:sSubPr>
            <m:ctrlPr>
              <w:rPr>
                <w:rFonts w:ascii="Cambria Math" w:hAnsi="Cambria Math"/>
                <w:i/>
              </w:rPr>
            </m:ctrlPr>
          </m:sSubPr>
          <m:e>
            <m:r>
              <w:rPr>
                <w:rFonts w:ascii="Cambria Math" w:hAnsi="Cambria Math"/>
              </w:rPr>
              <m:t>w</m:t>
            </m:r>
          </m:e>
          <m:sub>
            <m:r>
              <w:rPr>
                <w:rFonts w:ascii="Cambria Math" w:hAnsi="Cambria Math"/>
              </w:rPr>
              <m:t>saturation</m:t>
            </m:r>
          </m:sub>
        </m:sSub>
      </m:oMath>
      <w:r>
        <w:t xml:space="preserve">, </w:t>
      </w:r>
      <m:oMath>
        <m:sSub>
          <m:sSubPr>
            <m:ctrlPr>
              <w:rPr>
                <w:rFonts w:ascii="Cambria Math" w:hAnsi="Cambria Math"/>
                <w:i/>
              </w:rPr>
            </m:ctrlPr>
          </m:sSubPr>
          <m:e>
            <m:r>
              <w:rPr>
                <w:rFonts w:ascii="Cambria Math" w:hAnsi="Cambria Math"/>
              </w:rPr>
              <m:t>w</m:t>
            </m:r>
          </m:e>
          <m:sub>
            <m:r>
              <w:rPr>
                <w:rFonts w:ascii="Cambria Math" w:hAnsi="Cambria Math"/>
              </w:rPr>
              <m:t>c</m:t>
            </m:r>
          </m:sub>
        </m:sSub>
        <m:r>
          <w:rPr>
            <w:rFonts w:ascii="Cambria Math" w:hAnsi="Cambria Math"/>
          </w:rPr>
          <m:t>&lt;w&lt;</m:t>
        </m:r>
        <m:sSub>
          <m:sSubPr>
            <m:ctrlPr>
              <w:rPr>
                <w:rFonts w:ascii="Cambria Math" w:hAnsi="Cambria Math"/>
                <w:i/>
              </w:rPr>
            </m:ctrlPr>
          </m:sSubPr>
          <m:e>
            <m:r>
              <w:rPr>
                <w:rFonts w:ascii="Cambria Math" w:hAnsi="Cambria Math"/>
              </w:rPr>
              <m:t>w</m:t>
            </m:r>
          </m:e>
          <m:sub>
            <m:r>
              <w:rPr>
                <w:rFonts w:ascii="Cambria Math" w:hAnsi="Cambria Math"/>
              </w:rPr>
              <m:t>saturation</m:t>
            </m:r>
          </m:sub>
        </m:sSub>
      </m:oMath>
      <w:r w:rsidRPr="00952FFC">
        <w:t xml:space="preserve">. </w:t>
      </w:r>
      <w:r>
        <w:t xml:space="preserve">Due to cluster of bond formation and dissolution, additional term </w:t>
      </w:r>
      <w:proofErr w:type="gramStart"/>
      <w:r>
        <w:t xml:space="preserve">of </w:t>
      </w:r>
      <w:proofErr w:type="gramEnd"/>
      <m:oMath>
        <m:d>
          <m:dPr>
            <m:ctrlPr>
              <w:rPr>
                <w:rFonts w:ascii="Cambria Math" w:hAnsi="Cambria Math"/>
                <w:i/>
              </w:rPr>
            </m:ctrlPr>
          </m:dPr>
          <m:e>
            <m:acc>
              <m:accPr>
                <m:chr m:val="̅"/>
                <m:ctrlPr>
                  <w:rPr>
                    <w:rFonts w:ascii="Cambria Math" w:hAnsi="Cambria Math"/>
                    <w:i/>
                  </w:rPr>
                </m:ctrlPr>
              </m:accPr>
              <m:e>
                <m:r>
                  <w:rPr>
                    <w:rFonts w:ascii="Cambria Math" w:hAnsi="Cambria Math"/>
                  </w:rPr>
                  <m:t>C.I.</m:t>
                </m:r>
              </m:e>
            </m:acc>
          </m:e>
        </m:d>
      </m:oMath>
      <w:r>
        <w:t>,</w:t>
      </w:r>
      <w:r w:rsidRPr="00B71A0B">
        <w:t xml:space="preserve"> </w:t>
      </w:r>
      <w:r>
        <w:t>the average cooperative index denoting, on average, the total number of H bonds breaking</w:t>
      </w:r>
      <w:r w:rsidR="0084615F">
        <w:t>, is incorporated to Eq. (70).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70B3B58E" w14:textId="77777777" w:rsidTr="009877BF">
        <w:tc>
          <w:tcPr>
            <w:tcW w:w="8185" w:type="dxa"/>
            <w:vAlign w:val="center"/>
          </w:tcPr>
          <w:p w14:paraId="716CE22E" w14:textId="77777777" w:rsidR="00B63058" w:rsidRDefault="00B63058" w:rsidP="009877BF">
            <m:oMathPara>
              <m:oMath>
                <m:r>
                  <w:rPr>
                    <w:rFonts w:ascii="Cambria Math" w:hAnsi="Cambria Math"/>
                  </w:rPr>
                  <m:t>d</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e>
                </m:d>
                <m:r>
                  <w:rPr>
                    <w:rFonts w:ascii="Cambria Math" w:hAnsi="Cambria Math"/>
                  </w:rPr>
                  <m:t>=-(</m:t>
                </m:r>
                <m:acc>
                  <m:accPr>
                    <m:chr m:val="̅"/>
                    <m:ctrlPr>
                      <w:rPr>
                        <w:rFonts w:ascii="Cambria Math" w:hAnsi="Cambria Math"/>
                        <w:i/>
                      </w:rPr>
                    </m:ctrlPr>
                  </m:accPr>
                  <m:e>
                    <m:r>
                      <w:rPr>
                        <w:rFonts w:ascii="Cambria Math" w:hAnsi="Cambria Math"/>
                      </w:rPr>
                      <m:t>C.I.</m:t>
                    </m:r>
                  </m:e>
                </m:acc>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e>
                </m:d>
                <m:r>
                  <w:rPr>
                    <w:rFonts w:ascii="Cambria Math" w:hAnsi="Cambria Math"/>
                  </w:rPr>
                  <m:t>d</m:t>
                </m:r>
                <m:d>
                  <m:dPr>
                    <m:ctrlPr>
                      <w:rPr>
                        <w:rFonts w:ascii="Cambria Math" w:hAnsi="Cambria Math"/>
                        <w:i/>
                      </w:rPr>
                    </m:ctrlPr>
                  </m:dPr>
                  <m:e>
                    <m:f>
                      <m:fPr>
                        <m:type m:val="lin"/>
                        <m:ctrlPr>
                          <w:rPr>
                            <w:rFonts w:ascii="Cambria Math" w:hAnsi="Cambria Math"/>
                            <w:i/>
                          </w:rPr>
                        </m:ctrlPr>
                      </m:fPr>
                      <m:num>
                        <m:r>
                          <w:rPr>
                            <w:rFonts w:ascii="Cambria Math" w:hAnsi="Cambria Math"/>
                          </w:rPr>
                          <m:t>w</m:t>
                        </m:r>
                      </m:num>
                      <m:den>
                        <m:r>
                          <w:rPr>
                            <w:rFonts w:ascii="Cambria Math" w:hAnsi="Cambria Math"/>
                          </w:rPr>
                          <m:t>W</m:t>
                        </m:r>
                      </m:den>
                    </m:f>
                  </m:e>
                </m:d>
              </m:oMath>
            </m:oMathPara>
          </w:p>
        </w:tc>
        <w:tc>
          <w:tcPr>
            <w:tcW w:w="445" w:type="dxa"/>
            <w:vAlign w:val="center"/>
          </w:tcPr>
          <w:p w14:paraId="792DE4E9" w14:textId="77777777" w:rsidR="00B63058" w:rsidRDefault="00B63058" w:rsidP="009877BF">
            <w:pPr>
              <w:ind w:firstLine="0"/>
              <w:jc w:val="center"/>
            </w:pPr>
            <w:r>
              <w:t>(72)</w:t>
            </w:r>
          </w:p>
        </w:tc>
      </w:tr>
    </w:tbl>
    <w:p w14:paraId="3948EC9E" w14:textId="77777777" w:rsidR="00B63058" w:rsidRDefault="00B63058" w:rsidP="00B63058">
      <w:r>
        <w:t>The solution of the differential equation, Eq. (72) is given in Eq. (73):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5026D532" w14:textId="77777777" w:rsidTr="009877BF">
        <w:tc>
          <w:tcPr>
            <w:tcW w:w="8185" w:type="dxa"/>
            <w:vAlign w:val="center"/>
          </w:tcPr>
          <w:p w14:paraId="3DAA2FC2" w14:textId="77777777" w:rsidR="00B63058" w:rsidRPr="0093584D" w:rsidRDefault="007B3686" w:rsidP="009877BF">
            <w:pPr>
              <w:rPr>
                <w:i/>
              </w:rPr>
            </w:pPr>
            <m:oMathPara>
              <m:oMath>
                <m:func>
                  <m:funcPr>
                    <m:ctrlPr>
                      <w:rPr>
                        <w:rFonts w:ascii="Cambria Math" w:hAnsi="Cambria Math"/>
                        <w:i/>
                      </w:rPr>
                    </m:ctrlPr>
                  </m:funcPr>
                  <m:fName>
                    <m:r>
                      <w:rPr>
                        <w:rFonts w:ascii="Cambria Math" w:hAnsi="Cambria Math"/>
                      </w:rPr>
                      <m:t>ln</m:t>
                    </m:r>
                  </m:fName>
                  <m:e>
                    <m:d>
                      <m:dPr>
                        <m:ctrlPr>
                          <w:rPr>
                            <w:rFonts w:ascii="Cambria Math" w:hAnsi="Cambria Math"/>
                            <w:i/>
                          </w:rPr>
                        </m:ctrlPr>
                      </m:dPr>
                      <m:e>
                        <m:f>
                          <m:fPr>
                            <m:type m:val="lin"/>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E</m:t>
                                </m:r>
                              </m:e>
                              <m:sub>
                                <m:r>
                                  <w:rPr>
                                    <w:rFonts w:ascii="Cambria Math" w:hAnsi="Cambria Math"/>
                                  </w:rPr>
                                  <m:t>0</m:t>
                                </m:r>
                              </m:sub>
                            </m:sSub>
                          </m:den>
                        </m:f>
                      </m:e>
                    </m:d>
                  </m:e>
                </m:func>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c</m:t>
                            </m:r>
                          </m:sub>
                        </m:sSub>
                      </m:num>
                      <m:den>
                        <m:r>
                          <w:rPr>
                            <w:rFonts w:ascii="Cambria Math" w:hAnsi="Cambria Math"/>
                          </w:rPr>
                          <m:t>W</m:t>
                        </m:r>
                      </m:den>
                    </m:f>
                  </m:e>
                </m:d>
                <m:d>
                  <m:dPr>
                    <m:begChr m:val="["/>
                    <m:endChr m:val="]"/>
                    <m:ctrlPr>
                      <w:rPr>
                        <w:rFonts w:ascii="Cambria Math" w:hAnsi="Cambria Math"/>
                        <w:i/>
                      </w:rPr>
                    </m:ctrlPr>
                  </m:dPr>
                  <m:e>
                    <m:d>
                      <m:dPr>
                        <m:ctrlPr>
                          <w:rPr>
                            <w:rFonts w:ascii="Cambria Math" w:hAnsi="Cambria Math"/>
                            <w:i/>
                          </w:rPr>
                        </m:ctrlPr>
                      </m:dPr>
                      <m:e>
                        <m:acc>
                          <m:accPr>
                            <m:chr m:val="̅"/>
                            <m:ctrlPr>
                              <w:rPr>
                                <w:rFonts w:ascii="Cambria Math" w:hAnsi="Cambria Math"/>
                                <w:i/>
                              </w:rPr>
                            </m:ctrlPr>
                          </m:accPr>
                          <m:e>
                            <m:r>
                              <w:rPr>
                                <w:rFonts w:ascii="Cambria Math" w:hAnsi="Cambria Math"/>
                              </w:rPr>
                              <m:t>C.I.</m:t>
                            </m:r>
                          </m:e>
                        </m:acc>
                      </m:e>
                    </m:d>
                    <m:r>
                      <w:rPr>
                        <w:rFonts w:ascii="Cambria Math" w:hAnsi="Cambria Math"/>
                      </w:rPr>
                      <m:t>-1</m:t>
                    </m:r>
                  </m:e>
                </m:d>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acc>
                      <m:accPr>
                        <m:chr m:val="̅"/>
                        <m:ctrlPr>
                          <w:rPr>
                            <w:rFonts w:ascii="Cambria Math" w:hAnsi="Cambria Math"/>
                            <w:i/>
                          </w:rPr>
                        </m:ctrlPr>
                      </m:accPr>
                      <m:e>
                        <m:r>
                          <w:rPr>
                            <w:rFonts w:ascii="Cambria Math" w:hAnsi="Cambria Math"/>
                          </w:rPr>
                          <m:t>C.I.</m:t>
                        </m:r>
                      </m:e>
                    </m:acc>
                  </m:e>
                </m:d>
                <m:f>
                  <m:fPr>
                    <m:ctrlPr>
                      <w:rPr>
                        <w:rFonts w:ascii="Cambria Math" w:hAnsi="Cambria Math"/>
                        <w:i/>
                      </w:rPr>
                    </m:ctrlPr>
                  </m:fPr>
                  <m:num>
                    <m:r>
                      <w:rPr>
                        <w:rFonts w:ascii="Cambria Math" w:hAnsi="Cambria Math"/>
                      </w:rPr>
                      <m:t>w</m:t>
                    </m:r>
                  </m:num>
                  <m:den>
                    <m:r>
                      <w:rPr>
                        <w:rFonts w:ascii="Cambria Math" w:hAnsi="Cambria Math"/>
                      </w:rPr>
                      <m:t>W</m:t>
                    </m:r>
                  </m:den>
                </m:f>
              </m:oMath>
            </m:oMathPara>
          </w:p>
        </w:tc>
        <w:tc>
          <w:tcPr>
            <w:tcW w:w="445" w:type="dxa"/>
            <w:vAlign w:val="center"/>
          </w:tcPr>
          <w:p w14:paraId="44F6EE75" w14:textId="77777777" w:rsidR="00B63058" w:rsidRDefault="00B63058" w:rsidP="009877BF">
            <w:pPr>
              <w:ind w:firstLine="0"/>
              <w:jc w:val="center"/>
            </w:pPr>
            <w:r>
              <w:t>(73)</w:t>
            </w:r>
          </w:p>
        </w:tc>
      </w:tr>
    </w:tbl>
    <w:p w14:paraId="7CCDBF12" w14:textId="77777777" w:rsidR="00B63058" w:rsidRDefault="00B63058" w:rsidP="00B63058"/>
    <w:p w14:paraId="7C28028E" w14:textId="7B58D01B" w:rsidR="00B63058" w:rsidRDefault="00B63058" w:rsidP="00B63058">
      <w:pPr>
        <w:pStyle w:val="Heading3"/>
      </w:pPr>
      <w:bookmarkStart w:id="313" w:name="_Toc531943786"/>
      <w:r>
        <w:t>M</w:t>
      </w:r>
      <w:r w:rsidRPr="002D4A8D">
        <w:t>ultiscale–</w:t>
      </w:r>
      <w:r>
        <w:t>Multiphysics computational model</w:t>
      </w:r>
      <w:bookmarkEnd w:id="313"/>
    </w:p>
    <w:p w14:paraId="25F70CE1" w14:textId="3799A017" w:rsidR="00B63058" w:rsidRDefault="00B63058" w:rsidP="00B63058">
      <w:proofErr w:type="spellStart"/>
      <w:r>
        <w:t>Bailakanavar</w:t>
      </w:r>
      <w:proofErr w:type="spellEnd"/>
      <w:r>
        <w:t xml:space="preserve"> et al. recently developed a </w:t>
      </w:r>
      <w:r w:rsidRPr="002D4A8D">
        <w:t>coupled moisture-diffusion–mechanical-deformation</w:t>
      </w:r>
      <w:r>
        <w:t xml:space="preserve"> computational model to predict the </w:t>
      </w:r>
      <w:proofErr w:type="spellStart"/>
      <w:r>
        <w:t>hygrothermal</w:t>
      </w:r>
      <w:proofErr w:type="spellEnd"/>
      <w:r>
        <w:t xml:space="preserve"> degradation of mechanical properties of polymers and polymer composites </w:t>
      </w:r>
      <w:r>
        <w:fldChar w:fldCharType="begin" w:fldLock="1"/>
      </w:r>
      <w:r w:rsidR="00430285">
        <w:instrText>ADDIN CSL_CITATION {"citationItems":[{"id":"ITEM-1","itemData":{"DOI":"10.1002/nme.4654","ISSN":"0029-5981","abstract":"SUMMARYA computationally efficient multiscale?multiphysics model aimed at predicting mechanical response of thermoplastic composites subjected to different levels of moisture was developed. The mathematical model of the coupled moisture-diffusion?mechanical-deformation phenomenon was stated at the microscale, based on the observed experimental data, and then upscaled using a mathematical homogenization approach. A two-way coupling between moisture diffusion and mechanical deformation was introduced by which diffusivity was enhanced by hydrostatic strain, whereas strength and stiffness were assumed to degrade because of moisture ingression, which also gives rise to swelling. The computational complexity of analyzing the two coupled physical processes at multiple scales was reduced via a model reduction scheme for multiple physical processes. The model was validated for 30% by weight filled glass fiber and carbon fiber reinforced thermoplastic composites. The moisture conditioning and uniaxial tension experiments were utilized to identify diffusion and mechanical properties at a fine scale. The identified properties were then used to validate the formulation in the three-point bending test. Copyright ? 2014 John Wiley &amp; Sons, Ltd.","author":[{"dropping-particle":"","family":"Bailakanavar","given":"M","non-dropping-particle":"","parse-names":false,"suffix":""},{"dropping-particle":"","family":"Fish","given":"J","non-dropping-particle":"","parse-names":false,"suffix":""},{"dropping-particle":"","family":"Aitharaju","given":"V","non-dropping-particle":"","parse-names":false,"suffix":""},{"dropping-particle":"","family":"Rodgers","given":"W","non-dropping-particle":"","parse-names":false,"suffix":""}],"container-title":"International Journal for Numerical Methods in Engineering","id":"ITEM-1","issue":"12","issued":{"date-parts":[["2014","4","7"]]},"note":"doi: 10.1002/nme.4654","page":"859-880","publisher":"Wiley-Blackwell","title":"Computational coupling of moisture diffusion and mechanical deformation in polymer matrix composites","type":"article-journal","volume":"98"},"uris":["http://www.mendeley.com/documents/?uuid=94771dd7-dc82-40d7-9bd6-bbbf27289b31"]}],"mendeley":{"formattedCitation":"[153]","plainTextFormattedCitation":"[153]","previouslyFormattedCitation":"[153]"},"properties":{"noteIndex":0},"schema":"https://github.com/citation-style-language/schema/raw/master/csl-citation.json"}</w:instrText>
      </w:r>
      <w:r>
        <w:fldChar w:fldCharType="separate"/>
      </w:r>
      <w:r w:rsidR="004146D2" w:rsidRPr="004146D2">
        <w:rPr>
          <w:noProof/>
        </w:rPr>
        <w:t>[153]</w:t>
      </w:r>
      <w:r>
        <w:fldChar w:fldCharType="end"/>
      </w:r>
      <w:r>
        <w:t>. Diffusion and mechanical degradation is coupled by assuming that diffu</w:t>
      </w:r>
      <w:r w:rsidRPr="002D4A8D">
        <w:t>sivity was enhanced by hydrostatic strain</w:t>
      </w:r>
      <w:r>
        <w:t xml:space="preserve"> </w:t>
      </w:r>
      <w:r w:rsidRPr="002D4A8D">
        <w:t xml:space="preserve">whereas strength and stiffness </w:t>
      </w:r>
      <w:r>
        <w:t xml:space="preserve">were </w:t>
      </w:r>
      <w:r w:rsidRPr="002D4A8D">
        <w:t>degrade</w:t>
      </w:r>
      <w:r>
        <w:t xml:space="preserve">d by moisture ingress. </w:t>
      </w:r>
    </w:p>
    <w:p w14:paraId="11B5E0FE" w14:textId="7864210F" w:rsidR="00B63058" w:rsidRDefault="00B63058" w:rsidP="00B63058">
      <w:r>
        <w:t>The model couples the degradation in stiffness, strength, and moisture content by Reimschussell method given in Eq. (69). The coupling between the diffusivity and the strain is governed by a concentration and deformation</w:t>
      </w:r>
      <w:r w:rsidR="00BA1AD9">
        <w:t>-</w:t>
      </w:r>
      <w:r>
        <w:t xml:space="preserve">dependent nonlinear diffusivity. Deformation-dependent diffusion suggests that the diffusivity increases with both mechanical strain and strain due to swelling. The non-linear diffusivity is given in the model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gridCol w:w="616"/>
      </w:tblGrid>
      <w:tr w:rsidR="00B63058" w14:paraId="673DDD6D" w14:textId="77777777" w:rsidTr="009877BF">
        <w:tc>
          <w:tcPr>
            <w:tcW w:w="8185" w:type="dxa"/>
            <w:vAlign w:val="center"/>
          </w:tcPr>
          <w:p w14:paraId="09852E2B" w14:textId="77777777" w:rsidR="00B63058" w:rsidRPr="0093584D" w:rsidRDefault="00B63058" w:rsidP="009877BF">
            <w:pPr>
              <w:rPr>
                <w:i/>
              </w:rPr>
            </w:pPr>
            <m:oMathPara>
              <m:oMath>
                <m:r>
                  <w:rPr>
                    <w:rFonts w:ascii="Cambria Math" w:hAnsi="Cambria Math"/>
                  </w:rPr>
                  <w:lastRenderedPageBreak/>
                  <m:t>D=</m:t>
                </m:r>
                <m:sSub>
                  <m:sSubPr>
                    <m:ctrlPr>
                      <w:rPr>
                        <w:rFonts w:ascii="Cambria Math" w:hAnsi="Cambria Math"/>
                        <w:i/>
                      </w:rPr>
                    </m:ctrlPr>
                  </m:sSubPr>
                  <m:e>
                    <m:r>
                      <w:rPr>
                        <w:rFonts w:ascii="Cambria Math" w:hAnsi="Cambria Math"/>
                      </w:rPr>
                      <m:t>D</m:t>
                    </m:r>
                  </m:e>
                  <m:sub>
                    <m:r>
                      <w:rPr>
                        <w:rFonts w:ascii="Cambria Math" w:hAnsi="Cambria Math"/>
                      </w:rPr>
                      <m:t>0</m:t>
                    </m:r>
                  </m:sub>
                </m:sSub>
                <m:r>
                  <w:rPr>
                    <w:rFonts w:ascii="Cambria Math" w:hAnsi="Cambria Math"/>
                  </w:rPr>
                  <m:t>γ(ε)α</m:t>
                </m:r>
                <m:sSup>
                  <m:sSupPr>
                    <m:ctrlPr>
                      <w:rPr>
                        <w:rFonts w:ascii="Cambria Math" w:hAnsi="Cambria Math"/>
                        <w:i/>
                      </w:rPr>
                    </m:ctrlPr>
                  </m:sSupPr>
                  <m:e>
                    <m:r>
                      <w:rPr>
                        <w:rFonts w:ascii="Cambria Math" w:hAnsi="Cambria Math"/>
                      </w:rPr>
                      <m:t>e</m:t>
                    </m:r>
                  </m:e>
                  <m:sup>
                    <m:r>
                      <w:rPr>
                        <w:rFonts w:ascii="Cambria Math" w:hAnsi="Cambria Math"/>
                      </w:rPr>
                      <m:t>βC</m:t>
                    </m:r>
                  </m:sup>
                </m:sSup>
              </m:oMath>
            </m:oMathPara>
          </w:p>
        </w:tc>
        <w:tc>
          <w:tcPr>
            <w:tcW w:w="445" w:type="dxa"/>
            <w:vAlign w:val="center"/>
          </w:tcPr>
          <w:p w14:paraId="5548DC72" w14:textId="77777777" w:rsidR="00B63058" w:rsidRDefault="00B63058" w:rsidP="009877BF">
            <w:pPr>
              <w:ind w:firstLine="0"/>
              <w:jc w:val="center"/>
            </w:pPr>
            <w:r>
              <w:t>(74)</w:t>
            </w:r>
          </w:p>
        </w:tc>
      </w:tr>
    </w:tbl>
    <w:p w14:paraId="4B647A89" w14:textId="77777777" w:rsidR="00B63058" w:rsidRDefault="00B63058" w:rsidP="00B63058">
      <w:pPr>
        <w:ind w:firstLine="0"/>
      </w:pPr>
      <w:proofErr w:type="gramStart"/>
      <w:r>
        <w:t>where</w:t>
      </w:r>
      <w:proofErr w:type="gramEnd"/>
      <w:r>
        <w:t xml:space="preserve"> </w:t>
      </w:r>
      <m:oMath>
        <m:sSub>
          <m:sSubPr>
            <m:ctrlPr>
              <w:rPr>
                <w:rFonts w:ascii="Cambria Math" w:hAnsi="Cambria Math"/>
                <w:i/>
              </w:rPr>
            </m:ctrlPr>
          </m:sSubPr>
          <m:e>
            <m:r>
              <w:rPr>
                <w:rFonts w:ascii="Cambria Math" w:hAnsi="Cambria Math"/>
              </w:rPr>
              <m:t>D</m:t>
            </m:r>
          </m:e>
          <m:sub>
            <m:r>
              <w:rPr>
                <w:rFonts w:ascii="Cambria Math" w:hAnsi="Cambria Math"/>
              </w:rPr>
              <m:t>0</m:t>
            </m:r>
          </m:sub>
        </m:sSub>
      </m:oMath>
      <w:r>
        <w:t xml:space="preserve"> is the initial diffusion coefficient, </w:t>
      </w:r>
      <m:oMath>
        <m:r>
          <w:rPr>
            <w:rFonts w:ascii="Cambria Math" w:hAnsi="Cambria Math"/>
          </w:rPr>
          <m:t>γ(ε)</m:t>
        </m:r>
      </m:oMath>
      <w:r>
        <w:t xml:space="preserve"> is a function of strain which governs the deformation-dependent diffusion, </w:t>
      </w:r>
      <m:oMath>
        <m:r>
          <w:rPr>
            <w:rFonts w:ascii="Cambria Math" w:hAnsi="Cambria Math"/>
          </w:rPr>
          <m:t>ε</m:t>
        </m:r>
      </m:oMath>
      <w:r>
        <w:t xml:space="preserve"> is the strain, </w:t>
      </w:r>
      <m:oMath>
        <m:r>
          <w:rPr>
            <w:rFonts w:ascii="Cambria Math" w:hAnsi="Cambria Math"/>
          </w:rPr>
          <m:t>α</m:t>
        </m:r>
      </m:oMath>
      <w:r>
        <w:t xml:space="preserve"> and </w:t>
      </w:r>
      <m:oMath>
        <m:r>
          <w:rPr>
            <w:rFonts w:ascii="Cambria Math" w:hAnsi="Cambria Math"/>
          </w:rPr>
          <m:t>β</m:t>
        </m:r>
      </m:oMath>
      <w:r>
        <w:t xml:space="preserve"> are constants, and </w:t>
      </w:r>
      <m:oMath>
        <m:r>
          <w:rPr>
            <w:rFonts w:ascii="Cambria Math" w:hAnsi="Cambria Math"/>
          </w:rPr>
          <m:t>C</m:t>
        </m:r>
      </m:oMath>
      <w:r>
        <w:t xml:space="preserve"> is the moisture concentration. The boundary conditions of the function </w:t>
      </w:r>
      <m:oMath>
        <m:r>
          <w:rPr>
            <w:rFonts w:ascii="Cambria Math" w:hAnsi="Cambria Math"/>
          </w:rPr>
          <m:t>γ(ε)</m:t>
        </m:r>
      </m:oMath>
      <w:r>
        <w:t xml:space="preserve"> is given as </w:t>
      </w:r>
      <m:oMath>
        <m:r>
          <w:rPr>
            <w:rFonts w:ascii="Cambria Math" w:hAnsi="Cambria Math"/>
          </w:rPr>
          <m:t>γ</m:t>
        </m:r>
        <m:d>
          <m:dPr>
            <m:ctrlPr>
              <w:rPr>
                <w:rFonts w:ascii="Cambria Math" w:hAnsi="Cambria Math"/>
                <w:i/>
              </w:rPr>
            </m:ctrlPr>
          </m:dPr>
          <m:e>
            <m:r>
              <w:rPr>
                <w:rFonts w:ascii="Cambria Math" w:hAnsi="Cambria Math"/>
              </w:rPr>
              <m:t>0</m:t>
            </m:r>
          </m:e>
        </m:d>
        <m:r>
          <w:rPr>
            <w:rFonts w:ascii="Cambria Math" w:hAnsi="Cambria Math"/>
          </w:rPr>
          <m:t xml:space="preserve">=1 </m:t>
        </m:r>
      </m:oMath>
      <w:r>
        <w:t>and</w:t>
      </w:r>
      <m:oMath>
        <m:r>
          <w:rPr>
            <w:rFonts w:ascii="Cambria Math" w:hAnsi="Cambria Math"/>
          </w:rPr>
          <m:t xml:space="preserve"> γ</m:t>
        </m:r>
        <m:d>
          <m:dPr>
            <m:ctrlPr>
              <w:rPr>
                <w:rFonts w:ascii="Cambria Math" w:hAnsi="Cambria Math"/>
                <w:i/>
              </w:rPr>
            </m:ctrlPr>
          </m:dPr>
          <m:e>
            <m:r>
              <w:rPr>
                <w:rFonts w:ascii="Cambria Math" w:hAnsi="Cambria Math"/>
              </w:rPr>
              <m:t>∞</m:t>
            </m:r>
          </m:e>
        </m:d>
        <m:r>
          <w:rPr>
            <w:rFonts w:ascii="Cambria Math" w:hAnsi="Cambria Math"/>
          </w:rPr>
          <m:t>=∞</m:t>
        </m:r>
      </m:oMath>
      <w:r>
        <w:t xml:space="preserve">. However, researchers did not specify how the function </w:t>
      </w:r>
      <m:oMath>
        <m:r>
          <w:rPr>
            <w:rFonts w:ascii="Cambria Math" w:hAnsi="Cambria Math"/>
          </w:rPr>
          <m:t>γ(ε)</m:t>
        </m:r>
      </m:oMath>
      <w:r>
        <w:t xml:space="preserve"> changes with the strain. </w:t>
      </w:r>
    </w:p>
    <w:p w14:paraId="68BDAEBC" w14:textId="77777777" w:rsidR="00B63058" w:rsidRDefault="00B63058" w:rsidP="00B63058">
      <w:proofErr w:type="spellStart"/>
      <w:r>
        <w:t>Bailakanavar</w:t>
      </w:r>
      <w:proofErr w:type="spellEnd"/>
      <w:r>
        <w:t xml:space="preserve"> et al. used experimental data of</w:t>
      </w:r>
      <w:r w:rsidRPr="002D4A8D">
        <w:t xml:space="preserve"> 30% by weight filled glass fiber and carbon fiber rein</w:t>
      </w:r>
      <w:r>
        <w:t>forced thermoplastic composites to validate the computational model.</w:t>
      </w:r>
      <w:r w:rsidRPr="002D4A8D">
        <w:t xml:space="preserve"> </w:t>
      </w:r>
      <w:r>
        <w:t>C</w:t>
      </w:r>
      <w:r w:rsidRPr="002D4A8D">
        <w:t>oupled moisture-diffusion–mechanical-deformation</w:t>
      </w:r>
      <w:r>
        <w:t xml:space="preserve"> computational model successfully predicted the moisture absorption and stress-strain curves of various cases. </w:t>
      </w:r>
    </w:p>
    <w:p w14:paraId="1ADBDE1A" w14:textId="7E6BC422" w:rsidR="00B34092" w:rsidRDefault="00B34092" w:rsidP="00BB2C1B">
      <w:pPr>
        <w:pStyle w:val="Heading2"/>
      </w:pPr>
      <w:bookmarkStart w:id="314" w:name="_Toc531943787"/>
      <w:r>
        <w:t>5.3. Concentration Dependent Modulus Model: Theory</w:t>
      </w:r>
      <w:r w:rsidR="00982F8A">
        <w:t xml:space="preserve"> Development</w:t>
      </w:r>
      <w:bookmarkEnd w:id="314"/>
    </w:p>
    <w:p w14:paraId="74A5B795" w14:textId="2722C34C" w:rsidR="00131A9B" w:rsidRDefault="00616448" w:rsidP="00B34092">
      <w:r>
        <w:t xml:space="preserve">To define the change in the modulus, all the models mentioned in the previous section uses </w:t>
      </w:r>
      <w:proofErr w:type="spellStart"/>
      <w:r w:rsidR="00B63058">
        <w:t>phenomological</w:t>
      </w:r>
      <w:proofErr w:type="spellEnd"/>
      <w:r>
        <w:t xml:space="preserve"> constants or constants </w:t>
      </w:r>
      <w:r w:rsidR="00B63058">
        <w:t>that are difficult</w:t>
      </w:r>
      <w:r>
        <w:t xml:space="preserve"> to identify experimentally. However, all the models agree on the behavior and the mechanism of the modulus degradation. Modulus exponentially decreases by the moisture content. Using the framework of the previous models and experimental results, the hindered diffusion model is incorporated </w:t>
      </w:r>
      <w:r w:rsidR="00B63058">
        <w:t>in</w:t>
      </w:r>
      <w:r>
        <w:t>to a new model to predict the change in modulus.</w:t>
      </w:r>
    </w:p>
    <w:p w14:paraId="24B591FB" w14:textId="345547D1" w:rsidR="00616448" w:rsidRDefault="00616448" w:rsidP="00B34092">
      <w:r>
        <w:t>The modulus exponentially decreases to a limiting value while moisture content is exponentially increasing to maximum moisture content. This similar but opposite behavior lead</w:t>
      </w:r>
      <w:r w:rsidR="00BA1AD9">
        <w:t>s</w:t>
      </w:r>
      <w:r>
        <w:t xml:space="preserve"> to investigate the possible correlation between the mo</w:t>
      </w:r>
      <w:r w:rsidR="00BD723F">
        <w:t>isture content and the modulus.</w:t>
      </w:r>
    </w:p>
    <w:p w14:paraId="7210F1BA" w14:textId="2A9D06E0" w:rsidR="00CB58E9" w:rsidRDefault="00616448" w:rsidP="00BD723F">
      <w:r>
        <w:rPr>
          <w:szCs w:val="24"/>
        </w:rPr>
        <w:t xml:space="preserve">Concentration difference between the medium and the solid is the driving force for the moisture absorption. </w:t>
      </w:r>
      <w:r w:rsidR="00BD723F">
        <w:rPr>
          <w:szCs w:val="24"/>
        </w:rPr>
        <w:t>The humidity level of the environment governs</w:t>
      </w:r>
      <w:r>
        <w:rPr>
          <w:szCs w:val="24"/>
        </w:rPr>
        <w:t xml:space="preserve"> how much moisture the solid will absorb.</w:t>
      </w:r>
      <w:r w:rsidR="00BD723F">
        <w:rPr>
          <w:szCs w:val="24"/>
        </w:rPr>
        <w:t xml:space="preserve"> Theoretically, saturation moisture content should linearly change with </w:t>
      </w:r>
      <w:r w:rsidR="00BD723F">
        <w:rPr>
          <w:szCs w:val="24"/>
        </w:rPr>
        <w:lastRenderedPageBreak/>
        <w:t xml:space="preserve">the humidity level. For example, if the maximum moisture content of an immersed solid </w:t>
      </w:r>
      <w:proofErr w:type="gramStart"/>
      <w:r w:rsidR="00BD723F">
        <w:rPr>
          <w:szCs w:val="24"/>
        </w:rPr>
        <w:t xml:space="preserve">is </w:t>
      </w:r>
      <w:proofErr w:type="gramEnd"/>
      <m:oMath>
        <m:sSub>
          <m:sSubPr>
            <m:ctrlPr>
              <w:rPr>
                <w:rFonts w:ascii="Cambria Math" w:hAnsi="Cambria Math"/>
                <w:i/>
                <w:szCs w:val="24"/>
              </w:rPr>
            </m:ctrlPr>
          </m:sSubPr>
          <m:e>
            <m:r>
              <w:rPr>
                <w:rFonts w:ascii="Cambria Math" w:hAnsi="Cambria Math"/>
                <w:szCs w:val="24"/>
              </w:rPr>
              <m:t>M</m:t>
            </m:r>
          </m:e>
          <m:sub>
            <m:r>
              <w:rPr>
                <w:rFonts w:ascii="Cambria Math" w:hAnsi="Cambria Math"/>
                <w:szCs w:val="24"/>
              </w:rPr>
              <m:t>∞</m:t>
            </m:r>
          </m:sub>
        </m:sSub>
      </m:oMath>
      <w:r w:rsidR="00BD723F">
        <w:rPr>
          <w:szCs w:val="24"/>
        </w:rPr>
        <w:t>, the maximum moisture content o</w:t>
      </w:r>
      <w:r w:rsidR="00826E4C">
        <w:rPr>
          <w:szCs w:val="24"/>
        </w:rPr>
        <w:t xml:space="preserve">f a solid in 50% RH should be </w:t>
      </w:r>
      <m:oMath>
        <m:r>
          <w:rPr>
            <w:rFonts w:ascii="Cambria Math" w:hAnsi="Cambria Math"/>
            <w:szCs w:val="24"/>
          </w:rPr>
          <m:t>0.5</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m:t>
            </m:r>
          </m:sub>
        </m:sSub>
      </m:oMath>
      <w:r w:rsidR="00BD723F">
        <w:rPr>
          <w:szCs w:val="24"/>
        </w:rPr>
        <w:t>.</w:t>
      </w:r>
      <w:r w:rsidR="00826E4C">
        <w:rPr>
          <w:szCs w:val="24"/>
        </w:rPr>
        <w:t xml:space="preserve"> Since </w:t>
      </w:r>
      <m:oMath>
        <m:sSub>
          <m:sSubPr>
            <m:ctrlPr>
              <w:rPr>
                <w:rFonts w:ascii="Cambria Math" w:hAnsi="Cambria Math"/>
                <w:i/>
                <w:szCs w:val="24"/>
              </w:rPr>
            </m:ctrlPr>
          </m:sSubPr>
          <m:e>
            <m:r>
              <w:rPr>
                <w:rFonts w:ascii="Cambria Math" w:hAnsi="Cambria Math"/>
                <w:szCs w:val="24"/>
              </w:rPr>
              <m:t>M</m:t>
            </m:r>
          </m:e>
          <m:sub>
            <m:r>
              <w:rPr>
                <w:rFonts w:ascii="Cambria Math" w:hAnsi="Cambria Math"/>
                <w:szCs w:val="24"/>
              </w:rPr>
              <m:t>∞</m:t>
            </m:r>
          </m:sub>
        </m:sSub>
      </m:oMath>
      <w:r w:rsidR="00826E4C">
        <w:rPr>
          <w:szCs w:val="24"/>
        </w:rPr>
        <w:t xml:space="preserve"> is directly correlated to </w:t>
      </w:r>
      <m:oMath>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t>
            </m:r>
          </m:sub>
        </m:sSub>
      </m:oMath>
      <w:r w:rsidR="00826E4C">
        <w:t xml:space="preserve"> </w:t>
      </w:r>
      <w:r w:rsidR="00826E4C">
        <w:fldChar w:fldCharType="begin" w:fldLock="1"/>
      </w:r>
      <w:r w:rsidR="00E624A6">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rsidR="00826E4C">
        <w:fldChar w:fldCharType="separate"/>
      </w:r>
      <w:r w:rsidR="00826E4C" w:rsidRPr="00826E4C">
        <w:rPr>
          <w:noProof/>
        </w:rPr>
        <w:t>[54]</w:t>
      </w:r>
      <w:r w:rsidR="00826E4C">
        <w:fldChar w:fldCharType="end"/>
      </w:r>
      <w:r w:rsidR="0084615F">
        <w:t>,</w:t>
      </w:r>
      <w:r w:rsidR="00826E4C">
        <w:t xml:space="preserve"> </w:t>
      </w:r>
      <m:oMath>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=%RH</m:t>
        </m:r>
      </m:oMath>
      <w:r w:rsidR="00826E4C">
        <w:t xml:space="preserve">. This implies that each concentration level during the moisture absorption into </w:t>
      </w:r>
      <w:r w:rsidR="00CB58E9">
        <w:t xml:space="preserve">an </w:t>
      </w:r>
      <w:r w:rsidR="00826E4C">
        <w:t>unsaturated solid</w:t>
      </w:r>
      <w:proofErr w:type="gramStart"/>
      <w:r w:rsidR="002275BC">
        <w:t xml:space="preserve">, </w:t>
      </w:r>
      <w:proofErr w:type="gramEnd"/>
      <m:oMath>
        <m:r>
          <w:rPr>
            <w:rFonts w:ascii="Cambria Math" w:hAnsi="Cambria Math"/>
          </w:rPr>
          <m:t>n+N</m:t>
        </m:r>
      </m:oMath>
      <w:r w:rsidR="002275BC">
        <w:t>,</w:t>
      </w:r>
      <w:r w:rsidR="00826E4C">
        <w:t xml:space="preserve"> can be de</w:t>
      </w:r>
      <w:r w:rsidR="00CB58E9">
        <w:t>fined</w:t>
      </w:r>
      <w:r w:rsidR="00826E4C">
        <w:t xml:space="preserve"> in term of maximum concentration at a lower %RH. </w:t>
      </w:r>
      <w:r w:rsidR="00CB58E9">
        <w:t>If a relation between the maximum moisture concentration in different levels of relative humidity and modu</w:t>
      </w:r>
      <w:r w:rsidR="002275BC">
        <w:t>lus at that saturation level was</w:t>
      </w:r>
      <w:r w:rsidR="00CB58E9">
        <w:t xml:space="preserve"> determined, that relation would be used in terms of concentration to describe the change in modulus during transient moisture absorption. In this study, the relation between the saturation moisture content and flexural modulus of the wet thermosetting polymer is investigated. </w:t>
      </w:r>
    </w:p>
    <w:p w14:paraId="078EF50C" w14:textId="2CB7226B" w:rsidR="00CB58E9" w:rsidRDefault="00CB58E9" w:rsidP="00B63058">
      <w:pPr>
        <w:pStyle w:val="Heading3"/>
        <w:numPr>
          <w:ilvl w:val="0"/>
          <w:numId w:val="38"/>
        </w:numPr>
      </w:pPr>
      <w:bookmarkStart w:id="315" w:name="_Toc531943788"/>
      <w:r>
        <w:t>Materials and Sample Preparation</w:t>
      </w:r>
      <w:bookmarkEnd w:id="315"/>
    </w:p>
    <w:p w14:paraId="125B7526" w14:textId="77777777" w:rsidR="00CB58E9" w:rsidRDefault="00CB58E9" w:rsidP="00682F7B">
      <w:r w:rsidRPr="005A3E52">
        <w:t xml:space="preserve">The epoxy resin and curing agent used in this study </w:t>
      </w:r>
      <w:r>
        <w:t>i</w:t>
      </w:r>
      <w:r w:rsidRPr="005A3E52">
        <w:t xml:space="preserve">s </w:t>
      </w:r>
      <w:r>
        <w:t xml:space="preserve">selected as </w:t>
      </w:r>
      <w:r w:rsidRPr="005A3E52">
        <w:t xml:space="preserve">EPON 862 and </w:t>
      </w:r>
      <w:proofErr w:type="spellStart"/>
      <w:r w:rsidRPr="005A3E52">
        <w:t>Epikure</w:t>
      </w:r>
      <w:proofErr w:type="spellEnd"/>
      <w:r w:rsidRPr="005A3E52">
        <w:t xml:space="preserve"> W (Momentive Performance Materials Inc.), respectively. </w:t>
      </w:r>
    </w:p>
    <w:p w14:paraId="59A9F796" w14:textId="7BAAF9B2" w:rsidR="00CB58E9" w:rsidRDefault="00CB58E9" w:rsidP="00682F7B">
      <w:r>
        <w:t>First, t</w:t>
      </w:r>
      <w:r w:rsidRPr="005A3E52">
        <w:t>he epoxy resin and curing agent is mixed at a ratio of 100:26.4 by weight</w:t>
      </w:r>
      <w:r>
        <w:t xml:space="preserve"> at 100 RPM for 15 minutes</w:t>
      </w:r>
      <w:r w:rsidRPr="005A3E52">
        <w:t>. The mixture is then degassed f</w:t>
      </w:r>
      <w:r>
        <w:t>or an</w:t>
      </w:r>
      <w:r w:rsidRPr="005A3E52">
        <w:t xml:space="preserve"> hour at room temperature to remove the trapped air. </w:t>
      </w:r>
      <w:r>
        <w:t>Subsequently, t</w:t>
      </w:r>
      <w:r w:rsidRPr="005A3E52">
        <w:t>hin epo</w:t>
      </w:r>
      <w:r>
        <w:t>xy laminates are gravity-cast onto</w:t>
      </w:r>
      <w:r w:rsidRPr="005A3E52">
        <w:t xml:space="preserve"> a 177</w:t>
      </w:r>
      <w:r>
        <w:t>.</w:t>
      </w:r>
      <w:r w:rsidRPr="005A3E52">
        <w:t>8</w:t>
      </w:r>
      <w:r w:rsidR="002275BC">
        <w:t xml:space="preserve"> </w:t>
      </w:r>
      <w:r w:rsidR="002275BC" w:rsidRPr="00EC6E5C">
        <w:rPr>
          <w:rFonts w:eastAsia="Times New Roman"/>
        </w:rPr>
        <w:t>×</w:t>
      </w:r>
      <w:r w:rsidR="002275BC">
        <w:rPr>
          <w:rFonts w:eastAsia="Times New Roman"/>
        </w:rPr>
        <w:t xml:space="preserve"> </w:t>
      </w:r>
      <w:r w:rsidRPr="005A3E52">
        <w:t>101</w:t>
      </w:r>
      <w:r>
        <w:t>.</w:t>
      </w:r>
      <w:r w:rsidRPr="005A3E52">
        <w:t xml:space="preserve">6 </w:t>
      </w:r>
      <w:r>
        <w:t>m</w:t>
      </w:r>
      <w:r w:rsidRPr="005A3E52">
        <w:t>m</w:t>
      </w:r>
      <w:r w:rsidRPr="00FD70AB">
        <w:rPr>
          <w:vertAlign w:val="superscript"/>
        </w:rPr>
        <w:t>2</w:t>
      </w:r>
      <w:r w:rsidRPr="005A3E52">
        <w:t xml:space="preserve"> </w:t>
      </w:r>
      <w:r w:rsidR="002275BC">
        <w:t xml:space="preserve">(7 </w:t>
      </w:r>
      <w:r w:rsidR="002275BC" w:rsidRPr="00EC6E5C">
        <w:rPr>
          <w:rFonts w:eastAsia="Times New Roman"/>
        </w:rPr>
        <w:t>×</w:t>
      </w:r>
      <w:r w:rsidR="002275BC">
        <w:rPr>
          <w:rFonts w:eastAsia="Times New Roman"/>
        </w:rPr>
        <w:t xml:space="preserve"> </w:t>
      </w:r>
      <w:r>
        <w:t>4</w:t>
      </w:r>
      <w:r w:rsidRPr="005A3E52">
        <w:t xml:space="preserve"> </w:t>
      </w:r>
      <w:r>
        <w:t>in</w:t>
      </w:r>
      <w:r w:rsidRPr="00FD70AB">
        <w:rPr>
          <w:vertAlign w:val="superscript"/>
        </w:rPr>
        <w:t>2</w:t>
      </w:r>
      <w:r>
        <w:t xml:space="preserve">) </w:t>
      </w:r>
      <w:r w:rsidRPr="005A3E52">
        <w:t>a</w:t>
      </w:r>
      <w:r>
        <w:t>luminum mold, preheated to 100</w:t>
      </w:r>
      <w:r w:rsidRPr="00145FCF">
        <w:rPr>
          <w:rFonts w:ascii="Cambria Math" w:hAnsi="Cambria Math" w:cs="Cambria Math"/>
        </w:rPr>
        <w:t>℃</w:t>
      </w:r>
      <w:r>
        <w:t xml:space="preserve"> (212</w:t>
      </w:r>
      <w:r w:rsidRPr="00145FCF">
        <w:rPr>
          <w:rFonts w:ascii="Cambria Math" w:hAnsi="Cambria Math" w:cs="Cambria Math"/>
        </w:rPr>
        <w:t>℉</w:t>
      </w:r>
      <w:r w:rsidRPr="005A3E52">
        <w:t>). The mold is kept at 100</w:t>
      </w:r>
      <w:r w:rsidRPr="00145FCF">
        <w:rPr>
          <w:rFonts w:ascii="Cambria Math" w:hAnsi="Cambria Math" w:cs="Cambria Math"/>
        </w:rPr>
        <w:t>℃</w:t>
      </w:r>
      <w:r>
        <w:rPr>
          <w:rFonts w:ascii="Cambria Math" w:hAnsi="Cambria Math" w:cs="Cambria Math"/>
        </w:rPr>
        <w:t xml:space="preserve"> (212</w:t>
      </w:r>
      <w:r w:rsidRPr="00145FCF">
        <w:rPr>
          <w:rFonts w:ascii="Cambria Math" w:hAnsi="Cambria Math" w:cs="Cambria Math"/>
        </w:rPr>
        <w:t>℉</w:t>
      </w:r>
      <w:r>
        <w:rPr>
          <w:rFonts w:ascii="Cambria Math" w:hAnsi="Cambria Math" w:cs="Cambria Math"/>
        </w:rPr>
        <w:t xml:space="preserve">) </w:t>
      </w:r>
      <w:r w:rsidRPr="005A3E52">
        <w:t>for 1.5 hours and then heated to 1</w:t>
      </w:r>
      <w:r>
        <w:t>79</w:t>
      </w:r>
      <w:r w:rsidRPr="00145FCF">
        <w:rPr>
          <w:rFonts w:ascii="Cambria Math" w:hAnsi="Cambria Math" w:cs="Cambria Math"/>
        </w:rPr>
        <w:t>℃</w:t>
      </w:r>
      <w:r w:rsidRPr="005A3E52">
        <w:t xml:space="preserve"> (</w:t>
      </w:r>
      <w:r>
        <w:t>355</w:t>
      </w:r>
      <w:r w:rsidRPr="00145FCF">
        <w:rPr>
          <w:rFonts w:ascii="Cambria Math" w:hAnsi="Cambria Math" w:cs="Cambria Math"/>
        </w:rPr>
        <w:t>℉</w:t>
      </w:r>
      <w:r>
        <w:t xml:space="preserve">) </w:t>
      </w:r>
      <w:r w:rsidRPr="005A3E52">
        <w:t>and held constant for 2 hours. After 2 hours, the part is cooled down to room te</w:t>
      </w:r>
      <w:r>
        <w:t>mperature at approximately 2.8</w:t>
      </w:r>
      <w:r w:rsidRPr="00145FCF">
        <w:rPr>
          <w:rFonts w:ascii="Cambria Math" w:hAnsi="Cambria Math" w:cs="Cambria Math"/>
        </w:rPr>
        <w:t>℃</w:t>
      </w:r>
      <w:r w:rsidRPr="005A3E52">
        <w:t xml:space="preserve">/min to </w:t>
      </w:r>
      <w:r>
        <w:t xml:space="preserve">complete the cure cycle. </w:t>
      </w:r>
      <w:r w:rsidR="00BE45C8">
        <w:t xml:space="preserve">Thirty </w:t>
      </w:r>
      <w:r>
        <w:t>4</w:t>
      </w:r>
      <w:r w:rsidRPr="005A3E52">
        <w:t>1</w:t>
      </w:r>
      <w:r w:rsidR="002275BC">
        <w:t xml:space="preserve">.1 </w:t>
      </w:r>
      <w:r w:rsidR="002275BC" w:rsidRPr="00EC6E5C">
        <w:rPr>
          <w:rFonts w:eastAsia="Times New Roman"/>
        </w:rPr>
        <w:t>×</w:t>
      </w:r>
      <w:r w:rsidR="002275BC">
        <w:rPr>
          <w:rFonts w:eastAsia="Times New Roman"/>
        </w:rPr>
        <w:t xml:space="preserve"> </w:t>
      </w:r>
      <w:r>
        <w:t>12.7</w:t>
      </w:r>
      <w:r w:rsidRPr="005A3E52">
        <w:t xml:space="preserve"> </w:t>
      </w:r>
      <w:r>
        <w:t>m</w:t>
      </w:r>
      <w:r w:rsidRPr="005A3E52">
        <w:t>m</w:t>
      </w:r>
      <w:r w:rsidRPr="00FD70AB">
        <w:rPr>
          <w:vertAlign w:val="superscript"/>
        </w:rPr>
        <w:t>2</w:t>
      </w:r>
      <w:r w:rsidRPr="005A3E52">
        <w:t xml:space="preserve"> </w:t>
      </w:r>
      <w:r w:rsidR="002275BC">
        <w:t xml:space="preserve">(1.61 </w:t>
      </w:r>
      <w:r w:rsidR="002275BC" w:rsidRPr="00EC6E5C">
        <w:rPr>
          <w:rFonts w:eastAsia="Times New Roman"/>
        </w:rPr>
        <w:t>×</w:t>
      </w:r>
      <w:r w:rsidR="002275BC">
        <w:rPr>
          <w:rFonts w:eastAsia="Times New Roman"/>
        </w:rPr>
        <w:t xml:space="preserve"> </w:t>
      </w:r>
      <w:r>
        <w:t>0.5</w:t>
      </w:r>
      <w:r w:rsidRPr="005A3E52">
        <w:t xml:space="preserve"> </w:t>
      </w:r>
      <w:r>
        <w:t>in</w:t>
      </w:r>
      <w:r w:rsidRPr="00FD70AB">
        <w:rPr>
          <w:vertAlign w:val="superscript"/>
        </w:rPr>
        <w:t>2</w:t>
      </w:r>
      <w:r>
        <w:t xml:space="preserve">) </w:t>
      </w:r>
      <w:r w:rsidRPr="005A3E52">
        <w:t xml:space="preserve">specimens were cut from </w:t>
      </w:r>
      <w:r>
        <w:t>the</w:t>
      </w:r>
      <w:r w:rsidRPr="005A3E52">
        <w:t xml:space="preserve"> laminate</w:t>
      </w:r>
      <w:r w:rsidR="00BE45C8">
        <w:t xml:space="preserve">. </w:t>
      </w:r>
      <w:r>
        <w:t xml:space="preserve">The samples are separated into </w:t>
      </w:r>
      <w:r w:rsidR="00BE45C8">
        <w:t>five</w:t>
      </w:r>
      <w:r>
        <w:t xml:space="preserve"> groups</w:t>
      </w:r>
      <w:r w:rsidR="00BE45C8">
        <w:t xml:space="preserve"> of six. Four group of specimen</w:t>
      </w:r>
      <w:r w:rsidR="002275BC">
        <w:t xml:space="preserve">s </w:t>
      </w:r>
      <w:r w:rsidR="00B63058">
        <w:t>a</w:t>
      </w:r>
      <w:r w:rsidR="002275BC">
        <w:t>re</w:t>
      </w:r>
      <w:r w:rsidR="00BE45C8">
        <w:t xml:space="preserve"> used</w:t>
      </w:r>
      <w:r>
        <w:t xml:space="preserve"> for absorption test in different environments.</w:t>
      </w:r>
      <w:r w:rsidR="00BE45C8">
        <w:t xml:space="preserve"> Fifth group is used to </w:t>
      </w:r>
      <w:r w:rsidR="00BE45C8">
        <w:lastRenderedPageBreak/>
        <w:t>determine the flexural modulus of the dry EPON 862.</w:t>
      </w:r>
      <w:r>
        <w:t xml:space="preserve"> </w:t>
      </w:r>
      <w:r w:rsidRPr="005A3E52">
        <w:t xml:space="preserve">The average thickness of </w:t>
      </w:r>
      <w:r>
        <w:t>the each set of six</w:t>
      </w:r>
      <w:r w:rsidRPr="005A3E52">
        <w:t xml:space="preserve"> s</w:t>
      </w:r>
      <w:r>
        <w:t>pecimens</w:t>
      </w:r>
      <w:r w:rsidRPr="005A3E52">
        <w:t xml:space="preserve"> </w:t>
      </w:r>
      <w:r>
        <w:t>is 0.91 ± 0.03 mm (0.036 ± 0.001 in).</w:t>
      </w:r>
    </w:p>
    <w:p w14:paraId="688C2BF4" w14:textId="0D105B18" w:rsidR="00CB58E9" w:rsidRDefault="00CB58E9" w:rsidP="00682F7B">
      <w:r w:rsidRPr="00145FCF">
        <w:t xml:space="preserve">To remove </w:t>
      </w:r>
      <w:r>
        <w:t xml:space="preserve">the initial moisture, the samples are placed in vacuum oven at </w:t>
      </w:r>
      <w:r w:rsidRPr="00145FCF">
        <w:t>43</w:t>
      </w:r>
      <w:r w:rsidRPr="00145FCF">
        <w:rPr>
          <w:rFonts w:ascii="Cambria Math" w:hAnsi="Cambria Math" w:cs="Cambria Math"/>
        </w:rPr>
        <w:t>℃</w:t>
      </w:r>
      <w:r w:rsidRPr="00145FCF">
        <w:t xml:space="preserve"> (110</w:t>
      </w:r>
      <w:r w:rsidRPr="00145FCF">
        <w:rPr>
          <w:rFonts w:ascii="Cambria Math" w:hAnsi="Cambria Math" w:cs="Cambria Math"/>
        </w:rPr>
        <w:t>℉</w:t>
      </w:r>
      <w:r w:rsidRPr="00145FCF">
        <w:t>)</w:t>
      </w:r>
      <w:r>
        <w:t xml:space="preserve"> for approximately 5 days. Dried samples are subjected to 20%, 50%, and 80% relative humidity, and distilled water at 3</w:t>
      </w:r>
      <w:r w:rsidRPr="00145FCF">
        <w:t>5</w:t>
      </w:r>
      <w:r w:rsidRPr="00145FCF">
        <w:rPr>
          <w:rFonts w:ascii="Cambria Math" w:hAnsi="Cambria Math" w:cs="Cambria Math"/>
        </w:rPr>
        <w:t>℃</w:t>
      </w:r>
      <w:r>
        <w:rPr>
          <w:rFonts w:ascii="Cambria Math" w:hAnsi="Cambria Math" w:cs="Cambria Math"/>
        </w:rPr>
        <w:t xml:space="preserve"> </w:t>
      </w:r>
      <w:r>
        <w:t>(95</w:t>
      </w:r>
      <w:r w:rsidRPr="00145FCF">
        <w:rPr>
          <w:rFonts w:ascii="Cambria Math" w:hAnsi="Cambria Math" w:cs="Cambria Math"/>
        </w:rPr>
        <w:t>℉</w:t>
      </w:r>
      <w:r w:rsidRPr="00145FCF">
        <w:t>)</w:t>
      </w:r>
      <w:r>
        <w:t xml:space="preserve">. Mass gain of samples due to water absorption is periodically measured for approximately 5 months. The collected mass gain data of 5 months is used to recover absorption parameters of hindered diffusion model following the aforementioned recovery procedure in </w:t>
      </w:r>
      <w:r>
        <w:fldChar w:fldCharType="begin"/>
      </w:r>
      <w:r>
        <w:instrText xml:space="preserve"> REF _Ref520894196 \r \h </w:instrText>
      </w:r>
      <w:r w:rsidR="00682F7B">
        <w:instrText xml:space="preserve"> \* MERGEFORMAT </w:instrText>
      </w:r>
      <w:r>
        <w:fldChar w:fldCharType="separate"/>
      </w:r>
      <w:r w:rsidR="006D52C2">
        <w:t>Chapter 2</w:t>
      </w:r>
      <w:r>
        <w:fldChar w:fldCharType="end"/>
      </w:r>
      <w:r>
        <w:t>.</w:t>
      </w:r>
    </w:p>
    <w:p w14:paraId="69316BA3" w14:textId="70933B0F" w:rsidR="00CB58E9" w:rsidRDefault="00CB58E9" w:rsidP="00B63058">
      <w:pPr>
        <w:pStyle w:val="Heading3"/>
      </w:pPr>
      <w:bookmarkStart w:id="316" w:name="_Toc531943789"/>
      <w:r>
        <w:t xml:space="preserve">EPON 862 moisture absorption </w:t>
      </w:r>
      <w:r w:rsidR="00BE45C8">
        <w:t>results</w:t>
      </w:r>
      <w:bookmarkEnd w:id="316"/>
    </w:p>
    <w:p w14:paraId="002A2FC3" w14:textId="1634547E" w:rsidR="00CB58E9" w:rsidRDefault="00011AEC" w:rsidP="00682F7B">
      <w:pPr>
        <w:rPr>
          <w:szCs w:val="24"/>
        </w:rPr>
      </w:pPr>
      <w:r>
        <w:t xml:space="preserve">In </w:t>
      </w:r>
      <w:r>
        <w:fldChar w:fldCharType="begin"/>
      </w:r>
      <w:r>
        <w:instrText xml:space="preserve"> REF _Ref528228884 \h </w:instrText>
      </w:r>
      <w:r w:rsidR="00682F7B">
        <w:instrText xml:space="preserve"> \* MERGEFORMAT </w:instrText>
      </w:r>
      <w:r>
        <w:fldChar w:fldCharType="separate"/>
      </w:r>
      <w:r w:rsidR="006D52C2">
        <w:t xml:space="preserve">Table </w:t>
      </w:r>
      <w:r w:rsidR="006D52C2">
        <w:rPr>
          <w:noProof/>
        </w:rPr>
        <w:t>13</w:t>
      </w:r>
      <w:r>
        <w:fldChar w:fldCharType="end"/>
      </w:r>
      <w:r>
        <w:t>, through-the-thickness diffusion coefficients, the hindrance coefficients, the maximum moisture content of EPON 862 at di</w:t>
      </w:r>
      <w:r w:rsidR="00C56038">
        <w:t>fferent levels of relative humid</w:t>
      </w:r>
      <w:r>
        <w:t>ity and the root mean square error between the experimental data and model prediction per data point are presented. T</w:t>
      </w:r>
      <w:r>
        <w:rPr>
          <w:szCs w:val="24"/>
        </w:rPr>
        <w:t xml:space="preserve">he </w:t>
      </w:r>
      <w:r w:rsidR="00C56038">
        <w:rPr>
          <w:szCs w:val="24"/>
        </w:rPr>
        <w:t>decrease</w:t>
      </w:r>
      <w:r>
        <w:rPr>
          <w:szCs w:val="24"/>
        </w:rPr>
        <w:t xml:space="preserve"> in</w:t>
      </w:r>
      <w:r w:rsidR="00C56038">
        <w:rPr>
          <w:szCs w:val="24"/>
        </w:rPr>
        <w:t xml:space="preserve"> diffusivity and</w:t>
      </w:r>
      <w:r>
        <w:rPr>
          <w:szCs w:val="24"/>
        </w:rPr>
        <w:t xml:space="preserve"> hindrance coefficient</w:t>
      </w:r>
      <w:r w:rsidR="00C56038">
        <w:rPr>
          <w:szCs w:val="24"/>
        </w:rPr>
        <w:t>s</w:t>
      </w:r>
      <w:r>
        <w:rPr>
          <w:szCs w:val="24"/>
        </w:rPr>
        <w:t xml:space="preserve"> and </w:t>
      </w:r>
      <w:r w:rsidR="00C56038">
        <w:rPr>
          <w:szCs w:val="24"/>
        </w:rPr>
        <w:t>increase</w:t>
      </w:r>
      <w:r>
        <w:rPr>
          <w:szCs w:val="24"/>
        </w:rPr>
        <w:t xml:space="preserve"> in maximum moisture content</w:t>
      </w:r>
      <w:r w:rsidR="00C56038">
        <w:rPr>
          <w:szCs w:val="24"/>
        </w:rPr>
        <w:t xml:space="preserve"> with </w:t>
      </w:r>
      <w:r w:rsidR="00F25256">
        <w:rPr>
          <w:szCs w:val="24"/>
        </w:rPr>
        <w:t>respect to</w:t>
      </w:r>
      <w:r w:rsidR="00C56038">
        <w:rPr>
          <w:szCs w:val="24"/>
        </w:rPr>
        <w:t xml:space="preserve"> relative humidity</w:t>
      </w:r>
      <w:r>
        <w:rPr>
          <w:szCs w:val="24"/>
        </w:rPr>
        <w:t xml:space="preserve"> can easily be seen.</w:t>
      </w:r>
      <w:r>
        <w:rPr>
          <w:rFonts w:cs="Times New Roman"/>
          <w:szCs w:val="24"/>
        </w:rPr>
        <w:t xml:space="preserve"> </w:t>
      </w:r>
      <w:r w:rsidR="00F25256">
        <w:rPr>
          <w:rFonts w:cs="Times New Roman"/>
          <w:szCs w:val="24"/>
        </w:rPr>
        <w:t xml:space="preserve">As the level of relative humidity increases, the concentration gradient between the environment and the polymer leads to higher flux of moisture into the polymer which in turn results in higher maximum moisture content in the polymer. </w:t>
      </w:r>
      <w:r>
        <w:rPr>
          <w:szCs w:val="24"/>
        </w:rPr>
        <w:t xml:space="preserve">Moreover, </w:t>
      </w:r>
      <w:r w:rsidR="00F25256">
        <w:rPr>
          <w:szCs w:val="24"/>
        </w:rPr>
        <w:t>l</w:t>
      </w:r>
      <w:r w:rsidR="002275BC">
        <w:rPr>
          <w:szCs w:val="24"/>
        </w:rPr>
        <w:t>ow</w:t>
      </w:r>
      <w:r>
        <w:rPr>
          <w:szCs w:val="24"/>
        </w:rPr>
        <w:t xml:space="preserve"> root mean square error per data point</w:t>
      </w:r>
      <w:r w:rsidR="00C56038">
        <w:rPr>
          <w:szCs w:val="24"/>
        </w:rPr>
        <w:t xml:space="preserve"> values</w:t>
      </w:r>
      <w:r>
        <w:rPr>
          <w:szCs w:val="24"/>
        </w:rPr>
        <w:t xml:space="preserve"> </w:t>
      </w:r>
      <w:r w:rsidR="00C56038">
        <w:rPr>
          <w:szCs w:val="24"/>
        </w:rPr>
        <w:t>indicate</w:t>
      </w:r>
      <w:r>
        <w:rPr>
          <w:szCs w:val="24"/>
        </w:rPr>
        <w:t xml:space="preserve"> </w:t>
      </w:r>
      <w:r w:rsidR="00C56038">
        <w:rPr>
          <w:szCs w:val="24"/>
        </w:rPr>
        <w:t>an accurate recovery of the absorption behavior.</w:t>
      </w:r>
      <w:r>
        <w:rPr>
          <w:szCs w:val="24"/>
        </w:rPr>
        <w:t xml:space="preserve"> The gravimetric experimental data and the one-dimensional hindered diffusion model predictions are illustrated</w:t>
      </w:r>
      <w:r w:rsidR="00F25256">
        <w:rPr>
          <w:szCs w:val="24"/>
        </w:rPr>
        <w:t xml:space="preserve"> in </w:t>
      </w:r>
      <w:r w:rsidR="00F25256">
        <w:rPr>
          <w:szCs w:val="24"/>
        </w:rPr>
        <w:fldChar w:fldCharType="begin"/>
      </w:r>
      <w:r w:rsidR="00F25256">
        <w:rPr>
          <w:szCs w:val="24"/>
        </w:rPr>
        <w:instrText xml:space="preserve"> REF _Ref528230148 \h </w:instrText>
      </w:r>
      <w:r w:rsidR="00682F7B">
        <w:rPr>
          <w:szCs w:val="24"/>
        </w:rPr>
        <w:instrText xml:space="preserve"> \* MERGEFORMAT </w:instrText>
      </w:r>
      <w:r w:rsidR="00F25256">
        <w:rPr>
          <w:szCs w:val="24"/>
        </w:rPr>
      </w:r>
      <w:r w:rsidR="00F25256">
        <w:rPr>
          <w:szCs w:val="24"/>
        </w:rPr>
        <w:fldChar w:fldCharType="separate"/>
      </w:r>
      <w:r w:rsidR="006D52C2">
        <w:t xml:space="preserve">Figure </w:t>
      </w:r>
      <w:r w:rsidR="006D52C2">
        <w:rPr>
          <w:noProof/>
        </w:rPr>
        <w:t>68</w:t>
      </w:r>
      <w:r w:rsidR="00F25256">
        <w:rPr>
          <w:szCs w:val="24"/>
        </w:rPr>
        <w:fldChar w:fldCharType="end"/>
      </w:r>
      <w:r w:rsidR="00F25256">
        <w:rPr>
          <w:szCs w:val="24"/>
        </w:rPr>
        <w:t>.</w:t>
      </w:r>
    </w:p>
    <w:p w14:paraId="32F39019" w14:textId="77777777" w:rsidR="009A6168" w:rsidRDefault="009A6168" w:rsidP="00682F7B"/>
    <w:p w14:paraId="6D7701C9" w14:textId="436D371B" w:rsidR="00CB58E9" w:rsidRDefault="00CB58E9" w:rsidP="00CB58E9">
      <w:pPr>
        <w:pStyle w:val="Caption"/>
      </w:pPr>
      <w:bookmarkStart w:id="317" w:name="_Ref528228884"/>
      <w:bookmarkStart w:id="318" w:name="_Toc530997328"/>
      <w:r>
        <w:lastRenderedPageBreak/>
        <w:t xml:space="preserve">Table </w:t>
      </w:r>
      <w:r>
        <w:rPr>
          <w:noProof/>
        </w:rPr>
        <w:fldChar w:fldCharType="begin"/>
      </w:r>
      <w:r>
        <w:rPr>
          <w:noProof/>
        </w:rPr>
        <w:instrText xml:space="preserve"> SEQ Table \* ARABIC </w:instrText>
      </w:r>
      <w:r>
        <w:rPr>
          <w:noProof/>
        </w:rPr>
        <w:fldChar w:fldCharType="separate"/>
      </w:r>
      <w:r w:rsidR="006D52C2">
        <w:rPr>
          <w:noProof/>
        </w:rPr>
        <w:t>13</w:t>
      </w:r>
      <w:r>
        <w:rPr>
          <w:noProof/>
        </w:rPr>
        <w:fldChar w:fldCharType="end"/>
      </w:r>
      <w:bookmarkEnd w:id="317"/>
      <w:r>
        <w:t xml:space="preserve">. </w:t>
      </w:r>
      <w:r w:rsidR="006A4A4A">
        <w:t>1DHDM absorption parameters of EPON 862 at different relative h</w:t>
      </w:r>
      <w:r w:rsidR="00F25256">
        <w:t>umidity</w:t>
      </w:r>
      <w:bookmarkEnd w:id="318"/>
    </w:p>
    <w:tbl>
      <w:tblPr>
        <w:tblStyle w:val="PlainTable21"/>
        <w:tblW w:w="8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95"/>
        <w:gridCol w:w="1260"/>
        <w:gridCol w:w="1260"/>
        <w:gridCol w:w="1260"/>
        <w:gridCol w:w="810"/>
        <w:gridCol w:w="990"/>
        <w:gridCol w:w="1111"/>
      </w:tblGrid>
      <w:tr w:rsidR="00CB58E9" w:rsidRPr="005A3E52" w14:paraId="3B56DA3E" w14:textId="77777777" w:rsidTr="005B467E">
        <w:trPr>
          <w:cnfStyle w:val="100000000000" w:firstRow="1" w:lastRow="0" w:firstColumn="0" w:lastColumn="0" w:oddVBand="0" w:evenVBand="0" w:oddHBand="0" w:evenHBand="0" w:firstRowFirstColumn="0" w:firstRowLastColumn="0" w:lastRowFirstColumn="0" w:lastRowLastColumn="0"/>
          <w:trHeight w:val="350"/>
          <w:jc w:val="center"/>
        </w:trPr>
        <w:tc>
          <w:tcPr>
            <w:tcW w:w="1795" w:type="dxa"/>
          </w:tcPr>
          <w:p w14:paraId="098C73D6" w14:textId="77777777" w:rsidR="00CB58E9" w:rsidRPr="00C75422" w:rsidRDefault="00CB58E9" w:rsidP="005B467E">
            <w:pPr>
              <w:pStyle w:val="Paragraph"/>
              <w:spacing w:before="120" w:after="120"/>
              <w:ind w:firstLine="0"/>
              <w:jc w:val="center"/>
              <w:rPr>
                <w:sz w:val="24"/>
                <w:szCs w:val="24"/>
              </w:rPr>
            </w:pPr>
            <w:r w:rsidRPr="00C75422">
              <w:rPr>
                <w:sz w:val="24"/>
                <w:szCs w:val="24"/>
              </w:rPr>
              <w:t>Material Systems</w:t>
            </w:r>
          </w:p>
        </w:tc>
        <w:tc>
          <w:tcPr>
            <w:tcW w:w="1260" w:type="dxa"/>
          </w:tcPr>
          <w:p w14:paraId="6C448552" w14:textId="77777777" w:rsidR="00CB58E9" w:rsidRPr="00C75422" w:rsidRDefault="007B3686" w:rsidP="005B467E">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CB58E9" w:rsidRPr="00C75422">
              <w:rPr>
                <w:sz w:val="24"/>
                <w:szCs w:val="24"/>
              </w:rPr>
              <w:t xml:space="preserve"> (mm</w:t>
            </w:r>
            <w:r w:rsidR="00CB58E9" w:rsidRPr="00C75422">
              <w:rPr>
                <w:sz w:val="24"/>
                <w:szCs w:val="24"/>
                <w:vertAlign w:val="superscript"/>
              </w:rPr>
              <w:t>2</w:t>
            </w:r>
            <w:r w:rsidR="00CB58E9" w:rsidRPr="00C75422">
              <w:rPr>
                <w:sz w:val="24"/>
                <w:szCs w:val="24"/>
              </w:rPr>
              <w:t>/h)</w:t>
            </w:r>
          </w:p>
        </w:tc>
        <w:tc>
          <w:tcPr>
            <w:tcW w:w="1260" w:type="dxa"/>
          </w:tcPr>
          <w:p w14:paraId="1BBB9DEB" w14:textId="77777777" w:rsidR="00CB58E9" w:rsidRDefault="00CB58E9" w:rsidP="005B467E">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260" w:type="dxa"/>
          </w:tcPr>
          <w:p w14:paraId="07A5EF0E" w14:textId="77777777" w:rsidR="00CB58E9" w:rsidRDefault="00CB58E9" w:rsidP="005B467E">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810" w:type="dxa"/>
          </w:tcPr>
          <w:p w14:paraId="03D0A5C9" w14:textId="77777777" w:rsidR="00CB58E9" w:rsidRPr="00C75422" w:rsidRDefault="00CB58E9" w:rsidP="005B467E">
            <w:pPr>
              <w:pStyle w:val="Paragraph"/>
              <w:spacing w:before="120" w:after="120"/>
              <w:ind w:left="-6" w:firstLine="6"/>
              <w:jc w:val="center"/>
              <w:rPr>
                <w:sz w:val="24"/>
                <w:szCs w:val="24"/>
              </w:rPr>
            </w:pPr>
            <m:oMathPara>
              <m:oMath>
                <m:r>
                  <m:rPr>
                    <m:sty m:val="bi"/>
                  </m:rPr>
                  <w:rPr>
                    <w:rFonts w:ascii="Cambria Math" w:hAnsi="Cambria Math"/>
                    <w:sz w:val="24"/>
                    <w:szCs w:val="24"/>
                  </w:rPr>
                  <m:t>μ</m:t>
                </m:r>
              </m:oMath>
            </m:oMathPara>
          </w:p>
        </w:tc>
        <w:tc>
          <w:tcPr>
            <w:tcW w:w="990" w:type="dxa"/>
          </w:tcPr>
          <w:p w14:paraId="7674BE3F" w14:textId="77777777" w:rsidR="00CB58E9" w:rsidRPr="00C75422" w:rsidRDefault="007B3686" w:rsidP="005B467E">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CB58E9" w:rsidRPr="00C75422">
              <w:rPr>
                <w:sz w:val="24"/>
                <w:szCs w:val="24"/>
              </w:rPr>
              <w:t xml:space="preserve"> (</w:t>
            </w:r>
            <w:proofErr w:type="gramStart"/>
            <w:r w:rsidR="00CB58E9">
              <w:rPr>
                <w:sz w:val="24"/>
                <w:szCs w:val="24"/>
              </w:rPr>
              <w:t>wt</w:t>
            </w:r>
            <w:proofErr w:type="gramEnd"/>
            <w:r w:rsidR="00CB58E9">
              <w:rPr>
                <w:sz w:val="24"/>
                <w:szCs w:val="24"/>
              </w:rPr>
              <w:t>.%</w:t>
            </w:r>
            <w:r w:rsidR="00CB58E9" w:rsidRPr="00C75422">
              <w:rPr>
                <w:sz w:val="24"/>
                <w:szCs w:val="24"/>
              </w:rPr>
              <w:t>)</w:t>
            </w:r>
          </w:p>
        </w:tc>
        <w:tc>
          <w:tcPr>
            <w:tcW w:w="1111" w:type="dxa"/>
          </w:tcPr>
          <w:p w14:paraId="77B379DC" w14:textId="77777777" w:rsidR="00CB58E9" w:rsidRPr="00CE7F96" w:rsidRDefault="00CB58E9" w:rsidP="005B467E">
            <w:pPr>
              <w:pStyle w:val="Paragraph"/>
              <w:spacing w:before="120" w:after="120"/>
              <w:ind w:hanging="18"/>
              <w:jc w:val="center"/>
              <w:rPr>
                <w:sz w:val="24"/>
                <w:szCs w:val="24"/>
              </w:rPr>
            </w:pPr>
            <w:r w:rsidRPr="00AD3FCB">
              <w:rPr>
                <w:sz w:val="24"/>
                <w:szCs w:val="24"/>
              </w:rPr>
              <w:t>RMS</w:t>
            </w:r>
            <w:r>
              <w:rPr>
                <w:sz w:val="24"/>
                <w:szCs w:val="24"/>
              </w:rPr>
              <w:t xml:space="preserve"> error (%)</w:t>
            </w:r>
          </w:p>
        </w:tc>
      </w:tr>
      <w:tr w:rsidR="00CB58E9" w:rsidRPr="005A3E52" w14:paraId="37865D6C" w14:textId="77777777" w:rsidTr="005B467E">
        <w:trPr>
          <w:trHeight w:val="350"/>
          <w:jc w:val="center"/>
        </w:trPr>
        <w:tc>
          <w:tcPr>
            <w:tcW w:w="1795" w:type="dxa"/>
          </w:tcPr>
          <w:p w14:paraId="0DFF56F7" w14:textId="77777777" w:rsidR="00CB58E9" w:rsidRPr="00C75422" w:rsidRDefault="00CB58E9" w:rsidP="005B467E">
            <w:pPr>
              <w:pStyle w:val="Paragraph"/>
              <w:spacing w:before="120" w:after="120"/>
              <w:ind w:firstLine="0"/>
              <w:jc w:val="center"/>
              <w:rPr>
                <w:b/>
                <w:sz w:val="24"/>
                <w:szCs w:val="24"/>
              </w:rPr>
            </w:pPr>
            <w:r>
              <w:rPr>
                <w:b/>
                <w:sz w:val="24"/>
                <w:szCs w:val="24"/>
              </w:rPr>
              <w:t>EPON 862 - 20%RH</w:t>
            </w:r>
          </w:p>
        </w:tc>
        <w:tc>
          <w:tcPr>
            <w:tcW w:w="1260" w:type="dxa"/>
            <w:vAlign w:val="center"/>
          </w:tcPr>
          <w:p w14:paraId="17B7FE6D" w14:textId="61E8A79F" w:rsidR="00CB58E9" w:rsidRPr="00295EB6" w:rsidRDefault="00CB58E9" w:rsidP="005B467E">
            <w:pPr>
              <w:pStyle w:val="Paragraph"/>
              <w:spacing w:before="120" w:after="120"/>
              <w:ind w:firstLine="0"/>
              <w:jc w:val="center"/>
              <w:rPr>
                <w:sz w:val="24"/>
                <w:szCs w:val="24"/>
              </w:rPr>
            </w:pPr>
            <w:r>
              <w:rPr>
                <w:sz w:val="24"/>
                <w:szCs w:val="24"/>
              </w:rPr>
              <w:t>1.63</w:t>
            </w:r>
            <w:r w:rsidR="003F56CD">
              <w:t>×</w:t>
            </w:r>
            <w:r w:rsidRPr="00295EB6">
              <w:rPr>
                <w:sz w:val="24"/>
                <w:szCs w:val="24"/>
              </w:rPr>
              <w:t>10</w:t>
            </w:r>
            <w:r>
              <w:rPr>
                <w:sz w:val="24"/>
                <w:szCs w:val="24"/>
                <w:vertAlign w:val="superscript"/>
              </w:rPr>
              <w:t>-3</w:t>
            </w:r>
          </w:p>
        </w:tc>
        <w:tc>
          <w:tcPr>
            <w:tcW w:w="1260" w:type="dxa"/>
            <w:vAlign w:val="center"/>
          </w:tcPr>
          <w:p w14:paraId="08A85406" w14:textId="27094760" w:rsidR="00CB58E9" w:rsidRPr="00295EB6" w:rsidRDefault="00CB58E9" w:rsidP="005B467E">
            <w:pPr>
              <w:pStyle w:val="Paragraph"/>
              <w:spacing w:before="120" w:after="120"/>
              <w:ind w:firstLine="0"/>
              <w:jc w:val="center"/>
              <w:rPr>
                <w:sz w:val="24"/>
                <w:szCs w:val="24"/>
              </w:rPr>
            </w:pPr>
            <w:r>
              <w:rPr>
                <w:sz w:val="24"/>
                <w:szCs w:val="24"/>
              </w:rPr>
              <w:t>8.05</w:t>
            </w:r>
            <w:r w:rsidR="003F56CD">
              <w:t>×</w:t>
            </w:r>
            <w:r w:rsidRPr="00295EB6">
              <w:rPr>
                <w:sz w:val="24"/>
                <w:szCs w:val="24"/>
              </w:rPr>
              <w:t>10</w:t>
            </w:r>
            <w:r w:rsidRPr="00295EB6">
              <w:rPr>
                <w:sz w:val="24"/>
                <w:szCs w:val="24"/>
                <w:vertAlign w:val="superscript"/>
              </w:rPr>
              <w:t>-</w:t>
            </w:r>
            <w:r>
              <w:rPr>
                <w:sz w:val="24"/>
                <w:szCs w:val="24"/>
                <w:vertAlign w:val="superscript"/>
              </w:rPr>
              <w:t>4</w:t>
            </w:r>
          </w:p>
        </w:tc>
        <w:tc>
          <w:tcPr>
            <w:tcW w:w="1260" w:type="dxa"/>
            <w:vAlign w:val="center"/>
          </w:tcPr>
          <w:p w14:paraId="3CAC150A" w14:textId="74DA297B" w:rsidR="00CB58E9" w:rsidRPr="00295EB6" w:rsidRDefault="00CB58E9" w:rsidP="005B467E">
            <w:pPr>
              <w:pStyle w:val="Paragraph"/>
              <w:spacing w:before="120" w:after="120"/>
              <w:ind w:firstLine="0"/>
              <w:jc w:val="center"/>
              <w:rPr>
                <w:sz w:val="24"/>
                <w:szCs w:val="24"/>
              </w:rPr>
            </w:pPr>
            <w:r>
              <w:rPr>
                <w:sz w:val="24"/>
                <w:szCs w:val="24"/>
              </w:rPr>
              <w:t>2.35</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30AFF694" w14:textId="77777777" w:rsidR="00CB58E9" w:rsidRPr="00295EB6" w:rsidRDefault="00CB58E9" w:rsidP="005B467E">
            <w:pPr>
              <w:pStyle w:val="Paragraph"/>
              <w:spacing w:before="120" w:after="120"/>
              <w:ind w:firstLine="0"/>
              <w:jc w:val="center"/>
              <w:rPr>
                <w:sz w:val="24"/>
                <w:szCs w:val="24"/>
              </w:rPr>
            </w:pPr>
            <w:r>
              <w:rPr>
                <w:sz w:val="24"/>
                <w:szCs w:val="24"/>
              </w:rPr>
              <w:t>0.292</w:t>
            </w:r>
          </w:p>
        </w:tc>
        <w:tc>
          <w:tcPr>
            <w:tcW w:w="990" w:type="dxa"/>
            <w:vAlign w:val="center"/>
          </w:tcPr>
          <w:p w14:paraId="69934C5A" w14:textId="77777777" w:rsidR="00CB58E9" w:rsidRPr="00295EB6" w:rsidRDefault="00CB58E9" w:rsidP="005B467E">
            <w:pPr>
              <w:pStyle w:val="Paragraph"/>
              <w:spacing w:before="120" w:after="120"/>
              <w:ind w:firstLine="0"/>
              <w:jc w:val="center"/>
              <w:rPr>
                <w:sz w:val="24"/>
                <w:szCs w:val="24"/>
              </w:rPr>
            </w:pPr>
            <w:r>
              <w:rPr>
                <w:sz w:val="24"/>
                <w:szCs w:val="24"/>
              </w:rPr>
              <w:t>0.44</w:t>
            </w:r>
          </w:p>
        </w:tc>
        <w:tc>
          <w:tcPr>
            <w:tcW w:w="1111" w:type="dxa"/>
            <w:vAlign w:val="center"/>
          </w:tcPr>
          <w:p w14:paraId="52E50890" w14:textId="77777777" w:rsidR="00CB58E9" w:rsidRPr="00295EB6" w:rsidRDefault="00CB58E9" w:rsidP="005B467E">
            <w:pPr>
              <w:pStyle w:val="Paragraph"/>
              <w:spacing w:before="120" w:after="120"/>
              <w:ind w:firstLine="0"/>
              <w:jc w:val="center"/>
              <w:rPr>
                <w:sz w:val="24"/>
                <w:szCs w:val="24"/>
              </w:rPr>
            </w:pPr>
            <w:r>
              <w:rPr>
                <w:sz w:val="24"/>
                <w:szCs w:val="24"/>
              </w:rPr>
              <w:t>0.26</w:t>
            </w:r>
          </w:p>
        </w:tc>
      </w:tr>
      <w:tr w:rsidR="00CB58E9" w:rsidRPr="005A3E52" w14:paraId="23E714EA" w14:textId="77777777" w:rsidTr="005B467E">
        <w:trPr>
          <w:trHeight w:val="350"/>
          <w:jc w:val="center"/>
        </w:trPr>
        <w:tc>
          <w:tcPr>
            <w:tcW w:w="1795" w:type="dxa"/>
          </w:tcPr>
          <w:p w14:paraId="38BABB4C" w14:textId="77777777" w:rsidR="00CB58E9" w:rsidRPr="00C75422" w:rsidRDefault="00CB58E9" w:rsidP="005B467E">
            <w:pPr>
              <w:pStyle w:val="Paragraph"/>
              <w:spacing w:before="120" w:after="120"/>
              <w:ind w:firstLine="0"/>
              <w:jc w:val="center"/>
              <w:rPr>
                <w:b/>
                <w:sz w:val="24"/>
                <w:szCs w:val="24"/>
              </w:rPr>
            </w:pPr>
            <w:r w:rsidRPr="003E6012">
              <w:rPr>
                <w:b/>
                <w:sz w:val="24"/>
                <w:szCs w:val="24"/>
              </w:rPr>
              <w:t xml:space="preserve">EPON 862 - </w:t>
            </w:r>
            <w:r>
              <w:rPr>
                <w:b/>
                <w:sz w:val="24"/>
                <w:szCs w:val="24"/>
              </w:rPr>
              <w:t>5</w:t>
            </w:r>
            <w:r w:rsidRPr="003E6012">
              <w:rPr>
                <w:b/>
                <w:sz w:val="24"/>
                <w:szCs w:val="24"/>
              </w:rPr>
              <w:t>0%RH</w:t>
            </w:r>
          </w:p>
        </w:tc>
        <w:tc>
          <w:tcPr>
            <w:tcW w:w="1260" w:type="dxa"/>
            <w:vAlign w:val="center"/>
          </w:tcPr>
          <w:p w14:paraId="6EB01BE3" w14:textId="05970790" w:rsidR="00CB58E9" w:rsidRPr="00295EB6" w:rsidRDefault="00CB58E9" w:rsidP="005B467E">
            <w:pPr>
              <w:pStyle w:val="Paragraph"/>
              <w:spacing w:before="120" w:after="120"/>
              <w:ind w:firstLine="0"/>
              <w:jc w:val="center"/>
              <w:rPr>
                <w:sz w:val="24"/>
                <w:szCs w:val="24"/>
              </w:rPr>
            </w:pPr>
            <w:r w:rsidRPr="001913EA">
              <w:rPr>
                <w:sz w:val="24"/>
                <w:szCs w:val="24"/>
              </w:rPr>
              <w:t>1.6</w:t>
            </w:r>
            <w:r>
              <w:rPr>
                <w:sz w:val="24"/>
                <w:szCs w:val="24"/>
              </w:rPr>
              <w:t>1</w:t>
            </w:r>
            <w:r w:rsidR="003F56CD">
              <w:t>×</w:t>
            </w:r>
            <w:r w:rsidRPr="001913EA">
              <w:rPr>
                <w:sz w:val="24"/>
                <w:szCs w:val="24"/>
              </w:rPr>
              <w:t>10</w:t>
            </w:r>
            <w:r w:rsidRPr="001913EA">
              <w:rPr>
                <w:sz w:val="24"/>
                <w:szCs w:val="24"/>
                <w:vertAlign w:val="superscript"/>
              </w:rPr>
              <w:t>-3</w:t>
            </w:r>
          </w:p>
        </w:tc>
        <w:tc>
          <w:tcPr>
            <w:tcW w:w="1260" w:type="dxa"/>
            <w:vAlign w:val="center"/>
          </w:tcPr>
          <w:p w14:paraId="752AC607" w14:textId="288F7093" w:rsidR="00CB58E9" w:rsidRPr="00295EB6" w:rsidRDefault="00CB58E9" w:rsidP="005B467E">
            <w:pPr>
              <w:pStyle w:val="Paragraph"/>
              <w:spacing w:before="120" w:after="120"/>
              <w:ind w:firstLine="0"/>
              <w:jc w:val="center"/>
              <w:rPr>
                <w:sz w:val="24"/>
                <w:szCs w:val="24"/>
              </w:rPr>
            </w:pPr>
            <w:r>
              <w:rPr>
                <w:sz w:val="24"/>
                <w:szCs w:val="24"/>
              </w:rPr>
              <w:t>7.61</w:t>
            </w:r>
            <w:r w:rsidR="003F56CD">
              <w:t>×</w:t>
            </w:r>
            <w:r w:rsidRPr="00295EB6">
              <w:rPr>
                <w:sz w:val="24"/>
                <w:szCs w:val="24"/>
              </w:rPr>
              <w:t>10</w:t>
            </w:r>
            <w:r w:rsidRPr="00295EB6">
              <w:rPr>
                <w:sz w:val="24"/>
                <w:szCs w:val="24"/>
                <w:vertAlign w:val="superscript"/>
              </w:rPr>
              <w:t>-</w:t>
            </w:r>
            <w:r>
              <w:rPr>
                <w:sz w:val="24"/>
                <w:szCs w:val="24"/>
                <w:vertAlign w:val="superscript"/>
              </w:rPr>
              <w:t>4</w:t>
            </w:r>
          </w:p>
        </w:tc>
        <w:tc>
          <w:tcPr>
            <w:tcW w:w="1260" w:type="dxa"/>
            <w:vAlign w:val="center"/>
          </w:tcPr>
          <w:p w14:paraId="04FBF069" w14:textId="71C49136" w:rsidR="00CB58E9" w:rsidRPr="00295EB6" w:rsidRDefault="00CB58E9" w:rsidP="005B467E">
            <w:pPr>
              <w:pStyle w:val="Paragraph"/>
              <w:spacing w:before="120" w:after="120"/>
              <w:ind w:firstLine="0"/>
              <w:jc w:val="center"/>
              <w:rPr>
                <w:sz w:val="24"/>
                <w:szCs w:val="24"/>
              </w:rPr>
            </w:pPr>
            <w:r>
              <w:rPr>
                <w:sz w:val="24"/>
                <w:szCs w:val="24"/>
              </w:rPr>
              <w:t>1.98</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504294FB" w14:textId="77777777" w:rsidR="00CB58E9" w:rsidRPr="00295EB6" w:rsidRDefault="00CB58E9" w:rsidP="005B467E">
            <w:pPr>
              <w:pStyle w:val="Paragraph"/>
              <w:spacing w:before="120" w:after="120"/>
              <w:ind w:firstLine="0"/>
              <w:jc w:val="center"/>
              <w:rPr>
                <w:sz w:val="24"/>
                <w:szCs w:val="24"/>
              </w:rPr>
            </w:pPr>
            <w:r>
              <w:rPr>
                <w:sz w:val="24"/>
                <w:szCs w:val="24"/>
              </w:rPr>
              <w:t>0.261</w:t>
            </w:r>
          </w:p>
        </w:tc>
        <w:tc>
          <w:tcPr>
            <w:tcW w:w="990" w:type="dxa"/>
            <w:vAlign w:val="center"/>
          </w:tcPr>
          <w:p w14:paraId="255A3ACD" w14:textId="77777777" w:rsidR="00CB58E9" w:rsidRPr="00295EB6" w:rsidRDefault="00CB58E9" w:rsidP="005B467E">
            <w:pPr>
              <w:pStyle w:val="Paragraph"/>
              <w:spacing w:before="120" w:after="120"/>
              <w:ind w:firstLine="0"/>
              <w:jc w:val="center"/>
              <w:rPr>
                <w:sz w:val="24"/>
                <w:szCs w:val="24"/>
              </w:rPr>
            </w:pPr>
            <w:r>
              <w:rPr>
                <w:sz w:val="24"/>
                <w:szCs w:val="24"/>
              </w:rPr>
              <w:t>0.85</w:t>
            </w:r>
          </w:p>
        </w:tc>
        <w:tc>
          <w:tcPr>
            <w:tcW w:w="1111" w:type="dxa"/>
            <w:vAlign w:val="center"/>
          </w:tcPr>
          <w:p w14:paraId="118E873E" w14:textId="77777777" w:rsidR="00CB58E9" w:rsidRPr="00295EB6" w:rsidRDefault="00CB58E9" w:rsidP="005B467E">
            <w:pPr>
              <w:pStyle w:val="Paragraph"/>
              <w:spacing w:before="120" w:after="120"/>
              <w:ind w:firstLine="0"/>
              <w:jc w:val="center"/>
              <w:rPr>
                <w:sz w:val="24"/>
                <w:szCs w:val="24"/>
              </w:rPr>
            </w:pPr>
            <w:r w:rsidRPr="00EB7B00">
              <w:rPr>
                <w:sz w:val="24"/>
                <w:szCs w:val="24"/>
              </w:rPr>
              <w:t>0.26</w:t>
            </w:r>
          </w:p>
        </w:tc>
      </w:tr>
      <w:tr w:rsidR="00CB58E9" w:rsidRPr="005A3E52" w14:paraId="69719249" w14:textId="77777777" w:rsidTr="005B467E">
        <w:trPr>
          <w:trHeight w:val="350"/>
          <w:jc w:val="center"/>
        </w:trPr>
        <w:tc>
          <w:tcPr>
            <w:tcW w:w="1795" w:type="dxa"/>
          </w:tcPr>
          <w:p w14:paraId="731A221B" w14:textId="77777777" w:rsidR="00CB58E9" w:rsidRPr="00C75422" w:rsidRDefault="00CB58E9" w:rsidP="005B467E">
            <w:pPr>
              <w:pStyle w:val="Paragraph"/>
              <w:spacing w:before="120" w:after="120"/>
              <w:ind w:firstLine="0"/>
              <w:jc w:val="center"/>
              <w:rPr>
                <w:b/>
                <w:sz w:val="24"/>
                <w:szCs w:val="24"/>
              </w:rPr>
            </w:pPr>
            <w:r w:rsidRPr="003E6012">
              <w:rPr>
                <w:b/>
                <w:sz w:val="24"/>
                <w:szCs w:val="24"/>
              </w:rPr>
              <w:t xml:space="preserve">EPON 862 - </w:t>
            </w:r>
            <w:r>
              <w:rPr>
                <w:b/>
                <w:sz w:val="24"/>
                <w:szCs w:val="24"/>
              </w:rPr>
              <w:t>8</w:t>
            </w:r>
            <w:r w:rsidRPr="003E6012">
              <w:rPr>
                <w:b/>
                <w:sz w:val="24"/>
                <w:szCs w:val="24"/>
              </w:rPr>
              <w:t>0%RH</w:t>
            </w:r>
          </w:p>
        </w:tc>
        <w:tc>
          <w:tcPr>
            <w:tcW w:w="1260" w:type="dxa"/>
            <w:vAlign w:val="center"/>
          </w:tcPr>
          <w:p w14:paraId="4C9B627D" w14:textId="329D1551" w:rsidR="00CB58E9" w:rsidRPr="00295EB6" w:rsidRDefault="00CB58E9" w:rsidP="005B467E">
            <w:pPr>
              <w:pStyle w:val="Paragraph"/>
              <w:spacing w:before="120" w:after="120"/>
              <w:ind w:firstLine="0"/>
              <w:jc w:val="center"/>
              <w:rPr>
                <w:sz w:val="24"/>
                <w:szCs w:val="24"/>
              </w:rPr>
            </w:pPr>
            <w:r>
              <w:rPr>
                <w:sz w:val="24"/>
                <w:szCs w:val="24"/>
              </w:rPr>
              <w:t>1.59</w:t>
            </w:r>
            <w:r w:rsidR="003F56CD">
              <w:t>×</w:t>
            </w:r>
            <w:r w:rsidRPr="001913EA">
              <w:rPr>
                <w:sz w:val="24"/>
                <w:szCs w:val="24"/>
              </w:rPr>
              <w:t>10</w:t>
            </w:r>
            <w:r w:rsidRPr="001913EA">
              <w:rPr>
                <w:sz w:val="24"/>
                <w:szCs w:val="24"/>
                <w:vertAlign w:val="superscript"/>
              </w:rPr>
              <w:t>-3</w:t>
            </w:r>
          </w:p>
        </w:tc>
        <w:tc>
          <w:tcPr>
            <w:tcW w:w="1260" w:type="dxa"/>
            <w:vAlign w:val="center"/>
          </w:tcPr>
          <w:p w14:paraId="001E38D8" w14:textId="06B82919" w:rsidR="00CB58E9" w:rsidRPr="00295EB6" w:rsidRDefault="00CB58E9" w:rsidP="005B467E">
            <w:pPr>
              <w:pStyle w:val="Paragraph"/>
              <w:spacing w:before="120" w:after="120"/>
              <w:ind w:firstLine="0"/>
              <w:jc w:val="center"/>
              <w:rPr>
                <w:sz w:val="24"/>
                <w:szCs w:val="24"/>
              </w:rPr>
            </w:pPr>
            <w:r>
              <w:rPr>
                <w:sz w:val="24"/>
                <w:szCs w:val="24"/>
              </w:rPr>
              <w:t>7.25</w:t>
            </w:r>
            <w:r w:rsidR="003F56CD">
              <w:t>×</w:t>
            </w:r>
            <w:r w:rsidRPr="00295EB6">
              <w:rPr>
                <w:sz w:val="24"/>
                <w:szCs w:val="24"/>
              </w:rPr>
              <w:t>10</w:t>
            </w:r>
            <w:r w:rsidRPr="00295EB6">
              <w:rPr>
                <w:sz w:val="24"/>
                <w:szCs w:val="24"/>
                <w:vertAlign w:val="superscript"/>
              </w:rPr>
              <w:t>-</w:t>
            </w:r>
            <w:r>
              <w:rPr>
                <w:sz w:val="24"/>
                <w:szCs w:val="24"/>
                <w:vertAlign w:val="superscript"/>
              </w:rPr>
              <w:t>4</w:t>
            </w:r>
          </w:p>
        </w:tc>
        <w:tc>
          <w:tcPr>
            <w:tcW w:w="1260" w:type="dxa"/>
            <w:vAlign w:val="center"/>
          </w:tcPr>
          <w:p w14:paraId="22776B5F" w14:textId="35D92FA1" w:rsidR="00CB58E9" w:rsidRPr="00295EB6" w:rsidRDefault="00CB58E9" w:rsidP="005B467E">
            <w:pPr>
              <w:pStyle w:val="Paragraph"/>
              <w:spacing w:before="120" w:after="120"/>
              <w:ind w:firstLine="0"/>
              <w:jc w:val="center"/>
              <w:rPr>
                <w:sz w:val="24"/>
                <w:szCs w:val="24"/>
              </w:rPr>
            </w:pPr>
            <w:r>
              <w:rPr>
                <w:sz w:val="24"/>
                <w:szCs w:val="24"/>
              </w:rPr>
              <w:t>1.41</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5A5ED821" w14:textId="77777777" w:rsidR="00CB58E9" w:rsidRPr="00295EB6" w:rsidRDefault="00CB58E9" w:rsidP="005B467E">
            <w:pPr>
              <w:pStyle w:val="Paragraph"/>
              <w:spacing w:before="120" w:after="120"/>
              <w:ind w:firstLine="0"/>
              <w:jc w:val="center"/>
              <w:rPr>
                <w:sz w:val="24"/>
                <w:szCs w:val="24"/>
              </w:rPr>
            </w:pPr>
            <w:r>
              <w:rPr>
                <w:sz w:val="24"/>
                <w:szCs w:val="24"/>
              </w:rPr>
              <w:t>0.194</w:t>
            </w:r>
          </w:p>
        </w:tc>
        <w:tc>
          <w:tcPr>
            <w:tcW w:w="990" w:type="dxa"/>
            <w:vAlign w:val="center"/>
          </w:tcPr>
          <w:p w14:paraId="03965032" w14:textId="77777777" w:rsidR="00CB58E9" w:rsidRPr="00295EB6" w:rsidRDefault="00CB58E9" w:rsidP="005B467E">
            <w:pPr>
              <w:pStyle w:val="Paragraph"/>
              <w:spacing w:before="120" w:after="120"/>
              <w:ind w:firstLine="0"/>
              <w:jc w:val="center"/>
              <w:rPr>
                <w:sz w:val="24"/>
                <w:szCs w:val="24"/>
              </w:rPr>
            </w:pPr>
            <w:r>
              <w:rPr>
                <w:sz w:val="24"/>
                <w:szCs w:val="24"/>
              </w:rPr>
              <w:t>1.62</w:t>
            </w:r>
          </w:p>
        </w:tc>
        <w:tc>
          <w:tcPr>
            <w:tcW w:w="1111" w:type="dxa"/>
            <w:vAlign w:val="center"/>
          </w:tcPr>
          <w:p w14:paraId="388F3859" w14:textId="77777777" w:rsidR="00CB58E9" w:rsidRPr="00295EB6" w:rsidRDefault="00CB58E9" w:rsidP="005B467E">
            <w:pPr>
              <w:pStyle w:val="Paragraph"/>
              <w:spacing w:before="120" w:after="120"/>
              <w:ind w:firstLine="0"/>
              <w:jc w:val="center"/>
              <w:rPr>
                <w:sz w:val="24"/>
                <w:szCs w:val="24"/>
              </w:rPr>
            </w:pPr>
            <w:r w:rsidRPr="00EB7B00">
              <w:rPr>
                <w:sz w:val="24"/>
                <w:szCs w:val="24"/>
              </w:rPr>
              <w:t>0.26</w:t>
            </w:r>
          </w:p>
        </w:tc>
      </w:tr>
      <w:tr w:rsidR="00CB58E9" w:rsidRPr="005A3E52" w14:paraId="0D9FB6E2" w14:textId="77777777" w:rsidTr="005B467E">
        <w:trPr>
          <w:trHeight w:val="350"/>
          <w:jc w:val="center"/>
        </w:trPr>
        <w:tc>
          <w:tcPr>
            <w:tcW w:w="1795" w:type="dxa"/>
          </w:tcPr>
          <w:p w14:paraId="4505E032" w14:textId="77777777" w:rsidR="00CB58E9" w:rsidRPr="00C75422" w:rsidRDefault="00CB58E9" w:rsidP="005B467E">
            <w:pPr>
              <w:pStyle w:val="Paragraph"/>
              <w:spacing w:before="120" w:after="120"/>
              <w:ind w:firstLine="0"/>
              <w:jc w:val="center"/>
              <w:rPr>
                <w:b/>
                <w:sz w:val="24"/>
                <w:szCs w:val="24"/>
              </w:rPr>
            </w:pPr>
            <w:r w:rsidRPr="003E6012">
              <w:rPr>
                <w:b/>
                <w:sz w:val="24"/>
                <w:szCs w:val="24"/>
              </w:rPr>
              <w:t xml:space="preserve">EPON 862 - </w:t>
            </w:r>
            <w:r>
              <w:rPr>
                <w:b/>
                <w:sz w:val="24"/>
                <w:szCs w:val="24"/>
              </w:rPr>
              <w:t>Immersion</w:t>
            </w:r>
          </w:p>
        </w:tc>
        <w:tc>
          <w:tcPr>
            <w:tcW w:w="1260" w:type="dxa"/>
            <w:vAlign w:val="center"/>
          </w:tcPr>
          <w:p w14:paraId="0D76CAAA" w14:textId="240B4AA1" w:rsidR="00CB58E9" w:rsidRPr="00295EB6" w:rsidRDefault="00CB58E9" w:rsidP="005B467E">
            <w:pPr>
              <w:pStyle w:val="Paragraph"/>
              <w:spacing w:before="120" w:after="120"/>
              <w:ind w:firstLine="0"/>
              <w:jc w:val="center"/>
              <w:rPr>
                <w:sz w:val="24"/>
                <w:szCs w:val="24"/>
              </w:rPr>
            </w:pPr>
            <w:r>
              <w:rPr>
                <w:sz w:val="24"/>
                <w:szCs w:val="24"/>
              </w:rPr>
              <w:t>1.57</w:t>
            </w:r>
            <w:r w:rsidR="003F56CD">
              <w:t>×</w:t>
            </w:r>
            <w:r w:rsidRPr="001913EA">
              <w:rPr>
                <w:sz w:val="24"/>
                <w:szCs w:val="24"/>
              </w:rPr>
              <w:t>10</w:t>
            </w:r>
            <w:r w:rsidRPr="001913EA">
              <w:rPr>
                <w:sz w:val="24"/>
                <w:szCs w:val="24"/>
                <w:vertAlign w:val="superscript"/>
              </w:rPr>
              <w:t>-3</w:t>
            </w:r>
          </w:p>
        </w:tc>
        <w:tc>
          <w:tcPr>
            <w:tcW w:w="1260" w:type="dxa"/>
            <w:vAlign w:val="center"/>
          </w:tcPr>
          <w:p w14:paraId="21498FD6" w14:textId="4C293F70" w:rsidR="00CB58E9" w:rsidRPr="00295EB6" w:rsidRDefault="00CB58E9" w:rsidP="005B467E">
            <w:pPr>
              <w:pStyle w:val="Paragraph"/>
              <w:spacing w:before="120" w:after="120"/>
              <w:ind w:firstLine="0"/>
              <w:jc w:val="center"/>
              <w:rPr>
                <w:sz w:val="24"/>
                <w:szCs w:val="24"/>
              </w:rPr>
            </w:pPr>
            <w:r>
              <w:rPr>
                <w:sz w:val="24"/>
                <w:szCs w:val="24"/>
              </w:rPr>
              <w:t>6.99</w:t>
            </w:r>
            <w:r w:rsidR="003F56CD">
              <w:t>×</w:t>
            </w:r>
            <w:r w:rsidRPr="00295EB6">
              <w:rPr>
                <w:sz w:val="24"/>
                <w:szCs w:val="24"/>
              </w:rPr>
              <w:t>10</w:t>
            </w:r>
            <w:r w:rsidRPr="00295EB6">
              <w:rPr>
                <w:sz w:val="24"/>
                <w:szCs w:val="24"/>
                <w:vertAlign w:val="superscript"/>
              </w:rPr>
              <w:t>-</w:t>
            </w:r>
            <w:r>
              <w:rPr>
                <w:sz w:val="24"/>
                <w:szCs w:val="24"/>
                <w:vertAlign w:val="superscript"/>
              </w:rPr>
              <w:t>4</w:t>
            </w:r>
          </w:p>
        </w:tc>
        <w:tc>
          <w:tcPr>
            <w:tcW w:w="1260" w:type="dxa"/>
            <w:vAlign w:val="center"/>
          </w:tcPr>
          <w:p w14:paraId="1E1FC170" w14:textId="1DC1E79A" w:rsidR="00CB58E9" w:rsidRPr="00295EB6" w:rsidRDefault="00CB58E9" w:rsidP="005B467E">
            <w:pPr>
              <w:pStyle w:val="Paragraph"/>
              <w:spacing w:before="120" w:after="120"/>
              <w:ind w:firstLine="0"/>
              <w:jc w:val="center"/>
              <w:rPr>
                <w:sz w:val="24"/>
                <w:szCs w:val="24"/>
              </w:rPr>
            </w:pPr>
            <w:r>
              <w:rPr>
                <w:sz w:val="24"/>
                <w:szCs w:val="24"/>
              </w:rPr>
              <w:t>1.11</w:t>
            </w:r>
            <w:r w:rsidR="003F56CD">
              <w:rPr>
                <w:sz w:val="24"/>
                <w:szCs w:val="24"/>
              </w:rPr>
              <w:t>×</w:t>
            </w:r>
            <w:r w:rsidRPr="00295EB6">
              <w:rPr>
                <w:sz w:val="24"/>
                <w:szCs w:val="24"/>
              </w:rPr>
              <w:t>10</w:t>
            </w:r>
            <w:r w:rsidRPr="00295EB6">
              <w:rPr>
                <w:sz w:val="24"/>
                <w:szCs w:val="24"/>
                <w:vertAlign w:val="superscript"/>
              </w:rPr>
              <w:t>-4</w:t>
            </w:r>
          </w:p>
        </w:tc>
        <w:tc>
          <w:tcPr>
            <w:tcW w:w="810" w:type="dxa"/>
            <w:vAlign w:val="center"/>
          </w:tcPr>
          <w:p w14:paraId="434C9E1C" w14:textId="77777777" w:rsidR="00CB58E9" w:rsidRPr="00295EB6" w:rsidRDefault="00CB58E9" w:rsidP="005B467E">
            <w:pPr>
              <w:pStyle w:val="Paragraph"/>
              <w:spacing w:before="120" w:after="120"/>
              <w:ind w:firstLine="0"/>
              <w:jc w:val="center"/>
              <w:rPr>
                <w:sz w:val="24"/>
                <w:szCs w:val="24"/>
              </w:rPr>
            </w:pPr>
            <w:r>
              <w:rPr>
                <w:sz w:val="24"/>
                <w:szCs w:val="24"/>
              </w:rPr>
              <w:t>0.158</w:t>
            </w:r>
          </w:p>
        </w:tc>
        <w:tc>
          <w:tcPr>
            <w:tcW w:w="990" w:type="dxa"/>
            <w:vAlign w:val="center"/>
          </w:tcPr>
          <w:p w14:paraId="6D5A6964" w14:textId="77777777" w:rsidR="00CB58E9" w:rsidRPr="00295EB6" w:rsidRDefault="00CB58E9" w:rsidP="005B467E">
            <w:pPr>
              <w:pStyle w:val="Paragraph"/>
              <w:spacing w:before="120" w:after="120"/>
              <w:ind w:firstLine="0"/>
              <w:jc w:val="center"/>
              <w:rPr>
                <w:sz w:val="24"/>
                <w:szCs w:val="24"/>
              </w:rPr>
            </w:pPr>
            <w:r>
              <w:rPr>
                <w:sz w:val="24"/>
                <w:szCs w:val="24"/>
              </w:rPr>
              <w:t>2.18</w:t>
            </w:r>
          </w:p>
        </w:tc>
        <w:tc>
          <w:tcPr>
            <w:tcW w:w="1111" w:type="dxa"/>
            <w:vAlign w:val="center"/>
          </w:tcPr>
          <w:p w14:paraId="408A1DA2" w14:textId="77777777" w:rsidR="00CB58E9" w:rsidRPr="00295EB6" w:rsidRDefault="00CB58E9" w:rsidP="005B467E">
            <w:pPr>
              <w:pStyle w:val="Paragraph"/>
              <w:spacing w:before="120" w:after="120"/>
              <w:ind w:firstLine="0"/>
              <w:jc w:val="center"/>
              <w:rPr>
                <w:sz w:val="24"/>
                <w:szCs w:val="24"/>
              </w:rPr>
            </w:pPr>
            <w:r w:rsidRPr="00EB7B00">
              <w:rPr>
                <w:sz w:val="24"/>
                <w:szCs w:val="24"/>
              </w:rPr>
              <w:t>0.26</w:t>
            </w:r>
          </w:p>
        </w:tc>
      </w:tr>
    </w:tbl>
    <w:p w14:paraId="4337A636" w14:textId="77777777" w:rsidR="00CB58E9" w:rsidRDefault="00CB58E9" w:rsidP="00682F7B"/>
    <w:p w14:paraId="0B67366B" w14:textId="650C23CC" w:rsidR="00CF4F05" w:rsidRDefault="00CF4F05" w:rsidP="00682F7B">
      <w:pPr>
        <w:rPr>
          <w:rFonts w:cs="Times New Roman"/>
          <w:szCs w:val="24"/>
        </w:rPr>
      </w:pPr>
      <w:r>
        <w:rPr>
          <w:rFonts w:cs="Times New Roman"/>
          <w:szCs w:val="24"/>
        </w:rPr>
        <w:t xml:space="preserve">In </w:t>
      </w:r>
      <w:r>
        <w:rPr>
          <w:rFonts w:cs="Times New Roman"/>
          <w:szCs w:val="24"/>
        </w:rPr>
        <w:fldChar w:fldCharType="begin"/>
      </w:r>
      <w:r>
        <w:rPr>
          <w:rFonts w:cs="Times New Roman"/>
          <w:szCs w:val="24"/>
        </w:rPr>
        <w:instrText xml:space="preserve"> REF _Ref528230148 \h </w:instrText>
      </w:r>
      <w:r w:rsidR="00682F7B">
        <w:rPr>
          <w:rFonts w:cs="Times New Roman"/>
          <w:szCs w:val="24"/>
        </w:rPr>
        <w:instrText xml:space="preserve"> \* MERGEFORMAT </w:instrText>
      </w:r>
      <w:r>
        <w:rPr>
          <w:rFonts w:cs="Times New Roman"/>
          <w:szCs w:val="24"/>
        </w:rPr>
      </w:r>
      <w:r>
        <w:rPr>
          <w:rFonts w:cs="Times New Roman"/>
          <w:szCs w:val="24"/>
        </w:rPr>
        <w:fldChar w:fldCharType="separate"/>
      </w:r>
      <w:r w:rsidR="006D52C2">
        <w:t xml:space="preserve">Figure </w:t>
      </w:r>
      <w:r w:rsidR="006D52C2">
        <w:rPr>
          <w:noProof/>
        </w:rPr>
        <w:t>68</w:t>
      </w:r>
      <w:r>
        <w:rPr>
          <w:rFonts w:cs="Times New Roman"/>
          <w:szCs w:val="24"/>
        </w:rPr>
        <w:fldChar w:fldCharType="end"/>
      </w:r>
      <w:r>
        <w:rPr>
          <w:rFonts w:cs="Times New Roman"/>
          <w:szCs w:val="24"/>
        </w:rPr>
        <w:t xml:space="preserve">, the thermogravimetric data of EPON 862 at 20%, 50%, 80%, and 100% (distilled water immersion) relative humidity and one-dimensional hindered diffusion model predictions are shown. </w:t>
      </w:r>
      <w:r>
        <w:t xml:space="preserve">As in compliance with the root mean square error per data point values in </w:t>
      </w:r>
      <w:r>
        <w:fldChar w:fldCharType="begin"/>
      </w:r>
      <w:r>
        <w:instrText xml:space="preserve"> REF _Ref528228884 \h </w:instrText>
      </w:r>
      <w:r w:rsidR="00682F7B">
        <w:instrText xml:space="preserve"> \* MERGEFORMAT </w:instrText>
      </w:r>
      <w:r>
        <w:fldChar w:fldCharType="separate"/>
      </w:r>
      <w:r w:rsidR="006D52C2">
        <w:t xml:space="preserve">Table </w:t>
      </w:r>
      <w:r w:rsidR="006D52C2">
        <w:rPr>
          <w:noProof/>
        </w:rPr>
        <w:t>13</w:t>
      </w:r>
      <w:r>
        <w:fldChar w:fldCharType="end"/>
      </w:r>
      <w:r>
        <w:t>, one-dimensional hindered diffusion model has predicted each case successfully.</w:t>
      </w:r>
      <w:r w:rsidR="00615B1F">
        <w:t xml:space="preserve"> The change in the absorption behavior due to relative humidity illustrates the effects of the driving force. To further investigate the driving force effects, the change in each absorption parameters via relative humidity is plotted.</w:t>
      </w:r>
    </w:p>
    <w:p w14:paraId="48F0429A" w14:textId="651D771F" w:rsidR="00CB58E9" w:rsidRDefault="00615B1F" w:rsidP="00682F7B">
      <w:r>
        <w:t xml:space="preserve">The change of diffusion coefficient with respect to the relative humidity of the environment is illustrated in </w:t>
      </w:r>
      <w:r>
        <w:fldChar w:fldCharType="begin"/>
      </w:r>
      <w:r>
        <w:instrText xml:space="preserve"> REF _Ref528236155 \h </w:instrText>
      </w:r>
      <w:r w:rsidR="00682F7B">
        <w:instrText xml:space="preserve"> \* MERGEFORMAT </w:instrText>
      </w:r>
      <w:r>
        <w:fldChar w:fldCharType="separate"/>
      </w:r>
      <w:r w:rsidR="006D52C2">
        <w:t xml:space="preserve">Figure </w:t>
      </w:r>
      <w:r w:rsidR="006D52C2">
        <w:rPr>
          <w:noProof/>
        </w:rPr>
        <w:t>69</w:t>
      </w:r>
      <w:r>
        <w:fldChar w:fldCharType="end"/>
      </w:r>
      <w:r>
        <w:t xml:space="preserve">. </w:t>
      </w:r>
      <w:r w:rsidR="005B467E">
        <w:t xml:space="preserve">Although an obvious linear decrease in diffusivity due to the increasing relative humidity is observed, the slope in the order of </w:t>
      </w:r>
      <m:oMath>
        <m:sSup>
          <m:sSupPr>
            <m:ctrlPr>
              <w:rPr>
                <w:rFonts w:ascii="Cambria Math" w:hAnsi="Cambria Math"/>
                <w:i/>
              </w:rPr>
            </m:ctrlPr>
          </m:sSupPr>
          <m:e>
            <m:r>
              <w:rPr>
                <w:rFonts w:ascii="Cambria Math" w:hAnsi="Cambria Math"/>
              </w:rPr>
              <m:t>10</m:t>
            </m:r>
          </m:e>
          <m:sup>
            <m:r>
              <w:rPr>
                <w:rFonts w:ascii="Cambria Math" w:hAnsi="Cambria Math"/>
              </w:rPr>
              <m:t>-7</m:t>
            </m:r>
          </m:sup>
        </m:sSup>
      </m:oMath>
      <w:r w:rsidR="005B467E">
        <w:t xml:space="preserve"> suggests that the change in diffusivity may be considered negligible. </w:t>
      </w:r>
    </w:p>
    <w:p w14:paraId="4437F7BE" w14:textId="77777777" w:rsidR="00CB58E9" w:rsidRPr="00716982" w:rsidRDefault="00CB58E9" w:rsidP="00CB58E9"/>
    <w:p w14:paraId="32282025" w14:textId="77777777" w:rsidR="00CB58E9" w:rsidRDefault="00CB58E9" w:rsidP="00CB58E9">
      <w:pPr>
        <w:pStyle w:val="NoSpacing"/>
      </w:pPr>
      <w:r>
        <w:rPr>
          <w:noProof/>
          <w:lang w:bidi="ar-SA"/>
        </w:rPr>
        <w:lastRenderedPageBreak/>
        <w:drawing>
          <wp:inline distT="0" distB="0" distL="0" distR="0" wp14:anchorId="30DACE28" wp14:editId="5523AA66">
            <wp:extent cx="5028109" cy="3657600"/>
            <wp:effectExtent l="0" t="0" r="1270" b="0"/>
            <wp:docPr id="4166" name="Picture 4166" descr="C:\Users\Administrator\Desktop\proje\PhD Dissertation\Modulus Study\Relative Humidity Analysis\Absorp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Modulus Study\Relative Humidity Analysis\Absorption.t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8109" cy="3657600"/>
                    </a:xfrm>
                    <a:prstGeom prst="rect">
                      <a:avLst/>
                    </a:prstGeom>
                    <a:noFill/>
                    <a:ln>
                      <a:noFill/>
                    </a:ln>
                  </pic:spPr>
                </pic:pic>
              </a:graphicData>
            </a:graphic>
          </wp:inline>
        </w:drawing>
      </w:r>
    </w:p>
    <w:p w14:paraId="7AAC6210" w14:textId="1EF42103" w:rsidR="00F25256" w:rsidRDefault="00CB58E9" w:rsidP="00F25256">
      <w:pPr>
        <w:pStyle w:val="Caption"/>
      </w:pPr>
      <w:bookmarkStart w:id="319" w:name="_Ref528230148"/>
      <w:bookmarkStart w:id="320" w:name="_Toc530997424"/>
      <w:r>
        <w:t xml:space="preserve">Figure </w:t>
      </w:r>
      <w:r>
        <w:rPr>
          <w:noProof/>
        </w:rPr>
        <w:fldChar w:fldCharType="begin"/>
      </w:r>
      <w:r>
        <w:rPr>
          <w:noProof/>
        </w:rPr>
        <w:instrText xml:space="preserve"> SEQ Figure \* ARABIC </w:instrText>
      </w:r>
      <w:r>
        <w:rPr>
          <w:noProof/>
        </w:rPr>
        <w:fldChar w:fldCharType="separate"/>
      </w:r>
      <w:r w:rsidR="006D52C2">
        <w:rPr>
          <w:noProof/>
        </w:rPr>
        <w:t>68</w:t>
      </w:r>
      <w:r>
        <w:rPr>
          <w:noProof/>
        </w:rPr>
        <w:fldChar w:fldCharType="end"/>
      </w:r>
      <w:bookmarkEnd w:id="319"/>
      <w:r>
        <w:t xml:space="preserve">. </w:t>
      </w:r>
      <w:r w:rsidR="00F25256">
        <w:t>Mass gain data and 1DHDM predictions of EPON 862 at Different Relative Humidity</w:t>
      </w:r>
      <w:bookmarkEnd w:id="320"/>
    </w:p>
    <w:p w14:paraId="48660967" w14:textId="77777777" w:rsidR="00CB58E9" w:rsidRDefault="00CB58E9" w:rsidP="00CB58E9">
      <w:pPr>
        <w:pStyle w:val="Caption"/>
      </w:pPr>
    </w:p>
    <w:p w14:paraId="6408D128" w14:textId="77777777" w:rsidR="00CB58E9" w:rsidRDefault="00CB58E9" w:rsidP="00CB58E9">
      <w:pPr>
        <w:pStyle w:val="NoSpacing"/>
        <w:rPr>
          <w:szCs w:val="24"/>
        </w:rPr>
      </w:pPr>
      <w:r w:rsidRPr="000F042F">
        <w:rPr>
          <w:noProof/>
          <w:lang w:bidi="ar-SA"/>
        </w:rPr>
        <w:drawing>
          <wp:inline distT="0" distB="0" distL="0" distR="0" wp14:anchorId="544CEB09" wp14:editId="25E1AC43">
            <wp:extent cx="5394960" cy="2606040"/>
            <wp:effectExtent l="0" t="0" r="0" b="3810"/>
            <wp:docPr id="4173" name="Chart 4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706532A2" w14:textId="217A36A1" w:rsidR="00615B1F" w:rsidRDefault="00615B1F" w:rsidP="00615B1F">
      <w:pPr>
        <w:pStyle w:val="Caption"/>
      </w:pPr>
      <w:bookmarkStart w:id="321" w:name="_Ref528236155"/>
      <w:bookmarkStart w:id="322" w:name="_Toc530997425"/>
      <w:r>
        <w:t xml:space="preserve">Figure </w:t>
      </w:r>
      <w:r w:rsidR="00F7361D">
        <w:rPr>
          <w:noProof/>
        </w:rPr>
        <w:fldChar w:fldCharType="begin"/>
      </w:r>
      <w:r w:rsidR="00F7361D">
        <w:rPr>
          <w:noProof/>
        </w:rPr>
        <w:instrText xml:space="preserve"> SEQ Figure \* ARABIC </w:instrText>
      </w:r>
      <w:r w:rsidR="00F7361D">
        <w:rPr>
          <w:noProof/>
        </w:rPr>
        <w:fldChar w:fldCharType="separate"/>
      </w:r>
      <w:r w:rsidR="006D52C2">
        <w:rPr>
          <w:noProof/>
        </w:rPr>
        <w:t>69</w:t>
      </w:r>
      <w:r w:rsidR="00F7361D">
        <w:rPr>
          <w:noProof/>
        </w:rPr>
        <w:fldChar w:fldCharType="end"/>
      </w:r>
      <w:bookmarkEnd w:id="321"/>
      <w:r>
        <w:t>. Change of diffusion coefficients with relative humidity</w:t>
      </w:r>
      <w:bookmarkEnd w:id="322"/>
    </w:p>
    <w:p w14:paraId="50C1205B" w14:textId="77777777" w:rsidR="00682F7B" w:rsidRPr="00682F7B" w:rsidRDefault="00682F7B" w:rsidP="00682F7B"/>
    <w:p w14:paraId="228D0374" w14:textId="114F5E05" w:rsidR="005B467E" w:rsidRPr="00F91036" w:rsidRDefault="005B467E" w:rsidP="00682F7B">
      <w:r>
        <w:t xml:space="preserve">In </w:t>
      </w:r>
      <w:r>
        <w:fldChar w:fldCharType="begin"/>
      </w:r>
      <w:r>
        <w:instrText xml:space="preserve"> REF _Ref528237927 \h </w:instrText>
      </w:r>
      <w:r w:rsidR="00682F7B">
        <w:instrText xml:space="preserve"> \* MERGEFORMAT </w:instrText>
      </w:r>
      <w:r>
        <w:fldChar w:fldCharType="separate"/>
      </w:r>
      <w:r w:rsidR="006D52C2">
        <w:t xml:space="preserve">Figure </w:t>
      </w:r>
      <w:r w:rsidR="006D52C2">
        <w:rPr>
          <w:noProof/>
        </w:rPr>
        <w:t>70</w:t>
      </w:r>
      <w:r>
        <w:fldChar w:fldCharType="end"/>
      </w:r>
      <w:r>
        <w:t xml:space="preserve">, the linear increase of maximum moisture content with respect to the relative humidity is illustrated. As in compliance with the suggested theory, the maximum moisture content increases </w:t>
      </w:r>
      <w:r w:rsidR="002275BC">
        <w:t xml:space="preserve">linearly </w:t>
      </w:r>
      <w:r>
        <w:t xml:space="preserve">with increasing relative humidity. Saturation of a slab </w:t>
      </w:r>
      <w:r>
        <w:lastRenderedPageBreak/>
        <w:t xml:space="preserve">only occurs once the flux of moisture going in to the slab from the environment is equal to the flux of moisture going out. </w:t>
      </w:r>
      <w:r w:rsidR="00F91036">
        <w:t xml:space="preserve">That dynamic equilibrium is </w:t>
      </w:r>
      <w:r w:rsidR="00BA1AD9">
        <w:t>reached</w:t>
      </w:r>
      <w:r w:rsidR="00F91036">
        <w:t xml:space="preserve"> once the concentration of moisture molecule</w:t>
      </w:r>
      <w:r w:rsidR="002275BC">
        <w:t>s</w:t>
      </w:r>
      <w:r w:rsidR="00F91036">
        <w:t xml:space="preserve"> in the air is equal to the moisture concentration in the solid. Since the relative humidity is a measure of the moisture concentration in the air, a linear change between the relative humidity and maximum moisture content is expected. Moreover, the equation relating the maximum moisture content to relative humidity in </w:t>
      </w:r>
      <w:r w:rsidR="00F91036">
        <w:fldChar w:fldCharType="begin"/>
      </w:r>
      <w:r w:rsidR="00F91036">
        <w:instrText xml:space="preserve"> REF _Ref528237927 \h </w:instrText>
      </w:r>
      <w:r w:rsidR="00682F7B">
        <w:instrText xml:space="preserve"> \* MERGEFORMAT </w:instrText>
      </w:r>
      <w:r w:rsidR="00F91036">
        <w:fldChar w:fldCharType="separate"/>
      </w:r>
      <w:r w:rsidR="006D52C2">
        <w:t xml:space="preserve">Figure </w:t>
      </w:r>
      <w:r w:rsidR="006D52C2">
        <w:rPr>
          <w:noProof/>
        </w:rPr>
        <w:t>70</w:t>
      </w:r>
      <w:r w:rsidR="00F91036">
        <w:fldChar w:fldCharType="end"/>
      </w:r>
      <w:r w:rsidR="00F91036">
        <w:t xml:space="preserve"> shows that at 0</w:t>
      </w:r>
      <w:r w:rsidR="00495FF8">
        <w:t xml:space="preserve"> </w:t>
      </w:r>
      <w:r w:rsidR="00F91036">
        <w:t>%</w:t>
      </w:r>
      <w:r w:rsidR="00BA1AD9">
        <w:t xml:space="preserve"> </w:t>
      </w:r>
      <w:r w:rsidR="00F91036">
        <w:t xml:space="preserve">RH-dry state, the maximum moisture content of the EPON 862 would be </w:t>
      </w:r>
      <w:r w:rsidR="00F91036" w:rsidRPr="00F91036">
        <w:t>9.82</w:t>
      </w:r>
      <w:r w:rsidR="002275BC">
        <w:t xml:space="preserve"> </w:t>
      </w:r>
      <w:r w:rsidR="00F91036" w:rsidRPr="00F91036">
        <w:t>×</w:t>
      </w:r>
      <w:r w:rsidR="002275BC">
        <w:t xml:space="preserve"> </w:t>
      </w:r>
      <w:r w:rsidR="00F91036" w:rsidRPr="00F91036">
        <w:t>10</w:t>
      </w:r>
      <w:r w:rsidR="00F91036" w:rsidRPr="00F91036">
        <w:rPr>
          <w:vertAlign w:val="superscript"/>
        </w:rPr>
        <w:t>-2</w:t>
      </w:r>
      <w:r w:rsidR="002275BC">
        <w:rPr>
          <w:vertAlign w:val="superscript"/>
        </w:rPr>
        <w:t xml:space="preserve"> </w:t>
      </w:r>
      <w:r w:rsidR="007B7454">
        <w:t>wt.</w:t>
      </w:r>
      <w:r w:rsidR="002275BC">
        <w:t>%</w:t>
      </w:r>
      <w:r w:rsidR="00F91036">
        <w:t xml:space="preserve">. Theoretically, in dry state, the moisture content of the polymer must be zero. The predicted value of </w:t>
      </w:r>
      <w:r w:rsidR="00F91036" w:rsidRPr="00F91036">
        <w:t>9.82×10</w:t>
      </w:r>
      <w:r w:rsidR="00F91036" w:rsidRPr="00F91036">
        <w:rPr>
          <w:vertAlign w:val="superscript"/>
        </w:rPr>
        <w:t>-2</w:t>
      </w:r>
      <w:r w:rsidR="00F91036">
        <w:t xml:space="preserve"> is on the verge of the theoretical value showing the accuracy of the </w:t>
      </w:r>
      <w:r w:rsidR="000130B1">
        <w:t xml:space="preserve">model </w:t>
      </w:r>
      <w:r w:rsidR="00F91036">
        <w:t>predicted trend.</w:t>
      </w:r>
    </w:p>
    <w:p w14:paraId="414CDBC6" w14:textId="77777777" w:rsidR="00CB58E9" w:rsidRDefault="00CB58E9" w:rsidP="00CB58E9">
      <w:pPr>
        <w:pStyle w:val="NoSpacing"/>
        <w:rPr>
          <w:szCs w:val="24"/>
        </w:rPr>
      </w:pPr>
      <w:r>
        <w:rPr>
          <w:noProof/>
          <w:lang w:bidi="ar-SA"/>
        </w:rPr>
        <w:drawing>
          <wp:inline distT="0" distB="0" distL="0" distR="0" wp14:anchorId="5D9A40B5" wp14:editId="01B14CB4">
            <wp:extent cx="5394960" cy="2606040"/>
            <wp:effectExtent l="0" t="0" r="0" b="3810"/>
            <wp:docPr id="4174" name="Chart 4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24F7AA4" w14:textId="10EC8499" w:rsidR="005B467E" w:rsidRDefault="005B467E" w:rsidP="005B467E">
      <w:pPr>
        <w:pStyle w:val="Caption"/>
      </w:pPr>
      <w:bookmarkStart w:id="323" w:name="_Ref528237927"/>
      <w:bookmarkStart w:id="324" w:name="_Toc530997426"/>
      <w:r>
        <w:t xml:space="preserve">Figure </w:t>
      </w:r>
      <w:r w:rsidR="00F7361D">
        <w:rPr>
          <w:noProof/>
        </w:rPr>
        <w:fldChar w:fldCharType="begin"/>
      </w:r>
      <w:r w:rsidR="00F7361D">
        <w:rPr>
          <w:noProof/>
        </w:rPr>
        <w:instrText xml:space="preserve"> SEQ Figure \* ARABIC </w:instrText>
      </w:r>
      <w:r w:rsidR="00F7361D">
        <w:rPr>
          <w:noProof/>
        </w:rPr>
        <w:fldChar w:fldCharType="separate"/>
      </w:r>
      <w:r w:rsidR="006D52C2">
        <w:rPr>
          <w:noProof/>
        </w:rPr>
        <w:t>70</w:t>
      </w:r>
      <w:r w:rsidR="00F7361D">
        <w:rPr>
          <w:noProof/>
        </w:rPr>
        <w:fldChar w:fldCharType="end"/>
      </w:r>
      <w:bookmarkEnd w:id="323"/>
      <w:r>
        <w:t>. Change in maximum moisture content with relative humidity</w:t>
      </w:r>
      <w:bookmarkEnd w:id="324"/>
    </w:p>
    <w:p w14:paraId="1C031EB3" w14:textId="77777777" w:rsidR="00682F7B" w:rsidRPr="00682F7B" w:rsidRDefault="00682F7B" w:rsidP="00682F7B"/>
    <w:p w14:paraId="0A1C6B1C" w14:textId="3EBD7220" w:rsidR="008762EA" w:rsidRDefault="008762EA" w:rsidP="00682F7B">
      <w:pPr>
        <w:rPr>
          <w:szCs w:val="24"/>
        </w:rPr>
      </w:pPr>
      <w:r>
        <w:fldChar w:fldCharType="begin"/>
      </w:r>
      <w:r>
        <w:instrText xml:space="preserve"> REF _Ref528240671 \h </w:instrText>
      </w:r>
      <w:r w:rsidR="00682F7B">
        <w:instrText xml:space="preserve"> \* MERGEFORMAT </w:instrText>
      </w:r>
      <w:r>
        <w:fldChar w:fldCharType="separate"/>
      </w:r>
      <w:r w:rsidR="006D52C2">
        <w:t xml:space="preserve">Figure </w:t>
      </w:r>
      <w:r w:rsidR="006D52C2">
        <w:rPr>
          <w:noProof/>
        </w:rPr>
        <w:t>71</w:t>
      </w:r>
      <w:r>
        <w:fldChar w:fldCharType="end"/>
      </w:r>
      <w:r>
        <w:t xml:space="preserve"> demonstrates the variation of rate of transformations between the bound and unbound moisture molecules</w:t>
      </w:r>
      <w:r w:rsidR="00D01A16">
        <w:t xml:space="preserve"> and hindrance coefficient</w:t>
      </w:r>
      <w:r>
        <w:t xml:space="preserve"> by the change in relative humidity. </w:t>
      </w:r>
      <w:r w:rsidR="00D01A16">
        <w:t xml:space="preserve">Decreasing linear trend of hindrance coefficient suggest that as the relative humidity of the environment increases, the absorption kinetics shifts to a more Fickian behavior. The </w:t>
      </w:r>
      <w:r w:rsidR="00D01A16">
        <w:lastRenderedPageBreak/>
        <w:t>linearity of the rate of transformations and hindrance coefficients will be further investigated.</w:t>
      </w:r>
    </w:p>
    <w:p w14:paraId="3C981884" w14:textId="514D4AFB" w:rsidR="00CB58E9" w:rsidRDefault="008762EA" w:rsidP="00CB58E9">
      <w:pPr>
        <w:pStyle w:val="NoSpacing"/>
        <w:rPr>
          <w:szCs w:val="24"/>
        </w:rPr>
      </w:pPr>
      <w:r w:rsidRPr="008762EA">
        <w:rPr>
          <w:noProof/>
          <w:szCs w:val="24"/>
          <w:lang w:bidi="ar-SA"/>
        </w:rPr>
        <mc:AlternateContent>
          <mc:Choice Requires="wps">
            <w:drawing>
              <wp:anchor distT="45720" distB="45720" distL="114300" distR="114300" simplePos="0" relativeHeight="251679744" behindDoc="0" locked="0" layoutInCell="1" allowOverlap="1" wp14:anchorId="5C3ED574" wp14:editId="3375690D">
                <wp:simplePos x="0" y="0"/>
                <wp:positionH relativeFrom="column">
                  <wp:posOffset>1114425</wp:posOffset>
                </wp:positionH>
                <wp:positionV relativeFrom="paragraph">
                  <wp:posOffset>161925</wp:posOffset>
                </wp:positionV>
                <wp:extent cx="342900" cy="1404620"/>
                <wp:effectExtent l="0" t="0" r="19050" b="10160"/>
                <wp:wrapNone/>
                <wp:docPr id="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chemeClr val="bg1"/>
                        </a:solidFill>
                        <a:ln w="9525">
                          <a:solidFill>
                            <a:schemeClr val="bg1"/>
                          </a:solidFill>
                          <a:miter lim="800000"/>
                          <a:headEnd/>
                          <a:tailEnd/>
                        </a:ln>
                      </wps:spPr>
                      <wps:txbx>
                        <w:txbxContent>
                          <w:p w14:paraId="7F349AA8" w14:textId="31D2CBAE" w:rsidR="000A15D2" w:rsidRPr="00806214" w:rsidRDefault="000A15D2" w:rsidP="008762EA">
                            <w:pPr>
                              <w:pStyle w:val="NoSpacing"/>
                              <w:jc w:val="left"/>
                              <w:rPr>
                                <w:b/>
                                <w:i/>
                              </w:rPr>
                            </w:pPr>
                            <w:r w:rsidRPr="00806214">
                              <w:rPr>
                                <w:b/>
                                <w:i/>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3ED574" id="_x0000_s1042" type="#_x0000_t202" style="position:absolute;left:0;text-align:left;margin-left:87.75pt;margin-top:12.75pt;width:27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" fillcolor="white [3212]" strokecolor="white [3212]">
                <v:textbox style="mso-fit-shape-to-text:t">
                  <w:txbxContent>
                    <w:p w14:paraId="7F349AA8" w14:textId="31D2CBAE" w:rsidR="000A15D2" w:rsidRPr="00806214" w:rsidRDefault="000A15D2" w:rsidP="008762EA">
                      <w:pPr>
                        <w:pStyle w:val="NoSpacing"/>
                        <w:jc w:val="left"/>
                        <w:rPr>
                          <w:b/>
                          <w:i/>
                        </w:rPr>
                      </w:pPr>
                      <w:r w:rsidRPr="00806214">
                        <w:rPr>
                          <w:b/>
                          <w:i/>
                        </w:rPr>
                        <w:t>a)</w:t>
                      </w:r>
                    </w:p>
                  </w:txbxContent>
                </v:textbox>
              </v:shape>
            </w:pict>
          </mc:Fallback>
        </mc:AlternateContent>
      </w:r>
      <w:r w:rsidR="00CB58E9">
        <w:rPr>
          <w:noProof/>
          <w:lang w:bidi="ar-SA"/>
        </w:rPr>
        <w:drawing>
          <wp:inline distT="0" distB="0" distL="0" distR="0" wp14:anchorId="09D84CEB" wp14:editId="21193FFB">
            <wp:extent cx="5394960" cy="2286000"/>
            <wp:effectExtent l="0" t="0" r="0" b="0"/>
            <wp:docPr id="4175" name="Chart 4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31F154C6" w14:textId="6E5EE63C" w:rsidR="00CB58E9" w:rsidRDefault="008762EA" w:rsidP="00CB58E9">
      <w:pPr>
        <w:pStyle w:val="NoSpacing"/>
        <w:rPr>
          <w:szCs w:val="24"/>
        </w:rPr>
      </w:pPr>
      <w:r w:rsidRPr="008762EA">
        <w:rPr>
          <w:noProof/>
          <w:szCs w:val="24"/>
          <w:lang w:bidi="ar-SA"/>
        </w:rPr>
        <mc:AlternateContent>
          <mc:Choice Requires="wps">
            <w:drawing>
              <wp:anchor distT="45720" distB="45720" distL="114300" distR="114300" simplePos="0" relativeHeight="251681792" behindDoc="0" locked="0" layoutInCell="1" allowOverlap="1" wp14:anchorId="6D63C860" wp14:editId="138AB7F2">
                <wp:simplePos x="0" y="0"/>
                <wp:positionH relativeFrom="column">
                  <wp:posOffset>1133475</wp:posOffset>
                </wp:positionH>
                <wp:positionV relativeFrom="paragraph">
                  <wp:posOffset>161925</wp:posOffset>
                </wp:positionV>
                <wp:extent cx="342900" cy="1404620"/>
                <wp:effectExtent l="0" t="0" r="19050" b="10160"/>
                <wp:wrapNone/>
                <wp:docPr id="4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chemeClr val="bg1"/>
                        </a:solidFill>
                        <a:ln w="9525">
                          <a:solidFill>
                            <a:schemeClr val="bg1"/>
                          </a:solidFill>
                          <a:miter lim="800000"/>
                          <a:headEnd/>
                          <a:tailEnd/>
                        </a:ln>
                      </wps:spPr>
                      <wps:txbx>
                        <w:txbxContent>
                          <w:p w14:paraId="62619DC7" w14:textId="1AA0E054" w:rsidR="000A15D2" w:rsidRPr="00806214" w:rsidRDefault="000A15D2" w:rsidP="008762EA">
                            <w:pPr>
                              <w:pStyle w:val="NoSpacing"/>
                              <w:jc w:val="left"/>
                              <w:rPr>
                                <w:b/>
                                <w:i/>
                              </w:rPr>
                            </w:pPr>
                            <w:r w:rsidRPr="00806214">
                              <w:rPr>
                                <w:b/>
                                <w:i/>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63C860" id="_x0000_s1043" type="#_x0000_t202" style="position:absolute;left:0;text-align:left;margin-left:89.25pt;margin-top:12.75pt;width:27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" fillcolor="white [3212]" strokecolor="white [3212]">
                <v:textbox style="mso-fit-shape-to-text:t">
                  <w:txbxContent>
                    <w:p w14:paraId="62619DC7" w14:textId="1AA0E054" w:rsidR="000A15D2" w:rsidRPr="00806214" w:rsidRDefault="000A15D2" w:rsidP="008762EA">
                      <w:pPr>
                        <w:pStyle w:val="NoSpacing"/>
                        <w:jc w:val="left"/>
                        <w:rPr>
                          <w:b/>
                          <w:i/>
                        </w:rPr>
                      </w:pPr>
                      <w:r w:rsidRPr="00806214">
                        <w:rPr>
                          <w:b/>
                          <w:i/>
                        </w:rPr>
                        <w:t>b)</w:t>
                      </w:r>
                    </w:p>
                  </w:txbxContent>
                </v:textbox>
              </v:shape>
            </w:pict>
          </mc:Fallback>
        </mc:AlternateContent>
      </w:r>
      <w:r w:rsidR="00CB58E9">
        <w:rPr>
          <w:noProof/>
          <w:lang w:bidi="ar-SA"/>
        </w:rPr>
        <w:drawing>
          <wp:inline distT="0" distB="0" distL="0" distR="0" wp14:anchorId="34EE1645" wp14:editId="19B33D41">
            <wp:extent cx="5394960" cy="2286000"/>
            <wp:effectExtent l="0" t="0" r="0" b="0"/>
            <wp:docPr id="4176" name="Chart 4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58DB137E" w14:textId="49B38029" w:rsidR="00806214" w:rsidRDefault="00806214" w:rsidP="00CB58E9">
      <w:pPr>
        <w:pStyle w:val="NoSpacing"/>
        <w:rPr>
          <w:szCs w:val="24"/>
        </w:rPr>
      </w:pPr>
      <w:r w:rsidRPr="008762EA">
        <w:rPr>
          <w:noProof/>
          <w:szCs w:val="24"/>
          <w:lang w:bidi="ar-SA"/>
        </w:rPr>
        <mc:AlternateContent>
          <mc:Choice Requires="wps">
            <w:drawing>
              <wp:anchor distT="45720" distB="45720" distL="114300" distR="114300" simplePos="0" relativeHeight="251683840" behindDoc="0" locked="0" layoutInCell="1" allowOverlap="1" wp14:anchorId="38704C37" wp14:editId="3431C074">
                <wp:simplePos x="0" y="0"/>
                <wp:positionH relativeFrom="column">
                  <wp:posOffset>1162050</wp:posOffset>
                </wp:positionH>
                <wp:positionV relativeFrom="paragraph">
                  <wp:posOffset>190500</wp:posOffset>
                </wp:positionV>
                <wp:extent cx="342900" cy="1404620"/>
                <wp:effectExtent l="0" t="0" r="19050" b="10160"/>
                <wp:wrapNone/>
                <wp:docPr id="4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chemeClr val="bg1"/>
                        </a:solidFill>
                        <a:ln w="9525">
                          <a:solidFill>
                            <a:schemeClr val="bg1"/>
                          </a:solidFill>
                          <a:miter lim="800000"/>
                          <a:headEnd/>
                          <a:tailEnd/>
                        </a:ln>
                      </wps:spPr>
                      <wps:txbx>
                        <w:txbxContent>
                          <w:p w14:paraId="6287DC00" w14:textId="21688481" w:rsidR="000A15D2" w:rsidRPr="00806214" w:rsidRDefault="000A15D2" w:rsidP="00806214">
                            <w:pPr>
                              <w:pStyle w:val="NoSpacing"/>
                              <w:jc w:val="left"/>
                              <w:rPr>
                                <w:b/>
                                <w:i/>
                              </w:rPr>
                            </w:pPr>
                            <w:r w:rsidRPr="00806214">
                              <w:rPr>
                                <w:b/>
                                <w:i/>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04C37" id="_x0000_s1044" type="#_x0000_t202" style="position:absolute;left:0;text-align:left;margin-left:91.5pt;margin-top:15pt;width:27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" fillcolor="white [3212]" strokecolor="white [3212]">
                <v:textbox style="mso-fit-shape-to-text:t">
                  <w:txbxContent>
                    <w:p w14:paraId="6287DC00" w14:textId="21688481" w:rsidR="000A15D2" w:rsidRPr="00806214" w:rsidRDefault="000A15D2" w:rsidP="00806214">
                      <w:pPr>
                        <w:pStyle w:val="NoSpacing"/>
                        <w:jc w:val="left"/>
                        <w:rPr>
                          <w:b/>
                          <w:i/>
                        </w:rPr>
                      </w:pPr>
                      <w:r w:rsidRPr="00806214">
                        <w:rPr>
                          <w:b/>
                          <w:i/>
                        </w:rPr>
                        <w:t>c)</w:t>
                      </w:r>
                    </w:p>
                  </w:txbxContent>
                </v:textbox>
              </v:shape>
            </w:pict>
          </mc:Fallback>
        </mc:AlternateContent>
      </w:r>
      <w:r>
        <w:rPr>
          <w:noProof/>
          <w:lang w:bidi="ar-SA"/>
        </w:rPr>
        <w:drawing>
          <wp:inline distT="0" distB="0" distL="0" distR="0" wp14:anchorId="436C5862" wp14:editId="51B2EB04">
            <wp:extent cx="5394960" cy="2286000"/>
            <wp:effectExtent l="0" t="0" r="0" b="0"/>
            <wp:docPr id="4179" name="Chart 4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07EDF538" w14:textId="3E19D7F0" w:rsidR="008762EA" w:rsidRDefault="008762EA" w:rsidP="008762EA">
      <w:pPr>
        <w:pStyle w:val="Caption"/>
      </w:pPr>
      <w:bookmarkStart w:id="325" w:name="_Ref528240671"/>
      <w:bookmarkStart w:id="326" w:name="_Toc530997427"/>
      <w:r>
        <w:t xml:space="preserve">Figure </w:t>
      </w:r>
      <w:r w:rsidR="00F7361D">
        <w:rPr>
          <w:noProof/>
        </w:rPr>
        <w:fldChar w:fldCharType="begin"/>
      </w:r>
      <w:r w:rsidR="00F7361D">
        <w:rPr>
          <w:noProof/>
        </w:rPr>
        <w:instrText xml:space="preserve"> SEQ Figure \* ARABIC </w:instrText>
      </w:r>
      <w:r w:rsidR="00F7361D">
        <w:rPr>
          <w:noProof/>
        </w:rPr>
        <w:fldChar w:fldCharType="separate"/>
      </w:r>
      <w:r w:rsidR="006D52C2">
        <w:rPr>
          <w:noProof/>
        </w:rPr>
        <w:t>71</w:t>
      </w:r>
      <w:r w:rsidR="00F7361D">
        <w:rPr>
          <w:noProof/>
        </w:rPr>
        <w:fldChar w:fldCharType="end"/>
      </w:r>
      <w:bookmarkEnd w:id="325"/>
      <w:r>
        <w:t xml:space="preserve">. Change in </w:t>
      </w:r>
      <w:r w:rsidRPr="00806214">
        <w:rPr>
          <w:i/>
        </w:rPr>
        <w:t>a</w:t>
      </w:r>
      <w:proofErr w:type="gramStart"/>
      <w:r w:rsidRPr="00806214">
        <w:rPr>
          <w:i/>
        </w:rPr>
        <w:t>)</w:t>
      </w:r>
      <w:r>
        <w:t>the</w:t>
      </w:r>
      <w:proofErr w:type="gramEnd"/>
      <w:r>
        <w:t xml:space="preserve"> rate of bound molecule to become unbound </w:t>
      </w:r>
      <w:r w:rsidRPr="00806214">
        <w:rPr>
          <w:i/>
        </w:rPr>
        <w:t>b)</w:t>
      </w:r>
      <w:r>
        <w:t xml:space="preserve">the rate of unbound molecule to become bound </w:t>
      </w:r>
      <w:r w:rsidR="00806214" w:rsidRPr="00806214">
        <w:rPr>
          <w:i/>
        </w:rPr>
        <w:t>c)</w:t>
      </w:r>
      <w:r w:rsidR="00806214">
        <w:t xml:space="preserve">hindrance coefficient </w:t>
      </w:r>
      <w:r>
        <w:t xml:space="preserve">with </w:t>
      </w:r>
      <w:r w:rsidR="00806214">
        <w:t>relative humidity</w:t>
      </w:r>
      <w:bookmarkEnd w:id="326"/>
    </w:p>
    <w:p w14:paraId="4EE51A05" w14:textId="77777777" w:rsidR="008762EA" w:rsidRDefault="008762EA" w:rsidP="00CB58E9">
      <w:pPr>
        <w:pStyle w:val="NoSpacing"/>
        <w:rPr>
          <w:szCs w:val="24"/>
        </w:rPr>
      </w:pPr>
    </w:p>
    <w:p w14:paraId="453B6372" w14:textId="050E97F9" w:rsidR="00CF4F05" w:rsidRDefault="00ED54C2" w:rsidP="00682F7B">
      <w:r>
        <w:lastRenderedPageBreak/>
        <w:t xml:space="preserve">To investigate any correlation between the maximum moisture content and the flexural modulus of the samples, saturated samples were subjected to three point bending tests. </w:t>
      </w:r>
      <w:r w:rsidR="00CF4F05">
        <w:t>Flexural tests were performed according to ASTM D790 standard to measure the flexural properties of each sample.</w:t>
      </w:r>
      <w:r w:rsidR="00E624A6">
        <w:t xml:space="preserve"> </w:t>
      </w:r>
    </w:p>
    <w:p w14:paraId="124DFB16" w14:textId="43447B92" w:rsidR="00CB58E9" w:rsidRDefault="00E624A6" w:rsidP="00682F7B">
      <w:pPr>
        <w:rPr>
          <w:rFonts w:cs="Times New Roman"/>
          <w:szCs w:val="24"/>
        </w:rPr>
      </w:pPr>
      <w:r>
        <w:fldChar w:fldCharType="begin"/>
      </w:r>
      <w:r>
        <w:instrText xml:space="preserve"> REF _Ref528244897 \h </w:instrText>
      </w:r>
      <w:r w:rsidR="00682F7B">
        <w:instrText xml:space="preserve"> \* MERGEFORMAT </w:instrText>
      </w:r>
      <w:r>
        <w:fldChar w:fldCharType="separate"/>
      </w:r>
      <w:r w:rsidR="006D52C2">
        <w:t xml:space="preserve">Figure </w:t>
      </w:r>
      <w:r w:rsidR="006D52C2">
        <w:rPr>
          <w:noProof/>
        </w:rPr>
        <w:t>72</w:t>
      </w:r>
      <w:r>
        <w:fldChar w:fldCharType="end"/>
      </w:r>
      <w:r w:rsidR="00495FF8">
        <w:t xml:space="preserve"> displays the flexural</w:t>
      </w:r>
      <w:r>
        <w:t xml:space="preserve"> modulus of dry samples, samples saturated at 20%, 50%, and 80% relative humidity and saturated wet samples. The decrease in flexural modulus conforms to the literature. Plasticization effect</w:t>
      </w:r>
      <w:r w:rsidR="00BA1AD9">
        <w:t>s of the absorbed moisture lead</w:t>
      </w:r>
      <w:r>
        <w:t xml:space="preserve"> to loss in modulus </w:t>
      </w:r>
      <w:r>
        <w:rPr>
          <w:rFonts w:cs="Times New Roman"/>
        </w:rPr>
        <w:fldChar w:fldCharType="begin" w:fldLock="1"/>
      </w:r>
      <w:r w:rsidR="0058062A">
        <w:rPr>
          <w:rFonts w:cs="Times New Roman"/>
        </w:rPr>
        <w:instrText>ADDIN CSL_CITATION {"citationItems":[{"id":"ITEM-1","itemData":{"DOI":"10.1007/s10853-012-6947-4","ISBN":"9784931136052","ISSN":"00222461","abstract":"A carbon fiber/epoxy unidirectional laminated composite was exposed to a humid environment and the effect of moisture absorption on the mechanical properties and failure modes was investigated. The composites were exposed to three humidity conditions, namely, 25, 55, and 95 % at a constant temperature of 25 °C. The carbon fiber– epoxy laminated composites for two different carbon fiber surface treatments were used. The results showed that the mechanical properties differ considerably for each fiber surface treatment. The application of a coupling agent enhanced the fiber-matrix adhesion and reduced depen-dence of the properties on humidity. The damage mecha-nism observed at micromechanical level was correlated to acoustic emission signals from both laminated composites. The untreated carbon fiber failure mode was attributed to fiber-matrix interfacial failure and for the silane-treated carbon fiber reinforced epoxy laminate attributed to matrix yielding followed by fiber failure with no signs of fiber-matrix interface failure for moisture contents up to 1.89 %.","author":[{"dropping-particle":"","family":"Pérez-Pacheco","given":"E.","non-dropping-particle":"","parse-names":false,"suffix":""},{"dropping-particle":"","family":"Cauich-Cupul","given":"J. I.","non-dropping-particle":"","parse-names":false,"suffix":""},{"dropping-particle":"","family":"Valadez-González","given":"A.","non-dropping-particle":"","parse-names":false,"suffix":""},{"dropping-particle":"","family":"Herrera-Franco","given":"P. J.","non-dropping-particle":"","parse-names":false,"suffix":""}],"container-title":"Journal of Materials Science","id":"ITEM-1","issue":"5","issued":{"date-parts":[["2013"]]},"page":"1873-1882","title":"Effect of moisture absorption on the mechanical behavior of carbon fiber/epoxy matrix composites","type":"article-journal","volume":"48"},"uris":["http://www.mendeley.com/documents/?uuid=a4a09a3c-249b-4cb3-a633-b30388a35348"]},{"id":"ITEM-2","itemData":{"DOI":"10.1002/polb.23521","ISSN":"10990488","author":[{"dropping-particle":"","family":"Agubra","given":"Victor A.","non-dropping-particle":"","parse-names":false,"suffix":""},{"dropping-particle":"V.","family":"Mahesh","given":"Hosur","non-dropping-particle":"","parse-names":false,"suffix":""}],"container-title":"Journal of Polymer Science, Part B: Polymer Physics","id":"ITEM-2","issue":"15","issued":{"date-parts":[["2014"]]},"page":"1024-1029","title":"Environmental degradation of E-glass/nanocomposite under the combined effect of UV radiation, moisture, and rain","type":"article-journal","volume":"52"},"uris":["http://www.mendeley.com/documents/?uuid=4955817e-dccf-4f83-861e-23a5725eb8bd"]},{"id":"ITEM-3","itemData":{"DOI":"10.1016/j.compositesb.2013.05.041","ISSN":"13598368","abstract":"When adhesively bonded joints are exposed to a moist environment, the tensile load capability of the joint is significantly decreased because moisture absorption weakens the mechanical properties of epoxy adhesive. In this paper, a nanoclay with excellent penetration resistance properties was used as a filler in epoxy adhesive in order to enhance adhesive strength in moist environments. The water absorption of the epoxy adhesive and the adhesive strength of the adhesively bonded joints were measured in water absorption experiments with respect to the weight fraction of the nanoclay and the moisture exposure time. These results showed that the tensile load capability of the nanoclay-filled adhesively bonded joint was greatly enhanced, even in a moist environment, because the nanoclay reduced water absorption into the epoxy adhesive as well as into the interface between the epoxy adhesive and the steel adherend and increased the strength of the epoxy adhesive itself. © 2013 Elsevier Ltd. All rights reserved.","author":[{"dropping-particle":"","family":"Kim","given":"Do Hyoung","non-dropping-particle":"","parse-names":false,"suffix":""},{"dropping-particle":"","family":"Kim","given":"Hak Sung","non-dropping-particle":"","parse-names":false,"suffix":""}],"container-title":"Composites Part B: Engineering","id":"ITEM-3","issued":{"date-parts":[["2013"]]},"page":"86-95","publisher":"Elsevier Ltd","title":"Waterproof characteristics of nanoclay/epoxy nanocomposite in adhesively bonded joints","type":"article-journal","volume":"55"},"uris":["http://www.mendeley.com/documents/?uuid=b629acb3-b997-4858-b3e0-5716ad601362"]},{"id":"ITEM-4","itemData":{"DOI":"10.1016/j.polymertesting.2012.10.003","ISSN":"01429418","abstract":"The water absorption and desorption processes of a commercial polyamide were studied in the temperature range of 20-90 °C. A strong influence of the temperature on the water mass saturation, primarily in the region of the glass transition temperature, was observed. Differences in the parameters related to the diffusion process were also observed between samples with different thicknesses. The results were analyzed using the Langmuir model, which considers two states of absorbed water in the polymer: bound and mobile. The obtained diffusion coefficients were analyzed in terms of the temperature and the state of the polymer, either glassy or rubbery. The influence of the absorbed water on the Young's modulus was evaluated using the impulse excitation technique. It was observed that the water absorbed in the bound state generates the most significant changes in the Young's modulus. © 2012 Elsevier Ltd. All rights reserved.","author":[{"dropping-particle":"","family":"Silva","given":"L.","non-dropping-particle":"","parse-names":false,"suffix":""},{"dropping-particle":"","family":"Tognana","given":"S.","non-dropping-particle":"","parse-names":false,"suffix":""},{"dropping-particle":"","family":"Salgueiro","given":"W.","non-dropping-particle":"","parse-names":false,"suffix":""}],"container-title":"Polymer Testing","id":"ITEM-4","issue":"1","issued":{"date-parts":[["2013"]]},"page":"158-164","publisher":"Elsevier Ltd","title":"Study of the water absorption and its influence on the Young's modulus in a commercial polyamide","type":"article-journal","volume":"32"},"uris":["http://www.mendeley.com/documents/?uuid=c478fd42-9f39-424d-83ae-f0a0c089b300"]},{"id":"ITEM-5","itemData":{"DOI":"10.1016/j.compstruct.2016.05.045","ISSN":"02638223","abstract":"The aim of this work is to study the effect of water ageing of quasi-Unidirectional Flax fibre Reinforced Epoxy (UFRE) composites on their mechanical and damping properties. The studied composites were manufactured by press platen process and subjected to water immersion at room temperature. Mechanical and damping properties of unaged and aged materials were investigated using free vibrations. Next, they were dried and tested to study the reversibility of the variation of those properties caused by water ageing. The results showed that water uptake induces a decrease in the bending moduli and an increase in loss factors compared in term of ageing time. It was also proven that those variations are practically reversible in the case of loss factors but irreversible in the case of bending moduli.","author":[{"dropping-particle":"","family":"Cheour","given":"Khouloud","non-dropping-particle":"","parse-names":false,"suffix":""},{"dropping-particle":"","family":"Assarar","given":"Mustapha","non-dropping-particle":"","parse-names":false,"suffix":""},{"dropping-particle":"","family":"Scida","given":"Daniel","non-dropping-particle":"","parse-names":false,"suffix":""},{"dropping-particle":"","family":"Ayad","given":"Rezak","non-dropping-particle":"","parse-names":false,"suffix":""},{"dropping-particle":"","family":"Gong","given":"Xiao Lu","non-dropping-particle":"","parse-names":false,"suffix":""}],"container-title":"Composite Structures","id":"ITEM-5","issued":{"date-parts":[["2016"]]},"page":"259-266","publisher":"Elsevier Ltd","title":"Effect of water ageing on the mechanical and damping properties of flax-fibre reinforced composite materials","type":"article-journal","volume":"152"},"uris":["http://www.mendeley.com/documents/?uuid=3851ac37-ba81-4588-8efa-e466bf9d77ef"]}],"mendeley":{"formattedCitation":"[26,32,117,145,151]","plainTextFormattedCitation":"[26,32,117,145,151]","previouslyFormattedCitation":"[26,32,117,145,151]"},"properties":{"noteIndex":0},"schema":"https://github.com/citation-style-language/schema/raw/master/csl-citation.json"}</w:instrText>
      </w:r>
      <w:r>
        <w:rPr>
          <w:rFonts w:cs="Times New Roman"/>
        </w:rPr>
        <w:fldChar w:fldCharType="separate"/>
      </w:r>
      <w:r w:rsidR="009A64D0" w:rsidRPr="009A64D0">
        <w:rPr>
          <w:rFonts w:cs="Times New Roman"/>
          <w:noProof/>
        </w:rPr>
        <w:t>[26,32,117,145,151]</w:t>
      </w:r>
      <w:r>
        <w:rPr>
          <w:rFonts w:cs="Times New Roman"/>
        </w:rPr>
        <w:fldChar w:fldCharType="end"/>
      </w:r>
      <w:r>
        <w:rPr>
          <w:rFonts w:cs="Times New Roman"/>
        </w:rPr>
        <w:t>.</w:t>
      </w:r>
      <w:r w:rsidR="006A4A4A">
        <w:rPr>
          <w:rFonts w:cs="Times New Roman"/>
        </w:rPr>
        <w:t xml:space="preserve"> Previously determined maximum moisture content</w:t>
      </w:r>
      <w:r w:rsidR="00F97C97">
        <w:rPr>
          <w:rFonts w:cs="Times New Roman"/>
        </w:rPr>
        <w:t>s</w:t>
      </w:r>
      <w:r w:rsidR="006A4A4A">
        <w:rPr>
          <w:rFonts w:cs="Times New Roman"/>
        </w:rPr>
        <w:t xml:space="preserve"> of ea</w:t>
      </w:r>
      <w:r w:rsidR="00F97C97">
        <w:rPr>
          <w:rFonts w:cs="Times New Roman"/>
        </w:rPr>
        <w:t>ch level of relative humidity are</w:t>
      </w:r>
      <w:r w:rsidR="006A4A4A">
        <w:rPr>
          <w:rFonts w:cs="Times New Roman"/>
        </w:rPr>
        <w:t xml:space="preserve"> compared with the flexural modulus of saturated samples in </w:t>
      </w:r>
      <w:r w:rsidR="006A4A4A">
        <w:rPr>
          <w:rFonts w:cs="Times New Roman"/>
        </w:rPr>
        <w:fldChar w:fldCharType="begin"/>
      </w:r>
      <w:r w:rsidR="006A4A4A">
        <w:rPr>
          <w:rFonts w:cs="Times New Roman"/>
        </w:rPr>
        <w:instrText xml:space="preserve"> REF _Ref528245401 \h </w:instrText>
      </w:r>
      <w:r w:rsidR="00682F7B">
        <w:rPr>
          <w:rFonts w:cs="Times New Roman"/>
        </w:rPr>
        <w:instrText xml:space="preserve"> \* MERGEFORMAT </w:instrText>
      </w:r>
      <w:r w:rsidR="006A4A4A">
        <w:rPr>
          <w:rFonts w:cs="Times New Roman"/>
        </w:rPr>
      </w:r>
      <w:r w:rsidR="006A4A4A">
        <w:rPr>
          <w:rFonts w:cs="Times New Roman"/>
        </w:rPr>
        <w:fldChar w:fldCharType="separate"/>
      </w:r>
      <w:r w:rsidR="006D52C2">
        <w:t xml:space="preserve">Figure </w:t>
      </w:r>
      <w:r w:rsidR="006D52C2">
        <w:rPr>
          <w:noProof/>
        </w:rPr>
        <w:t>73</w:t>
      </w:r>
      <w:r w:rsidR="006A4A4A">
        <w:rPr>
          <w:rFonts w:cs="Times New Roman"/>
        </w:rPr>
        <w:fldChar w:fldCharType="end"/>
      </w:r>
      <w:r w:rsidR="006A4A4A">
        <w:rPr>
          <w:rFonts w:cs="Times New Roman"/>
        </w:rPr>
        <w:t>.</w:t>
      </w:r>
    </w:p>
    <w:p w14:paraId="54A63596" w14:textId="77777777" w:rsidR="00CB58E9" w:rsidRDefault="00CB58E9" w:rsidP="00CB58E9">
      <w:pPr>
        <w:pStyle w:val="NoSpacing"/>
      </w:pPr>
      <w:r>
        <w:rPr>
          <w:noProof/>
          <w:lang w:bidi="ar-SA"/>
        </w:rPr>
        <w:drawing>
          <wp:inline distT="0" distB="0" distL="0" distR="0" wp14:anchorId="208DA71D" wp14:editId="7550CBFD">
            <wp:extent cx="5486400" cy="3676650"/>
            <wp:effectExtent l="0" t="0" r="0" b="0"/>
            <wp:docPr id="4172" name="Chart 4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5010A4BF" w14:textId="27722C3B" w:rsidR="00E624A6" w:rsidRDefault="00E624A6" w:rsidP="00E624A6">
      <w:pPr>
        <w:pStyle w:val="Caption"/>
      </w:pPr>
      <w:bookmarkStart w:id="327" w:name="_Ref528244897"/>
      <w:bookmarkStart w:id="328" w:name="_Toc530997428"/>
      <w:r>
        <w:t xml:space="preserve">Figure </w:t>
      </w:r>
      <w:r w:rsidR="00F7361D">
        <w:rPr>
          <w:noProof/>
        </w:rPr>
        <w:fldChar w:fldCharType="begin"/>
      </w:r>
      <w:r w:rsidR="00F7361D">
        <w:rPr>
          <w:noProof/>
        </w:rPr>
        <w:instrText xml:space="preserve"> SEQ Figure \* ARABIC </w:instrText>
      </w:r>
      <w:r w:rsidR="00F7361D">
        <w:rPr>
          <w:noProof/>
        </w:rPr>
        <w:fldChar w:fldCharType="separate"/>
      </w:r>
      <w:r w:rsidR="006D52C2">
        <w:rPr>
          <w:noProof/>
        </w:rPr>
        <w:t>72</w:t>
      </w:r>
      <w:r w:rsidR="00F7361D">
        <w:rPr>
          <w:noProof/>
        </w:rPr>
        <w:fldChar w:fldCharType="end"/>
      </w:r>
      <w:bookmarkEnd w:id="327"/>
      <w:r>
        <w:t>. Flexural modulus of samples conditioned at different relative humidity levels</w:t>
      </w:r>
      <w:bookmarkEnd w:id="328"/>
    </w:p>
    <w:p w14:paraId="6C46ECB4" w14:textId="77777777" w:rsidR="00CB58E9" w:rsidRPr="00716982" w:rsidRDefault="00CB58E9" w:rsidP="00682F7B"/>
    <w:p w14:paraId="467B9163" w14:textId="7E53A153" w:rsidR="006A4A4A" w:rsidRDefault="00F97C97" w:rsidP="00682F7B">
      <w:r>
        <w:lastRenderedPageBreak/>
        <w:t xml:space="preserve">The comparison between the flexural modulus and the maximum moisture contents of samples surprisingly yields a linearly decreasing trend. Linear trend in </w:t>
      </w:r>
      <w:r>
        <w:fldChar w:fldCharType="begin"/>
      </w:r>
      <w:r>
        <w:instrText xml:space="preserve"> REF _Ref528245401 \h </w:instrText>
      </w:r>
      <w:r w:rsidR="00682F7B">
        <w:instrText xml:space="preserve"> \* MERGEFORMAT </w:instrText>
      </w:r>
      <w:r>
        <w:fldChar w:fldCharType="separate"/>
      </w:r>
      <w:r w:rsidR="006D52C2">
        <w:t xml:space="preserve">Figure </w:t>
      </w:r>
      <w:r w:rsidR="006D52C2">
        <w:rPr>
          <w:noProof/>
        </w:rPr>
        <w:t>73</w:t>
      </w:r>
      <w:r>
        <w:fldChar w:fldCharType="end"/>
      </w:r>
      <w:r>
        <w:t xml:space="preserve"> suggests that the % plasticization in a unit volume of a solid directly depend on the moisture content in that unit volume. </w:t>
      </w:r>
      <w:r>
        <w:rPr>
          <w:szCs w:val="24"/>
        </w:rPr>
        <w:t xml:space="preserve">Since </w:t>
      </w:r>
      <m:oMath>
        <m:sSub>
          <m:sSubPr>
            <m:ctrlPr>
              <w:rPr>
                <w:rFonts w:ascii="Cambria Math" w:hAnsi="Cambria Math"/>
                <w:i/>
                <w:szCs w:val="24"/>
              </w:rPr>
            </m:ctrlPr>
          </m:sSubPr>
          <m:e>
            <m:r>
              <w:rPr>
                <w:rFonts w:ascii="Cambria Math" w:hAnsi="Cambria Math"/>
                <w:szCs w:val="24"/>
              </w:rPr>
              <m:t>M</m:t>
            </m:r>
          </m:e>
          <m:sub>
            <m:r>
              <w:rPr>
                <w:rFonts w:ascii="Cambria Math" w:hAnsi="Cambria Math"/>
                <w:szCs w:val="24"/>
              </w:rPr>
              <m:t>∞</m:t>
            </m:r>
          </m:sub>
        </m:sSub>
      </m:oMath>
      <w:r>
        <w:rPr>
          <w:szCs w:val="24"/>
        </w:rPr>
        <w:t xml:space="preserve"> is directly correlated to </w:t>
      </w:r>
      <m:oMath>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t>
            </m:r>
          </m:sub>
        </m:sSub>
      </m:oMath>
      <w:r>
        <w:t xml:space="preserve"> </w:t>
      </w:r>
      <w:r>
        <w:fldChar w:fldCharType="begin" w:fldLock="1"/>
      </w:r>
      <w:r>
        <w:instrText>ADDIN CSL_CITATION {"citationItems":[{"id":"ITEM-1","itemData":{"DOI":"10.1177/002199837801200201","ISSN":"1530793x","abstract":"Considerable evidence has recently been presented for anomalous mois- ture diffusion in epoxy matrix composites. In an earlier paper we noted that there is no a priori reason why moisture should obey simple diffusion theory rather than Kirkwood’s (linear) generalization of the Boltzmann transport equation. With the intent of keeping the analytical aspects of the moisture diffusion problem as simple as possible, we here present a slightly generalized but linear model which involves sources and sinks of diffusing water molecules. With respect to diffusive characteristics, our model is related to the simplest form of neutron transport theory. With respect to bound and unbound particles it is similar to the Langmuir theory of ad- sorption isotherms, although we here assume bulk absorption in the resin with no implication that surfaces are involved. An approximation to our exact solution of the coupled linear differential equations is used to fit mildly anomalous moisture uptake curves for 5208 resin exposed to several rclative humidities for two years. The fact that the same parameters give equally good fits to the data at all humidities suggests that the absorption anomaly does not result from nonlinear (e.g. concentration-dependent) effects. SCOPE","author":[{"dropping-particle":"","family":"Carter","given":"Harris G.","non-dropping-particle":"","parse-names":false,"suffix":""},{"dropping-particle":"","family":"Kibler","given":"Kenneth G.","non-dropping-particle":"","parse-names":false,"suffix":""}],"container-title":"Journal of Composite Materials","id":"ITEM-1","issue":"2","issued":{"date-parts":[["1978"]]},"page":"118-131","title":"Langmuir-Type Model for Anomalous Moisture Diffusion In Composite Resins","type":"article-journal","volume":"12"},"uris":["http://www.mendeley.com/documents/?uuid=7e8bc570-081d-4fa2-94d2-083031d4ba9a"]}],"mendeley":{"formattedCitation":"[54]","plainTextFormattedCitation":"[54]","previouslyFormattedCitation":"[54]"},"properties":{"noteIndex":0},"schema":"https://github.com/citation-style-language/schema/raw/master/csl-citation.json"}</w:instrText>
      </w:r>
      <w:r>
        <w:fldChar w:fldCharType="separate"/>
      </w:r>
      <w:r w:rsidRPr="00826E4C">
        <w:rPr>
          <w:noProof/>
        </w:rPr>
        <w:t>[54]</w:t>
      </w:r>
      <w:r>
        <w:fldChar w:fldCharType="end"/>
      </w:r>
      <w:r>
        <w:t xml:space="preserve">, modulus linearly changes with </w:t>
      </w:r>
      <m:oMath>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t>
            </m:r>
          </m:sub>
        </m:sSub>
      </m:oMath>
      <w:r>
        <w:t xml:space="preserve"> values of different relative humidity levels. Moreover, for each level of concentration</w:t>
      </w:r>
      <w:proofErr w:type="gramStart"/>
      <w:r>
        <w:t xml:space="preserve">, </w:t>
      </w:r>
      <w:proofErr w:type="gramEnd"/>
      <m:oMath>
        <m:r>
          <w:rPr>
            <w:rFonts w:ascii="Cambria Math" w:hAnsi="Cambria Math"/>
          </w:rPr>
          <m:t>n+N</m:t>
        </m:r>
      </m:oMath>
      <w:r>
        <w:t xml:space="preserve">, there is a corresponding </w:t>
      </w:r>
      <m:oMath>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t>
            </m:r>
          </m:sub>
        </m:sSub>
      </m:oMath>
      <w:r>
        <w:t xml:space="preserve"> at a different relative humidity. Thus, the relationship between the modulus and </w:t>
      </w:r>
      <m:oMath>
        <m:sSub>
          <m:sSubPr>
            <m:ctrlPr>
              <w:rPr>
                <w:rFonts w:ascii="Cambria Math" w:hAnsi="Cambria Math"/>
                <w:i/>
              </w:rPr>
            </m:ctrlPr>
          </m:sSubPr>
          <m:e>
            <m:r>
              <w:rPr>
                <w:rFonts w:ascii="Cambria Math" w:hAnsi="Cambria Math"/>
              </w:rPr>
              <m:t>n</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t>
            </m:r>
          </m:sub>
        </m:sSub>
      </m:oMath>
      <w:r>
        <w:t xml:space="preserve"> can be used in the transient concentration level</w:t>
      </w:r>
      <w:proofErr w:type="gramStart"/>
      <w:r>
        <w:t xml:space="preserve">, </w:t>
      </w:r>
      <w:proofErr w:type="gramEnd"/>
      <m:oMath>
        <m:r>
          <w:rPr>
            <w:rFonts w:ascii="Cambria Math" w:hAnsi="Cambria Math"/>
          </w:rPr>
          <m:t>n+N</m:t>
        </m:r>
      </m:oMath>
      <w:r>
        <w:t>, to predict the change in modulus during the moisture absorption.</w:t>
      </w:r>
    </w:p>
    <w:p w14:paraId="77F3A734" w14:textId="77777777" w:rsidR="00CB58E9" w:rsidRDefault="00CB58E9" w:rsidP="00CB58E9">
      <w:pPr>
        <w:pStyle w:val="NoSpacing"/>
        <w:rPr>
          <w:szCs w:val="24"/>
        </w:rPr>
      </w:pPr>
      <w:r>
        <w:rPr>
          <w:noProof/>
          <w:lang w:bidi="ar-SA"/>
        </w:rPr>
        <w:drawing>
          <wp:inline distT="0" distB="0" distL="0" distR="0" wp14:anchorId="37AE9B8D" wp14:editId="409246C4">
            <wp:extent cx="5486400" cy="2421255"/>
            <wp:effectExtent l="0" t="0" r="0" b="0"/>
            <wp:docPr id="4163" name="Chart 4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96272CB" w14:textId="424AC528" w:rsidR="00CB58E9" w:rsidRDefault="00E624A6" w:rsidP="00E624A6">
      <w:pPr>
        <w:pStyle w:val="Caption"/>
      </w:pPr>
      <w:bookmarkStart w:id="329" w:name="_Ref528245401"/>
      <w:bookmarkStart w:id="330" w:name="_Toc530997429"/>
      <w:r>
        <w:t xml:space="preserve">Figure </w:t>
      </w:r>
      <w:r w:rsidR="00F7361D">
        <w:rPr>
          <w:noProof/>
        </w:rPr>
        <w:fldChar w:fldCharType="begin"/>
      </w:r>
      <w:r w:rsidR="00F7361D">
        <w:rPr>
          <w:noProof/>
        </w:rPr>
        <w:instrText xml:space="preserve"> SEQ Figure \* ARABIC </w:instrText>
      </w:r>
      <w:r w:rsidR="00F7361D">
        <w:rPr>
          <w:noProof/>
        </w:rPr>
        <w:fldChar w:fldCharType="separate"/>
      </w:r>
      <w:r w:rsidR="006D52C2">
        <w:rPr>
          <w:noProof/>
        </w:rPr>
        <w:t>73</w:t>
      </w:r>
      <w:r w:rsidR="00F7361D">
        <w:rPr>
          <w:noProof/>
        </w:rPr>
        <w:fldChar w:fldCharType="end"/>
      </w:r>
      <w:bookmarkEnd w:id="329"/>
      <w:r>
        <w:t xml:space="preserve">. </w:t>
      </w:r>
      <w:r w:rsidR="00F97C97">
        <w:t>The correlation between the flexural modulus and maximum moisture content</w:t>
      </w:r>
      <w:bookmarkEnd w:id="330"/>
    </w:p>
    <w:p w14:paraId="28892A54" w14:textId="1AC4074A" w:rsidR="005B467E" w:rsidRDefault="005B467E" w:rsidP="00BB2C1B">
      <w:pPr>
        <w:pStyle w:val="Heading2"/>
      </w:pPr>
      <w:bookmarkStart w:id="331" w:name="_Toc531943790"/>
      <w:r>
        <w:t>5.</w:t>
      </w:r>
      <w:r w:rsidR="00BA1AD9">
        <w:t>4</w:t>
      </w:r>
      <w:r>
        <w:t>. Concentration Dependent M</w:t>
      </w:r>
      <w:r w:rsidR="0041025A">
        <w:t>odulus Model: Model Development</w:t>
      </w:r>
      <w:bookmarkEnd w:id="331"/>
    </w:p>
    <w:p w14:paraId="0D854D5F" w14:textId="4DF5F726" w:rsidR="006A4A4A" w:rsidRDefault="006A4A4A" w:rsidP="00682F7B">
      <w:pPr>
        <w:rPr>
          <w:rFonts w:eastAsiaTheme="majorEastAsia"/>
        </w:rPr>
      </w:pPr>
      <w:r>
        <w:rPr>
          <w:rFonts w:eastAsiaTheme="majorEastAsia"/>
        </w:rPr>
        <w:t>The suggested linear relation between the modulus and the concentration is given as follows:</w:t>
      </w:r>
    </w:p>
    <w:tbl>
      <w:tblPr>
        <w:tblW w:w="0" w:type="auto"/>
        <w:tblLook w:val="04A0" w:firstRow="1" w:lastRow="0" w:firstColumn="1" w:lastColumn="0" w:noHBand="0" w:noVBand="1"/>
      </w:tblPr>
      <w:tblGrid>
        <w:gridCol w:w="7544"/>
        <w:gridCol w:w="1096"/>
      </w:tblGrid>
      <w:tr w:rsidR="006A4A4A" w:rsidRPr="001E6BA7" w14:paraId="10E55B09" w14:textId="77777777" w:rsidTr="006A4A4A">
        <w:tc>
          <w:tcPr>
            <w:tcW w:w="7544" w:type="dxa"/>
            <w:vAlign w:val="center"/>
          </w:tcPr>
          <w:p w14:paraId="227FD6A1" w14:textId="6566D5B0" w:rsidR="006A4A4A" w:rsidRPr="006A4A4A" w:rsidRDefault="006A4A4A" w:rsidP="006A4A4A">
            <w:pPr>
              <w:rPr>
                <w:szCs w:val="24"/>
              </w:rPr>
            </w:pPr>
            <m:oMathPara>
              <m:oMath>
                <m:r>
                  <w:rPr>
                    <w:rFonts w:ascii="Cambria Math" w:hAnsi="Cambria Math" w:cs="Times New Roman"/>
                    <w:szCs w:val="24"/>
                  </w:rPr>
                  <m:t>E</m:t>
                </m:r>
                <m:d>
                  <m:dPr>
                    <m:ctrlPr>
                      <w:rPr>
                        <w:rFonts w:ascii="Cambria Math" w:hAnsi="Cambria Math" w:cs="Times New Roman"/>
                        <w:szCs w:val="24"/>
                      </w:rPr>
                    </m:ctrlPr>
                  </m:dPr>
                  <m:e>
                    <m:r>
                      <w:rPr>
                        <w:rFonts w:ascii="Cambria Math" w:hAnsi="Cambria Math" w:cs="Times New Roman"/>
                        <w:szCs w:val="24"/>
                      </w:rPr>
                      <m:t>z,t</m:t>
                    </m:r>
                  </m:e>
                </m:d>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sub>
                </m:sSub>
                <m:r>
                  <w:rPr>
                    <w:rFonts w:ascii="Cambria Math" w:hAnsi="Cambria Math" w:cs="Times New Roman"/>
                    <w:szCs w:val="24"/>
                  </w:rPr>
                  <m:t>)</m:t>
                </m:r>
                <m:d>
                  <m:dPr>
                    <m:begChr m:val="["/>
                    <m:endChr m:val="]"/>
                    <m:ctrlPr>
                      <w:rPr>
                        <w:rFonts w:ascii="Cambria Math" w:hAnsi="Cambria Math" w:cs="Times New Roman"/>
                        <w:i/>
                        <w:szCs w:val="24"/>
                      </w:rPr>
                    </m:ctrlPr>
                  </m:dPr>
                  <m:e>
                    <m:r>
                      <w:rPr>
                        <w:rFonts w:ascii="Cambria Math" w:hAnsi="Cambria Math" w:cs="Times New Roman"/>
                        <w:szCs w:val="24"/>
                      </w:rPr>
                      <m:t>n(z,t)+N(z,t)</m:t>
                    </m:r>
                  </m:e>
                </m:d>
              </m:oMath>
            </m:oMathPara>
          </w:p>
        </w:tc>
        <w:tc>
          <w:tcPr>
            <w:tcW w:w="1096" w:type="dxa"/>
            <w:vMerge w:val="restart"/>
            <w:vAlign w:val="center"/>
          </w:tcPr>
          <w:p w14:paraId="1D59963D" w14:textId="7589B4F5" w:rsidR="006A4A4A" w:rsidRPr="001E6BA7" w:rsidRDefault="006A4A4A" w:rsidP="006A4A4A">
            <w:pPr>
              <w:spacing w:afterLines="120" w:after="288"/>
              <w:jc w:val="center"/>
              <w:rPr>
                <w:rFonts w:eastAsiaTheme="majorEastAsia" w:cs="Times New Roman"/>
                <w:szCs w:val="24"/>
              </w:rPr>
            </w:pPr>
            <w:r w:rsidRPr="001E6BA7">
              <w:rPr>
                <w:rFonts w:eastAsiaTheme="majorEastAsia" w:cs="Times New Roman"/>
                <w:szCs w:val="24"/>
              </w:rPr>
              <w:t>(</w:t>
            </w:r>
            <w:r w:rsidR="00F31F62">
              <w:rPr>
                <w:rFonts w:eastAsiaTheme="majorEastAsia" w:cs="Times New Roman"/>
                <w:szCs w:val="24"/>
              </w:rPr>
              <w:t>75</w:t>
            </w:r>
            <w:r w:rsidRPr="001E6BA7">
              <w:rPr>
                <w:rFonts w:eastAsiaTheme="majorEastAsia" w:cs="Times New Roman"/>
                <w:szCs w:val="24"/>
              </w:rPr>
              <w:t>)</w:t>
            </w:r>
          </w:p>
        </w:tc>
      </w:tr>
      <w:tr w:rsidR="006A4A4A" w:rsidRPr="001E6BA7" w14:paraId="290F6C3E" w14:textId="77777777" w:rsidTr="006A4A4A">
        <w:tc>
          <w:tcPr>
            <w:tcW w:w="7544" w:type="dxa"/>
            <w:vAlign w:val="center"/>
          </w:tcPr>
          <w:p w14:paraId="5C206057" w14:textId="3B1A495A" w:rsidR="006A4A4A" w:rsidRPr="006A4A4A" w:rsidRDefault="007B3686" w:rsidP="006A4A4A">
            <w:pPr>
              <w:rPr>
                <w:szCs w:val="24"/>
              </w:rPr>
            </w:pPr>
            <m:oMathPara>
              <m:oMath>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up>
                </m:sSup>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m:t>
                        </m:r>
                      </m:sub>
                    </m:sSub>
                  </m:sub>
                </m:sSub>
                <m:r>
                  <w:rPr>
                    <w:rFonts w:ascii="Cambria Math" w:hAnsi="Cambria Math" w:cs="Times New Roman"/>
                    <w:szCs w:val="24"/>
                  </w:rPr>
                  <m:t>)</m:t>
                </m:r>
              </m:oMath>
            </m:oMathPara>
          </w:p>
        </w:tc>
        <w:tc>
          <w:tcPr>
            <w:tcW w:w="1096" w:type="dxa"/>
            <w:vMerge/>
            <w:vAlign w:val="center"/>
          </w:tcPr>
          <w:p w14:paraId="611CCDC8" w14:textId="77777777" w:rsidR="006A4A4A" w:rsidRPr="001E6BA7" w:rsidRDefault="006A4A4A" w:rsidP="006A4A4A">
            <w:pPr>
              <w:spacing w:afterLines="120" w:after="288"/>
              <w:jc w:val="center"/>
              <w:rPr>
                <w:rFonts w:eastAsiaTheme="majorEastAsia" w:cs="Times New Roman"/>
                <w:szCs w:val="24"/>
              </w:rPr>
            </w:pPr>
          </w:p>
        </w:tc>
      </w:tr>
    </w:tbl>
    <w:p w14:paraId="119012E1" w14:textId="77777777" w:rsidR="009A6168" w:rsidRDefault="009A6168" w:rsidP="009A6168"/>
    <w:p w14:paraId="4AC8D8A4" w14:textId="38B6A2B3" w:rsidR="00BB4871" w:rsidRDefault="00BB4871" w:rsidP="00B63058">
      <w:pPr>
        <w:pStyle w:val="Heading3"/>
        <w:numPr>
          <w:ilvl w:val="0"/>
          <w:numId w:val="39"/>
        </w:numPr>
      </w:pPr>
      <w:bookmarkStart w:id="332" w:name="_Toc531943791"/>
      <w:r>
        <w:lastRenderedPageBreak/>
        <w:t>Tensile Modulus</w:t>
      </w:r>
      <w:bookmarkEnd w:id="332"/>
    </w:p>
    <w:p w14:paraId="42AF7E87" w14:textId="77777777" w:rsidR="006A4A4A" w:rsidRDefault="006A4A4A" w:rsidP="00682F7B">
      <w:pPr>
        <w:rPr>
          <w:rFonts w:eastAsiaTheme="majorEastAsia"/>
        </w:rPr>
      </w:pPr>
      <w:r>
        <w:rPr>
          <w:rFonts w:eastAsiaTheme="majorEastAsia"/>
        </w:rPr>
        <w:t xml:space="preserve">To find the effective Young’s modulus of the thin plate having a thickness </w:t>
      </w:r>
      <w:proofErr w:type="gramStart"/>
      <w:r>
        <w:rPr>
          <w:rFonts w:eastAsiaTheme="majorEastAsia"/>
        </w:rPr>
        <w:t xml:space="preserve">of </w:t>
      </w:r>
      <w:proofErr w:type="gramEnd"/>
      <m:oMath>
        <m:r>
          <w:rPr>
            <w:rFonts w:ascii="Cambria Math" w:eastAsiaTheme="majorEastAsia" w:hAnsi="Cambria Math"/>
          </w:rPr>
          <m:t>2</m:t>
        </m:r>
        <m:r>
          <w:rPr>
            <w:rFonts w:ascii="Cambria Math" w:eastAsiaTheme="majorEastAsia" w:hAnsi="Cambria Math"/>
          </w:rPr>
          <m:t>h</m:t>
        </m:r>
      </m:oMath>
      <w:r>
        <w:rPr>
          <w:rFonts w:eastAsiaTheme="majorEastAsia"/>
        </w:rPr>
        <w:t xml:space="preserve">, </w:t>
      </w:r>
      <m:oMath>
        <m:r>
          <w:rPr>
            <w:rFonts w:ascii="Cambria Math" w:hAnsi="Cambria Math" w:cs="Times New Roman"/>
          </w:rPr>
          <m:t>E</m:t>
        </m:r>
        <m:d>
          <m:dPr>
            <m:ctrlPr>
              <w:rPr>
                <w:rFonts w:ascii="Cambria Math" w:hAnsi="Cambria Math" w:cs="Times New Roman"/>
              </w:rPr>
            </m:ctrlPr>
          </m:dPr>
          <m:e>
            <m:r>
              <w:rPr>
                <w:rFonts w:ascii="Cambria Math" w:hAnsi="Cambria Math" w:cs="Times New Roman"/>
              </w:rPr>
              <m:t>z,t</m:t>
            </m:r>
          </m:e>
        </m:d>
      </m:oMath>
      <w:r>
        <w:rPr>
          <w:rFonts w:eastAsiaTheme="majorEastAsia"/>
        </w:rPr>
        <w:t xml:space="preserve"> is integrated over the thickness of the 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625"/>
      </w:tblGrid>
      <w:tr w:rsidR="006A4A4A" w14:paraId="45D476AE" w14:textId="77777777" w:rsidTr="006A4A4A">
        <w:tc>
          <w:tcPr>
            <w:tcW w:w="8005" w:type="dxa"/>
            <w:vAlign w:val="center"/>
          </w:tcPr>
          <w:p w14:paraId="6195DC01" w14:textId="77777777" w:rsidR="006A4A4A" w:rsidRPr="006A4A4A" w:rsidRDefault="006A4A4A" w:rsidP="006A4A4A">
            <w:pPr>
              <w:jc w:val="center"/>
            </w:pPr>
            <m:oMathPara>
              <m:oMath>
                <m:r>
                  <w:rPr>
                    <w:rFonts w:ascii="Cambria Math" w:hAnsi="Cambria Math" w:cs="Times New Roman"/>
                    <w:szCs w:val="24"/>
                  </w:rPr>
                  <m:t>E</m:t>
                </m:r>
                <m:d>
                  <m:dPr>
                    <m:ctrlPr>
                      <w:rPr>
                        <w:rFonts w:ascii="Cambria Math" w:hAnsi="Cambria Math" w:cs="Times New Roman"/>
                        <w:szCs w:val="24"/>
                      </w:rPr>
                    </m:ctrlPr>
                  </m:dPr>
                  <m:e>
                    <m:r>
                      <w:rPr>
                        <w:rFonts w:ascii="Cambria Math" w:hAnsi="Cambria Math" w:cs="Times New Roman"/>
                        <w:szCs w:val="24"/>
                      </w:rPr>
                      <m:t>t</m:t>
                    </m:r>
                  </m:e>
                </m:d>
                <m:r>
                  <w:rPr>
                    <w:rFonts w:ascii="Cambria Math" w:hAnsi="Cambria Math" w:cs="Times New Roman"/>
                    <w:szCs w:val="24"/>
                  </w:rPr>
                  <m:t>=</m:t>
                </m:r>
                <m:nary>
                  <m:naryPr>
                    <m:limLoc m:val="subSup"/>
                    <m:ctrlPr>
                      <w:rPr>
                        <w:rFonts w:ascii="Cambria Math" w:hAnsi="Cambria Math"/>
                        <w:i/>
                      </w:rPr>
                    </m:ctrlPr>
                  </m:naryPr>
                  <m:sub>
                    <m:r>
                      <w:rPr>
                        <w:rFonts w:ascii="Cambria Math" w:hAnsi="Cambria Math"/>
                      </w:rPr>
                      <m:t>-h</m:t>
                    </m:r>
                  </m:sub>
                  <m:sup>
                    <m:r>
                      <w:rPr>
                        <w:rFonts w:ascii="Cambria Math" w:hAnsi="Cambria Math"/>
                      </w:rPr>
                      <m:t>h</m:t>
                    </m:r>
                  </m:sup>
                  <m:e>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up>
                    </m:sSup>
                    <m:d>
                      <m:dPr>
                        <m:begChr m:val="{"/>
                        <m:endChr m:val="}"/>
                        <m:ctrlPr>
                          <w:rPr>
                            <w:rFonts w:ascii="Cambria Math" w:hAnsi="Cambria Math" w:cs="Times New Roman"/>
                            <w:i/>
                            <w:szCs w:val="24"/>
                          </w:rPr>
                        </m:ctrlPr>
                      </m:dPr>
                      <m:e>
                        <m:d>
                          <m:dPr>
                            <m:begChr m:val="["/>
                            <m:endChr m:val="]"/>
                            <m:ctrlPr>
                              <w:rPr>
                                <w:rFonts w:ascii="Cambria Math" w:hAnsi="Cambria Math" w:cs="Times New Roman"/>
                                <w:i/>
                                <w:szCs w:val="24"/>
                              </w:rPr>
                            </m:ctrlPr>
                          </m:dPr>
                          <m:e>
                            <m:r>
                              <w:rPr>
                                <w:rFonts w:ascii="Cambria Math" w:hAnsi="Cambria Math" w:cs="Times New Roman"/>
                                <w:szCs w:val="24"/>
                              </w:rPr>
                              <m:t>n(z,t)+N(z,t)</m:t>
                            </m:r>
                          </m:e>
                        </m:d>
                      </m:e>
                    </m:d>
                    <m:r>
                      <w:rPr>
                        <w:rFonts w:ascii="Cambria Math" w:hAnsi="Cambria Math"/>
                      </w:rPr>
                      <m:t>dz</m:t>
                    </m:r>
                  </m:e>
                </m:nary>
              </m:oMath>
            </m:oMathPara>
          </w:p>
        </w:tc>
        <w:tc>
          <w:tcPr>
            <w:tcW w:w="625" w:type="dxa"/>
            <w:vAlign w:val="center"/>
          </w:tcPr>
          <w:p w14:paraId="4D25FFD5" w14:textId="1CDD6B97" w:rsidR="006A4A4A" w:rsidRDefault="00F31F62" w:rsidP="006A4A4A">
            <w:pPr>
              <w:ind w:firstLine="0"/>
              <w:jc w:val="center"/>
              <w:rPr>
                <w:rFonts w:eastAsiaTheme="majorEastAsia" w:cstheme="majorBidi"/>
                <w:szCs w:val="24"/>
              </w:rPr>
            </w:pPr>
            <w:r>
              <w:rPr>
                <w:rFonts w:eastAsiaTheme="majorEastAsia" w:cstheme="majorBidi"/>
                <w:szCs w:val="24"/>
              </w:rPr>
              <w:t>(76</w:t>
            </w:r>
            <w:r w:rsidR="006A4A4A">
              <w:rPr>
                <w:rFonts w:eastAsiaTheme="majorEastAsia" w:cstheme="majorBidi"/>
                <w:szCs w:val="24"/>
              </w:rPr>
              <w:t>)</w:t>
            </w:r>
          </w:p>
        </w:tc>
      </w:tr>
    </w:tbl>
    <w:p w14:paraId="2DD44032" w14:textId="30698592" w:rsidR="006A4A4A" w:rsidRPr="006A4A4A" w:rsidRDefault="00F31F62" w:rsidP="006A4A4A">
      <w:r>
        <w:t>The integration in Eq. (76</w:t>
      </w:r>
      <w:r w:rsidR="006A4A4A">
        <w:t>) yields:</w:t>
      </w:r>
    </w:p>
    <w:tbl>
      <w:tblPr>
        <w:tblW w:w="8640" w:type="dxa"/>
        <w:tblLayout w:type="fixed"/>
        <w:tblLook w:val="04A0" w:firstRow="1" w:lastRow="0" w:firstColumn="1" w:lastColumn="0" w:noHBand="0" w:noVBand="1"/>
      </w:tblPr>
      <w:tblGrid>
        <w:gridCol w:w="7915"/>
        <w:gridCol w:w="725"/>
      </w:tblGrid>
      <w:tr w:rsidR="006A4A4A" w:rsidRPr="005A3E52" w14:paraId="01CB324A" w14:textId="77777777" w:rsidTr="006A4A4A">
        <w:trPr>
          <w:trHeight w:val="755"/>
        </w:trPr>
        <w:tc>
          <w:tcPr>
            <w:tcW w:w="7915" w:type="dxa"/>
            <w:vAlign w:val="center"/>
          </w:tcPr>
          <w:p w14:paraId="4D39FD6D" w14:textId="2FABD5B6" w:rsidR="006A4A4A" w:rsidRPr="00BB4871" w:rsidRDefault="006A4A4A" w:rsidP="00BB4871">
            <w:pPr>
              <w:spacing w:line="240" w:lineRule="auto"/>
              <w:ind w:firstLine="0"/>
              <w:rPr>
                <w:rFonts w:ascii="Cambria Math" w:hAnsi="Cambria Math" w:cs="Times New Roman"/>
                <w:szCs w:val="24"/>
                <w:oMath/>
              </w:rPr>
            </w:pPr>
            <m:oMathPara>
              <m:oMath>
                <m:r>
                  <w:rPr>
                    <w:rFonts w:ascii="Cambria Math" w:hAnsi="Cambria Math" w:cs="Times New Roman"/>
                    <w:szCs w:val="24"/>
                  </w:rPr>
                  <m:t>E</m:t>
                </m:r>
                <m:d>
                  <m:dPr>
                    <m:ctrlPr>
                      <w:rPr>
                        <w:rFonts w:ascii="Cambria Math" w:hAnsi="Cambria Math" w:cs="Times New Roman"/>
                        <w:szCs w:val="24"/>
                      </w:rPr>
                    </m:ctrlPr>
                  </m:dPr>
                  <m:e>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up>
                </m:sSup>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r>
                            <m:rPr>
                              <m:sty m:val="p"/>
                            </m:rPr>
                            <w:rPr>
                              <w:rFonts w:ascii="Cambria Math" w:hAnsi="Cambria Math" w:cs="Times New Roman"/>
                              <w:szCs w:val="24"/>
                            </w:rPr>
                            <m:t>1-</m:t>
                          </m:r>
                          <m:f>
                            <m:fPr>
                              <m:ctrlPr>
                                <w:rPr>
                                  <w:rFonts w:ascii="Cambria Math" w:hAnsi="Cambria Math" w:cs="Times New Roman"/>
                                  <w:szCs w:val="24"/>
                                </w:rPr>
                              </m:ctrlPr>
                            </m:fPr>
                            <m:num>
                              <m:r>
                                <m:rPr>
                                  <m:sty m:val="p"/>
                                </m:rPr>
                                <w:rPr>
                                  <w:rFonts w:ascii="Cambria Math" w:hAnsi="Cambria Math" w:cs="Times New Roman"/>
                                  <w:szCs w:val="24"/>
                                </w:rPr>
                                <m:t>8</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den>
                          </m:f>
                          <m:nary>
                            <m:naryPr>
                              <m:chr m:val="∑"/>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r>
                                <m:rPr>
                                  <m:sty m:val="p"/>
                                </m:rPr>
                                <w:rPr>
                                  <w:rFonts w:ascii="Cambria Math" w:hAnsi="Cambria Math" w:cs="Times New Roman"/>
                                  <w:szCs w:val="24"/>
                                </w:rPr>
                                <m:t>+</m:t>
                              </m:r>
                            </m:e>
                          </m:nary>
                        </m:e>
                      </m:mr>
                      <m:mr>
                        <m:e>
                          <m:f>
                            <m:fPr>
                              <m:ctrlPr>
                                <w:rPr>
                                  <w:rFonts w:ascii="Cambria Math" w:hAnsi="Cambria Math" w:cs="Times New Roman"/>
                                  <w:szCs w:val="24"/>
                                </w:rPr>
                              </m:ctrlPr>
                            </m:fPr>
                            <m:num>
                              <m:r>
                                <m:rPr>
                                  <m:sty m:val="p"/>
                                </m:rPr>
                                <w:rPr>
                                  <w:rFonts w:ascii="Cambria Math" w:hAnsi="Cambria Math" w:cs="Times New Roman"/>
                                  <w:szCs w:val="24"/>
                                </w:rPr>
                                <m:t>8</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den>
                          </m:f>
                          <m:d>
                            <m:dPr>
                              <m:ctrlPr>
                                <w:rPr>
                                  <w:rFonts w:ascii="Cambria Math" w:hAnsi="Cambria Math" w:cs="Times New Roman"/>
                                  <w:szCs w:val="24"/>
                                </w:rPr>
                              </m:ctrlPr>
                            </m:dPr>
                            <m:e>
                              <m:r>
                                <w:rPr>
                                  <w:rFonts w:ascii="Cambria Math" w:hAnsi="Cambria Math" w:cs="Times New Roman"/>
                                  <w:szCs w:val="24"/>
                                </w:rPr>
                                <m:t>K</m:t>
                              </m:r>
                              <m:f>
                                <m:fPr>
                                  <m:ctrlPr>
                                    <w:rPr>
                                      <w:rFonts w:ascii="Cambria Math" w:hAnsi="Cambria Math" w:cs="Times New Roman"/>
                                      <w:szCs w:val="24"/>
                                    </w:rPr>
                                  </m:ctrlPr>
                                </m:fPr>
                                <m:num>
                                  <m:r>
                                    <w:rPr>
                                      <w:rFonts w:ascii="Cambria Math" w:hAnsi="Cambria Math" w:cs="Times New Roman"/>
                                      <w:szCs w:val="24"/>
                                    </w:rPr>
                                    <m:t>β</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e>
                          </m:d>
                          <m:nary>
                            <m:naryPr>
                              <m:chr m:val="∑"/>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f>
                                <m:fPr>
                                  <m:ctrlPr>
                                    <w:rPr>
                                      <w:rFonts w:ascii="Cambria Math" w:hAnsi="Cambria Math" w:cs="Times New Roman"/>
                                      <w:szCs w:val="24"/>
                                    </w:rPr>
                                  </m:ctrlPr>
                                </m:fPr>
                                <m:num>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e>
                          </m:nary>
                        </m:e>
                      </m:mr>
                    </m:m>
                  </m:e>
                </m:d>
              </m:oMath>
            </m:oMathPara>
          </w:p>
        </w:tc>
        <w:tc>
          <w:tcPr>
            <w:tcW w:w="725" w:type="dxa"/>
            <w:vMerge w:val="restart"/>
            <w:vAlign w:val="center"/>
          </w:tcPr>
          <w:p w14:paraId="44BC2B05" w14:textId="443BBF5B" w:rsidR="006A4A4A" w:rsidRPr="005A3E52" w:rsidRDefault="00F31F62" w:rsidP="006A4A4A">
            <w:pPr>
              <w:ind w:firstLine="0"/>
              <w:jc w:val="right"/>
              <w:rPr>
                <w:rFonts w:cs="Times New Roman"/>
                <w:szCs w:val="24"/>
              </w:rPr>
            </w:pPr>
            <w:r>
              <w:rPr>
                <w:rFonts w:cs="Times New Roman"/>
                <w:szCs w:val="24"/>
              </w:rPr>
              <w:t>(77</w:t>
            </w:r>
            <w:r w:rsidR="006A4A4A" w:rsidRPr="005A3E52">
              <w:rPr>
                <w:rFonts w:cs="Times New Roman"/>
                <w:szCs w:val="24"/>
              </w:rPr>
              <w:t>)</w:t>
            </w:r>
          </w:p>
        </w:tc>
      </w:tr>
      <w:tr w:rsidR="006A4A4A" w:rsidRPr="005A3E52" w14:paraId="3D6FC676" w14:textId="77777777" w:rsidTr="006A4A4A">
        <w:trPr>
          <w:trHeight w:val="755"/>
        </w:trPr>
        <w:tc>
          <w:tcPr>
            <w:tcW w:w="7915" w:type="dxa"/>
            <w:vAlign w:val="center"/>
          </w:tcPr>
          <w:p w14:paraId="683DF622" w14:textId="77777777" w:rsidR="006A4A4A" w:rsidRPr="00AF79B9" w:rsidRDefault="007B3686" w:rsidP="00BB4871">
            <w:pPr>
              <w:spacing w:line="240" w:lineRule="auto"/>
              <w:ind w:firstLine="0"/>
              <w:rPr>
                <w:rFonts w:cs="Times New Roman"/>
                <w:szCs w:val="24"/>
              </w:rPr>
            </w:pPr>
            <m:oMathPara>
              <m:oMathParaPr>
                <m:jc m:val="center"/>
              </m:oMathParaPr>
              <m:oMath>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2</m:t>
                    </m:r>
                  </m:den>
                </m:f>
                <m:r>
                  <m:rPr>
                    <m:sty m:val="p"/>
                  </m:rPr>
                  <w:rPr>
                    <w:rFonts w:ascii="Cambria Math" w:hAnsi="Cambria Math" w:cs="Times New Roman"/>
                    <w:szCs w:val="24"/>
                  </w:rPr>
                  <m:t>[(</m:t>
                </m:r>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m:rPr>
                            <m:sty m:val="p"/>
                          </m:rPr>
                          <w:rPr>
                            <w:rFonts w:ascii="Cambria Math" w:hAnsi="Cambria Math" w:cs="Times New Roman"/>
                            <w:szCs w:val="24"/>
                          </w:rPr>
                          <m:t>(</m:t>
                        </m:r>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r>
                          <m:rPr>
                            <m:sty m:val="p"/>
                          </m:rPr>
                          <w:rPr>
                            <w:rFonts w:ascii="Cambria Math" w:hAnsi="Cambria Math" w:cs="Times New Roman"/>
                            <w:szCs w:val="24"/>
                          </w:rPr>
                          <m:t>+</m:t>
                        </m:r>
                        <m:r>
                          <w:rPr>
                            <w:rFonts w:ascii="Cambria Math" w:hAnsi="Cambria Math" w:cs="Times New Roman"/>
                            <w:szCs w:val="24"/>
                          </w:rPr>
                          <m:t>γ</m:t>
                        </m:r>
                        <m:r>
                          <m:rPr>
                            <m:sty m:val="p"/>
                          </m:rPr>
                          <w:rPr>
                            <w:rFonts w:ascii="Cambria Math" w:hAnsi="Cambria Math" w:cs="Times New Roman"/>
                            <w:szCs w:val="24"/>
                          </w:rPr>
                          <m:t>+</m:t>
                        </m:r>
                        <m:r>
                          <w:rPr>
                            <w:rFonts w:ascii="Cambria Math" w:hAnsi="Cambria Math" w:cs="Times New Roman"/>
                            <w:szCs w:val="24"/>
                          </w:rPr>
                          <m:t>β</m:t>
                        </m:r>
                        <m:r>
                          <m:rPr>
                            <m:sty m:val="p"/>
                          </m:rPr>
                          <w:rPr>
                            <w:rFonts w:ascii="Cambria Math" w:hAnsi="Cambria Math" w:cs="Times New Roman"/>
                            <w:szCs w:val="24"/>
                          </w:rPr>
                          <m:t>)</m:t>
                        </m:r>
                      </m:e>
                      <m:sup>
                        <m:r>
                          <m:rPr>
                            <m:sty m:val="p"/>
                          </m:rPr>
                          <w:rPr>
                            <w:rFonts w:ascii="Cambria Math" w:hAnsi="Cambria Math" w:cs="Times New Roman"/>
                            <w:szCs w:val="24"/>
                          </w:rPr>
                          <m:t>2</m:t>
                        </m:r>
                      </m:sup>
                    </m:sSup>
                    <m:r>
                      <m:rPr>
                        <m:sty m:val="p"/>
                      </m:rPr>
                      <w:rPr>
                        <w:rFonts w:ascii="Cambria Math" w:hAnsi="Cambria Math" w:cs="Times New Roman"/>
                        <w:szCs w:val="24"/>
                      </w:rPr>
                      <m:t>-4</m:t>
                    </m:r>
                    <m:r>
                      <w:rPr>
                        <w:rFonts w:ascii="Cambria Math" w:hAnsi="Cambria Math" w:cs="Times New Roman"/>
                        <w:szCs w:val="24"/>
                      </w:rPr>
                      <m:t>Kβ</m:t>
                    </m:r>
                    <m:sSup>
                      <m:sSupPr>
                        <m:ctrlPr>
                          <w:rPr>
                            <w:rFonts w:ascii="Cambria Math" w:hAnsi="Cambria Math" w:cs="Times New Roman"/>
                            <w:szCs w:val="24"/>
                          </w:rPr>
                        </m:ctrlPr>
                      </m:sSupPr>
                      <m:e>
                        <m:r>
                          <w:rPr>
                            <w:rFonts w:ascii="Cambria Math" w:hAnsi="Cambria Math" w:cs="Times New Roman"/>
                            <w:szCs w:val="24"/>
                          </w:rPr>
                          <m:t>i</m:t>
                        </m:r>
                      </m:e>
                      <m:sup>
                        <m:r>
                          <m:rPr>
                            <m:sty m:val="p"/>
                          </m:rPr>
                          <w:rPr>
                            <w:rFonts w:ascii="Cambria Math" w:hAnsi="Cambria Math" w:cs="Times New Roman"/>
                            <w:szCs w:val="24"/>
                          </w:rPr>
                          <m:t>2</m:t>
                        </m:r>
                      </m:sup>
                    </m:sSup>
                  </m:e>
                </m:rad>
                <m:r>
                  <m:rPr>
                    <m:sty m:val="p"/>
                  </m:rPr>
                  <w:rPr>
                    <w:rFonts w:ascii="Cambria Math" w:hAnsi="Cambria Math" w:cs="Times New Roman"/>
                    <w:szCs w:val="24"/>
                  </w:rPr>
                  <m:t>]</m:t>
                </m:r>
              </m:oMath>
            </m:oMathPara>
          </w:p>
        </w:tc>
        <w:tc>
          <w:tcPr>
            <w:tcW w:w="725" w:type="dxa"/>
            <w:vMerge/>
            <w:vAlign w:val="center"/>
          </w:tcPr>
          <w:p w14:paraId="2C185B35" w14:textId="630E7C74" w:rsidR="006A4A4A" w:rsidRPr="005A3E52" w:rsidRDefault="006A4A4A" w:rsidP="006A4A4A">
            <w:pPr>
              <w:ind w:firstLine="0"/>
              <w:jc w:val="right"/>
              <w:rPr>
                <w:rFonts w:cs="Times New Roman"/>
                <w:szCs w:val="24"/>
              </w:rPr>
            </w:pPr>
          </w:p>
        </w:tc>
      </w:tr>
      <w:tr w:rsidR="006A4A4A" w:rsidRPr="005A3E52" w14:paraId="6D6D28F1" w14:textId="77777777" w:rsidTr="006A4A4A">
        <w:trPr>
          <w:trHeight w:val="755"/>
        </w:trPr>
        <w:tc>
          <w:tcPr>
            <w:tcW w:w="7915" w:type="dxa"/>
            <w:vAlign w:val="center"/>
          </w:tcPr>
          <w:p w14:paraId="041D7E47" w14:textId="77777777" w:rsidR="006A4A4A" w:rsidRPr="00AF79B9" w:rsidRDefault="006A4A4A" w:rsidP="00BB4871">
            <w:pPr>
              <w:spacing w:line="240" w:lineRule="auto"/>
              <w:ind w:firstLine="0"/>
              <w:rPr>
                <w:rFonts w:eastAsia="Times New Roman" w:cs="Times New Roman"/>
                <w:szCs w:val="24"/>
              </w:rPr>
            </w:pPr>
            <m:oMathPara>
              <m:oMathParaPr>
                <m:jc m:val="center"/>
              </m:oMathParaPr>
              <m:oMath>
                <m:r>
                  <w:rPr>
                    <w:rFonts w:ascii="Cambria Math" w:hAnsi="Cambria Math" w:cs="Times New Roman"/>
                    <w:szCs w:val="24"/>
                  </w:rPr>
                  <m:t>K</m:t>
                </m:r>
                <m:r>
                  <m:rPr>
                    <m:sty m:val="p"/>
                  </m:rP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r>
                      <w:rPr>
                        <w:rFonts w:ascii="Cambria Math" w:hAnsi="Cambria Math" w:cs="Times New Roman"/>
                        <w:szCs w:val="24"/>
                      </w:rPr>
                      <m:t>D</m:t>
                    </m:r>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oMath>
            </m:oMathPara>
          </w:p>
        </w:tc>
        <w:tc>
          <w:tcPr>
            <w:tcW w:w="725" w:type="dxa"/>
            <w:vMerge/>
            <w:vAlign w:val="center"/>
          </w:tcPr>
          <w:p w14:paraId="7A82225C" w14:textId="77777777" w:rsidR="006A4A4A" w:rsidRPr="005A3E52" w:rsidRDefault="006A4A4A" w:rsidP="00BB4871">
            <w:pPr>
              <w:jc w:val="right"/>
              <w:rPr>
                <w:rFonts w:cs="Times New Roman"/>
                <w:szCs w:val="24"/>
              </w:rPr>
            </w:pPr>
          </w:p>
        </w:tc>
      </w:tr>
    </w:tbl>
    <w:p w14:paraId="2BFE559A" w14:textId="77777777" w:rsidR="00632228" w:rsidRDefault="00632228" w:rsidP="00682F7B"/>
    <w:p w14:paraId="1860811F" w14:textId="4B3DA13B" w:rsidR="00BB4871" w:rsidRDefault="00BB4871" w:rsidP="00B63058">
      <w:pPr>
        <w:pStyle w:val="Heading3"/>
      </w:pPr>
      <w:bookmarkStart w:id="333" w:name="_Toc531943792"/>
      <w:r>
        <w:t>Flex</w:t>
      </w:r>
      <w:r w:rsidR="00632228">
        <w:t>u</w:t>
      </w:r>
      <w:r>
        <w:t>ral Modulus</w:t>
      </w:r>
      <w:bookmarkEnd w:id="333"/>
    </w:p>
    <w:p w14:paraId="4B4C915D" w14:textId="0F87D26E" w:rsidR="00795462" w:rsidRDefault="006A4A4A" w:rsidP="00682F7B">
      <w:pPr>
        <w:rPr>
          <w:rFonts w:eastAsiaTheme="majorEastAsia"/>
        </w:rPr>
      </w:pPr>
      <w:r>
        <w:rPr>
          <w:rFonts w:eastAsiaTheme="majorEastAsia"/>
        </w:rPr>
        <w:t>To find the effective flexural modulus, bending moment on a rectangular slab must be considered.</w:t>
      </w:r>
    </w:p>
    <w:tbl>
      <w:tblPr>
        <w:tblW w:w="0" w:type="auto"/>
        <w:tblLook w:val="04A0" w:firstRow="1" w:lastRow="0" w:firstColumn="1" w:lastColumn="0" w:noHBand="0" w:noVBand="1"/>
      </w:tblPr>
      <w:tblGrid>
        <w:gridCol w:w="7544"/>
        <w:gridCol w:w="1096"/>
      </w:tblGrid>
      <w:tr w:rsidR="006A4A4A" w:rsidRPr="001E6BA7" w14:paraId="70A8EACF" w14:textId="77777777" w:rsidTr="006A4A4A">
        <w:tc>
          <w:tcPr>
            <w:tcW w:w="7544" w:type="dxa"/>
            <w:vAlign w:val="center"/>
          </w:tcPr>
          <w:p w14:paraId="7D856614" w14:textId="5A257FF5" w:rsidR="006A4A4A" w:rsidRPr="006A4A4A" w:rsidRDefault="006A4A4A" w:rsidP="006A4A4A">
            <m:oMathPara>
              <m:oMath>
                <m:r>
                  <m:rPr>
                    <m:sty m:val="p"/>
                  </m:rPr>
                  <w:rPr>
                    <w:rFonts w:ascii="Cambria Math" w:hAnsi="Cambria Math"/>
                  </w:rPr>
                  <m:t>Μ</m:t>
                </m:r>
                <m:r>
                  <w:rPr>
                    <w:rFonts w:ascii="Cambria Math" w:hAnsi="Cambria Math"/>
                  </w:rPr>
                  <m:t>=</m:t>
                </m:r>
                <m:nary>
                  <m:naryPr>
                    <m:limLoc m:val="subSup"/>
                    <m:ctrlPr>
                      <w:rPr>
                        <w:rFonts w:ascii="Cambria Math" w:hAnsi="Cambria Math"/>
                        <w:i/>
                      </w:rPr>
                    </m:ctrlPr>
                  </m:naryPr>
                  <m:sub>
                    <m:r>
                      <w:rPr>
                        <w:rFonts w:ascii="Cambria Math" w:hAnsi="Cambria Math"/>
                      </w:rPr>
                      <m:t>-h</m:t>
                    </m:r>
                  </m:sub>
                  <m:sup>
                    <m:r>
                      <w:rPr>
                        <w:rFonts w:ascii="Cambria Math" w:hAnsi="Cambria Math"/>
                      </w:rPr>
                      <m:t>h</m:t>
                    </m:r>
                  </m:sup>
                  <m:e>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zwdz</m:t>
                    </m:r>
                  </m:e>
                </m:nary>
              </m:oMath>
            </m:oMathPara>
          </w:p>
        </w:tc>
        <w:tc>
          <w:tcPr>
            <w:tcW w:w="1096" w:type="dxa"/>
            <w:vMerge w:val="restart"/>
            <w:vAlign w:val="center"/>
          </w:tcPr>
          <w:p w14:paraId="01A9F858" w14:textId="14D42D31" w:rsidR="006A4A4A" w:rsidRPr="001E6BA7" w:rsidRDefault="006A4A4A" w:rsidP="006A4A4A">
            <w:pPr>
              <w:spacing w:afterLines="120" w:after="288"/>
              <w:jc w:val="center"/>
              <w:rPr>
                <w:rFonts w:eastAsiaTheme="majorEastAsia" w:cs="Times New Roman"/>
                <w:szCs w:val="24"/>
              </w:rPr>
            </w:pPr>
            <w:r w:rsidRPr="001E6BA7">
              <w:rPr>
                <w:rFonts w:eastAsiaTheme="majorEastAsia" w:cs="Times New Roman"/>
                <w:szCs w:val="24"/>
              </w:rPr>
              <w:t>(</w:t>
            </w:r>
            <w:r w:rsidR="00F31F62">
              <w:rPr>
                <w:rFonts w:eastAsiaTheme="majorEastAsia" w:cs="Times New Roman"/>
                <w:szCs w:val="24"/>
              </w:rPr>
              <w:t>78</w:t>
            </w:r>
            <w:r w:rsidRPr="001E6BA7">
              <w:rPr>
                <w:rFonts w:eastAsiaTheme="majorEastAsia" w:cs="Times New Roman"/>
                <w:szCs w:val="24"/>
              </w:rPr>
              <w:t>)</w:t>
            </w:r>
          </w:p>
        </w:tc>
      </w:tr>
      <w:tr w:rsidR="006A4A4A" w:rsidRPr="001E6BA7" w14:paraId="4A6E53E5" w14:textId="77777777" w:rsidTr="006A4A4A">
        <w:tc>
          <w:tcPr>
            <w:tcW w:w="7544" w:type="dxa"/>
            <w:vAlign w:val="center"/>
          </w:tcPr>
          <w:p w14:paraId="1B44F2CD" w14:textId="7A717C1C" w:rsidR="006A4A4A" w:rsidRPr="006A4A4A" w:rsidRDefault="007B3686" w:rsidP="006A4A4A">
            <m:oMathPara>
              <m:oMath>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m:t>
                </m:r>
                <m:r>
                  <w:rPr>
                    <w:rFonts w:ascii="Cambria Math" w:hAnsi="Cambria Math" w:cs="Times New Roman"/>
                    <w:szCs w:val="24"/>
                  </w:rPr>
                  <m:t>E</m:t>
                </m:r>
                <m:d>
                  <m:dPr>
                    <m:ctrlPr>
                      <w:rPr>
                        <w:rFonts w:ascii="Cambria Math" w:hAnsi="Cambria Math" w:cs="Times New Roman"/>
                        <w:szCs w:val="24"/>
                      </w:rPr>
                    </m:ctrlPr>
                  </m:dPr>
                  <m:e>
                    <m:r>
                      <w:rPr>
                        <w:rFonts w:ascii="Cambria Math" w:hAnsi="Cambria Math" w:cs="Times New Roman"/>
                        <w:szCs w:val="24"/>
                      </w:rPr>
                      <m:t>z,t</m:t>
                    </m:r>
                  </m:e>
                </m:d>
                <m:f>
                  <m:fPr>
                    <m:ctrlPr>
                      <w:rPr>
                        <w:rFonts w:ascii="Cambria Math" w:hAnsi="Cambria Math"/>
                        <w:i/>
                      </w:rPr>
                    </m:ctrlPr>
                  </m:fPr>
                  <m:num>
                    <m:r>
                      <w:rPr>
                        <w:rFonts w:ascii="Cambria Math" w:hAnsi="Cambria Math"/>
                      </w:rPr>
                      <m:t>z</m:t>
                    </m:r>
                  </m:num>
                  <m:den>
                    <m:r>
                      <w:rPr>
                        <w:rFonts w:ascii="Cambria Math" w:hAnsi="Cambria Math"/>
                      </w:rPr>
                      <m:t>ρ</m:t>
                    </m:r>
                  </m:den>
                </m:f>
              </m:oMath>
            </m:oMathPara>
          </w:p>
        </w:tc>
        <w:tc>
          <w:tcPr>
            <w:tcW w:w="1096" w:type="dxa"/>
            <w:vMerge/>
            <w:vAlign w:val="center"/>
          </w:tcPr>
          <w:p w14:paraId="3F235B32" w14:textId="77777777" w:rsidR="006A4A4A" w:rsidRPr="001E6BA7" w:rsidRDefault="006A4A4A" w:rsidP="006A4A4A">
            <w:pPr>
              <w:spacing w:afterLines="120" w:after="288"/>
              <w:jc w:val="center"/>
              <w:rPr>
                <w:rFonts w:eastAsiaTheme="majorEastAsia" w:cs="Times New Roman"/>
                <w:szCs w:val="24"/>
              </w:rPr>
            </w:pPr>
          </w:p>
        </w:tc>
      </w:tr>
      <w:tr w:rsidR="006A4A4A" w:rsidRPr="001E6BA7" w14:paraId="42C0925D" w14:textId="77777777" w:rsidTr="006A4A4A">
        <w:tc>
          <w:tcPr>
            <w:tcW w:w="7544" w:type="dxa"/>
            <w:vAlign w:val="center"/>
          </w:tcPr>
          <w:p w14:paraId="1C8799BE" w14:textId="254E608B" w:rsidR="006A4A4A" w:rsidRPr="006A4A4A" w:rsidRDefault="006A4A4A" w:rsidP="006A4A4A">
            <m:oMathPara>
              <m:oMath>
                <m:r>
                  <m:rPr>
                    <m:sty m:val="p"/>
                  </m:rPr>
                  <w:rPr>
                    <w:rFonts w:ascii="Cambria Math" w:hAnsi="Cambria Math"/>
                  </w:rPr>
                  <m:t>Μ</m:t>
                </m:r>
                <m:r>
                  <w:rPr>
                    <w:rFonts w:ascii="Cambria Math" w:hAnsi="Cambria Math"/>
                  </w:rPr>
                  <m:t>=</m:t>
                </m:r>
                <m:nary>
                  <m:naryPr>
                    <m:limLoc m:val="subSup"/>
                    <m:ctrlPr>
                      <w:rPr>
                        <w:rFonts w:ascii="Cambria Math" w:hAnsi="Cambria Math"/>
                        <w:i/>
                      </w:rPr>
                    </m:ctrlPr>
                  </m:naryPr>
                  <m:sub>
                    <m:r>
                      <w:rPr>
                        <w:rFonts w:ascii="Cambria Math" w:hAnsi="Cambria Math"/>
                      </w:rPr>
                      <m:t>-h</m:t>
                    </m:r>
                  </m:sub>
                  <m:sup>
                    <m:r>
                      <w:rPr>
                        <w:rFonts w:ascii="Cambria Math" w:hAnsi="Cambria Math"/>
                      </w:rPr>
                      <m:t>h</m:t>
                    </m:r>
                  </m:sup>
                  <m:e>
                    <m:f>
                      <m:fPr>
                        <m:ctrlPr>
                          <w:rPr>
                            <w:rFonts w:ascii="Cambria Math" w:hAnsi="Cambria Math"/>
                            <w:i/>
                          </w:rPr>
                        </m:ctrlPr>
                      </m:fPr>
                      <m:num>
                        <m:r>
                          <w:rPr>
                            <w:rFonts w:ascii="Cambria Math" w:hAnsi="Cambria Math" w:cs="Times New Roman"/>
                            <w:szCs w:val="24"/>
                          </w:rPr>
                          <m:t>E</m:t>
                        </m:r>
                        <m:d>
                          <m:dPr>
                            <m:ctrlPr>
                              <w:rPr>
                                <w:rFonts w:ascii="Cambria Math" w:hAnsi="Cambria Math" w:cs="Times New Roman"/>
                                <w:szCs w:val="24"/>
                              </w:rPr>
                            </m:ctrlPr>
                          </m:dPr>
                          <m:e>
                            <m:r>
                              <w:rPr>
                                <w:rFonts w:ascii="Cambria Math" w:hAnsi="Cambria Math" w:cs="Times New Roman"/>
                                <w:szCs w:val="24"/>
                              </w:rPr>
                              <m:t>z,t</m:t>
                            </m:r>
                          </m:e>
                        </m:d>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wdz</m:t>
                        </m:r>
                      </m:num>
                      <m:den>
                        <m:r>
                          <w:rPr>
                            <w:rFonts w:ascii="Cambria Math" w:hAnsi="Cambria Math"/>
                          </w:rPr>
                          <m:t>ρ</m:t>
                        </m:r>
                      </m:den>
                    </m:f>
                  </m:e>
                </m:nary>
              </m:oMath>
            </m:oMathPara>
          </w:p>
        </w:tc>
        <w:tc>
          <w:tcPr>
            <w:tcW w:w="1096" w:type="dxa"/>
            <w:vMerge/>
            <w:vAlign w:val="center"/>
          </w:tcPr>
          <w:p w14:paraId="1921DA4E" w14:textId="77777777" w:rsidR="006A4A4A" w:rsidRPr="001E6BA7" w:rsidRDefault="006A4A4A" w:rsidP="006A4A4A">
            <w:pPr>
              <w:spacing w:afterLines="120" w:after="288"/>
              <w:jc w:val="center"/>
              <w:rPr>
                <w:rFonts w:eastAsiaTheme="majorEastAsia" w:cs="Times New Roman"/>
                <w:szCs w:val="24"/>
              </w:rPr>
            </w:pPr>
          </w:p>
        </w:tc>
      </w:tr>
    </w:tbl>
    <w:p w14:paraId="7A9BB99B" w14:textId="2C1458BF" w:rsidR="006A4A4A" w:rsidRDefault="006A4A4A" w:rsidP="00682F7B">
      <w:pPr>
        <w:ind w:firstLine="0"/>
      </w:pPr>
      <w:proofErr w:type="gramStart"/>
      <w:r>
        <w:t>where</w:t>
      </w:r>
      <w:proofErr w:type="gramEnd"/>
      <w:r>
        <w:t xml:space="preserve"> </w:t>
      </w:r>
      <m:oMath>
        <m:r>
          <m:rPr>
            <m:sty m:val="p"/>
          </m:rPr>
          <w:rPr>
            <w:rFonts w:ascii="Cambria Math" w:hAnsi="Cambria Math"/>
          </w:rPr>
          <m:t>Μ</m:t>
        </m:r>
      </m:oMath>
      <w:r>
        <w:t xml:space="preserve"> is the bending moment, </w:t>
      </w:r>
      <m:oMath>
        <m:sSub>
          <m:sSubPr>
            <m:ctrlPr>
              <w:rPr>
                <w:rFonts w:ascii="Cambria Math" w:hAnsi="Cambria Math"/>
                <w:i/>
              </w:rPr>
            </m:ctrlPr>
          </m:sSubPr>
          <m:e>
            <m:r>
              <w:rPr>
                <w:rFonts w:ascii="Cambria Math" w:hAnsi="Cambria Math"/>
              </w:rPr>
              <m:t>σ</m:t>
            </m:r>
          </m:e>
          <m:sub>
            <m:r>
              <w:rPr>
                <w:rFonts w:ascii="Cambria Math" w:hAnsi="Cambria Math"/>
              </w:rPr>
              <m:t>x</m:t>
            </m:r>
          </m:sub>
        </m:sSub>
      </m:oMath>
      <w:r>
        <w:t xml:space="preserve"> is the stress along </w:t>
      </w:r>
      <m:oMath>
        <m:r>
          <w:rPr>
            <w:rFonts w:ascii="Cambria Math" w:hAnsi="Cambria Math"/>
          </w:rPr>
          <m:t>x</m:t>
        </m:r>
      </m:oMath>
      <w:r>
        <w:t xml:space="preserve"> direction, </w:t>
      </w:r>
      <m:oMath>
        <m:r>
          <w:rPr>
            <w:rFonts w:ascii="Cambria Math" w:hAnsi="Cambria Math"/>
          </w:rPr>
          <m:t>w</m:t>
        </m:r>
      </m:oMath>
      <w:r>
        <w:t xml:space="preserve"> is the width of the slab and </w:t>
      </w:r>
      <m:oMath>
        <m:r>
          <w:rPr>
            <w:rFonts w:ascii="Cambria Math" w:hAnsi="Cambria Math"/>
          </w:rPr>
          <m:t>ρ</m:t>
        </m:r>
      </m:oMath>
      <w:r w:rsidR="00795462">
        <w:t xml:space="preserve"> is the radius of curvature of the neutral surface during flexure</w:t>
      </w:r>
      <w:r>
        <w:t>.</w:t>
      </w:r>
    </w:p>
    <w:p w14:paraId="6C4E496E" w14:textId="4926337C" w:rsidR="006A4A4A" w:rsidRDefault="006A4A4A" w:rsidP="00682F7B">
      <w:r>
        <w:lastRenderedPageBreak/>
        <w:t>Bending moment of a slab is also formulated in terms of flexural modulus</w:t>
      </w:r>
      <w:r w:rsidR="0041025A">
        <w:t>,</w:t>
      </w:r>
      <m:oMath>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f</m:t>
            </m:r>
          </m:sub>
        </m:sSub>
      </m:oMath>
      <w:proofErr w:type="gramStart"/>
      <w:r>
        <w:t>,</w:t>
      </w:r>
      <w:proofErr w:type="gramEnd"/>
      <w:r>
        <w:t xml:space="preserve"> radius of curvature and moment of inertia</w:t>
      </w:r>
      <w:r w:rsidR="0041025A">
        <w:t xml:space="preserve">, </w:t>
      </w:r>
      <m:oMath>
        <m:sSub>
          <m:sSubPr>
            <m:ctrlPr>
              <w:rPr>
                <w:rFonts w:ascii="Cambria Math" w:hAnsi="Cambria Math"/>
                <w:i/>
              </w:rPr>
            </m:ctrlPr>
          </m:sSubPr>
          <m:e>
            <m:r>
              <w:rPr>
                <w:rFonts w:ascii="Cambria Math" w:hAnsi="Cambria Math"/>
              </w:rPr>
              <m:t>I</m:t>
            </m:r>
          </m:e>
          <m:sub>
            <m:r>
              <w:rPr>
                <w:rFonts w:ascii="Cambria Math" w:hAnsi="Cambria Math"/>
              </w:rPr>
              <m:t>yy</m:t>
            </m:r>
          </m:sub>
        </m:sSub>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625"/>
      </w:tblGrid>
      <w:tr w:rsidR="006A4A4A" w14:paraId="121D1826" w14:textId="77777777" w:rsidTr="006A4A4A">
        <w:tc>
          <w:tcPr>
            <w:tcW w:w="8005" w:type="dxa"/>
            <w:vAlign w:val="center"/>
          </w:tcPr>
          <w:p w14:paraId="29591ACD" w14:textId="077447BE" w:rsidR="006A4A4A" w:rsidRPr="006A4A4A" w:rsidRDefault="006A4A4A" w:rsidP="006A4A4A">
            <m:oMathPara>
              <m:oMath>
                <m:r>
                  <m:rPr>
                    <m:sty m:val="p"/>
                  </m:rPr>
                  <w:rPr>
                    <w:rFonts w:ascii="Cambria Math" w:hAnsi="Cambria Math"/>
                  </w:rPr>
                  <m:t>Μ</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f</m:t>
                        </m:r>
                      </m:sub>
                    </m:sSub>
                    <m:sSub>
                      <m:sSubPr>
                        <m:ctrlPr>
                          <w:rPr>
                            <w:rFonts w:ascii="Cambria Math" w:hAnsi="Cambria Math"/>
                            <w:i/>
                          </w:rPr>
                        </m:ctrlPr>
                      </m:sSubPr>
                      <m:e>
                        <m:r>
                          <w:rPr>
                            <w:rFonts w:ascii="Cambria Math" w:hAnsi="Cambria Math"/>
                          </w:rPr>
                          <m:t>I</m:t>
                        </m:r>
                      </m:e>
                      <m:sub>
                        <m:r>
                          <w:rPr>
                            <w:rFonts w:ascii="Cambria Math" w:hAnsi="Cambria Math"/>
                          </w:rPr>
                          <m:t>yy</m:t>
                        </m:r>
                      </m:sub>
                    </m:sSub>
                  </m:num>
                  <m:den>
                    <m:r>
                      <w:rPr>
                        <w:rFonts w:ascii="Cambria Math" w:hAnsi="Cambria Math"/>
                      </w:rPr>
                      <m:t>ρ</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w</m:t>
                    </m:r>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12ρ</m:t>
                    </m:r>
                  </m:den>
                </m:f>
              </m:oMath>
            </m:oMathPara>
          </w:p>
        </w:tc>
        <w:tc>
          <w:tcPr>
            <w:tcW w:w="625" w:type="dxa"/>
            <w:vAlign w:val="center"/>
          </w:tcPr>
          <w:p w14:paraId="5A65E55D" w14:textId="7F027BC1" w:rsidR="006A4A4A" w:rsidRDefault="00F31F62" w:rsidP="006A4A4A">
            <w:pPr>
              <w:ind w:firstLine="0"/>
              <w:jc w:val="center"/>
              <w:rPr>
                <w:rFonts w:eastAsiaTheme="majorEastAsia" w:cstheme="majorBidi"/>
                <w:szCs w:val="24"/>
              </w:rPr>
            </w:pPr>
            <w:r>
              <w:rPr>
                <w:rFonts w:eastAsiaTheme="majorEastAsia" w:cstheme="majorBidi"/>
                <w:szCs w:val="24"/>
              </w:rPr>
              <w:t>(79</w:t>
            </w:r>
            <w:r w:rsidR="006A4A4A">
              <w:rPr>
                <w:rFonts w:eastAsiaTheme="majorEastAsia" w:cstheme="majorBidi"/>
                <w:szCs w:val="24"/>
              </w:rPr>
              <w:t>)</w:t>
            </w:r>
          </w:p>
        </w:tc>
      </w:tr>
    </w:tbl>
    <w:p w14:paraId="1B766DA5" w14:textId="0F5B0CB7" w:rsidR="006A4A4A" w:rsidRDefault="00F31F62" w:rsidP="006A4A4A">
      <w:r>
        <w:t>Equating Eq. (78) to Eq. (79</w:t>
      </w:r>
      <w:r w:rsidR="006A4A4A">
        <w:t>) yields: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625"/>
      </w:tblGrid>
      <w:tr w:rsidR="006A4A4A" w14:paraId="19C96AF5" w14:textId="77777777" w:rsidTr="006A4A4A">
        <w:tc>
          <w:tcPr>
            <w:tcW w:w="8005" w:type="dxa"/>
            <w:vAlign w:val="center"/>
          </w:tcPr>
          <w:p w14:paraId="22B7562C" w14:textId="704C6205" w:rsidR="006A4A4A" w:rsidRPr="006A4A4A" w:rsidRDefault="007B3686" w:rsidP="0041025A">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12</m:t>
                    </m:r>
                    <m:r>
                      <m:rPr>
                        <m:sty m:val="p"/>
                      </m:rPr>
                      <w:rPr>
                        <w:rFonts w:ascii="Cambria Math" w:hAnsi="Cambria Math"/>
                      </w:rPr>
                      <m:t>Μ</m:t>
                    </m:r>
                    <m:r>
                      <w:rPr>
                        <w:rFonts w:ascii="Cambria Math" w:hAnsi="Cambria Math"/>
                      </w:rPr>
                      <m:t>ρ</m:t>
                    </m:r>
                  </m:num>
                  <m:den>
                    <m:r>
                      <w:rPr>
                        <w:rFonts w:ascii="Cambria Math" w:hAnsi="Cambria Math"/>
                      </w:rPr>
                      <m:t>w</m:t>
                    </m:r>
                    <m:sSup>
                      <m:sSupPr>
                        <m:ctrlPr>
                          <w:rPr>
                            <w:rFonts w:ascii="Cambria Math" w:hAnsi="Cambria Math"/>
                            <w:i/>
                          </w:rPr>
                        </m:ctrlPr>
                      </m:sSupPr>
                      <m:e>
                        <m:r>
                          <w:rPr>
                            <w:rFonts w:ascii="Cambria Math" w:hAnsi="Cambria Math"/>
                          </w:rPr>
                          <m:t>h</m:t>
                        </m:r>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12</m:t>
                    </m:r>
                  </m:num>
                  <m:den>
                    <m:sSup>
                      <m:sSupPr>
                        <m:ctrlPr>
                          <w:rPr>
                            <w:rFonts w:ascii="Cambria Math" w:hAnsi="Cambria Math"/>
                            <w:i/>
                          </w:rPr>
                        </m:ctrlPr>
                      </m:sSupPr>
                      <m:e>
                        <m:r>
                          <w:rPr>
                            <w:rFonts w:ascii="Cambria Math" w:hAnsi="Cambria Math"/>
                          </w:rPr>
                          <m:t>h</m:t>
                        </m:r>
                      </m:e>
                      <m:sup>
                        <m:r>
                          <w:rPr>
                            <w:rFonts w:ascii="Cambria Math" w:hAnsi="Cambria Math"/>
                          </w:rPr>
                          <m:t>3</m:t>
                        </m:r>
                      </m:sup>
                    </m:sSup>
                  </m:den>
                </m:f>
                <m:nary>
                  <m:naryPr>
                    <m:limLoc m:val="subSup"/>
                    <m:ctrlPr>
                      <w:rPr>
                        <w:rFonts w:ascii="Cambria Math" w:hAnsi="Cambria Math"/>
                        <w:i/>
                      </w:rPr>
                    </m:ctrlPr>
                  </m:naryPr>
                  <m:sub>
                    <m:r>
                      <w:rPr>
                        <w:rFonts w:ascii="Cambria Math" w:hAnsi="Cambria Math"/>
                      </w:rPr>
                      <m:t>-h</m:t>
                    </m:r>
                  </m:sub>
                  <m:sup>
                    <m:r>
                      <w:rPr>
                        <w:rFonts w:ascii="Cambria Math" w:hAnsi="Cambria Math"/>
                      </w:rPr>
                      <m:t>h</m:t>
                    </m:r>
                  </m:sup>
                  <m:e>
                    <m:r>
                      <w:rPr>
                        <w:rFonts w:ascii="Cambria Math" w:hAnsi="Cambria Math" w:cs="Times New Roman"/>
                        <w:szCs w:val="24"/>
                      </w:rPr>
                      <m:t>E</m:t>
                    </m:r>
                    <m:d>
                      <m:dPr>
                        <m:ctrlPr>
                          <w:rPr>
                            <w:rFonts w:ascii="Cambria Math" w:hAnsi="Cambria Math" w:cs="Times New Roman"/>
                            <w:szCs w:val="24"/>
                          </w:rPr>
                        </m:ctrlPr>
                      </m:dPr>
                      <m:e>
                        <m:r>
                          <w:rPr>
                            <w:rFonts w:ascii="Cambria Math" w:hAnsi="Cambria Math" w:cs="Times New Roman"/>
                            <w:szCs w:val="24"/>
                          </w:rPr>
                          <m:t>z,t</m:t>
                        </m:r>
                      </m:e>
                    </m:d>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dz</m:t>
                    </m:r>
                  </m:e>
                </m:nary>
              </m:oMath>
            </m:oMathPara>
          </w:p>
        </w:tc>
        <w:tc>
          <w:tcPr>
            <w:tcW w:w="625" w:type="dxa"/>
            <w:vAlign w:val="center"/>
          </w:tcPr>
          <w:p w14:paraId="6E71AB66" w14:textId="278939BF" w:rsidR="006A4A4A" w:rsidRDefault="00F31F62" w:rsidP="006A4A4A">
            <w:pPr>
              <w:ind w:firstLine="0"/>
              <w:jc w:val="center"/>
              <w:rPr>
                <w:rFonts w:eastAsiaTheme="majorEastAsia" w:cstheme="majorBidi"/>
                <w:szCs w:val="24"/>
              </w:rPr>
            </w:pPr>
            <w:r>
              <w:rPr>
                <w:rFonts w:eastAsiaTheme="majorEastAsia" w:cstheme="majorBidi"/>
                <w:szCs w:val="24"/>
              </w:rPr>
              <w:t>(80</w:t>
            </w:r>
            <w:r w:rsidR="006A4A4A">
              <w:rPr>
                <w:rFonts w:eastAsiaTheme="majorEastAsia" w:cstheme="majorBidi"/>
                <w:szCs w:val="24"/>
              </w:rPr>
              <w:t>)</w:t>
            </w:r>
          </w:p>
        </w:tc>
      </w:tr>
    </w:tbl>
    <w:p w14:paraId="7AEC4D6A" w14:textId="2450542A" w:rsidR="00795462" w:rsidRPr="00BB4871" w:rsidRDefault="0041025A" w:rsidP="00BA1AD9">
      <w:r>
        <w:t>Effective flexural modulus of a slab becomes:</w:t>
      </w:r>
    </w:p>
    <w:tbl>
      <w:tblPr>
        <w:tblW w:w="0" w:type="auto"/>
        <w:tblLook w:val="04A0" w:firstRow="1" w:lastRow="0" w:firstColumn="1" w:lastColumn="0" w:noHBand="0" w:noVBand="1"/>
      </w:tblPr>
      <w:tblGrid>
        <w:gridCol w:w="7640"/>
        <w:gridCol w:w="976"/>
      </w:tblGrid>
      <w:tr w:rsidR="00BB4871" w:rsidRPr="005A3E52" w14:paraId="1D8A0CBA" w14:textId="77777777" w:rsidTr="00BB4871">
        <w:tc>
          <w:tcPr>
            <w:tcW w:w="7640" w:type="dxa"/>
            <w:vAlign w:val="center"/>
          </w:tcPr>
          <w:p w14:paraId="6B5501B2" w14:textId="1499B595" w:rsidR="00BB4871" w:rsidRPr="005A3E52" w:rsidRDefault="007B3686" w:rsidP="00BB4871">
            <w:pPr>
              <w:rPr>
                <w:rFonts w:cs="Times New Roman"/>
                <w:szCs w:val="24"/>
              </w:rPr>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d>
                  <m:dPr>
                    <m:ctrlPr>
                      <w:rPr>
                        <w:rFonts w:ascii="Cambria Math" w:hAnsi="Cambria Math" w:cs="Times New Roman"/>
                        <w:szCs w:val="24"/>
                      </w:rPr>
                    </m:ctrlPr>
                  </m:dPr>
                  <m:e>
                    <m:r>
                      <w:rPr>
                        <w:rFonts w:ascii="Cambria Math" w:hAnsi="Cambria Math" w:cs="Times New Roman"/>
                        <w:szCs w:val="24"/>
                      </w:rPr>
                      <m:t>t</m:t>
                    </m:r>
                  </m:e>
                </m:d>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24E</m:t>
                    </m:r>
                  </m:e>
                  <m:sup>
                    <m:r>
                      <w:rPr>
                        <w:rFonts w:ascii="Cambria Math" w:hAnsi="Cambria Math" w:cs="Times New Roman"/>
                        <w:szCs w:val="24"/>
                      </w:rPr>
                      <m:t>'</m:t>
                    </m:r>
                  </m:sup>
                </m:sSup>
                <m:d>
                  <m:dPr>
                    <m:begChr m:val="{"/>
                    <m:endChr m:val="}"/>
                    <m:ctrlPr>
                      <w:rPr>
                        <w:rFonts w:ascii="Cambria Math" w:hAnsi="Cambria Math" w:cs="Times New Roman"/>
                        <w:szCs w:val="24"/>
                      </w:rPr>
                    </m:ctrlPr>
                  </m:dPr>
                  <m:e>
                    <m:m>
                      <m:mPr>
                        <m:mcs>
                          <m:mc>
                            <m:mcPr>
                              <m:count m:val="1"/>
                              <m:mcJc m:val="center"/>
                            </m:mcPr>
                          </m:mc>
                        </m:mcs>
                        <m:ctrlPr>
                          <w:rPr>
                            <w:rFonts w:ascii="Cambria Math" w:hAnsi="Cambria Math" w:cs="Times New Roman"/>
                            <w:szCs w:val="24"/>
                          </w:rPr>
                        </m:ctrlPr>
                      </m:mPr>
                      <m:mr>
                        <m:e>
                          <m:f>
                            <m:fPr>
                              <m:ctrlPr>
                                <w:rPr>
                                  <w:rFonts w:ascii="Cambria Math" w:hAnsi="Cambria Math" w:cs="Times New Roman"/>
                                  <w:szCs w:val="24"/>
                                </w:rPr>
                              </m:ctrlPr>
                            </m:fPr>
                            <m:num>
                              <m:r>
                                <m:rPr>
                                  <m:sty m:val="p"/>
                                </m:rPr>
                                <w:rPr>
                                  <w:rFonts w:ascii="Cambria Math" w:hAnsi="Cambria Math" w:cs="Times New Roman"/>
                                  <w:szCs w:val="24"/>
                                </w:rPr>
                                <m:t>1</m:t>
                              </m:r>
                            </m:num>
                            <m:den>
                              <m:r>
                                <w:rPr>
                                  <w:rFonts w:ascii="Cambria Math" w:hAnsi="Cambria Math" w:cs="Times New Roman"/>
                                  <w:szCs w:val="24"/>
                                </w:rPr>
                                <m:t>24</m:t>
                              </m:r>
                            </m:den>
                          </m:f>
                          <m:r>
                            <m:rPr>
                              <m:sty m:val="p"/>
                            </m:rPr>
                            <w:rPr>
                              <w:rFonts w:ascii="Cambria Math" w:hAnsi="Cambria Math" w:cs="Times New Roman"/>
                              <w:szCs w:val="24"/>
                            </w:rPr>
                            <m:t>-</m:t>
                          </m:r>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d>
                                <m:dPr>
                                  <m:begChr m:val="["/>
                                  <m:endChr m:val="]"/>
                                  <m:ctrlPr>
                                    <w:rPr>
                                      <w:rFonts w:ascii="Cambria Math" w:hAnsi="Cambria Math" w:cs="Times New Roman"/>
                                      <w:i/>
                                      <w:szCs w:val="24"/>
                                    </w:rPr>
                                  </m:ctrlPr>
                                </m:dPr>
                                <m:e>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2</m:t>
                                          </m:r>
                                        </m:sup>
                                      </m:sSup>
                                      <m:r>
                                        <w:rPr>
                                          <w:rFonts w:ascii="Cambria Math" w:hAnsi="Cambria Math" w:cs="Times New Roman"/>
                                          <w:szCs w:val="24"/>
                                        </w:rPr>
                                        <m:t>-8</m:t>
                                      </m:r>
                                    </m:num>
                                    <m:den>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4</m:t>
                                          </m:r>
                                        </m:sup>
                                      </m:sSup>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4</m:t>
                                          </m:r>
                                        </m:sup>
                                      </m:sSup>
                                    </m:den>
                                  </m:f>
                                </m:e>
                              </m:d>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exp</m:t>
                                  </m:r>
                                  <m:r>
                                    <m:rPr>
                                      <m:sty m:val="p"/>
                                    </m:rPr>
                                    <w:rPr>
                                      <w:rFonts w:ascii="Cambria Math" w:hAnsi="Cambria Math" w:cs="Times New Roman"/>
                                      <w:szCs w:val="24"/>
                                    </w:rPr>
                                    <m:t>⁡(</m:t>
                                  </m:r>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r>
                                    <m:rPr>
                                      <m:sty m:val="p"/>
                                    </m:rPr>
                                    <w:rPr>
                                      <w:rFonts w:ascii="Cambria Math" w:hAnsi="Cambria Math" w:cs="Times New Roman"/>
                                      <w:szCs w:val="24"/>
                                    </w:rPr>
                                    <m:t>)</m:t>
                                  </m:r>
                                </m:num>
                                <m:den>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r>
                                <m:rPr>
                                  <m:sty m:val="p"/>
                                </m:rPr>
                                <w:rPr>
                                  <w:rFonts w:ascii="Cambria Math" w:hAnsi="Cambria Math" w:cs="Times New Roman"/>
                                  <w:szCs w:val="24"/>
                                </w:rPr>
                                <m:t>+</m:t>
                              </m:r>
                            </m:e>
                          </m:nary>
                        </m:e>
                      </m:mr>
                      <m:mr>
                        <m:e>
                          <m:d>
                            <m:dPr>
                              <m:ctrlPr>
                                <w:rPr>
                                  <w:rFonts w:ascii="Cambria Math" w:hAnsi="Cambria Math" w:cs="Times New Roman"/>
                                  <w:szCs w:val="24"/>
                                </w:rPr>
                              </m:ctrlPr>
                            </m:dPr>
                            <m:e>
                              <m:r>
                                <w:rPr>
                                  <w:rFonts w:ascii="Cambria Math" w:hAnsi="Cambria Math" w:cs="Times New Roman"/>
                                  <w:szCs w:val="24"/>
                                </w:rPr>
                                <m:t>K</m:t>
                              </m:r>
                              <m:f>
                                <m:fPr>
                                  <m:ctrlPr>
                                    <w:rPr>
                                      <w:rFonts w:ascii="Cambria Math" w:hAnsi="Cambria Math" w:cs="Times New Roman"/>
                                      <w:szCs w:val="24"/>
                                    </w:rPr>
                                  </m:ctrlPr>
                                </m:fPr>
                                <m:num>
                                  <m:r>
                                    <w:rPr>
                                      <w:rFonts w:ascii="Cambria Math" w:hAnsi="Cambria Math" w:cs="Times New Roman"/>
                                      <w:szCs w:val="24"/>
                                    </w:rPr>
                                    <m:t>β</m:t>
                                  </m:r>
                                </m:num>
                                <m:den>
                                  <m:r>
                                    <w:rPr>
                                      <w:rFonts w:ascii="Cambria Math" w:hAnsi="Cambria Math" w:cs="Times New Roman"/>
                                      <w:szCs w:val="24"/>
                                    </w:rPr>
                                    <m:t>β</m:t>
                                  </m:r>
                                  <m:r>
                                    <m:rPr>
                                      <m:sty m:val="p"/>
                                    </m:rPr>
                                    <w:rPr>
                                      <w:rFonts w:ascii="Cambria Math" w:hAnsi="Cambria Math" w:cs="Times New Roman"/>
                                      <w:szCs w:val="24"/>
                                    </w:rPr>
                                    <m:t>+</m:t>
                                  </m:r>
                                  <m:r>
                                    <w:rPr>
                                      <w:rFonts w:ascii="Cambria Math" w:hAnsi="Cambria Math" w:cs="Times New Roman"/>
                                      <w:szCs w:val="24"/>
                                    </w:rPr>
                                    <m:t>γ</m:t>
                                  </m:r>
                                </m:den>
                              </m:f>
                            </m:e>
                          </m:d>
                          <m:nary>
                            <m:naryPr>
                              <m:chr m:val="∑"/>
                              <m:limLoc m:val="undOvr"/>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m:rPr>
                                  <m:sty m:val="p"/>
                                </m:rPr>
                                <w:rPr>
                                  <w:rFonts w:ascii="Cambria Math" w:hAnsi="Cambria Math" w:cs="Times New Roman"/>
                                  <w:szCs w:val="24"/>
                                </w:rPr>
                                <m:t>∞(</m:t>
                              </m:r>
                              <m:r>
                                <w:rPr>
                                  <w:rFonts w:ascii="Cambria Math" w:hAnsi="Cambria Math" w:cs="Times New Roman"/>
                                  <w:szCs w:val="24"/>
                                </w:rPr>
                                <m:t>odd</m:t>
                              </m:r>
                              <m:r>
                                <m:rPr>
                                  <m:sty m:val="p"/>
                                </m:rPr>
                                <w:rPr>
                                  <w:rFonts w:ascii="Cambria Math" w:hAnsi="Cambria Math" w:cs="Times New Roman"/>
                                  <w:szCs w:val="24"/>
                                </w:rPr>
                                <m:t>)</m:t>
                              </m:r>
                            </m:sup>
                            <m:e>
                              <m:d>
                                <m:dPr>
                                  <m:begChr m:val="["/>
                                  <m:endChr m:val="]"/>
                                  <m:ctrlPr>
                                    <w:rPr>
                                      <w:rFonts w:ascii="Cambria Math" w:hAnsi="Cambria Math" w:cs="Times New Roman"/>
                                      <w:i/>
                                      <w:szCs w:val="24"/>
                                    </w:rPr>
                                  </m:ctrlPr>
                                </m:dPr>
                                <m:e>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2</m:t>
                                          </m:r>
                                        </m:sup>
                                      </m:sSup>
                                      <m:r>
                                        <w:rPr>
                                          <w:rFonts w:ascii="Cambria Math" w:hAnsi="Cambria Math" w:cs="Times New Roman"/>
                                          <w:szCs w:val="24"/>
                                        </w:rPr>
                                        <m:t>-8</m:t>
                                      </m:r>
                                    </m:num>
                                    <m:den>
                                      <m:sSup>
                                        <m:sSupPr>
                                          <m:ctrlPr>
                                            <w:rPr>
                                              <w:rFonts w:ascii="Cambria Math" w:hAnsi="Cambria Math" w:cs="Times New Roman"/>
                                              <w:szCs w:val="24"/>
                                            </w:rPr>
                                          </m:ctrlPr>
                                        </m:sSupPr>
                                        <m:e>
                                          <m:r>
                                            <w:rPr>
                                              <w:rFonts w:ascii="Cambria Math" w:hAnsi="Cambria Math" w:cs="Times New Roman"/>
                                              <w:szCs w:val="24"/>
                                            </w:rPr>
                                            <m:t>π</m:t>
                                          </m:r>
                                        </m:e>
                                        <m:sup>
                                          <m:r>
                                            <w:rPr>
                                              <w:rFonts w:ascii="Cambria Math" w:hAnsi="Cambria Math" w:cs="Times New Roman"/>
                                              <w:szCs w:val="24"/>
                                            </w:rPr>
                                            <m:t>4</m:t>
                                          </m:r>
                                        </m:sup>
                                      </m:sSup>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2</m:t>
                                          </m:r>
                                        </m:sup>
                                      </m:sSup>
                                    </m:den>
                                  </m:f>
                                </m:e>
                              </m:d>
                              <m:f>
                                <m:fPr>
                                  <m:ctrlPr>
                                    <w:rPr>
                                      <w:rFonts w:ascii="Cambria Math" w:hAnsi="Cambria Math" w:cs="Times New Roman"/>
                                      <w:szCs w:val="24"/>
                                    </w:rPr>
                                  </m:ctrlPr>
                                </m:fPr>
                                <m:num>
                                  <m:r>
                                    <w:rPr>
                                      <w:rFonts w:ascii="Cambria Math" w:hAnsi="Cambria Math" w:cs="Times New Roman"/>
                                      <w:szCs w:val="24"/>
                                    </w:rPr>
                                    <m:t>(</m:t>
                                  </m:r>
                                  <m:func>
                                    <m:funcPr>
                                      <m:ctrlPr>
                                        <w:rPr>
                                          <w:rFonts w:ascii="Cambria Math" w:hAnsi="Cambria Math" w:cs="Times New Roman"/>
                                          <w:szCs w:val="24"/>
                                        </w:rPr>
                                      </m:ctrlPr>
                                    </m:funcPr>
                                    <m:fName>
                                      <m:r>
                                        <w:rPr>
                                          <w:rFonts w:ascii="Cambria Math" w:hAnsi="Cambria Math" w:cs="Times New Roman"/>
                                          <w:szCs w:val="24"/>
                                        </w:rPr>
                                        <m:t>exp</m:t>
                                      </m:r>
                                    </m:fName>
                                    <m:e>
                                      <m:d>
                                        <m:dPr>
                                          <m:ctrlPr>
                                            <w:rPr>
                                              <w:rFonts w:ascii="Cambria Math" w:hAnsi="Cambria Math" w:cs="Times New Roman"/>
                                              <w:szCs w:val="24"/>
                                            </w:rPr>
                                          </m:ctrlPr>
                                        </m:dPr>
                                        <m:e>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r>
                                    <w:rPr>
                                      <w:rFonts w:ascii="Cambria Math" w:hAnsi="Cambria Math" w:cs="Times New Roman"/>
                                      <w:szCs w:val="24"/>
                                    </w:rPr>
                                    <m:t>ex</m:t>
                                  </m:r>
                                  <m:func>
                                    <m:funcPr>
                                      <m:ctrlPr>
                                        <w:rPr>
                                          <w:rFonts w:ascii="Cambria Math" w:hAnsi="Cambria Math" w:cs="Times New Roman"/>
                                          <w:szCs w:val="24"/>
                                        </w:rPr>
                                      </m:ctrlPr>
                                    </m:funcPr>
                                    <m:fName>
                                      <m:r>
                                        <w:rPr>
                                          <w:rFonts w:ascii="Cambria Math" w:hAnsi="Cambria Math" w:cs="Times New Roman"/>
                                          <w:szCs w:val="24"/>
                                        </w:rPr>
                                        <m:t>p</m:t>
                                      </m:r>
                                      <m:ctrlPr>
                                        <w:rPr>
                                          <w:rFonts w:ascii="Cambria Math" w:hAnsi="Cambria Math" w:cs="Times New Roman"/>
                                          <w:i/>
                                          <w:szCs w:val="24"/>
                                        </w:rPr>
                                      </m:ctrlPr>
                                    </m:fName>
                                    <m:e>
                                      <m:d>
                                        <m:dPr>
                                          <m:ctrlPr>
                                            <w:rPr>
                                              <w:rFonts w:ascii="Cambria Math" w:hAnsi="Cambria Math" w:cs="Times New Roman"/>
                                              <w:szCs w:val="24"/>
                                            </w:rPr>
                                          </m:ctrlPr>
                                        </m:dPr>
                                        <m:e>
                                          <m:sSubSup>
                                            <m:sSubSupPr>
                                              <m:ctrlPr>
                                                <w:rPr>
                                                  <w:rFonts w:ascii="Cambria Math" w:hAnsi="Cambria Math" w:cs="Times New Roman"/>
                                                  <w:szCs w:val="24"/>
                                                </w:rPr>
                                              </m:ctrlPr>
                                            </m:sSubSupPr>
                                            <m:e>
                                              <m:r>
                                                <m:rPr>
                                                  <m:sty m:val="p"/>
                                                </m:rPr>
                                                <w:rPr>
                                                  <w:rFonts w:ascii="Cambria Math" w:hAnsi="Cambria Math" w:cs="Times New Roman"/>
                                                  <w:szCs w:val="24"/>
                                                </w:rPr>
                                                <m:t>-</m:t>
                                              </m:r>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w:rPr>
                                              <w:rFonts w:ascii="Cambria Math" w:hAnsi="Cambria Math" w:cs="Times New Roman"/>
                                              <w:szCs w:val="24"/>
                                            </w:rPr>
                                            <m:t>t</m:t>
                                          </m:r>
                                        </m:e>
                                      </m:d>
                                    </m:e>
                                  </m:func>
                                  <m:r>
                                    <m:rPr>
                                      <m:sty m:val="p"/>
                                    </m:rPr>
                                    <w:rPr>
                                      <w:rFonts w:ascii="Cambria Math" w:hAnsi="Cambria Math" w:cs="Times New Roman"/>
                                      <w:szCs w:val="24"/>
                                    </w:rPr>
                                    <m:t>)</m:t>
                                  </m:r>
                                </m:num>
                                <m:den>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sSubSup>
                                    <m:sSubSupPr>
                                      <m:ctrlPr>
                                        <w:rPr>
                                          <w:rFonts w:ascii="Cambria Math" w:hAnsi="Cambria Math" w:cs="Times New Roman"/>
                                          <w:szCs w:val="24"/>
                                        </w:rPr>
                                      </m:ctrlPr>
                                    </m:sSubSupPr>
                                    <m:e>
                                      <m:r>
                                        <w:rPr>
                                          <w:rFonts w:ascii="Cambria Math" w:hAnsi="Cambria Math" w:cs="Times New Roman"/>
                                          <w:szCs w:val="24"/>
                                        </w:rPr>
                                        <m:t>r</m:t>
                                      </m:r>
                                    </m:e>
                                    <m:sub>
                                      <m:r>
                                        <w:rPr>
                                          <w:rFonts w:ascii="Cambria Math" w:hAnsi="Cambria Math" w:cs="Times New Roman"/>
                                          <w:szCs w:val="24"/>
                                        </w:rPr>
                                        <m:t>i</m:t>
                                      </m:r>
                                    </m:sub>
                                    <m:sup>
                                      <m:r>
                                        <m:rPr>
                                          <m:sty m:val="p"/>
                                        </m:rPr>
                                        <w:rPr>
                                          <w:rFonts w:ascii="Cambria Math" w:hAnsi="Cambria Math" w:cs="Times New Roman"/>
                                          <w:szCs w:val="24"/>
                                        </w:rPr>
                                        <m:t>-</m:t>
                                      </m:r>
                                    </m:sup>
                                  </m:sSubSup>
                                  <m:r>
                                    <m:rPr>
                                      <m:sty m:val="p"/>
                                    </m:rPr>
                                    <w:rPr>
                                      <w:rFonts w:ascii="Cambria Math" w:hAnsi="Cambria Math" w:cs="Times New Roman"/>
                                      <w:szCs w:val="24"/>
                                    </w:rPr>
                                    <m:t>)</m:t>
                                  </m:r>
                                </m:den>
                              </m:f>
                            </m:e>
                          </m:nary>
                        </m:e>
                      </m:mr>
                    </m:m>
                  </m:e>
                </m:d>
              </m:oMath>
            </m:oMathPara>
          </w:p>
        </w:tc>
        <w:tc>
          <w:tcPr>
            <w:tcW w:w="856" w:type="dxa"/>
            <w:vAlign w:val="center"/>
          </w:tcPr>
          <w:p w14:paraId="372EE814" w14:textId="00400C25" w:rsidR="00BB4871" w:rsidRPr="005A3E52" w:rsidRDefault="00BB4871" w:rsidP="0041025A">
            <w:pPr>
              <w:rPr>
                <w:rFonts w:cs="Times New Roman"/>
                <w:szCs w:val="24"/>
              </w:rPr>
            </w:pPr>
            <w:r>
              <w:rPr>
                <w:rFonts w:cs="Times New Roman"/>
                <w:szCs w:val="24"/>
              </w:rPr>
              <w:t>(</w:t>
            </w:r>
            <w:r w:rsidR="00F31F62">
              <w:rPr>
                <w:rFonts w:cs="Times New Roman"/>
                <w:szCs w:val="24"/>
              </w:rPr>
              <w:t>81</w:t>
            </w:r>
            <w:r w:rsidRPr="005A3E52">
              <w:rPr>
                <w:rFonts w:cs="Times New Roman"/>
                <w:szCs w:val="24"/>
              </w:rPr>
              <w:t>)</w:t>
            </w:r>
          </w:p>
        </w:tc>
      </w:tr>
    </w:tbl>
    <w:p w14:paraId="20F9C1FD" w14:textId="75222A4D" w:rsidR="00B34092" w:rsidRDefault="00B34092" w:rsidP="00BB2C1B">
      <w:pPr>
        <w:pStyle w:val="Heading2"/>
      </w:pPr>
      <w:bookmarkStart w:id="334" w:name="_Toc531943793"/>
      <w:r>
        <w:t>5.</w:t>
      </w:r>
      <w:r w:rsidR="00BA1AD9">
        <w:t>5</w:t>
      </w:r>
      <w:r>
        <w:t>.</w:t>
      </w:r>
      <w:r w:rsidRPr="00B34092">
        <w:t xml:space="preserve"> </w:t>
      </w:r>
      <w:r>
        <w:t>Concentration Dependent Modulus Model: Validation</w:t>
      </w:r>
      <w:bookmarkEnd w:id="334"/>
    </w:p>
    <w:p w14:paraId="5B499694" w14:textId="6232AB22" w:rsidR="00E552B0" w:rsidRDefault="00E552B0" w:rsidP="00E552B0">
      <w:r>
        <w:t xml:space="preserve">Same amount of absorbed moisture in different samples does not mean that both samples </w:t>
      </w:r>
      <w:r w:rsidR="007818E4">
        <w:t>ha</w:t>
      </w:r>
      <w:r w:rsidR="009D4B3D">
        <w:t>ve</w:t>
      </w:r>
      <w:r w:rsidR="007818E4">
        <w:t xml:space="preserve"> the same amount of damage</w:t>
      </w:r>
      <w:r>
        <w:t xml:space="preserve">. In </w:t>
      </w:r>
      <w:r>
        <w:fldChar w:fldCharType="begin"/>
      </w:r>
      <w:r>
        <w:instrText xml:space="preserve"> REF _Ref530058602 \h </w:instrText>
      </w:r>
      <w:r>
        <w:fldChar w:fldCharType="separate"/>
      </w:r>
      <w:r w:rsidR="006D52C2">
        <w:t xml:space="preserve">Figure </w:t>
      </w:r>
      <w:r w:rsidR="006D52C2">
        <w:rPr>
          <w:noProof/>
        </w:rPr>
        <w:t>74</w:t>
      </w:r>
      <w:r>
        <w:fldChar w:fldCharType="end"/>
      </w:r>
      <w:r>
        <w:t xml:space="preserve">, maximum moisture contents of samples conditioned at 20%, 50%, and 80% relative humidity are shown as points A, B, and C on the moisture absorption curve of immersed samples. Even though the mass content of samples saturated at 20%, 50%, or 80% relative humidity, corresponding points on the mass gain curve of immersed samples are the same, they have distinct characteristics due to non-uniform diffusion kinetics during transient moisture absorption. The concentration profile at points A, B, and C and corresponding saturation concentration profiles are given in </w:t>
      </w:r>
      <w:r>
        <w:fldChar w:fldCharType="begin"/>
      </w:r>
      <w:r>
        <w:instrText xml:space="preserve"> REF _Ref530059171 \h </w:instrText>
      </w:r>
      <w:r>
        <w:fldChar w:fldCharType="separate"/>
      </w:r>
      <w:r w:rsidR="006D52C2">
        <w:t xml:space="preserve">Figure </w:t>
      </w:r>
      <w:r w:rsidR="006D52C2">
        <w:rPr>
          <w:noProof/>
        </w:rPr>
        <w:t>75</w:t>
      </w:r>
      <w:r>
        <w:fldChar w:fldCharType="end"/>
      </w:r>
      <w:r>
        <w:t>.</w:t>
      </w:r>
    </w:p>
    <w:p w14:paraId="312292CB" w14:textId="77777777" w:rsidR="00E552B0" w:rsidRDefault="00E552B0" w:rsidP="00E552B0">
      <w:pPr>
        <w:pStyle w:val="NoSpacing"/>
      </w:pPr>
      <w:r>
        <w:rPr>
          <w:noProof/>
          <w:lang w:bidi="ar-SA"/>
        </w:rPr>
        <w:lastRenderedPageBreak/>
        <w:drawing>
          <wp:inline distT="0" distB="0" distL="0" distR="0" wp14:anchorId="2484BE48" wp14:editId="138494A5">
            <wp:extent cx="5035319" cy="3657600"/>
            <wp:effectExtent l="0" t="0" r="0" b="0"/>
            <wp:docPr id="4184" name="Picture 4184" descr="C:\Users\Administrator\Desktop\proje\PhD Dissertation\Modulus Study\Relative Humidity Analysis\Modulus field\Mass Ga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roje\PhD Dissertation\Modulus Study\Relative Humidity Analysis\Modulus field\Mass Gain.ti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35319" cy="3657600"/>
                    </a:xfrm>
                    <a:prstGeom prst="rect">
                      <a:avLst/>
                    </a:prstGeom>
                    <a:noFill/>
                    <a:ln>
                      <a:noFill/>
                    </a:ln>
                  </pic:spPr>
                </pic:pic>
              </a:graphicData>
            </a:graphic>
          </wp:inline>
        </w:drawing>
      </w:r>
    </w:p>
    <w:p w14:paraId="16664639" w14:textId="77777777" w:rsidR="00E552B0" w:rsidRDefault="00E552B0" w:rsidP="00E552B0">
      <w:pPr>
        <w:pStyle w:val="Caption"/>
      </w:pPr>
      <w:bookmarkStart w:id="335" w:name="_Ref530058602"/>
      <w:bookmarkStart w:id="336" w:name="_Toc530997430"/>
      <w:r>
        <w:t xml:space="preserve">Figure </w:t>
      </w:r>
      <w:r>
        <w:rPr>
          <w:noProof/>
        </w:rPr>
        <w:fldChar w:fldCharType="begin"/>
      </w:r>
      <w:r>
        <w:rPr>
          <w:noProof/>
        </w:rPr>
        <w:instrText xml:space="preserve"> SEQ Figure \* ARABIC </w:instrText>
      </w:r>
      <w:r>
        <w:rPr>
          <w:noProof/>
        </w:rPr>
        <w:fldChar w:fldCharType="separate"/>
      </w:r>
      <w:r w:rsidR="006D52C2">
        <w:rPr>
          <w:noProof/>
        </w:rPr>
        <w:t>74</w:t>
      </w:r>
      <w:r>
        <w:rPr>
          <w:noProof/>
        </w:rPr>
        <w:fldChar w:fldCharType="end"/>
      </w:r>
      <w:bookmarkEnd w:id="335"/>
      <w:r>
        <w:t>. Maximum moisture content of samples conditioned at 20%, 50% and 80% relative humidity on the mass uptake cure of immersed samples</w:t>
      </w:r>
      <w:bookmarkEnd w:id="336"/>
    </w:p>
    <w:p w14:paraId="65E81097" w14:textId="77777777" w:rsidR="00E552B0" w:rsidRDefault="00E552B0" w:rsidP="00E552B0">
      <w:pPr>
        <w:pStyle w:val="NoSpacing"/>
      </w:pPr>
    </w:p>
    <w:p w14:paraId="57661486" w14:textId="4D899D14" w:rsidR="00E552B0" w:rsidRDefault="0012727A" w:rsidP="00E552B0">
      <w:r>
        <w:t xml:space="preserve">In </w:t>
      </w:r>
      <w:r>
        <w:fldChar w:fldCharType="begin"/>
      </w:r>
      <w:r>
        <w:instrText xml:space="preserve"> REF _Ref530059171 \h </w:instrText>
      </w:r>
      <w:r>
        <w:fldChar w:fldCharType="separate"/>
      </w:r>
      <w:r w:rsidR="006D52C2">
        <w:t xml:space="preserve">Figure </w:t>
      </w:r>
      <w:r w:rsidR="006D52C2">
        <w:rPr>
          <w:noProof/>
        </w:rPr>
        <w:t>75</w:t>
      </w:r>
      <w:r>
        <w:fldChar w:fldCharType="end"/>
      </w:r>
      <w:r>
        <w:t xml:space="preserve">, </w:t>
      </w:r>
      <w:r w:rsidR="00E432F8">
        <w:t>the moisture concentration levels at point A, B, and C are compared with the saturation concentration at 20%, 50%</w:t>
      </w:r>
      <w:r w:rsidR="008E230D">
        <w:t>,</w:t>
      </w:r>
      <w:r w:rsidR="00E432F8">
        <w:t xml:space="preserve"> and 80% relative humidity, respectively. The concentration profiles are computed by one-dimensional hindered diffusion model but the calculations are extended to two dimensions for visualization. </w:t>
      </w:r>
      <w:r w:rsidR="004A4EDE">
        <w:t>Even though both transient and corresponding saturation moisture concentration profiles have the same amount of water, t</w:t>
      </w:r>
      <w:r w:rsidR="00E432F8">
        <w:t xml:space="preserve">ransient moisture concentration profiles clearly show moisture gradient whereas the saturated moisture concentration profiles are uniform. The difference is due to the nature of moisture absorption. The driving force in moisture absorption is the concentration gradient between the polymer and the environment. The highest driving force corresponds to the surface of the polymer. Thus, the moisture absorption starts at the surfaces, creating non-uniform concentration through-out the polymer and ends when a uniform moisture distribution is reached. </w:t>
      </w:r>
    </w:p>
    <w:p w14:paraId="6CA0AF54" w14:textId="36EA58A8" w:rsidR="00E552B0" w:rsidRDefault="00965958" w:rsidP="00E552B0">
      <w:r>
        <w:lastRenderedPageBreak/>
        <w:t xml:space="preserve">Using the linear relation between the moisture concentration and the modulus in Eq. (75), the modulus distribution during the moisture absorption and at saturation are given in </w:t>
      </w:r>
      <w:r>
        <w:fldChar w:fldCharType="begin"/>
      </w:r>
      <w:r>
        <w:instrText xml:space="preserve"> REF _Ref530061100 \h </w:instrText>
      </w:r>
      <w:r>
        <w:fldChar w:fldCharType="separate"/>
      </w:r>
      <w:r w:rsidR="006D52C2">
        <w:t xml:space="preserve">Figure </w:t>
      </w:r>
      <w:r w:rsidR="006D52C2">
        <w:rPr>
          <w:noProof/>
        </w:rPr>
        <w:t>76</w:t>
      </w:r>
      <w:r>
        <w:fldChar w:fldCharType="end"/>
      </w:r>
      <w:r>
        <w:t xml:space="preserve">. </w:t>
      </w:r>
      <w:r w:rsidR="002603B5">
        <w:t xml:space="preserve">During the moisture absorption, the samples have lower modulus at the surface. As shown in </w:t>
      </w:r>
      <w:r w:rsidR="002603B5">
        <w:fldChar w:fldCharType="begin"/>
      </w:r>
      <w:r w:rsidR="002603B5">
        <w:instrText xml:space="preserve"> REF _Ref530059171 \h </w:instrText>
      </w:r>
      <w:r w:rsidR="002603B5">
        <w:fldChar w:fldCharType="separate"/>
      </w:r>
      <w:r w:rsidR="006D52C2">
        <w:t xml:space="preserve">Figure </w:t>
      </w:r>
      <w:r w:rsidR="006D52C2">
        <w:rPr>
          <w:noProof/>
        </w:rPr>
        <w:t>75</w:t>
      </w:r>
      <w:r w:rsidR="002603B5">
        <w:fldChar w:fldCharType="end"/>
      </w:r>
      <w:r w:rsidR="002603B5">
        <w:t xml:space="preserve">, the </w:t>
      </w:r>
      <w:r w:rsidR="009D4B3D">
        <w:t xml:space="preserve">top and bottom </w:t>
      </w:r>
      <w:r w:rsidR="002603B5">
        <w:t>surface</w:t>
      </w:r>
      <w:r w:rsidR="009D4B3D">
        <w:t>s</w:t>
      </w:r>
      <w:r w:rsidR="002603B5">
        <w:t xml:space="preserve"> of samples have higher moisture concentration than the remaining part of the samples until the saturation. The linear relation between the concentration and the modulus yields higher modulus degradation at the surfaces. Moreover, </w:t>
      </w:r>
      <w:r w:rsidR="00D53D78">
        <w:t xml:space="preserve">the effective flexural modulus depends on the </w:t>
      </w:r>
      <w:r w:rsidR="007818E4">
        <w:t xml:space="preserve">spatial </w:t>
      </w:r>
      <w:r w:rsidR="00D53D78">
        <w:t xml:space="preserve">distribution of the modulus. Lower modulus at the surface decreases the flexural modulus of the sample. Samples A, B, and C have lower effective flexural modulus than the corresponding saturation level </w:t>
      </w:r>
      <w:r w:rsidR="007833A3">
        <w:t xml:space="preserve">effective flexural modulus. </w:t>
      </w:r>
    </w:p>
    <w:p w14:paraId="51F8302B" w14:textId="5757F115" w:rsidR="007818E4" w:rsidRDefault="007818E4" w:rsidP="007818E4">
      <w:r>
        <w:t>To compare the model prediction simulations and the actual experimental data, a set of EPON 862 samples are immersed in distilled water at 3</w:t>
      </w:r>
      <w:r w:rsidRPr="00145FCF">
        <w:t>5</w:t>
      </w:r>
      <w:r w:rsidRPr="00145FCF">
        <w:rPr>
          <w:rFonts w:ascii="Cambria Math" w:hAnsi="Cambria Math" w:cs="Cambria Math"/>
        </w:rPr>
        <w:t>℃</w:t>
      </w:r>
      <w:r>
        <w:rPr>
          <w:rFonts w:ascii="Cambria Math" w:hAnsi="Cambria Math" w:cs="Cambria Math"/>
        </w:rPr>
        <w:t xml:space="preserve"> </w:t>
      </w:r>
      <w:r>
        <w:t>(95</w:t>
      </w:r>
      <w:r w:rsidRPr="00145FCF">
        <w:rPr>
          <w:rFonts w:ascii="Cambria Math" w:hAnsi="Cambria Math" w:cs="Cambria Math"/>
        </w:rPr>
        <w:t>℉</w:t>
      </w:r>
      <w:r w:rsidRPr="00145FCF">
        <w:t>)</w:t>
      </w:r>
      <w:r>
        <w:t xml:space="preserve"> for approximately 6 hours. After 6 hours of immersion, the samples reached to a mass content (point A) that corresponds to the saturation level moisture content at 20% relative humidity. The flexural test results of the samples indicated a lower flexural modulus than the flexural modulus of samples saturated at 20% relative humidity. The transient flexural modulus prediction by Eq. (81) and the experimental data is shown in </w:t>
      </w:r>
      <w:r>
        <w:fldChar w:fldCharType="begin"/>
      </w:r>
      <w:r>
        <w:instrText xml:space="preserve"> REF _Ref530062268 \h </w:instrText>
      </w:r>
      <w:r>
        <w:fldChar w:fldCharType="separate"/>
      </w:r>
      <w:r w:rsidR="006D52C2">
        <w:t xml:space="preserve">Figure </w:t>
      </w:r>
      <w:r w:rsidR="006D52C2">
        <w:rPr>
          <w:noProof/>
        </w:rPr>
        <w:t>77</w:t>
      </w:r>
      <w:r>
        <w:fldChar w:fldCharType="end"/>
      </w:r>
      <w:r>
        <w:t>. The predicted effective transient flexural modulus curve accurately predicts the experimentally determined flexural modulus. The difference between the saturation level flexural modulus at 20% relative humidity (</w:t>
      </w:r>
      <m:oMath>
        <m:sSub>
          <m:sSubPr>
            <m:ctrlPr>
              <w:rPr>
                <w:rFonts w:ascii="Cambria Math" w:eastAsia="Times New Roman" w:hAnsi="Cambria Math" w:cs="Times New Roman"/>
                <w:i/>
                <w:szCs w:val="32"/>
                <w:lang w:bidi="en-US"/>
              </w:rPr>
            </m:ctrlPr>
          </m:sSubPr>
          <m:e>
            <m:r>
              <w:rPr>
                <w:rFonts w:ascii="Cambria Math" w:hAnsi="Cambria Math"/>
              </w:rPr>
              <m:t>E</m:t>
            </m:r>
          </m:e>
          <m:sub>
            <m:r>
              <w:rPr>
                <w:rFonts w:ascii="Cambria Math" w:hAnsi="Cambria Math"/>
              </w:rPr>
              <m:t>f</m:t>
            </m:r>
          </m:sub>
        </m:sSub>
        <m:r>
          <w:rPr>
            <w:rFonts w:ascii="Cambria Math" w:hAnsi="Cambria Math"/>
          </w:rPr>
          <m:t>=3.20 GPa</m:t>
        </m:r>
      </m:oMath>
      <w:r>
        <w:t xml:space="preserve">) and </w:t>
      </w:r>
      <w:r w:rsidR="009D4B3D">
        <w:t xml:space="preserve">the </w:t>
      </w:r>
      <w:r>
        <w:t>corresponding transient flexural modulus (</w:t>
      </w:r>
      <m:oMath>
        <m:sSub>
          <m:sSubPr>
            <m:ctrlPr>
              <w:rPr>
                <w:rFonts w:ascii="Cambria Math" w:eastAsia="Times New Roman" w:hAnsi="Cambria Math" w:cs="Times New Roman"/>
                <w:i/>
                <w:szCs w:val="32"/>
                <w:lang w:bidi="en-US"/>
              </w:rPr>
            </m:ctrlPr>
          </m:sSubPr>
          <m:e>
            <m:r>
              <w:rPr>
                <w:rFonts w:ascii="Cambria Math" w:hAnsi="Cambria Math"/>
              </w:rPr>
              <m:t>E</m:t>
            </m:r>
          </m:e>
          <m:sub>
            <m:r>
              <w:rPr>
                <w:rFonts w:ascii="Cambria Math" w:hAnsi="Cambria Math"/>
              </w:rPr>
              <m:t>f</m:t>
            </m:r>
          </m:sub>
        </m:sSub>
        <m:r>
          <w:rPr>
            <w:rFonts w:ascii="Cambria Math" w:hAnsi="Cambria Math"/>
          </w:rPr>
          <m:t>=3.14 GPa</m:t>
        </m:r>
      </m:oMath>
      <w:r>
        <w:t>) shows that the moist</w:t>
      </w:r>
      <w:proofErr w:type="spellStart"/>
      <w:r>
        <w:t>ure</w:t>
      </w:r>
      <w:proofErr w:type="spellEnd"/>
      <w:r>
        <w:t xml:space="preserve"> concentration at the surfaces clearly has a role in modulus </w:t>
      </w:r>
      <w:r w:rsidR="00BA1AD9">
        <w:t>degradation</w:t>
      </w:r>
      <w:r>
        <w:t>.</w:t>
      </w:r>
    </w:p>
    <w:p w14:paraId="6B731350" w14:textId="77777777" w:rsidR="00E552B0" w:rsidRDefault="00E552B0" w:rsidP="00E552B0"/>
    <w:p w14:paraId="38B8D02F" w14:textId="77777777" w:rsidR="00E552B0" w:rsidRDefault="00E552B0" w:rsidP="00E552B0">
      <w:pPr>
        <w:sectPr w:rsidR="00E552B0" w:rsidSect="00E552B0">
          <w:pgSz w:w="12240" w:h="15840"/>
          <w:pgMar w:top="1440" w:right="1440" w:bottom="1440" w:left="2160" w:header="720" w:footer="720" w:gutter="0"/>
          <w:cols w:space="720"/>
          <w:docGrid w:linePitch="360"/>
        </w:sectPr>
      </w:pPr>
    </w:p>
    <w:tbl>
      <w:tblPr>
        <w:tblStyle w:val="TableGrid"/>
        <w:tblW w:w="0" w:type="auto"/>
        <w:tblLook w:val="04A0" w:firstRow="1" w:lastRow="0" w:firstColumn="1" w:lastColumn="0" w:noHBand="0" w:noVBand="1"/>
      </w:tblPr>
      <w:tblGrid>
        <w:gridCol w:w="388"/>
        <w:gridCol w:w="6281"/>
        <w:gridCol w:w="6281"/>
      </w:tblGrid>
      <w:tr w:rsidR="00E552B0" w14:paraId="7088DF86" w14:textId="77777777" w:rsidTr="00E552B0">
        <w:tc>
          <w:tcPr>
            <w:tcW w:w="388" w:type="dxa"/>
          </w:tcPr>
          <w:p w14:paraId="2517791C" w14:textId="77777777" w:rsidR="00E552B0" w:rsidRDefault="00E552B0" w:rsidP="00E552B0">
            <w:pPr>
              <w:pStyle w:val="NoSpacing"/>
            </w:pPr>
          </w:p>
        </w:tc>
        <w:tc>
          <w:tcPr>
            <w:tcW w:w="6281" w:type="dxa"/>
          </w:tcPr>
          <w:p w14:paraId="108DFF71" w14:textId="010251AD" w:rsidR="00E552B0" w:rsidRDefault="00E552B0" w:rsidP="00E552B0">
            <w:pPr>
              <w:pStyle w:val="NoSpacing"/>
            </w:pPr>
            <w:r>
              <w:t>Transient Moisture Concentration Distribution</w:t>
            </w:r>
          </w:p>
        </w:tc>
        <w:tc>
          <w:tcPr>
            <w:tcW w:w="6281" w:type="dxa"/>
          </w:tcPr>
          <w:p w14:paraId="328D447B" w14:textId="5103F98B" w:rsidR="00E552B0" w:rsidRDefault="00E552B0" w:rsidP="00E552B0">
            <w:pPr>
              <w:pStyle w:val="NoSpacing"/>
            </w:pPr>
            <w:r>
              <w:t>Saturation Moisture Concentration Distribution</w:t>
            </w:r>
          </w:p>
        </w:tc>
      </w:tr>
      <w:tr w:rsidR="00E552B0" w14:paraId="6AA5382F" w14:textId="77777777" w:rsidTr="00E552B0">
        <w:tc>
          <w:tcPr>
            <w:tcW w:w="388" w:type="dxa"/>
          </w:tcPr>
          <w:p w14:paraId="4DF40466" w14:textId="77777777" w:rsidR="00E552B0" w:rsidRDefault="00E552B0" w:rsidP="00E552B0">
            <w:pPr>
              <w:pStyle w:val="NoSpacing"/>
            </w:pPr>
            <w:r>
              <w:t>A</w:t>
            </w:r>
          </w:p>
        </w:tc>
        <w:tc>
          <w:tcPr>
            <w:tcW w:w="6281" w:type="dxa"/>
            <w:vAlign w:val="center"/>
          </w:tcPr>
          <w:p w14:paraId="2559AC7A" w14:textId="77777777" w:rsidR="00E552B0" w:rsidRDefault="00E552B0" w:rsidP="00E552B0">
            <w:pPr>
              <w:pStyle w:val="NoSpacing"/>
            </w:pPr>
            <w:r>
              <w:rPr>
                <w:noProof/>
                <w:lang w:bidi="ar-SA"/>
              </w:rPr>
              <w:drawing>
                <wp:inline distT="0" distB="0" distL="0" distR="0" wp14:anchorId="6047322A" wp14:editId="265C6640">
                  <wp:extent cx="3904276" cy="310896"/>
                  <wp:effectExtent l="0" t="0" r="1270" b="0"/>
                  <wp:docPr id="197" name="Picture 197" descr="C:\Users\Administrator\Desktop\proje\PhD Dissertation\Modulus Study\Relative Humidity Analysis\Modulus field\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Desktop\proje\PhD Dissertation\Modulus Study\Relative Humidity Analysis\Modulus field\C1.ti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904276" cy="310896"/>
                          </a:xfrm>
                          <a:prstGeom prst="rect">
                            <a:avLst/>
                          </a:prstGeom>
                          <a:noFill/>
                          <a:ln>
                            <a:noFill/>
                          </a:ln>
                        </pic:spPr>
                      </pic:pic>
                    </a:graphicData>
                  </a:graphic>
                </wp:inline>
              </w:drawing>
            </w:r>
          </w:p>
        </w:tc>
        <w:tc>
          <w:tcPr>
            <w:tcW w:w="6281" w:type="dxa"/>
            <w:vAlign w:val="center"/>
          </w:tcPr>
          <w:p w14:paraId="7C3A7B9D" w14:textId="77777777" w:rsidR="00E552B0" w:rsidRDefault="00E552B0" w:rsidP="00E552B0">
            <w:pPr>
              <w:pStyle w:val="NoSpacing"/>
            </w:pPr>
            <w:r>
              <w:rPr>
                <w:noProof/>
                <w:lang w:bidi="ar-SA"/>
              </w:rPr>
              <w:drawing>
                <wp:inline distT="0" distB="0" distL="0" distR="0" wp14:anchorId="41CB7BCB" wp14:editId="3658ECB8">
                  <wp:extent cx="3904275" cy="310896"/>
                  <wp:effectExtent l="0" t="0" r="1270" b="0"/>
                  <wp:docPr id="4190" name="Picture 4190" descr="C:\Users\Administrator\Desktop\proje\PhD Dissertation\Modulus Study\Relative Humidity Analysis\Modulus field\C1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proje\PhD Dissertation\Modulus Study\Relative Humidity Analysis\Modulus field\C1S.tif"/>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tc>
      </w:tr>
      <w:tr w:rsidR="00E552B0" w14:paraId="77CA514B" w14:textId="77777777" w:rsidTr="00E552B0">
        <w:tc>
          <w:tcPr>
            <w:tcW w:w="388" w:type="dxa"/>
          </w:tcPr>
          <w:p w14:paraId="5F69508B" w14:textId="77777777" w:rsidR="00E552B0" w:rsidRDefault="00E552B0" w:rsidP="00E552B0">
            <w:pPr>
              <w:pStyle w:val="NoSpacing"/>
            </w:pPr>
            <w:r>
              <w:t>B</w:t>
            </w:r>
          </w:p>
        </w:tc>
        <w:tc>
          <w:tcPr>
            <w:tcW w:w="6281" w:type="dxa"/>
          </w:tcPr>
          <w:p w14:paraId="6643CCCB" w14:textId="77777777" w:rsidR="00E552B0" w:rsidRDefault="00E552B0" w:rsidP="00E552B0">
            <w:pPr>
              <w:pStyle w:val="NoSpacing"/>
            </w:pPr>
            <w:r>
              <w:rPr>
                <w:noProof/>
                <w:lang w:bidi="ar-SA"/>
              </w:rPr>
              <w:drawing>
                <wp:inline distT="0" distB="0" distL="0" distR="0" wp14:anchorId="0C7E1DBF" wp14:editId="5D47E620">
                  <wp:extent cx="3904275" cy="310896"/>
                  <wp:effectExtent l="0" t="0" r="1270" b="0"/>
                  <wp:docPr id="198" name="Picture 198" descr="C:\Users\Administrator\Desktop\proje\PhD Dissertation\Modulus Study\Relative Humidity Analysis\Modulus field\C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esktop\proje\PhD Dissertation\Modulus Study\Relative Humidity Analysis\Modulus field\C2.ti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tc>
        <w:tc>
          <w:tcPr>
            <w:tcW w:w="6281" w:type="dxa"/>
          </w:tcPr>
          <w:p w14:paraId="521481F4" w14:textId="77777777" w:rsidR="00E552B0" w:rsidRDefault="00E552B0" w:rsidP="00E552B0">
            <w:pPr>
              <w:pStyle w:val="NoSpacing"/>
            </w:pPr>
            <w:r>
              <w:rPr>
                <w:noProof/>
                <w:lang w:bidi="ar-SA"/>
              </w:rPr>
              <w:drawing>
                <wp:inline distT="0" distB="0" distL="0" distR="0" wp14:anchorId="2A544D3E" wp14:editId="7F240169">
                  <wp:extent cx="3904275" cy="310896"/>
                  <wp:effectExtent l="0" t="0" r="1270" b="0"/>
                  <wp:docPr id="192" name="Picture 192" descr="C:\Users\Administrator\Desktop\proje\PhD Dissertation\Modulus Study\Relative Humidity Analysis\Modulus field\C2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esktop\proje\PhD Dissertation\Modulus Study\Relative Humidity Analysis\Modulus field\C2S.t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tc>
      </w:tr>
      <w:tr w:rsidR="00E552B0" w14:paraId="56AFC658" w14:textId="77777777" w:rsidTr="00E552B0">
        <w:tc>
          <w:tcPr>
            <w:tcW w:w="388" w:type="dxa"/>
          </w:tcPr>
          <w:p w14:paraId="279D9A6A" w14:textId="77777777" w:rsidR="00E552B0" w:rsidRDefault="00E552B0" w:rsidP="00E552B0">
            <w:pPr>
              <w:pStyle w:val="NoSpacing"/>
            </w:pPr>
            <w:r>
              <w:t>C</w:t>
            </w:r>
          </w:p>
        </w:tc>
        <w:tc>
          <w:tcPr>
            <w:tcW w:w="6281" w:type="dxa"/>
          </w:tcPr>
          <w:p w14:paraId="6439AB33" w14:textId="77777777" w:rsidR="00E552B0" w:rsidRDefault="00E552B0" w:rsidP="00E552B0">
            <w:pPr>
              <w:pStyle w:val="NoSpacing"/>
            </w:pPr>
            <w:r>
              <w:rPr>
                <w:noProof/>
                <w:lang w:bidi="ar-SA"/>
              </w:rPr>
              <w:drawing>
                <wp:inline distT="0" distB="0" distL="0" distR="0" wp14:anchorId="23571AB3" wp14:editId="5FA7FAC0">
                  <wp:extent cx="3904275" cy="310896"/>
                  <wp:effectExtent l="0" t="0" r="1270" b="0"/>
                  <wp:docPr id="199" name="Picture 199" descr="C:\Users\Administrator\Desktop\proje\PhD Dissertation\Modulus Study\Relative Humidity Analysis\Modulus field\C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esktop\proje\PhD Dissertation\Modulus Study\Relative Humidity Analysis\Modulus field\C3.tif"/>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tc>
        <w:tc>
          <w:tcPr>
            <w:tcW w:w="6281" w:type="dxa"/>
          </w:tcPr>
          <w:p w14:paraId="1369A370" w14:textId="77777777" w:rsidR="00E552B0" w:rsidRDefault="00E552B0" w:rsidP="00E552B0">
            <w:pPr>
              <w:pStyle w:val="NoSpacing"/>
            </w:pPr>
            <w:r>
              <w:rPr>
                <w:noProof/>
                <w:lang w:bidi="ar-SA"/>
              </w:rPr>
              <w:drawing>
                <wp:inline distT="0" distB="0" distL="0" distR="0" wp14:anchorId="4A4B7AA8" wp14:editId="4CAD4FE1">
                  <wp:extent cx="3904275" cy="310896"/>
                  <wp:effectExtent l="0" t="0" r="1270" b="0"/>
                  <wp:docPr id="195" name="Picture 195" descr="C:\Users\Administrator\Desktop\proje\PhD Dissertation\Modulus Study\Relative Humidity Analysis\Modulus field\C3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Desktop\proje\PhD Dissertation\Modulus Study\Relative Humidity Analysis\Modulus field\C3S.tif"/>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tc>
      </w:tr>
      <w:tr w:rsidR="00E552B0" w14:paraId="61CE1EDC" w14:textId="77777777" w:rsidTr="009237B6">
        <w:trPr>
          <w:trHeight w:val="720"/>
        </w:trPr>
        <w:tc>
          <w:tcPr>
            <w:tcW w:w="12950" w:type="dxa"/>
            <w:gridSpan w:val="3"/>
            <w:vAlign w:val="center"/>
          </w:tcPr>
          <w:p w14:paraId="305902D3" w14:textId="77777777" w:rsidR="00E552B0" w:rsidRDefault="00E552B0" w:rsidP="009237B6">
            <w:pPr>
              <w:pStyle w:val="NoSpacing"/>
              <w:rPr>
                <w:noProof/>
                <w:lang w:bidi="ar-SA"/>
              </w:rPr>
            </w:pPr>
            <w:r>
              <w:rPr>
                <w:noProof/>
                <w:lang w:bidi="ar-SA"/>
              </w:rPr>
              <w:drawing>
                <wp:inline distT="0" distB="0" distL="0" distR="0" wp14:anchorId="2FDE4434" wp14:editId="7CEB5415">
                  <wp:extent cx="4484024" cy="320040"/>
                  <wp:effectExtent l="0" t="0" r="0" b="3810"/>
                  <wp:docPr id="222" name="Picture 222" descr="C:\Users\Administrator\Desktop\proje\PhD Dissertation\Modulus Study\Relative Humidity Analysis\Modulus field\Legen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Desktop\proje\PhD Dissertation\Modulus Study\Relative Humidity Analysis\Modulus field\Legend2.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484024" cy="320040"/>
                          </a:xfrm>
                          <a:prstGeom prst="rect">
                            <a:avLst/>
                          </a:prstGeom>
                          <a:noFill/>
                          <a:ln>
                            <a:noFill/>
                          </a:ln>
                        </pic:spPr>
                      </pic:pic>
                    </a:graphicData>
                  </a:graphic>
                </wp:inline>
              </w:drawing>
            </w:r>
          </w:p>
        </w:tc>
      </w:tr>
    </w:tbl>
    <w:p w14:paraId="3B82BF54" w14:textId="132EAF28" w:rsidR="00E552B0" w:rsidRDefault="00E552B0" w:rsidP="00E552B0">
      <w:pPr>
        <w:pStyle w:val="Caption"/>
      </w:pPr>
      <w:bookmarkStart w:id="337" w:name="_Ref530059171"/>
      <w:bookmarkStart w:id="338" w:name="_Toc530997431"/>
      <w:r>
        <w:t xml:space="preserve">Figure </w:t>
      </w:r>
      <w:r>
        <w:rPr>
          <w:noProof/>
        </w:rPr>
        <w:fldChar w:fldCharType="begin"/>
      </w:r>
      <w:r>
        <w:rPr>
          <w:noProof/>
        </w:rPr>
        <w:instrText xml:space="preserve"> SEQ Figure \* ARABIC </w:instrText>
      </w:r>
      <w:r>
        <w:rPr>
          <w:noProof/>
        </w:rPr>
        <w:fldChar w:fldCharType="separate"/>
      </w:r>
      <w:r w:rsidR="006D52C2">
        <w:rPr>
          <w:noProof/>
        </w:rPr>
        <w:t>75</w:t>
      </w:r>
      <w:r>
        <w:rPr>
          <w:noProof/>
        </w:rPr>
        <w:fldChar w:fldCharType="end"/>
      </w:r>
      <w:bookmarkEnd w:id="337"/>
      <w:r>
        <w:t>. Comparison between the transient and saturation moisture concentration</w:t>
      </w:r>
      <w:bookmarkEnd w:id="338"/>
    </w:p>
    <w:p w14:paraId="21F2D874" w14:textId="77777777" w:rsidR="00E552B0" w:rsidRDefault="00E552B0" w:rsidP="00E552B0"/>
    <w:tbl>
      <w:tblPr>
        <w:tblStyle w:val="TableGrid"/>
        <w:tblW w:w="0" w:type="auto"/>
        <w:tblLook w:val="04A0" w:firstRow="1" w:lastRow="0" w:firstColumn="1" w:lastColumn="0" w:noHBand="0" w:noVBand="1"/>
      </w:tblPr>
      <w:tblGrid>
        <w:gridCol w:w="388"/>
        <w:gridCol w:w="6281"/>
        <w:gridCol w:w="6281"/>
      </w:tblGrid>
      <w:tr w:rsidR="00E552B0" w14:paraId="6E388DF3" w14:textId="77777777" w:rsidTr="00E552B0">
        <w:tc>
          <w:tcPr>
            <w:tcW w:w="388" w:type="dxa"/>
          </w:tcPr>
          <w:p w14:paraId="7C6692EF" w14:textId="77777777" w:rsidR="00E552B0" w:rsidRDefault="00E552B0" w:rsidP="00E552B0">
            <w:pPr>
              <w:pStyle w:val="NoSpacing"/>
            </w:pPr>
          </w:p>
        </w:tc>
        <w:tc>
          <w:tcPr>
            <w:tcW w:w="6281" w:type="dxa"/>
          </w:tcPr>
          <w:p w14:paraId="061FCEE4" w14:textId="6B4A0AB4" w:rsidR="00E552B0" w:rsidRDefault="00E552B0" w:rsidP="00E552B0">
            <w:pPr>
              <w:pStyle w:val="NoSpacing"/>
            </w:pPr>
            <w:r>
              <w:t>Modulus Distribution during Moisture Absorption</w:t>
            </w:r>
          </w:p>
        </w:tc>
        <w:tc>
          <w:tcPr>
            <w:tcW w:w="6281" w:type="dxa"/>
          </w:tcPr>
          <w:p w14:paraId="0D50C23E" w14:textId="1416C452" w:rsidR="00E552B0" w:rsidRDefault="00E552B0" w:rsidP="00E552B0">
            <w:pPr>
              <w:pStyle w:val="NoSpacing"/>
            </w:pPr>
            <w:r>
              <w:t>Modulus Distribution at Saturation</w:t>
            </w:r>
          </w:p>
        </w:tc>
      </w:tr>
      <w:tr w:rsidR="00E552B0" w14:paraId="59132FB4" w14:textId="77777777" w:rsidTr="00E552B0">
        <w:tc>
          <w:tcPr>
            <w:tcW w:w="388" w:type="dxa"/>
          </w:tcPr>
          <w:p w14:paraId="0AAAA3C8" w14:textId="77777777" w:rsidR="00E552B0" w:rsidRDefault="00E552B0" w:rsidP="00E552B0">
            <w:pPr>
              <w:pStyle w:val="NoSpacing"/>
            </w:pPr>
            <w:r>
              <w:t>A</w:t>
            </w:r>
          </w:p>
        </w:tc>
        <w:tc>
          <w:tcPr>
            <w:tcW w:w="6281" w:type="dxa"/>
          </w:tcPr>
          <w:p w14:paraId="4401BD54" w14:textId="77777777" w:rsidR="00E552B0" w:rsidRDefault="00E552B0" w:rsidP="00E552B0">
            <w:pPr>
              <w:pStyle w:val="NoSpacing"/>
            </w:pPr>
            <w:r>
              <w:rPr>
                <w:noProof/>
                <w:lang w:bidi="ar-SA"/>
              </w:rPr>
              <w:drawing>
                <wp:inline distT="0" distB="0" distL="0" distR="0" wp14:anchorId="6B05979F" wp14:editId="5096A17A">
                  <wp:extent cx="3904275" cy="310896"/>
                  <wp:effectExtent l="0" t="0" r="1270" b="0"/>
                  <wp:docPr id="200" name="Picture 200" descr="C:\Users\Administrator\Desktop\proje\PhD Dissertation\Modulus Study\Relative Humidity Analysis\Modulus fiel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esktop\proje\PhD Dissertation\Modulus Study\Relative Humidity Analysis\Modulus field\E1.tif"/>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p w14:paraId="4F59F6EA" w14:textId="4B4E5F11" w:rsidR="00965958" w:rsidRDefault="007B3686" w:rsidP="00E552B0">
            <w:pPr>
              <w:pStyle w:val="NoSpacing"/>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=3.14 GPa</m:t>
                </m:r>
              </m:oMath>
            </m:oMathPara>
          </w:p>
        </w:tc>
        <w:tc>
          <w:tcPr>
            <w:tcW w:w="6281" w:type="dxa"/>
          </w:tcPr>
          <w:p w14:paraId="144B27FC" w14:textId="77777777" w:rsidR="00E552B0" w:rsidRDefault="00E552B0" w:rsidP="00E552B0">
            <w:pPr>
              <w:pStyle w:val="NoSpacing"/>
            </w:pPr>
            <w:r>
              <w:rPr>
                <w:noProof/>
                <w:lang w:bidi="ar-SA"/>
              </w:rPr>
              <w:drawing>
                <wp:inline distT="0" distB="0" distL="0" distR="0" wp14:anchorId="3DBDA2C2" wp14:editId="2F19B35C">
                  <wp:extent cx="3904275" cy="310896"/>
                  <wp:effectExtent l="0" t="0" r="1270" b="0"/>
                  <wp:docPr id="211" name="Picture 211" descr="C:\Users\Administrator\Desktop\proje\PhD Dissertation\Modulus Study\Relative Humidity Analysis\Modulus field\E1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Desktop\proje\PhD Dissertation\Modulus Study\Relative Humidity Analysis\Modulus field\E1S.ti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p w14:paraId="49623EE2" w14:textId="0330E019" w:rsidR="00965958" w:rsidRDefault="007B3686" w:rsidP="00E552B0">
            <w:pPr>
              <w:pStyle w:val="NoSpacing"/>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=3.20 GPa</m:t>
                </m:r>
              </m:oMath>
            </m:oMathPara>
          </w:p>
        </w:tc>
      </w:tr>
      <w:tr w:rsidR="00E552B0" w14:paraId="7A35FF57" w14:textId="77777777" w:rsidTr="00E552B0">
        <w:tc>
          <w:tcPr>
            <w:tcW w:w="388" w:type="dxa"/>
          </w:tcPr>
          <w:p w14:paraId="5019F0CB" w14:textId="77777777" w:rsidR="00E552B0" w:rsidRDefault="00E552B0" w:rsidP="00E552B0">
            <w:pPr>
              <w:pStyle w:val="NoSpacing"/>
            </w:pPr>
            <w:r>
              <w:t>B</w:t>
            </w:r>
          </w:p>
        </w:tc>
        <w:tc>
          <w:tcPr>
            <w:tcW w:w="6281" w:type="dxa"/>
          </w:tcPr>
          <w:p w14:paraId="762B4244" w14:textId="77777777" w:rsidR="00E552B0" w:rsidRDefault="00E552B0" w:rsidP="00E552B0">
            <w:pPr>
              <w:pStyle w:val="NoSpacing"/>
            </w:pPr>
            <w:r>
              <w:rPr>
                <w:noProof/>
                <w:lang w:bidi="ar-SA"/>
              </w:rPr>
              <w:drawing>
                <wp:inline distT="0" distB="0" distL="0" distR="0" wp14:anchorId="0802A3D2" wp14:editId="68536922">
                  <wp:extent cx="3904275" cy="310896"/>
                  <wp:effectExtent l="0" t="0" r="1270" b="0"/>
                  <wp:docPr id="201" name="Picture 201" descr="C:\Users\Administrator\Desktop\proje\PhD Dissertation\Modulus Study\Relative Humidity Analysis\Modulus fiel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Desktop\proje\PhD Dissertation\Modulus Study\Relative Humidity Analysis\Modulus field\E2.ti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p w14:paraId="0E3784E0" w14:textId="7A970D60" w:rsidR="00965958" w:rsidRDefault="007B3686" w:rsidP="00E552B0">
            <w:pPr>
              <w:pStyle w:val="NoSpacing"/>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=3.10 GPa</m:t>
                </m:r>
              </m:oMath>
            </m:oMathPara>
          </w:p>
        </w:tc>
        <w:tc>
          <w:tcPr>
            <w:tcW w:w="6281" w:type="dxa"/>
          </w:tcPr>
          <w:p w14:paraId="1AB12F3F" w14:textId="77777777" w:rsidR="00E552B0" w:rsidRDefault="00E552B0" w:rsidP="00E552B0">
            <w:pPr>
              <w:pStyle w:val="NoSpacing"/>
            </w:pPr>
            <w:r>
              <w:rPr>
                <w:noProof/>
                <w:lang w:bidi="ar-SA"/>
              </w:rPr>
              <w:drawing>
                <wp:inline distT="0" distB="0" distL="0" distR="0" wp14:anchorId="62F51FE1" wp14:editId="70D4F578">
                  <wp:extent cx="3904275" cy="310896"/>
                  <wp:effectExtent l="0" t="0" r="1270" b="0"/>
                  <wp:docPr id="212" name="Picture 212" descr="C:\Users\Administrator\Desktop\proje\PhD Dissertation\Modulus Study\Relative Humidity Analysis\Modulus field\E2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Desktop\proje\PhD Dissertation\Modulus Study\Relative Humidity Analysis\Modulus field\E2S.tif"/>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p w14:paraId="02F132C9" w14:textId="182C251A" w:rsidR="00965958" w:rsidRDefault="007B3686" w:rsidP="00E552B0">
            <w:pPr>
              <w:pStyle w:val="NoSpacing"/>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=3.15 GPa</m:t>
                </m:r>
              </m:oMath>
            </m:oMathPara>
          </w:p>
        </w:tc>
      </w:tr>
      <w:tr w:rsidR="00E552B0" w14:paraId="7EF5E9B9" w14:textId="77777777" w:rsidTr="00E552B0">
        <w:tc>
          <w:tcPr>
            <w:tcW w:w="388" w:type="dxa"/>
          </w:tcPr>
          <w:p w14:paraId="0491A0E7" w14:textId="77777777" w:rsidR="00E552B0" w:rsidRDefault="00E552B0" w:rsidP="00E552B0">
            <w:pPr>
              <w:pStyle w:val="NoSpacing"/>
            </w:pPr>
            <w:r>
              <w:t>C</w:t>
            </w:r>
          </w:p>
        </w:tc>
        <w:tc>
          <w:tcPr>
            <w:tcW w:w="6281" w:type="dxa"/>
          </w:tcPr>
          <w:p w14:paraId="749A1DA4" w14:textId="77777777" w:rsidR="00E552B0" w:rsidRDefault="00E552B0" w:rsidP="00E552B0">
            <w:pPr>
              <w:pStyle w:val="NoSpacing"/>
            </w:pPr>
            <w:r>
              <w:rPr>
                <w:noProof/>
                <w:lang w:bidi="ar-SA"/>
              </w:rPr>
              <w:drawing>
                <wp:inline distT="0" distB="0" distL="0" distR="0" wp14:anchorId="34D9EAAA" wp14:editId="270C4F28">
                  <wp:extent cx="3904275" cy="310896"/>
                  <wp:effectExtent l="0" t="0" r="1270" b="0"/>
                  <wp:docPr id="209" name="Picture 209" descr="C:\Users\Administrator\Desktop\proje\PhD Dissertation\Modulus Study\Relative Humidity Analysis\Modulus fiel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Desktop\proje\PhD Dissertation\Modulus Study\Relative Humidity Analysis\Modulus field\E3.tif"/>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904275" cy="310896"/>
                          </a:xfrm>
                          <a:prstGeom prst="rect">
                            <a:avLst/>
                          </a:prstGeom>
                          <a:noFill/>
                          <a:ln>
                            <a:noFill/>
                          </a:ln>
                        </pic:spPr>
                      </pic:pic>
                    </a:graphicData>
                  </a:graphic>
                </wp:inline>
              </w:drawing>
            </w:r>
          </w:p>
          <w:p w14:paraId="61D65E83" w14:textId="7FC40249" w:rsidR="00965958" w:rsidRDefault="007B3686" w:rsidP="00965958">
            <w:pPr>
              <w:pStyle w:val="NoSpacing"/>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=3.05 GPa</m:t>
                </m:r>
              </m:oMath>
            </m:oMathPara>
          </w:p>
        </w:tc>
        <w:tc>
          <w:tcPr>
            <w:tcW w:w="6281" w:type="dxa"/>
          </w:tcPr>
          <w:p w14:paraId="12D5AADF" w14:textId="77777777" w:rsidR="00E552B0" w:rsidRDefault="00E552B0" w:rsidP="00E552B0">
            <w:pPr>
              <w:pStyle w:val="NoSpacing"/>
            </w:pPr>
            <w:r>
              <w:rPr>
                <w:noProof/>
                <w:lang w:bidi="ar-SA"/>
              </w:rPr>
              <w:drawing>
                <wp:inline distT="0" distB="0" distL="0" distR="0" wp14:anchorId="1E456B61" wp14:editId="68352467">
                  <wp:extent cx="3904488" cy="306996"/>
                  <wp:effectExtent l="0" t="0" r="1270" b="0"/>
                  <wp:docPr id="219" name="Picture 219" descr="C:\Users\Administrator\Desktop\proje\PhD Dissertation\Modulus Study\Relative Humidity Analysis\Modulus field\E3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Desktop\proje\PhD Dissertation\Modulus Study\Relative Humidity Analysis\Modulus field\E3S.ti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904488" cy="306996"/>
                          </a:xfrm>
                          <a:prstGeom prst="rect">
                            <a:avLst/>
                          </a:prstGeom>
                          <a:noFill/>
                          <a:ln>
                            <a:noFill/>
                          </a:ln>
                        </pic:spPr>
                      </pic:pic>
                    </a:graphicData>
                  </a:graphic>
                </wp:inline>
              </w:drawing>
            </w:r>
          </w:p>
          <w:p w14:paraId="77F4A1F3" w14:textId="12C423D1" w:rsidR="00965958" w:rsidRDefault="007B3686" w:rsidP="00E552B0">
            <w:pPr>
              <w:pStyle w:val="NoSpacing"/>
            </w:pPr>
            <m:oMathPara>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=3.10 GPa</m:t>
                </m:r>
              </m:oMath>
            </m:oMathPara>
          </w:p>
        </w:tc>
      </w:tr>
      <w:tr w:rsidR="00E552B0" w14:paraId="18D5641E" w14:textId="77777777" w:rsidTr="008E230D">
        <w:trPr>
          <w:trHeight w:val="720"/>
        </w:trPr>
        <w:tc>
          <w:tcPr>
            <w:tcW w:w="12950" w:type="dxa"/>
            <w:gridSpan w:val="3"/>
            <w:vAlign w:val="center"/>
          </w:tcPr>
          <w:p w14:paraId="3B14678D" w14:textId="77777777" w:rsidR="00E552B0" w:rsidRDefault="00E552B0" w:rsidP="008E230D">
            <w:pPr>
              <w:pStyle w:val="NoSpacing"/>
              <w:rPr>
                <w:noProof/>
                <w:lang w:bidi="ar-SA"/>
              </w:rPr>
            </w:pPr>
            <w:r>
              <w:rPr>
                <w:noProof/>
                <w:lang w:bidi="ar-SA"/>
              </w:rPr>
              <w:drawing>
                <wp:inline distT="0" distB="0" distL="0" distR="0" wp14:anchorId="59C27E26" wp14:editId="156E65E1">
                  <wp:extent cx="3821502" cy="320040"/>
                  <wp:effectExtent l="0" t="0" r="7620" b="3810"/>
                  <wp:docPr id="221" name="Picture 221" descr="C:\Users\Administrator\Desktop\proje\PhD Dissertation\Modulus Study\Relative Humidity Analysis\Modulus field\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Desktop\proje\PhD Dissertation\Modulus Study\Relative Humidity Analysis\Modulus field\Legend.png"/>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r="920" b="-13"/>
                          <a:stretch/>
                        </pic:blipFill>
                        <pic:spPr bwMode="auto">
                          <a:xfrm>
                            <a:off x="0" y="0"/>
                            <a:ext cx="3821988" cy="3200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6E88D9" w14:textId="0F73BB60" w:rsidR="00E552B0" w:rsidRDefault="00E552B0" w:rsidP="00E552B0">
      <w:pPr>
        <w:pStyle w:val="Caption"/>
        <w:sectPr w:rsidR="00E552B0" w:rsidSect="00A230BA">
          <w:pgSz w:w="15840" w:h="12240" w:orient="landscape"/>
          <w:pgMar w:top="2160" w:right="1440" w:bottom="1440" w:left="1440" w:header="720" w:footer="720" w:gutter="0"/>
          <w:cols w:space="720"/>
          <w:docGrid w:linePitch="360"/>
        </w:sectPr>
      </w:pPr>
      <w:bookmarkStart w:id="339" w:name="_Ref530061100"/>
      <w:bookmarkStart w:id="340" w:name="_Toc530997432"/>
      <w:r>
        <w:t xml:space="preserve">Figure </w:t>
      </w:r>
      <w:r>
        <w:rPr>
          <w:noProof/>
        </w:rPr>
        <w:fldChar w:fldCharType="begin"/>
      </w:r>
      <w:r>
        <w:rPr>
          <w:noProof/>
        </w:rPr>
        <w:instrText xml:space="preserve"> SEQ Figure \* ARABIC </w:instrText>
      </w:r>
      <w:r>
        <w:rPr>
          <w:noProof/>
        </w:rPr>
        <w:fldChar w:fldCharType="separate"/>
      </w:r>
      <w:r w:rsidR="006D52C2">
        <w:rPr>
          <w:noProof/>
        </w:rPr>
        <w:t>76</w:t>
      </w:r>
      <w:r>
        <w:rPr>
          <w:noProof/>
        </w:rPr>
        <w:fldChar w:fldCharType="end"/>
      </w:r>
      <w:bookmarkEnd w:id="339"/>
      <w:r>
        <w:t>. Comparison between the modulus distribution during moisture absorption and at corresponding saturation level</w:t>
      </w:r>
      <w:bookmarkEnd w:id="340"/>
    </w:p>
    <w:p w14:paraId="653D3734" w14:textId="373D917F" w:rsidR="00F3723D" w:rsidRDefault="00F3723D" w:rsidP="00F3723D">
      <w:pPr>
        <w:pStyle w:val="NoSpacing"/>
      </w:pPr>
      <w:r>
        <w:rPr>
          <w:noProof/>
          <w:lang w:bidi="ar-SA"/>
        </w:rPr>
        <w:lastRenderedPageBreak/>
        <w:drawing>
          <wp:inline distT="0" distB="0" distL="0" distR="0" wp14:anchorId="27E0D155" wp14:editId="703E8D6E">
            <wp:extent cx="5090474" cy="3657600"/>
            <wp:effectExtent l="0" t="0" r="0" b="0"/>
            <wp:docPr id="223" name="Picture 223" descr="C:\Users\Administrator\Desktop\proje\PhD Dissertation\Modulus Study\Relative Humidity Analysis\Modulus field\Modulus Transi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Desktop\proje\PhD Dissertation\Modulus Study\Relative Humidity Analysis\Modulus field\Modulus Transient.tif"/>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90474" cy="3657600"/>
                    </a:xfrm>
                    <a:prstGeom prst="rect">
                      <a:avLst/>
                    </a:prstGeom>
                    <a:noFill/>
                    <a:ln>
                      <a:noFill/>
                    </a:ln>
                  </pic:spPr>
                </pic:pic>
              </a:graphicData>
            </a:graphic>
          </wp:inline>
        </w:drawing>
      </w:r>
    </w:p>
    <w:p w14:paraId="67E8D250" w14:textId="12BB2D33" w:rsidR="00F3723D" w:rsidRDefault="00F3723D" w:rsidP="00F3723D">
      <w:pPr>
        <w:pStyle w:val="Caption"/>
      </w:pPr>
      <w:bookmarkStart w:id="341" w:name="_Ref530062268"/>
      <w:bookmarkStart w:id="342" w:name="_Toc530997433"/>
      <w:r>
        <w:t xml:space="preserve">Figure </w:t>
      </w:r>
      <w:r w:rsidR="00E552B0">
        <w:rPr>
          <w:noProof/>
        </w:rPr>
        <w:fldChar w:fldCharType="begin"/>
      </w:r>
      <w:r w:rsidR="00E552B0">
        <w:rPr>
          <w:noProof/>
        </w:rPr>
        <w:instrText xml:space="preserve"> SEQ Figure \* ARABIC </w:instrText>
      </w:r>
      <w:r w:rsidR="00E552B0">
        <w:rPr>
          <w:noProof/>
        </w:rPr>
        <w:fldChar w:fldCharType="separate"/>
      </w:r>
      <w:r w:rsidR="006D52C2">
        <w:rPr>
          <w:noProof/>
        </w:rPr>
        <w:t>77</w:t>
      </w:r>
      <w:r w:rsidR="00E552B0">
        <w:rPr>
          <w:noProof/>
        </w:rPr>
        <w:fldChar w:fldCharType="end"/>
      </w:r>
      <w:bookmarkEnd w:id="341"/>
      <w:r>
        <w:t>.</w:t>
      </w:r>
      <w:r w:rsidR="007833A3" w:rsidRPr="007833A3">
        <w:t xml:space="preserve"> </w:t>
      </w:r>
      <w:r w:rsidR="007833A3">
        <w:t>Variation in elastic modulus and mass gain due to moisture absorption into EPON 862</w:t>
      </w:r>
      <w:bookmarkEnd w:id="342"/>
    </w:p>
    <w:p w14:paraId="395CB29F" w14:textId="77777777" w:rsidR="007818E4" w:rsidRPr="007818E4" w:rsidRDefault="007818E4" w:rsidP="007818E4">
      <w:pPr>
        <w:pStyle w:val="NoSpacing"/>
      </w:pPr>
    </w:p>
    <w:p w14:paraId="05AA9A80" w14:textId="5973DF79" w:rsidR="00A21B79" w:rsidRDefault="00D924BB" w:rsidP="00682F7B">
      <w:proofErr w:type="spellStart"/>
      <w:r>
        <w:t>Eftekhari</w:t>
      </w:r>
      <w:proofErr w:type="spellEnd"/>
      <w:r>
        <w:t xml:space="preserve"> and </w:t>
      </w:r>
      <w:proofErr w:type="spellStart"/>
      <w:r>
        <w:t>Fatemi</w:t>
      </w:r>
      <w:proofErr w:type="spellEnd"/>
      <w:r>
        <w:t xml:space="preserve"> </w:t>
      </w:r>
      <w:r>
        <w:fldChar w:fldCharType="begin" w:fldLock="1"/>
      </w:r>
      <w:r w:rsidR="006D28D7">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fldChar w:fldCharType="separate"/>
      </w:r>
      <w:r w:rsidRPr="00D924BB">
        <w:rPr>
          <w:noProof/>
        </w:rPr>
        <w:t>[38]</w:t>
      </w:r>
      <w:r>
        <w:fldChar w:fldCharType="end"/>
      </w:r>
      <w:r>
        <w:t xml:space="preserve"> used injection molded 100</w:t>
      </w:r>
      <w:r w:rsidR="00072ACC">
        <w:rPr>
          <w:rFonts w:cs="Times New Roman"/>
          <w:szCs w:val="24"/>
        </w:rPr>
        <w:t xml:space="preserve"> × </w:t>
      </w:r>
      <w:r>
        <w:rPr>
          <w:rFonts w:cs="Times New Roman"/>
          <w:szCs w:val="24"/>
        </w:rPr>
        <w:t>200</w:t>
      </w:r>
      <w:r w:rsidR="00072ACC">
        <w:rPr>
          <w:rFonts w:cs="Times New Roman"/>
          <w:szCs w:val="24"/>
        </w:rPr>
        <w:t xml:space="preserve"> × </w:t>
      </w:r>
      <w:r>
        <w:rPr>
          <w:rFonts w:cs="Times New Roman"/>
          <w:szCs w:val="24"/>
        </w:rPr>
        <w:t>2.8</w:t>
      </w:r>
      <w:r w:rsidRPr="005A3E52">
        <w:rPr>
          <w:rFonts w:cs="Times New Roman"/>
          <w:szCs w:val="24"/>
        </w:rPr>
        <w:t xml:space="preserve"> </w:t>
      </w:r>
      <w:r>
        <w:rPr>
          <w:rFonts w:cs="Times New Roman"/>
          <w:szCs w:val="24"/>
        </w:rPr>
        <w:t>m</w:t>
      </w:r>
      <w:r w:rsidRPr="005A3E52">
        <w:rPr>
          <w:rFonts w:cs="Times New Roman"/>
          <w:szCs w:val="24"/>
        </w:rPr>
        <w:t>m</w:t>
      </w:r>
      <w:r>
        <w:rPr>
          <w:rFonts w:cs="Times New Roman"/>
          <w:szCs w:val="24"/>
          <w:vertAlign w:val="superscript"/>
        </w:rPr>
        <w:t>3</w:t>
      </w:r>
      <w:r w:rsidRPr="005A3E52">
        <w:rPr>
          <w:rFonts w:cs="Times New Roman"/>
          <w:szCs w:val="24"/>
        </w:rPr>
        <w:t xml:space="preserve"> </w:t>
      </w:r>
      <w:r>
        <w:t>30 wt</w:t>
      </w:r>
      <w:r w:rsidR="00335D7D">
        <w:t>.</w:t>
      </w:r>
      <w:r>
        <w:t>% short glass fiber reinforced polyamide-6.6 (</w:t>
      </w:r>
      <w:proofErr w:type="spellStart"/>
      <w:r>
        <w:t>Ultramid</w:t>
      </w:r>
      <w:proofErr w:type="spellEnd"/>
      <w:r>
        <w:t>) for moisture absorption and tensile tests.</w:t>
      </w:r>
      <w:r w:rsidRPr="00D924BB">
        <w:t xml:space="preserve"> </w:t>
      </w:r>
      <w:r>
        <w:t xml:space="preserve">Prior the tests, </w:t>
      </w:r>
      <w:r w:rsidRPr="00D924BB">
        <w:t>PA66 speci</w:t>
      </w:r>
      <w:r>
        <w:t xml:space="preserve">mens were dried </w:t>
      </w:r>
      <w:r w:rsidRPr="00D924BB">
        <w:t>in a vacuum chamber</w:t>
      </w:r>
      <w:r>
        <w:t xml:space="preserve"> at 80</w:t>
      </w:r>
      <w:r w:rsidRPr="00145FCF">
        <w:rPr>
          <w:rFonts w:ascii="Cambria Math" w:hAnsi="Cambria Math" w:cs="Cambria Math"/>
          <w:szCs w:val="24"/>
        </w:rPr>
        <w:t>℃</w:t>
      </w:r>
      <w:r w:rsidRPr="005A3E52">
        <w:rPr>
          <w:rFonts w:cs="Times New Roman"/>
          <w:szCs w:val="24"/>
        </w:rPr>
        <w:t xml:space="preserve"> (</w:t>
      </w:r>
      <w:r>
        <w:rPr>
          <w:rFonts w:cs="Times New Roman"/>
          <w:szCs w:val="24"/>
        </w:rPr>
        <w:t>176</w:t>
      </w:r>
      <w:r w:rsidRPr="00145FCF">
        <w:rPr>
          <w:rFonts w:ascii="Cambria Math" w:hAnsi="Cambria Math" w:cs="Cambria Math"/>
          <w:szCs w:val="24"/>
        </w:rPr>
        <w:t>℉</w:t>
      </w:r>
      <w:r>
        <w:rPr>
          <w:rFonts w:cs="Times New Roman"/>
          <w:szCs w:val="24"/>
        </w:rPr>
        <w:t xml:space="preserve">) </w:t>
      </w:r>
      <w:r>
        <w:t>for 24 hours. Dried PA66 samples were immersed in</w:t>
      </w:r>
      <w:r>
        <w:rPr>
          <w:rFonts w:cs="Times New Roman"/>
          <w:szCs w:val="24"/>
        </w:rPr>
        <w:t xml:space="preserve"> </w:t>
      </w:r>
      <w:r>
        <w:t>water at 23</w:t>
      </w:r>
      <w:r w:rsidRPr="00145FCF">
        <w:rPr>
          <w:rFonts w:ascii="Cambria Math" w:hAnsi="Cambria Math" w:cs="Cambria Math"/>
          <w:szCs w:val="24"/>
        </w:rPr>
        <w:t>℃</w:t>
      </w:r>
      <w:r w:rsidRPr="005A3E52">
        <w:rPr>
          <w:rFonts w:cs="Times New Roman"/>
          <w:szCs w:val="24"/>
        </w:rPr>
        <w:t xml:space="preserve"> (</w:t>
      </w:r>
      <w:r>
        <w:rPr>
          <w:rFonts w:cs="Times New Roman"/>
          <w:szCs w:val="24"/>
        </w:rPr>
        <w:t>73</w:t>
      </w:r>
      <w:r w:rsidRPr="00145FCF">
        <w:rPr>
          <w:rFonts w:ascii="Cambria Math" w:hAnsi="Cambria Math" w:cs="Cambria Math"/>
          <w:szCs w:val="24"/>
        </w:rPr>
        <w:t>℉</w:t>
      </w:r>
      <w:r>
        <w:rPr>
          <w:rFonts w:cs="Times New Roman"/>
          <w:szCs w:val="24"/>
        </w:rPr>
        <w:t>)</w:t>
      </w:r>
      <w:r w:rsidR="009D4B3D">
        <w:t>. Weight gain of</w:t>
      </w:r>
      <w:r>
        <w:t xml:space="preserve"> PA66 samples</w:t>
      </w:r>
      <w:r w:rsidR="009D4B3D">
        <w:t xml:space="preserve"> due to moisture absorption was</w:t>
      </w:r>
      <w:r>
        <w:t xml:space="preserve"> periodically measured for 130 days.</w:t>
      </w:r>
      <w:r w:rsidRPr="00D924BB">
        <w:t xml:space="preserve"> </w:t>
      </w:r>
      <w:r>
        <w:t xml:space="preserve">Tension tests were performed on the dried and wet samples based on ASTM D638. </w:t>
      </w:r>
    </w:p>
    <w:p w14:paraId="2C3E87D3" w14:textId="765B5782" w:rsidR="00D924BB" w:rsidRDefault="00D924BB" w:rsidP="00682F7B">
      <w:r>
        <w:t xml:space="preserve">Mass gain data obtained by </w:t>
      </w:r>
      <w:proofErr w:type="spellStart"/>
      <w:r>
        <w:t>Eftekhari</w:t>
      </w:r>
      <w:proofErr w:type="spellEnd"/>
      <w:r>
        <w:t xml:space="preserve"> and </w:t>
      </w:r>
      <w:proofErr w:type="spellStart"/>
      <w:r>
        <w:t>Fatemi</w:t>
      </w:r>
      <w:proofErr w:type="spellEnd"/>
      <w:r>
        <w:t xml:space="preserve"> </w:t>
      </w:r>
      <w:r>
        <w:fldChar w:fldCharType="begin" w:fldLock="1"/>
      </w:r>
      <w:r w:rsidR="006D28D7">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fldChar w:fldCharType="separate"/>
      </w:r>
      <w:r w:rsidRPr="00D924BB">
        <w:rPr>
          <w:noProof/>
        </w:rPr>
        <w:t>[38]</w:t>
      </w:r>
      <w:r>
        <w:fldChar w:fldCharType="end"/>
      </w:r>
      <w:r>
        <w:t xml:space="preserve"> is used in this study to recover the 1DHDM absorption parameters. Recovered absorption parameters are used to predict the change in elastic modulus due to ma</w:t>
      </w:r>
      <w:r w:rsidR="004A1139">
        <w:t>t</w:t>
      </w:r>
      <w:r w:rsidR="00F31F62">
        <w:t>rix plasticization using Eq. (77</w:t>
      </w:r>
      <w:r w:rsidR="004A1139">
        <w:t>)</w:t>
      </w:r>
      <w:r>
        <w:t>. The elastic m</w:t>
      </w:r>
      <w:r w:rsidR="002275BC">
        <w:t>odulus prediction is compared</w:t>
      </w:r>
      <w:r>
        <w:t xml:space="preserve"> with experimental findings of </w:t>
      </w:r>
      <w:proofErr w:type="spellStart"/>
      <w:r>
        <w:t>Eftekhari</w:t>
      </w:r>
      <w:proofErr w:type="spellEnd"/>
      <w:r>
        <w:t xml:space="preserve"> and </w:t>
      </w:r>
      <w:proofErr w:type="spellStart"/>
      <w:r>
        <w:t>Fatemi</w:t>
      </w:r>
      <w:proofErr w:type="spellEnd"/>
      <w:r>
        <w:t xml:space="preserve"> </w:t>
      </w:r>
      <w:r>
        <w:fldChar w:fldCharType="begin" w:fldLock="1"/>
      </w:r>
      <w:r w:rsidR="006D28D7">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fldChar w:fldCharType="separate"/>
      </w:r>
      <w:r w:rsidRPr="00D924BB">
        <w:rPr>
          <w:noProof/>
        </w:rPr>
        <w:t>[38]</w:t>
      </w:r>
      <w:r>
        <w:fldChar w:fldCharType="end"/>
      </w:r>
      <w:r>
        <w:t xml:space="preserve">. Mass gain and elastic modulus data of PA66 samples, 1DHDM and elastic modulus predictions are given in </w:t>
      </w:r>
      <w:r>
        <w:fldChar w:fldCharType="begin"/>
      </w:r>
      <w:r>
        <w:instrText xml:space="preserve"> REF _Ref527552992 \h </w:instrText>
      </w:r>
      <w:r w:rsidR="00682F7B">
        <w:instrText xml:space="preserve"> \* MERGEFORMAT </w:instrText>
      </w:r>
      <w:r>
        <w:fldChar w:fldCharType="separate"/>
      </w:r>
      <w:r w:rsidR="006D52C2">
        <w:t xml:space="preserve">Figure </w:t>
      </w:r>
      <w:r w:rsidR="006D52C2">
        <w:rPr>
          <w:noProof/>
        </w:rPr>
        <w:t>78</w:t>
      </w:r>
      <w:r>
        <w:fldChar w:fldCharType="end"/>
      </w:r>
      <w:r>
        <w:t>.</w:t>
      </w:r>
    </w:p>
    <w:p w14:paraId="406C063A" w14:textId="387C5C13" w:rsidR="00632228" w:rsidRDefault="00632228" w:rsidP="00632228">
      <w:r>
        <w:lastRenderedPageBreak/>
        <w:t xml:space="preserve">One-dimensional hindered diffusion model accurately predicts the moisture absorption behavior of polyamide 6.6. It is critical to have an accurate recovery of moisture absorption kinetics to predict the transient change in elastic modulus. </w:t>
      </w:r>
      <w:r w:rsidR="007818E4">
        <w:t>E</w:t>
      </w:r>
      <w:r>
        <w:t xml:space="preserve">lastic modulus at the saturation must be known to calculate the elastic modulus behavior. The experimental data of </w:t>
      </w:r>
      <w:proofErr w:type="spellStart"/>
      <w:r>
        <w:t>Eftekhari</w:t>
      </w:r>
      <w:proofErr w:type="spellEnd"/>
      <w:r>
        <w:t xml:space="preserve"> and </w:t>
      </w:r>
      <w:proofErr w:type="spellStart"/>
      <w:r>
        <w:t>Fatemi</w:t>
      </w:r>
      <w:proofErr w:type="spellEnd"/>
      <w:r>
        <w:t xml:space="preserve"> </w:t>
      </w:r>
      <w:r>
        <w:fldChar w:fldCharType="begin" w:fldLock="1"/>
      </w:r>
      <w:r>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fldChar w:fldCharType="separate"/>
      </w:r>
      <w:r w:rsidRPr="00D924BB">
        <w:rPr>
          <w:noProof/>
        </w:rPr>
        <w:t>[38]</w:t>
      </w:r>
      <w:r>
        <w:fldChar w:fldCharType="end"/>
      </w:r>
      <w:r w:rsidR="009D4B3D">
        <w:t xml:space="preserve"> supply</w:t>
      </w:r>
      <w:r>
        <w:t xml:space="preserve"> the saturation level elastic modulus. Thus, their transient elastic modulus data can be used to validate the proposed model. In </w:t>
      </w:r>
      <w:r>
        <w:fldChar w:fldCharType="begin"/>
      </w:r>
      <w:r>
        <w:instrText xml:space="preserve"> REF _Ref527552992 \h  \* MERGEFORMAT </w:instrText>
      </w:r>
      <w:r>
        <w:fldChar w:fldCharType="separate"/>
      </w:r>
      <w:r w:rsidR="006D52C2">
        <w:t xml:space="preserve">Figure </w:t>
      </w:r>
      <w:r w:rsidR="006D52C2">
        <w:rPr>
          <w:noProof/>
        </w:rPr>
        <w:t>78</w:t>
      </w:r>
      <w:r>
        <w:fldChar w:fldCharType="end"/>
      </w:r>
      <w:r>
        <w:t xml:space="preserve">, the comparison of the transient elastic modulus data </w:t>
      </w:r>
      <w:r>
        <w:fldChar w:fldCharType="begin" w:fldLock="1"/>
      </w:r>
      <w:r>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fldChar w:fldCharType="separate"/>
      </w:r>
      <w:r w:rsidRPr="00D924BB">
        <w:rPr>
          <w:noProof/>
        </w:rPr>
        <w:t>[38]</w:t>
      </w:r>
      <w:r>
        <w:fldChar w:fldCharType="end"/>
      </w:r>
      <w:r>
        <w:t xml:space="preserve"> and proposed elastic modulus model illustrates the predictive capabilities of the model. Only using the 1DHDM absorption parameters and the elastic modulus of dry and saturated states, the elastic modulus model successfully captured the transient change in the elastic modulus. </w:t>
      </w:r>
    </w:p>
    <w:p w14:paraId="2929ECA2" w14:textId="6F753E69" w:rsidR="0079607B" w:rsidRDefault="006D28D7" w:rsidP="007818E4">
      <w:pPr>
        <w:pStyle w:val="NoSpacing"/>
      </w:pPr>
      <w:r w:rsidRPr="007818E4">
        <w:rPr>
          <w:noProof/>
          <w:lang w:bidi="ar-SA"/>
        </w:rPr>
        <w:drawing>
          <wp:inline distT="0" distB="0" distL="0" distR="0" wp14:anchorId="745DD4BB" wp14:editId="7A50E856">
            <wp:extent cx="5028109" cy="3657600"/>
            <wp:effectExtent l="0" t="0" r="1270" b="0"/>
            <wp:docPr id="4171" name="Picture 4171" descr="C:\Users\Administrator\Desktop\proje\PhD Dissertation\Modulus Study\Literature Data\Eftekhari and Fatemi\Eftekhar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proje\PhD Dissertation\Modulus Study\Literature Data\Eftekhari and Fatemi\Eftekhari.tif"/>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028109" cy="3657600"/>
                    </a:xfrm>
                    <a:prstGeom prst="rect">
                      <a:avLst/>
                    </a:prstGeom>
                    <a:noFill/>
                    <a:ln>
                      <a:noFill/>
                    </a:ln>
                  </pic:spPr>
                </pic:pic>
              </a:graphicData>
            </a:graphic>
          </wp:inline>
        </w:drawing>
      </w:r>
    </w:p>
    <w:p w14:paraId="5E4FAA12" w14:textId="265775A0" w:rsidR="004A1139" w:rsidRDefault="00D924BB" w:rsidP="00682F7B">
      <w:pPr>
        <w:pStyle w:val="Caption"/>
      </w:pPr>
      <w:bookmarkStart w:id="343" w:name="_Ref527552992"/>
      <w:bookmarkStart w:id="344" w:name="_Toc530997434"/>
      <w:r>
        <w:t xml:space="preserve">Figure </w:t>
      </w:r>
      <w:r w:rsidR="00BB4871">
        <w:rPr>
          <w:noProof/>
        </w:rPr>
        <w:fldChar w:fldCharType="begin"/>
      </w:r>
      <w:r w:rsidR="00BB4871">
        <w:rPr>
          <w:noProof/>
        </w:rPr>
        <w:instrText xml:space="preserve"> SEQ Figure \* ARABIC </w:instrText>
      </w:r>
      <w:r w:rsidR="00BB4871">
        <w:rPr>
          <w:noProof/>
        </w:rPr>
        <w:fldChar w:fldCharType="separate"/>
      </w:r>
      <w:r w:rsidR="006D52C2">
        <w:rPr>
          <w:noProof/>
        </w:rPr>
        <w:t>78</w:t>
      </w:r>
      <w:r w:rsidR="00BB4871">
        <w:rPr>
          <w:noProof/>
        </w:rPr>
        <w:fldChar w:fldCharType="end"/>
      </w:r>
      <w:bookmarkEnd w:id="343"/>
      <w:r>
        <w:t xml:space="preserve">. </w:t>
      </w:r>
      <w:r w:rsidR="004A1139">
        <w:t>Variation in elastic modulus and mass gain due to moisture absorption</w:t>
      </w:r>
      <w:r w:rsidR="008D34B6">
        <w:t xml:space="preserve"> into polyamide-6.6</w:t>
      </w:r>
      <w:bookmarkEnd w:id="344"/>
    </w:p>
    <w:p w14:paraId="04484921" w14:textId="77777777" w:rsidR="00682F7B" w:rsidRPr="00682F7B" w:rsidRDefault="00682F7B" w:rsidP="00682F7B"/>
    <w:p w14:paraId="00735C64" w14:textId="26C3E183" w:rsidR="00682F7B" w:rsidRDefault="007A35E4" w:rsidP="00682F7B">
      <w:proofErr w:type="spellStart"/>
      <w:r>
        <w:lastRenderedPageBreak/>
        <w:t>Thwe</w:t>
      </w:r>
      <w:proofErr w:type="spellEnd"/>
      <w:r>
        <w:t xml:space="preserve"> and Liao </w:t>
      </w:r>
      <w:r>
        <w:fldChar w:fldCharType="begin" w:fldLock="1"/>
      </w:r>
      <w:r w:rsidR="0058062A">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fldChar w:fldCharType="separate"/>
      </w:r>
      <w:r w:rsidR="009A64D0" w:rsidRPr="009A64D0">
        <w:rPr>
          <w:noProof/>
        </w:rPr>
        <w:t>[154]</w:t>
      </w:r>
      <w:r>
        <w:fldChar w:fldCharType="end"/>
      </w:r>
      <w:r>
        <w:t xml:space="preserve"> </w:t>
      </w:r>
      <w:r w:rsidR="00EA454B">
        <w:t>investigated</w:t>
      </w:r>
      <w:r>
        <w:t xml:space="preserve"> the</w:t>
      </w:r>
      <w:r w:rsidR="00EA454B">
        <w:t xml:space="preserve"> moisture absorption behavior of and moisture induced damage on bamboo fiber reinforced composites</w:t>
      </w:r>
      <w:r w:rsidR="00F7361D">
        <w:t xml:space="preserve"> (BFRP)</w:t>
      </w:r>
      <w:r w:rsidR="00EA454B">
        <w:t xml:space="preserve"> and bamboo/glass fiber reinforced hybrid composites</w:t>
      </w:r>
      <w:r w:rsidR="00F7361D">
        <w:t xml:space="preserve"> (BGRP)</w:t>
      </w:r>
      <w:r w:rsidR="00EA454B">
        <w:t xml:space="preserve">. </w:t>
      </w:r>
      <w:r w:rsidR="004A1139" w:rsidRPr="006D28D7">
        <w:t>Polypropylene</w:t>
      </w:r>
      <w:r w:rsidR="00EA454B">
        <w:t xml:space="preserve"> (PP)</w:t>
      </w:r>
      <w:r w:rsidR="004A1139" w:rsidRPr="006D28D7">
        <w:t xml:space="preserve"> </w:t>
      </w:r>
      <w:r w:rsidR="00EA454B">
        <w:t>or</w:t>
      </w:r>
      <w:r>
        <w:t xml:space="preserve"> </w:t>
      </w:r>
      <w:r w:rsidR="00EA454B">
        <w:t>polypropylene/</w:t>
      </w:r>
      <w:r w:rsidR="004A1139" w:rsidRPr="006D28D7">
        <w:t xml:space="preserve">maleic </w:t>
      </w:r>
      <w:r w:rsidR="00EA454B">
        <w:t>anhydride polypropylene (PP/MAPP</w:t>
      </w:r>
      <w:r w:rsidR="0014408A">
        <w:t>:</w:t>
      </w:r>
      <w:r w:rsidR="008E5841">
        <w:t xml:space="preserve"> </w:t>
      </w:r>
      <w:r w:rsidR="00F7361D">
        <w:t>90</w:t>
      </w:r>
      <w:r w:rsidR="0014408A">
        <w:t>/</w:t>
      </w:r>
      <w:r w:rsidR="00F7361D">
        <w:t>10 by weight</w:t>
      </w:r>
      <w:r w:rsidR="00EA454B">
        <w:t xml:space="preserve">) </w:t>
      </w:r>
      <w:r w:rsidR="004A1139" w:rsidRPr="006D28D7">
        <w:t xml:space="preserve">were </w:t>
      </w:r>
      <w:r w:rsidR="00EA454B">
        <w:t>used as matrix in the composite materials.</w:t>
      </w:r>
      <w:r w:rsidR="004A1139" w:rsidRPr="006D28D7">
        <w:t xml:space="preserve"> </w:t>
      </w:r>
      <w:r w:rsidR="00A21B79">
        <w:t>Composite plates we</w:t>
      </w:r>
      <w:r w:rsidR="00F7361D">
        <w:t>re manufactured by mixing the polymer matrix with desired short fibers and hot pressing at 190</w:t>
      </w:r>
      <w:r w:rsidR="0014408A" w:rsidRPr="00145FCF">
        <w:rPr>
          <w:rFonts w:ascii="Cambria Math" w:hAnsi="Cambria Math" w:cs="Cambria Math"/>
          <w:szCs w:val="24"/>
        </w:rPr>
        <w:t>℃</w:t>
      </w:r>
      <w:r w:rsidR="0014408A" w:rsidRPr="005A3E52">
        <w:rPr>
          <w:rFonts w:cs="Times New Roman"/>
          <w:szCs w:val="24"/>
        </w:rPr>
        <w:t xml:space="preserve"> (</w:t>
      </w:r>
      <w:r w:rsidR="0014408A">
        <w:rPr>
          <w:rFonts w:cs="Times New Roman"/>
          <w:szCs w:val="24"/>
        </w:rPr>
        <w:t>374</w:t>
      </w:r>
      <w:r w:rsidR="0014408A" w:rsidRPr="00145FCF">
        <w:rPr>
          <w:rFonts w:ascii="Cambria Math" w:hAnsi="Cambria Math" w:cs="Cambria Math"/>
          <w:szCs w:val="24"/>
        </w:rPr>
        <w:t>℉</w:t>
      </w:r>
      <w:r w:rsidR="0014408A">
        <w:rPr>
          <w:rFonts w:cs="Times New Roman"/>
          <w:szCs w:val="24"/>
        </w:rPr>
        <w:t>)</w:t>
      </w:r>
      <w:r w:rsidR="0014408A">
        <w:t xml:space="preserve"> </w:t>
      </w:r>
      <w:r w:rsidR="00F7361D">
        <w:t>and under 3.2MPa</w:t>
      </w:r>
      <w:r w:rsidR="0014408A">
        <w:t xml:space="preserve"> (464 psi)</w:t>
      </w:r>
      <w:r w:rsidR="00F7361D">
        <w:t xml:space="preserve"> pressure for 30 min.</w:t>
      </w:r>
      <w:r w:rsidR="0014408A">
        <w:t xml:space="preserve"> </w:t>
      </w:r>
      <w:r w:rsidR="008E5841">
        <w:t>Sample n</w:t>
      </w:r>
      <w:r w:rsidR="0014408A">
        <w:t xml:space="preserve">otation of composite plates and their constituents are given in </w:t>
      </w:r>
      <w:r w:rsidR="0014408A">
        <w:fldChar w:fldCharType="begin"/>
      </w:r>
      <w:r w:rsidR="0014408A">
        <w:instrText xml:space="preserve"> REF _Ref528319390 \h </w:instrText>
      </w:r>
      <w:r w:rsidR="00682F7B">
        <w:instrText xml:space="preserve"> \* MERGEFORMAT </w:instrText>
      </w:r>
      <w:r w:rsidR="0014408A">
        <w:fldChar w:fldCharType="separate"/>
      </w:r>
      <w:r w:rsidR="006D52C2">
        <w:t xml:space="preserve">Table </w:t>
      </w:r>
      <w:r w:rsidR="006D52C2">
        <w:rPr>
          <w:noProof/>
        </w:rPr>
        <w:t>14</w:t>
      </w:r>
      <w:r w:rsidR="0014408A">
        <w:fldChar w:fldCharType="end"/>
      </w:r>
      <w:r w:rsidR="0014408A">
        <w:t>.</w:t>
      </w:r>
    </w:p>
    <w:p w14:paraId="70ED445E" w14:textId="21E566E9" w:rsidR="004A1139" w:rsidRDefault="004A1139" w:rsidP="004A1139">
      <w:pPr>
        <w:pStyle w:val="Caption"/>
      </w:pPr>
      <w:bookmarkStart w:id="345" w:name="_Ref528319390"/>
      <w:bookmarkStart w:id="346" w:name="_Toc530997329"/>
      <w:r>
        <w:t xml:space="preserve">Table </w:t>
      </w:r>
      <w:r>
        <w:rPr>
          <w:noProof/>
        </w:rPr>
        <w:fldChar w:fldCharType="begin"/>
      </w:r>
      <w:r>
        <w:rPr>
          <w:noProof/>
        </w:rPr>
        <w:instrText xml:space="preserve"> SEQ Table \* ARABIC </w:instrText>
      </w:r>
      <w:r>
        <w:rPr>
          <w:noProof/>
        </w:rPr>
        <w:fldChar w:fldCharType="separate"/>
      </w:r>
      <w:r w:rsidR="006D52C2">
        <w:rPr>
          <w:noProof/>
        </w:rPr>
        <w:t>14</w:t>
      </w:r>
      <w:r>
        <w:rPr>
          <w:noProof/>
        </w:rPr>
        <w:fldChar w:fldCharType="end"/>
      </w:r>
      <w:bookmarkEnd w:id="345"/>
      <w:r>
        <w:t xml:space="preserve">. </w:t>
      </w:r>
      <w:r w:rsidR="008E5841">
        <w:t>Fiber contents and matrix type of the samples</w:t>
      </w:r>
      <w:r w:rsidR="008E5841">
        <w:fldChar w:fldCharType="begin" w:fldLock="1"/>
      </w:r>
      <w:r w:rsidR="0058062A">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008E5841">
        <w:fldChar w:fldCharType="separate"/>
      </w:r>
      <w:r w:rsidR="009A64D0" w:rsidRPr="009A64D0">
        <w:rPr>
          <w:b w:val="0"/>
          <w:noProof/>
        </w:rPr>
        <w:t>[154]</w:t>
      </w:r>
      <w:bookmarkEnd w:id="346"/>
      <w:r w:rsidR="008E5841">
        <w:fldChar w:fldCharType="end"/>
      </w:r>
    </w:p>
    <w:tbl>
      <w:tblPr>
        <w:tblStyle w:val="TableGrid"/>
        <w:tblW w:w="0" w:type="auto"/>
        <w:tblLook w:val="04A0" w:firstRow="1" w:lastRow="0" w:firstColumn="1" w:lastColumn="0" w:noHBand="0" w:noVBand="1"/>
      </w:tblPr>
      <w:tblGrid>
        <w:gridCol w:w="985"/>
        <w:gridCol w:w="2970"/>
        <w:gridCol w:w="3240"/>
        <w:gridCol w:w="1435"/>
      </w:tblGrid>
      <w:tr w:rsidR="004A1139" w14:paraId="3BE84931" w14:textId="77777777" w:rsidTr="00F7361D">
        <w:tc>
          <w:tcPr>
            <w:tcW w:w="985" w:type="dxa"/>
          </w:tcPr>
          <w:p w14:paraId="5964C674" w14:textId="77777777" w:rsidR="004A1139" w:rsidRDefault="004A1139" w:rsidP="00F7361D">
            <w:pPr>
              <w:pStyle w:val="NoSpacing"/>
            </w:pPr>
            <w:r>
              <w:t xml:space="preserve">Sample </w:t>
            </w:r>
          </w:p>
        </w:tc>
        <w:tc>
          <w:tcPr>
            <w:tcW w:w="2970" w:type="dxa"/>
          </w:tcPr>
          <w:p w14:paraId="0A1E372C" w14:textId="77777777" w:rsidR="004A1139" w:rsidRDefault="004A1139" w:rsidP="00F7361D">
            <w:pPr>
              <w:pStyle w:val="NoSpacing"/>
            </w:pPr>
            <w:r>
              <w:t>Glass fiber content (wt</w:t>
            </w:r>
            <w:proofErr w:type="gramStart"/>
            <w:r>
              <w:t>.%</w:t>
            </w:r>
            <w:proofErr w:type="gramEnd"/>
            <w:r>
              <w:t>)</w:t>
            </w:r>
          </w:p>
        </w:tc>
        <w:tc>
          <w:tcPr>
            <w:tcW w:w="3240" w:type="dxa"/>
          </w:tcPr>
          <w:p w14:paraId="44373D18" w14:textId="77777777" w:rsidR="004A1139" w:rsidRDefault="004A1139" w:rsidP="00F7361D">
            <w:pPr>
              <w:pStyle w:val="NoSpacing"/>
            </w:pPr>
            <w:r>
              <w:t>Bamboo fiber content (wt</w:t>
            </w:r>
            <w:proofErr w:type="gramStart"/>
            <w:r>
              <w:t>.%</w:t>
            </w:r>
            <w:proofErr w:type="gramEnd"/>
            <w:r>
              <w:t>)</w:t>
            </w:r>
          </w:p>
        </w:tc>
        <w:tc>
          <w:tcPr>
            <w:tcW w:w="1435" w:type="dxa"/>
          </w:tcPr>
          <w:p w14:paraId="162F9EB5" w14:textId="77777777" w:rsidR="004A1139" w:rsidRDefault="004A1139" w:rsidP="00F7361D">
            <w:pPr>
              <w:pStyle w:val="NoSpacing"/>
            </w:pPr>
            <w:r>
              <w:t>Matrix</w:t>
            </w:r>
          </w:p>
        </w:tc>
      </w:tr>
      <w:tr w:rsidR="004A1139" w14:paraId="7B92CF91" w14:textId="77777777" w:rsidTr="00F7361D">
        <w:tc>
          <w:tcPr>
            <w:tcW w:w="985" w:type="dxa"/>
            <w:vAlign w:val="center"/>
          </w:tcPr>
          <w:p w14:paraId="594CA28F" w14:textId="77777777" w:rsidR="004A1139" w:rsidRDefault="004A1139" w:rsidP="00F7361D">
            <w:pPr>
              <w:pStyle w:val="NoSpacing"/>
            </w:pPr>
            <w:r>
              <w:t>B</w:t>
            </w:r>
          </w:p>
        </w:tc>
        <w:tc>
          <w:tcPr>
            <w:tcW w:w="2970" w:type="dxa"/>
            <w:vAlign w:val="center"/>
          </w:tcPr>
          <w:p w14:paraId="6C0525E8" w14:textId="77777777" w:rsidR="004A1139" w:rsidRDefault="004A1139" w:rsidP="00F7361D">
            <w:pPr>
              <w:pStyle w:val="NoSpacing"/>
            </w:pPr>
            <w:r>
              <w:t>0</w:t>
            </w:r>
          </w:p>
        </w:tc>
        <w:tc>
          <w:tcPr>
            <w:tcW w:w="3240" w:type="dxa"/>
            <w:vAlign w:val="center"/>
          </w:tcPr>
          <w:p w14:paraId="1C8C2CF2" w14:textId="77777777" w:rsidR="004A1139" w:rsidRDefault="004A1139" w:rsidP="00F7361D">
            <w:pPr>
              <w:pStyle w:val="NoSpacing"/>
            </w:pPr>
            <w:r>
              <w:t>30</w:t>
            </w:r>
          </w:p>
        </w:tc>
        <w:tc>
          <w:tcPr>
            <w:tcW w:w="1435" w:type="dxa"/>
            <w:vAlign w:val="center"/>
          </w:tcPr>
          <w:p w14:paraId="48A4F689" w14:textId="77777777" w:rsidR="004A1139" w:rsidRDefault="004A1139" w:rsidP="00F7361D">
            <w:pPr>
              <w:pStyle w:val="NoSpacing"/>
            </w:pPr>
            <w:r>
              <w:t>PP</w:t>
            </w:r>
          </w:p>
        </w:tc>
      </w:tr>
      <w:tr w:rsidR="004A1139" w14:paraId="215DA372" w14:textId="77777777" w:rsidTr="00F7361D">
        <w:tc>
          <w:tcPr>
            <w:tcW w:w="985" w:type="dxa"/>
            <w:vAlign w:val="center"/>
          </w:tcPr>
          <w:p w14:paraId="4A31D9CC" w14:textId="77777777" w:rsidR="004A1139" w:rsidRDefault="004A1139" w:rsidP="00F7361D">
            <w:pPr>
              <w:pStyle w:val="NoSpacing"/>
            </w:pPr>
            <w:r>
              <w:t>H1</w:t>
            </w:r>
          </w:p>
        </w:tc>
        <w:tc>
          <w:tcPr>
            <w:tcW w:w="2970" w:type="dxa"/>
            <w:vAlign w:val="center"/>
          </w:tcPr>
          <w:p w14:paraId="757D4524" w14:textId="77777777" w:rsidR="004A1139" w:rsidRDefault="004A1139" w:rsidP="00F7361D">
            <w:pPr>
              <w:pStyle w:val="NoSpacing"/>
            </w:pPr>
            <w:r>
              <w:t>10</w:t>
            </w:r>
          </w:p>
        </w:tc>
        <w:tc>
          <w:tcPr>
            <w:tcW w:w="3240" w:type="dxa"/>
            <w:vAlign w:val="center"/>
          </w:tcPr>
          <w:p w14:paraId="61D274B5" w14:textId="77777777" w:rsidR="004A1139" w:rsidRDefault="004A1139" w:rsidP="00F7361D">
            <w:pPr>
              <w:pStyle w:val="NoSpacing"/>
            </w:pPr>
            <w:r>
              <w:t>20</w:t>
            </w:r>
          </w:p>
        </w:tc>
        <w:tc>
          <w:tcPr>
            <w:tcW w:w="1435" w:type="dxa"/>
            <w:vAlign w:val="center"/>
          </w:tcPr>
          <w:p w14:paraId="61D41CB1" w14:textId="77777777" w:rsidR="004A1139" w:rsidRDefault="004A1139" w:rsidP="00F7361D">
            <w:pPr>
              <w:pStyle w:val="NoSpacing"/>
            </w:pPr>
            <w:r>
              <w:t>PP</w:t>
            </w:r>
          </w:p>
        </w:tc>
      </w:tr>
      <w:tr w:rsidR="004A1139" w14:paraId="4C946A3C" w14:textId="77777777" w:rsidTr="00F7361D">
        <w:tc>
          <w:tcPr>
            <w:tcW w:w="985" w:type="dxa"/>
            <w:vAlign w:val="center"/>
          </w:tcPr>
          <w:p w14:paraId="20540A88" w14:textId="77777777" w:rsidR="004A1139" w:rsidRDefault="004A1139" w:rsidP="00F7361D">
            <w:pPr>
              <w:pStyle w:val="NoSpacing"/>
            </w:pPr>
            <w:r>
              <w:t>H2</w:t>
            </w:r>
          </w:p>
        </w:tc>
        <w:tc>
          <w:tcPr>
            <w:tcW w:w="2970" w:type="dxa"/>
            <w:vAlign w:val="center"/>
          </w:tcPr>
          <w:p w14:paraId="5324CD23" w14:textId="77777777" w:rsidR="004A1139" w:rsidRDefault="004A1139" w:rsidP="00F7361D">
            <w:pPr>
              <w:pStyle w:val="NoSpacing"/>
            </w:pPr>
            <w:r>
              <w:t>20</w:t>
            </w:r>
          </w:p>
        </w:tc>
        <w:tc>
          <w:tcPr>
            <w:tcW w:w="3240" w:type="dxa"/>
            <w:vAlign w:val="center"/>
          </w:tcPr>
          <w:p w14:paraId="45DE875D" w14:textId="77777777" w:rsidR="004A1139" w:rsidRDefault="004A1139" w:rsidP="00F7361D">
            <w:pPr>
              <w:pStyle w:val="NoSpacing"/>
            </w:pPr>
            <w:r>
              <w:t>10</w:t>
            </w:r>
          </w:p>
        </w:tc>
        <w:tc>
          <w:tcPr>
            <w:tcW w:w="1435" w:type="dxa"/>
            <w:vAlign w:val="center"/>
          </w:tcPr>
          <w:p w14:paraId="04FBD7DA" w14:textId="77777777" w:rsidR="004A1139" w:rsidRDefault="004A1139" w:rsidP="00F7361D">
            <w:pPr>
              <w:pStyle w:val="NoSpacing"/>
            </w:pPr>
            <w:r>
              <w:t>PP</w:t>
            </w:r>
          </w:p>
        </w:tc>
      </w:tr>
      <w:tr w:rsidR="004A1139" w14:paraId="57125C46" w14:textId="77777777" w:rsidTr="00F7361D">
        <w:tc>
          <w:tcPr>
            <w:tcW w:w="985" w:type="dxa"/>
            <w:vAlign w:val="center"/>
          </w:tcPr>
          <w:p w14:paraId="74BC67CB" w14:textId="77777777" w:rsidR="004A1139" w:rsidRDefault="004A1139" w:rsidP="00F7361D">
            <w:pPr>
              <w:pStyle w:val="NoSpacing"/>
            </w:pPr>
            <w:r>
              <w:t>BM</w:t>
            </w:r>
          </w:p>
        </w:tc>
        <w:tc>
          <w:tcPr>
            <w:tcW w:w="2970" w:type="dxa"/>
            <w:vAlign w:val="center"/>
          </w:tcPr>
          <w:p w14:paraId="7AE6DB71" w14:textId="77777777" w:rsidR="004A1139" w:rsidRDefault="004A1139" w:rsidP="00F7361D">
            <w:pPr>
              <w:pStyle w:val="NoSpacing"/>
            </w:pPr>
            <w:r>
              <w:t>0</w:t>
            </w:r>
          </w:p>
        </w:tc>
        <w:tc>
          <w:tcPr>
            <w:tcW w:w="3240" w:type="dxa"/>
            <w:vAlign w:val="center"/>
          </w:tcPr>
          <w:p w14:paraId="057D7245" w14:textId="77777777" w:rsidR="004A1139" w:rsidRDefault="004A1139" w:rsidP="00F7361D">
            <w:pPr>
              <w:pStyle w:val="NoSpacing"/>
            </w:pPr>
            <w:r>
              <w:t>30</w:t>
            </w:r>
          </w:p>
        </w:tc>
        <w:tc>
          <w:tcPr>
            <w:tcW w:w="1435" w:type="dxa"/>
            <w:vAlign w:val="center"/>
          </w:tcPr>
          <w:p w14:paraId="38956A0E" w14:textId="77777777" w:rsidR="004A1139" w:rsidRDefault="004A1139" w:rsidP="00F7361D">
            <w:pPr>
              <w:pStyle w:val="NoSpacing"/>
            </w:pPr>
            <w:r>
              <w:t>PP/MAPP</w:t>
            </w:r>
          </w:p>
        </w:tc>
      </w:tr>
      <w:tr w:rsidR="004A1139" w14:paraId="21FD2412" w14:textId="77777777" w:rsidTr="00F7361D">
        <w:tc>
          <w:tcPr>
            <w:tcW w:w="985" w:type="dxa"/>
            <w:vAlign w:val="center"/>
          </w:tcPr>
          <w:p w14:paraId="766AC451" w14:textId="77777777" w:rsidR="004A1139" w:rsidRDefault="004A1139" w:rsidP="00F7361D">
            <w:pPr>
              <w:pStyle w:val="NoSpacing"/>
            </w:pPr>
            <w:r>
              <w:t>HM1</w:t>
            </w:r>
          </w:p>
        </w:tc>
        <w:tc>
          <w:tcPr>
            <w:tcW w:w="2970" w:type="dxa"/>
            <w:vAlign w:val="center"/>
          </w:tcPr>
          <w:p w14:paraId="78FA3DED" w14:textId="77777777" w:rsidR="004A1139" w:rsidRDefault="004A1139" w:rsidP="00F7361D">
            <w:pPr>
              <w:pStyle w:val="NoSpacing"/>
            </w:pPr>
            <w:r>
              <w:t>10</w:t>
            </w:r>
          </w:p>
        </w:tc>
        <w:tc>
          <w:tcPr>
            <w:tcW w:w="3240" w:type="dxa"/>
            <w:vAlign w:val="center"/>
          </w:tcPr>
          <w:p w14:paraId="33269985" w14:textId="77777777" w:rsidR="004A1139" w:rsidRDefault="004A1139" w:rsidP="00F7361D">
            <w:pPr>
              <w:pStyle w:val="NoSpacing"/>
            </w:pPr>
            <w:r>
              <w:t>20</w:t>
            </w:r>
          </w:p>
        </w:tc>
        <w:tc>
          <w:tcPr>
            <w:tcW w:w="1435" w:type="dxa"/>
            <w:vAlign w:val="center"/>
          </w:tcPr>
          <w:p w14:paraId="6ADC56DC" w14:textId="77777777" w:rsidR="004A1139" w:rsidRDefault="004A1139" w:rsidP="00F7361D">
            <w:pPr>
              <w:pStyle w:val="NoSpacing"/>
            </w:pPr>
            <w:r>
              <w:t>PP/MAPP</w:t>
            </w:r>
          </w:p>
        </w:tc>
      </w:tr>
      <w:tr w:rsidR="004A1139" w14:paraId="174342EB" w14:textId="77777777" w:rsidTr="00F7361D">
        <w:tc>
          <w:tcPr>
            <w:tcW w:w="985" w:type="dxa"/>
            <w:vAlign w:val="center"/>
          </w:tcPr>
          <w:p w14:paraId="075D7A9E" w14:textId="77777777" w:rsidR="004A1139" w:rsidRDefault="004A1139" w:rsidP="00F7361D">
            <w:pPr>
              <w:pStyle w:val="NoSpacing"/>
            </w:pPr>
            <w:r>
              <w:t>HM2</w:t>
            </w:r>
          </w:p>
        </w:tc>
        <w:tc>
          <w:tcPr>
            <w:tcW w:w="2970" w:type="dxa"/>
            <w:vAlign w:val="center"/>
          </w:tcPr>
          <w:p w14:paraId="2835BC18" w14:textId="77777777" w:rsidR="004A1139" w:rsidRDefault="004A1139" w:rsidP="00F7361D">
            <w:pPr>
              <w:pStyle w:val="NoSpacing"/>
            </w:pPr>
            <w:r>
              <w:t>20</w:t>
            </w:r>
          </w:p>
        </w:tc>
        <w:tc>
          <w:tcPr>
            <w:tcW w:w="3240" w:type="dxa"/>
            <w:vAlign w:val="center"/>
          </w:tcPr>
          <w:p w14:paraId="307D9D24" w14:textId="77777777" w:rsidR="004A1139" w:rsidRDefault="004A1139" w:rsidP="00F7361D">
            <w:pPr>
              <w:pStyle w:val="NoSpacing"/>
            </w:pPr>
            <w:r>
              <w:t>10</w:t>
            </w:r>
          </w:p>
        </w:tc>
        <w:tc>
          <w:tcPr>
            <w:tcW w:w="1435" w:type="dxa"/>
            <w:vAlign w:val="center"/>
          </w:tcPr>
          <w:p w14:paraId="5E023F4D" w14:textId="77777777" w:rsidR="004A1139" w:rsidRDefault="004A1139" w:rsidP="00F7361D">
            <w:pPr>
              <w:pStyle w:val="NoSpacing"/>
            </w:pPr>
            <w:r>
              <w:t>PP/MAPP</w:t>
            </w:r>
          </w:p>
        </w:tc>
      </w:tr>
    </w:tbl>
    <w:p w14:paraId="0047732D" w14:textId="77777777" w:rsidR="00A21B79" w:rsidRDefault="00A21B79" w:rsidP="00020FF1">
      <w:pPr>
        <w:pStyle w:val="NoSpacing"/>
      </w:pPr>
    </w:p>
    <w:p w14:paraId="63A83035" w14:textId="60549CD3" w:rsidR="0014408A" w:rsidRDefault="0014408A" w:rsidP="00682F7B">
      <w:r>
        <w:t>Dog-bone shaped samples of BFRP and BGRP were cut from the composite plate with</w:t>
      </w:r>
      <w:r w:rsidRPr="00F7361D">
        <w:t xml:space="preserve"> </w:t>
      </w:r>
      <w:r>
        <w:t>dimensions 60</w:t>
      </w:r>
      <w:r w:rsidR="00AA4BCD">
        <w:t xml:space="preserve"> </w:t>
      </w:r>
      <w:r>
        <w:t>×</w:t>
      </w:r>
      <w:r w:rsidR="00AA4BCD">
        <w:t xml:space="preserve"> </w:t>
      </w:r>
      <w:r>
        <w:t>12</w:t>
      </w:r>
      <w:r w:rsidR="00AA4BCD">
        <w:t xml:space="preserve"> </w:t>
      </w:r>
      <w:r>
        <w:t>×</w:t>
      </w:r>
      <w:r w:rsidR="00AA4BCD">
        <w:t xml:space="preserve"> </w:t>
      </w:r>
      <w:r>
        <w:t>3 mm</w:t>
      </w:r>
      <w:r w:rsidRPr="00F7361D">
        <w:rPr>
          <w:vertAlign w:val="superscript"/>
        </w:rPr>
        <w:t>3</w:t>
      </w:r>
      <w:r>
        <w:t xml:space="preserve"> and </w:t>
      </w:r>
      <w:r w:rsidRPr="006D28D7">
        <w:t>were fully immersed in water at 25</w:t>
      </w:r>
      <w:r w:rsidRPr="00145FCF">
        <w:rPr>
          <w:rFonts w:ascii="Cambria Math" w:hAnsi="Cambria Math" w:cs="Cambria Math"/>
          <w:szCs w:val="24"/>
        </w:rPr>
        <w:t>℃</w:t>
      </w:r>
      <w:r w:rsidRPr="005A3E52">
        <w:rPr>
          <w:rFonts w:cs="Times New Roman"/>
          <w:szCs w:val="24"/>
        </w:rPr>
        <w:t xml:space="preserve"> (</w:t>
      </w:r>
      <w:r>
        <w:rPr>
          <w:rFonts w:cs="Times New Roman"/>
          <w:szCs w:val="24"/>
        </w:rPr>
        <w:t>77</w:t>
      </w:r>
      <w:r w:rsidRPr="00145FCF">
        <w:rPr>
          <w:rFonts w:ascii="Cambria Math" w:hAnsi="Cambria Math" w:cs="Cambria Math"/>
          <w:szCs w:val="24"/>
        </w:rPr>
        <w:t>℉</w:t>
      </w:r>
      <w:r>
        <w:rPr>
          <w:rFonts w:cs="Times New Roman"/>
          <w:szCs w:val="24"/>
        </w:rPr>
        <w:t>)</w:t>
      </w:r>
      <w:r>
        <w:t xml:space="preserve"> </w:t>
      </w:r>
      <w:r w:rsidRPr="006D28D7">
        <w:t xml:space="preserve">for up to 1600 h. </w:t>
      </w:r>
      <w:r w:rsidR="00356743">
        <w:t xml:space="preserve">The experimental data collected by </w:t>
      </w:r>
      <w:proofErr w:type="spellStart"/>
      <w:r w:rsidR="00356743">
        <w:t>Thwe</w:t>
      </w:r>
      <w:proofErr w:type="spellEnd"/>
      <w:r w:rsidR="00356743">
        <w:t xml:space="preserve"> and Liao </w:t>
      </w:r>
      <w:r w:rsidR="00356743">
        <w:fldChar w:fldCharType="begin" w:fldLock="1"/>
      </w:r>
      <w:r w:rsidR="0058062A">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00356743">
        <w:fldChar w:fldCharType="separate"/>
      </w:r>
      <w:r w:rsidR="009A64D0" w:rsidRPr="009A64D0">
        <w:rPr>
          <w:noProof/>
        </w:rPr>
        <w:t>[154]</w:t>
      </w:r>
      <w:r w:rsidR="00356743">
        <w:fldChar w:fldCharType="end"/>
      </w:r>
      <w:r w:rsidR="00356743">
        <w:t xml:space="preserve"> and one-dimensional hindered diffusion model predictions are illustrated in </w:t>
      </w:r>
      <w:r w:rsidR="00356743">
        <w:fldChar w:fldCharType="begin"/>
      </w:r>
      <w:r w:rsidR="00356743">
        <w:instrText xml:space="preserve"> REF _Ref528321846 \h </w:instrText>
      </w:r>
      <w:r w:rsidR="00682F7B">
        <w:instrText xml:space="preserve"> \* MERGEFORMAT </w:instrText>
      </w:r>
      <w:r w:rsidR="00356743">
        <w:fldChar w:fldCharType="separate"/>
      </w:r>
      <w:r w:rsidR="006D52C2">
        <w:t xml:space="preserve">Figure </w:t>
      </w:r>
      <w:r w:rsidR="006D52C2">
        <w:rPr>
          <w:noProof/>
        </w:rPr>
        <w:t>79</w:t>
      </w:r>
      <w:r w:rsidR="00356743">
        <w:fldChar w:fldCharType="end"/>
      </w:r>
      <w:r w:rsidR="00356743">
        <w:t>.</w:t>
      </w:r>
    </w:p>
    <w:p w14:paraId="20D73024" w14:textId="15E50F75" w:rsidR="00EE29C6" w:rsidRDefault="00EE29C6" w:rsidP="00682F7B">
      <w:r>
        <w:t xml:space="preserve">One-dimensional hindered diffusion model </w:t>
      </w:r>
      <w:r w:rsidR="00A21B79">
        <w:t xml:space="preserve">accurately </w:t>
      </w:r>
      <w:r>
        <w:t>recover</w:t>
      </w:r>
      <w:r w:rsidR="00A21B79">
        <w:t>s</w:t>
      </w:r>
      <w:r>
        <w:t xml:space="preserve"> the absorption kinetics of all 6 sample set. As explained earlier, accurate indication of the absorption behavior is dire for elastic modulus predictions. Moreover, after 1</w:t>
      </w:r>
      <w:r w:rsidR="0069795E">
        <w:t>6</w:t>
      </w:r>
      <w:r>
        <w:t xml:space="preserve">00h, no </w:t>
      </w:r>
      <w:r w:rsidR="0069795E">
        <w:t xml:space="preserve">significant </w:t>
      </w:r>
      <w:r>
        <w:t>moisture absorption is observed in each set of sample</w:t>
      </w:r>
      <w:r w:rsidR="009D4B3D">
        <w:t>s</w:t>
      </w:r>
      <w:r>
        <w:t xml:space="preserve"> as shown in </w:t>
      </w:r>
      <w:r>
        <w:fldChar w:fldCharType="begin"/>
      </w:r>
      <w:r>
        <w:instrText xml:space="preserve"> REF _Ref528321846 \h </w:instrText>
      </w:r>
      <w:r w:rsidR="00682F7B">
        <w:instrText xml:space="preserve"> \* MERGEFORMAT </w:instrText>
      </w:r>
      <w:r>
        <w:fldChar w:fldCharType="separate"/>
      </w:r>
      <w:r w:rsidR="006D52C2">
        <w:t xml:space="preserve">Figure </w:t>
      </w:r>
      <w:r w:rsidR="006D52C2">
        <w:rPr>
          <w:noProof/>
        </w:rPr>
        <w:t>79</w:t>
      </w:r>
      <w:r>
        <w:fldChar w:fldCharType="end"/>
      </w:r>
      <w:r>
        <w:t>.</w:t>
      </w:r>
    </w:p>
    <w:p w14:paraId="43D133DF" w14:textId="77777777" w:rsidR="004A1139" w:rsidRDefault="004A1139" w:rsidP="004A1139">
      <w:pPr>
        <w:pStyle w:val="NoSpacing"/>
      </w:pPr>
      <w:r>
        <w:rPr>
          <w:noProof/>
          <w:lang w:bidi="ar-SA"/>
        </w:rPr>
        <w:lastRenderedPageBreak/>
        <w:drawing>
          <wp:inline distT="0" distB="0" distL="0" distR="0" wp14:anchorId="2A4DDF98" wp14:editId="4C721C85">
            <wp:extent cx="4651001" cy="3383280"/>
            <wp:effectExtent l="0" t="0" r="0" b="7620"/>
            <wp:docPr id="4182" name="Picture 4182" descr="C:\Users\Administrator\Desktop\proje\PhD Dissertation\Modulus Study\Literature Data\Thwe and Liao\Mass ga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proje\PhD Dissertation\Modulus Study\Literature Data\Thwe and Liao\Mass gain.tif"/>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651001" cy="3383280"/>
                    </a:xfrm>
                    <a:prstGeom prst="rect">
                      <a:avLst/>
                    </a:prstGeom>
                    <a:noFill/>
                    <a:ln>
                      <a:noFill/>
                    </a:ln>
                  </pic:spPr>
                </pic:pic>
              </a:graphicData>
            </a:graphic>
          </wp:inline>
        </w:drawing>
      </w:r>
    </w:p>
    <w:p w14:paraId="3EA27108" w14:textId="6DB33530" w:rsidR="00682F7B" w:rsidRDefault="004A1139" w:rsidP="00682F7B">
      <w:pPr>
        <w:pStyle w:val="Caption"/>
      </w:pPr>
      <w:bookmarkStart w:id="347" w:name="_Ref528321846"/>
      <w:bookmarkStart w:id="348" w:name="_Toc530997435"/>
      <w:r>
        <w:t xml:space="preserve">Figure </w:t>
      </w:r>
      <w:r>
        <w:rPr>
          <w:noProof/>
        </w:rPr>
        <w:fldChar w:fldCharType="begin"/>
      </w:r>
      <w:r>
        <w:rPr>
          <w:noProof/>
        </w:rPr>
        <w:instrText xml:space="preserve"> SEQ Figure \* ARABIC </w:instrText>
      </w:r>
      <w:r>
        <w:rPr>
          <w:noProof/>
        </w:rPr>
        <w:fldChar w:fldCharType="separate"/>
      </w:r>
      <w:r w:rsidR="006D52C2">
        <w:rPr>
          <w:noProof/>
        </w:rPr>
        <w:t>79</w:t>
      </w:r>
      <w:r>
        <w:rPr>
          <w:noProof/>
        </w:rPr>
        <w:fldChar w:fldCharType="end"/>
      </w:r>
      <w:bookmarkEnd w:id="347"/>
      <w:r>
        <w:t xml:space="preserve">. </w:t>
      </w:r>
      <w:r w:rsidR="008E5841">
        <w:t>Mass gain data and 1DHDM predictions of BFRP and BGRP samples.</w:t>
      </w:r>
      <w:bookmarkEnd w:id="348"/>
    </w:p>
    <w:p w14:paraId="0F0C61B6" w14:textId="77777777" w:rsidR="00682F7B" w:rsidRPr="00682F7B" w:rsidRDefault="00682F7B" w:rsidP="00682F7B"/>
    <w:p w14:paraId="3AEB6E67" w14:textId="49601931" w:rsidR="00693844" w:rsidRDefault="00356743" w:rsidP="00682F7B">
      <w:r w:rsidRPr="006D28D7">
        <w:t>Tensile tests were performed after 520 h and 1200 h</w:t>
      </w:r>
      <w:r>
        <w:t xml:space="preserve"> according to ASTM D638 standard </w:t>
      </w:r>
      <w:r w:rsidRPr="006D28D7">
        <w:t>to determine residual st</w:t>
      </w:r>
      <w:r>
        <w:t>rength and modulus after aging.</w:t>
      </w:r>
      <w:r w:rsidR="00CF7940">
        <w:t xml:space="preserve"> The resulting experimental elastic modulus data </w:t>
      </w:r>
      <w:r w:rsidR="00CF7940">
        <w:fldChar w:fldCharType="begin" w:fldLock="1"/>
      </w:r>
      <w:r w:rsidR="0058062A">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00CF7940">
        <w:fldChar w:fldCharType="separate"/>
      </w:r>
      <w:r w:rsidR="009A64D0" w:rsidRPr="009A64D0">
        <w:rPr>
          <w:noProof/>
        </w:rPr>
        <w:t>[154]</w:t>
      </w:r>
      <w:r w:rsidR="00CF7940">
        <w:fldChar w:fldCharType="end"/>
      </w:r>
      <w:r w:rsidR="00CF7940">
        <w:t xml:space="preserve"> and proposed model predictions are illustrated in </w:t>
      </w:r>
      <w:r w:rsidR="00CF7940">
        <w:fldChar w:fldCharType="begin"/>
      </w:r>
      <w:r w:rsidR="00CF7940">
        <w:instrText xml:space="preserve"> REF _Ref528322338 \h </w:instrText>
      </w:r>
      <w:r w:rsidR="00682F7B">
        <w:instrText xml:space="preserve"> \* MERGEFORMAT </w:instrText>
      </w:r>
      <w:r w:rsidR="00CF7940">
        <w:fldChar w:fldCharType="separate"/>
      </w:r>
      <w:r w:rsidR="006D52C2">
        <w:t xml:space="preserve">Figure </w:t>
      </w:r>
      <w:r w:rsidR="006D52C2">
        <w:rPr>
          <w:noProof/>
        </w:rPr>
        <w:t>80</w:t>
      </w:r>
      <w:r w:rsidR="00CF7940">
        <w:fldChar w:fldCharType="end"/>
      </w:r>
      <w:r w:rsidR="00CF7940">
        <w:t>.</w:t>
      </w:r>
    </w:p>
    <w:p w14:paraId="24C6EA87" w14:textId="706B139F" w:rsidR="004A1139" w:rsidRDefault="0069795E" w:rsidP="00682F7B">
      <w:r>
        <w:t>Although the lat</w:t>
      </w:r>
      <w:r w:rsidR="00A21B79">
        <w:t>e</w:t>
      </w:r>
      <w:r w:rsidR="00654306">
        <w:t xml:space="preserve">st elastic modulus measurement, </w:t>
      </w:r>
      <w:r>
        <w:t>taken at 1200h</w:t>
      </w:r>
      <w:r w:rsidR="00654306">
        <w:t>,</w:t>
      </w:r>
      <w:r>
        <w:t xml:space="preserve"> is not the elastic modulus at saturation, it has been used to find the saturation level elastic modulus. One-dimensional hindered diffusion model suggests that at 1200h, the samples were approximately 98% saturated. Although the change in effective elastic modulus during the moisture absorption is not linear, between the 98% and full saturation levels, it has been assumed to change linearly to find the saturation level elastic modulus. Once the </w:t>
      </w:r>
      <w:r w:rsidR="00A21B79">
        <w:t>saturation level elastic modulus of the samples is</w:t>
      </w:r>
      <w:r>
        <w:t xml:space="preserve"> determined, the elastic modulus model is incorporated. In </w:t>
      </w:r>
      <w:r>
        <w:fldChar w:fldCharType="begin"/>
      </w:r>
      <w:r>
        <w:instrText xml:space="preserve"> REF _Ref528322338 \h </w:instrText>
      </w:r>
      <w:r w:rsidR="00682F7B">
        <w:instrText xml:space="preserve"> \* MERGEFORMAT </w:instrText>
      </w:r>
      <w:r>
        <w:fldChar w:fldCharType="separate"/>
      </w:r>
      <w:r w:rsidR="006D52C2">
        <w:t xml:space="preserve">Figure </w:t>
      </w:r>
      <w:r w:rsidR="006D52C2">
        <w:rPr>
          <w:noProof/>
        </w:rPr>
        <w:t>80</w:t>
      </w:r>
      <w:r>
        <w:fldChar w:fldCharType="end"/>
      </w:r>
      <w:r>
        <w:t xml:space="preserve">, it has been shown that the model and experimental effective elastic modulus of different samples are in agreement. Even though the saturation level </w:t>
      </w:r>
      <w:r>
        <w:lastRenderedPageBreak/>
        <w:t xml:space="preserve">effective elastic modulus is determined by the assumption that between the 98% and complete saturation elastic modulus changes linearly, it may also be recovered using the experimental data </w:t>
      </w:r>
      <w:r>
        <w:fldChar w:fldCharType="begin" w:fldLock="1"/>
      </w:r>
      <w:r w:rsidR="0058062A">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fldChar w:fldCharType="separate"/>
      </w:r>
      <w:r w:rsidR="009A64D0" w:rsidRPr="009A64D0">
        <w:rPr>
          <w:noProof/>
        </w:rPr>
        <w:t>[154]</w:t>
      </w:r>
      <w:r>
        <w:fldChar w:fldCharType="end"/>
      </w:r>
      <w:r w:rsidR="00F31F62">
        <w:t xml:space="preserve"> and Eq. (77</w:t>
      </w:r>
      <w:r>
        <w:t xml:space="preserve">). The differences between the recovered and determined saturation level effective elastic moduli have found to be insignificant. </w:t>
      </w:r>
    </w:p>
    <w:p w14:paraId="7E200C77" w14:textId="3470D023" w:rsidR="004A1139" w:rsidRDefault="00A230BA" w:rsidP="004A1139">
      <w:pPr>
        <w:pStyle w:val="NoSpacing"/>
      </w:pPr>
      <w:r>
        <w:rPr>
          <w:noProof/>
          <w:lang w:bidi="ar-SA"/>
        </w:rPr>
        <w:drawing>
          <wp:inline distT="0" distB="0" distL="0" distR="0" wp14:anchorId="5254E922" wp14:editId="706BBEFE">
            <wp:extent cx="5028909" cy="3657600"/>
            <wp:effectExtent l="0" t="0" r="635" b="0"/>
            <wp:docPr id="4191" name="Picture 4191" descr="C:\Users\Administrator\Desktop\proje\PhD Dissertation\Modulus Study\Literature Data\Thwe and Liao\Elastic Modulu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C:\Users\Administrator\Desktop\proje\PhD Dissertation\Modulus Study\Literature Data\Thwe and Liao\Elastic Modulus.tif"/>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028909" cy="3657600"/>
                    </a:xfrm>
                    <a:prstGeom prst="rect">
                      <a:avLst/>
                    </a:prstGeom>
                    <a:noFill/>
                    <a:ln>
                      <a:noFill/>
                    </a:ln>
                  </pic:spPr>
                </pic:pic>
              </a:graphicData>
            </a:graphic>
          </wp:inline>
        </w:drawing>
      </w:r>
    </w:p>
    <w:p w14:paraId="2D215243" w14:textId="09F9658C" w:rsidR="00A21B79" w:rsidRPr="00A21B79" w:rsidRDefault="004A1139" w:rsidP="00A21B79">
      <w:pPr>
        <w:pStyle w:val="Caption"/>
      </w:pPr>
      <w:bookmarkStart w:id="349" w:name="_Ref528322338"/>
      <w:bookmarkStart w:id="350" w:name="_Toc530997436"/>
      <w:r>
        <w:t xml:space="preserve">Figure </w:t>
      </w:r>
      <w:r>
        <w:rPr>
          <w:noProof/>
        </w:rPr>
        <w:fldChar w:fldCharType="begin"/>
      </w:r>
      <w:r>
        <w:rPr>
          <w:noProof/>
        </w:rPr>
        <w:instrText xml:space="preserve"> SEQ Figure \* ARABIC </w:instrText>
      </w:r>
      <w:r>
        <w:rPr>
          <w:noProof/>
        </w:rPr>
        <w:fldChar w:fldCharType="separate"/>
      </w:r>
      <w:r w:rsidR="006D52C2">
        <w:rPr>
          <w:noProof/>
        </w:rPr>
        <w:t>80</w:t>
      </w:r>
      <w:r>
        <w:rPr>
          <w:noProof/>
        </w:rPr>
        <w:fldChar w:fldCharType="end"/>
      </w:r>
      <w:bookmarkEnd w:id="349"/>
      <w:r>
        <w:t xml:space="preserve">. </w:t>
      </w:r>
      <w:r w:rsidR="008D34B6">
        <w:t>Transient elastic modulus data and model prediction of BFRP and BGRP composites</w:t>
      </w:r>
      <w:bookmarkEnd w:id="350"/>
    </w:p>
    <w:p w14:paraId="725D8D0F" w14:textId="77777777" w:rsidR="00A21B79" w:rsidRDefault="00A21B79" w:rsidP="00682F7B"/>
    <w:p w14:paraId="590AFD95" w14:textId="0F8ECB15" w:rsidR="00020FF1" w:rsidRDefault="006D28D7" w:rsidP="00682F7B">
      <w:r>
        <w:t xml:space="preserve">Kagan et al. </w:t>
      </w:r>
      <w:r>
        <w:fldChar w:fldCharType="begin" w:fldLock="1"/>
      </w:r>
      <w:r w:rsidR="00430285">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07f32166-9881-44a1-9e28-df3d5522d222"]}],"mendeley":{"formattedCitation":"[4]","plainTextFormattedCitation":"[4]","previouslyFormattedCitation":"[12]"},"properties":{"noteIndex":0},"schema":"https://github.com/citation-style-language/schema/raw/master/csl-citation.json"}</w:instrText>
      </w:r>
      <w:r>
        <w:fldChar w:fldCharType="separate"/>
      </w:r>
      <w:r w:rsidR="00430285" w:rsidRPr="00430285">
        <w:rPr>
          <w:noProof/>
        </w:rPr>
        <w:t>[4]</w:t>
      </w:r>
      <w:r>
        <w:fldChar w:fldCharType="end"/>
      </w:r>
      <w:r w:rsidRPr="006D28D7">
        <w:t xml:space="preserve"> focused on moisture absorption in </w:t>
      </w:r>
      <w:r w:rsidR="00092BCF">
        <w:t xml:space="preserve">heat-stabilized, </w:t>
      </w:r>
      <w:r w:rsidRPr="006D28D7">
        <w:t>unfilled nylon 6</w:t>
      </w:r>
      <w:r w:rsidR="00092BCF">
        <w:t xml:space="preserve"> (Capron 8202 HS)</w:t>
      </w:r>
      <w:r w:rsidRPr="006D28D7">
        <w:t xml:space="preserve">, a material considered homogeneous. </w:t>
      </w:r>
      <w:r w:rsidR="00092BCF">
        <w:t>I</w:t>
      </w:r>
      <w:r>
        <w:t>njection molded</w:t>
      </w:r>
      <w:r w:rsidR="00092BCF">
        <w:t>,</w:t>
      </w:r>
      <w:r>
        <w:t xml:space="preserve"> 4-mm thick ISO multi-purpose tensile </w:t>
      </w:r>
      <w:r w:rsidR="00092BCF">
        <w:t>specimens</w:t>
      </w:r>
      <w:r>
        <w:t xml:space="preserve"> (ISO-3167)</w:t>
      </w:r>
      <w:r w:rsidR="00092BCF">
        <w:t xml:space="preserve"> were sealed in special bags</w:t>
      </w:r>
      <w:r w:rsidR="00092BCF" w:rsidRPr="00092BCF">
        <w:t xml:space="preserve"> </w:t>
      </w:r>
      <w:r w:rsidR="00092BCF">
        <w:t>in order to preserve their dry-as-molded state</w:t>
      </w:r>
      <w:r>
        <w:t xml:space="preserve">. </w:t>
      </w:r>
      <w:r w:rsidR="00092BCF">
        <w:t>Moisture absorption characteristic</w:t>
      </w:r>
      <w:r w:rsidR="009D4B3D">
        <w:t>s</w:t>
      </w:r>
      <w:r w:rsidR="00020FF1">
        <w:t xml:space="preserve"> of the specimen we</w:t>
      </w:r>
      <w:r w:rsidR="00092BCF">
        <w:t>re obtained by ISO-1110 procedure where the tem</w:t>
      </w:r>
      <w:r w:rsidR="00020FF1">
        <w:t>perature and relative humidity we</w:t>
      </w:r>
      <w:r w:rsidR="00092BCF">
        <w:t>re maintained at 70</w:t>
      </w:r>
      <w:r w:rsidR="00092BCF" w:rsidRPr="00145FCF">
        <w:rPr>
          <w:rFonts w:ascii="Cambria Math" w:hAnsi="Cambria Math" w:cs="Cambria Math"/>
          <w:szCs w:val="24"/>
        </w:rPr>
        <w:t>℃</w:t>
      </w:r>
      <w:r w:rsidR="00092BCF" w:rsidRPr="005A3E52">
        <w:rPr>
          <w:rFonts w:cs="Times New Roman"/>
          <w:szCs w:val="24"/>
        </w:rPr>
        <w:t xml:space="preserve"> (</w:t>
      </w:r>
      <w:r w:rsidR="00092BCF">
        <w:rPr>
          <w:rFonts w:cs="Times New Roman"/>
          <w:szCs w:val="24"/>
        </w:rPr>
        <w:t>158</w:t>
      </w:r>
      <w:r w:rsidR="00092BCF" w:rsidRPr="00145FCF">
        <w:rPr>
          <w:rFonts w:ascii="Cambria Math" w:hAnsi="Cambria Math" w:cs="Cambria Math"/>
          <w:szCs w:val="24"/>
        </w:rPr>
        <w:t>℉</w:t>
      </w:r>
      <w:r w:rsidR="00092BCF">
        <w:rPr>
          <w:rFonts w:cs="Times New Roman"/>
          <w:szCs w:val="24"/>
        </w:rPr>
        <w:t>)</w:t>
      </w:r>
      <w:r w:rsidR="00092BCF">
        <w:t xml:space="preserve"> and 62%RH, respectively. </w:t>
      </w:r>
      <w:r w:rsidR="008F2CA5">
        <w:t>Flexure</w:t>
      </w:r>
      <w:r w:rsidR="00092BCF">
        <w:t xml:space="preserve"> t</w:t>
      </w:r>
      <w:r>
        <w:t xml:space="preserve">ests were conducted </w:t>
      </w:r>
      <w:r w:rsidR="00092BCF">
        <w:t xml:space="preserve">according to ISO and ASTM </w:t>
      </w:r>
      <w:r w:rsidR="008F2CA5">
        <w:t>standards</w:t>
      </w:r>
      <w:r w:rsidR="00092BCF">
        <w:t xml:space="preserve"> by </w:t>
      </w:r>
      <w:r>
        <w:t xml:space="preserve">using an </w:t>
      </w:r>
      <w:proofErr w:type="spellStart"/>
      <w:r>
        <w:t>Instro</w:t>
      </w:r>
      <w:r w:rsidR="00092BCF">
        <w:t>n</w:t>
      </w:r>
      <w:proofErr w:type="spellEnd"/>
      <w:r w:rsidR="00020FF1">
        <w:t xml:space="preserve"> 4505 universal testing system.</w:t>
      </w:r>
    </w:p>
    <w:p w14:paraId="5AC386C8" w14:textId="0D0F34DF" w:rsidR="002A5AF1" w:rsidRDefault="0069795E" w:rsidP="00682F7B">
      <w:r>
        <w:lastRenderedPageBreak/>
        <w:t>To validate the predictive abilities of flexural modulus model, 1DHDM absorption parameters is rec</w:t>
      </w:r>
      <w:r w:rsidR="002A5AF1">
        <w:t>overed and</w:t>
      </w:r>
      <w:r>
        <w:t xml:space="preserve"> incorporated into </w:t>
      </w:r>
      <w:r w:rsidR="00F31F62">
        <w:t>Eq. (81</w:t>
      </w:r>
      <w:r w:rsidR="004A1139">
        <w:t>)</w:t>
      </w:r>
      <w:r>
        <w:t xml:space="preserve">. </w:t>
      </w:r>
      <w:r w:rsidR="002A5AF1">
        <w:t xml:space="preserve">One-dimensional hindered diffusion model recovery and the moisture absorption data, and flexural modulus model and elastic modulus data of Nylon 6 samples are illustrated in </w:t>
      </w:r>
      <w:r w:rsidR="002A5AF1">
        <w:fldChar w:fldCharType="begin"/>
      </w:r>
      <w:r w:rsidR="002A5AF1">
        <w:instrText xml:space="preserve"> REF _Ref528330639 \h </w:instrText>
      </w:r>
      <w:r w:rsidR="00682F7B">
        <w:instrText xml:space="preserve"> \* MERGEFORMAT </w:instrText>
      </w:r>
      <w:r w:rsidR="002A5AF1">
        <w:fldChar w:fldCharType="separate"/>
      </w:r>
      <w:r w:rsidR="006D52C2">
        <w:t xml:space="preserve">Figure </w:t>
      </w:r>
      <w:r w:rsidR="006D52C2">
        <w:rPr>
          <w:noProof/>
        </w:rPr>
        <w:t>81</w:t>
      </w:r>
      <w:r w:rsidR="002A5AF1">
        <w:fldChar w:fldCharType="end"/>
      </w:r>
      <w:r w:rsidR="002A5AF1">
        <w:t>.</w:t>
      </w:r>
    </w:p>
    <w:p w14:paraId="2BABE7E2" w14:textId="3EF3F5B3" w:rsidR="006D28D7" w:rsidRDefault="002A5AF1" w:rsidP="00682F7B">
      <w:r>
        <w:t xml:space="preserve">One-dimensional hindered diffusion model prediction suggests that the sample saturated </w:t>
      </w:r>
      <w:r w:rsidR="00A21B79">
        <w:t>right</w:t>
      </w:r>
      <w:r>
        <w:t xml:space="preserve"> after 400 hours of moisture absorption. The experimental data of flexural modulus </w:t>
      </w:r>
      <w:r>
        <w:fldChar w:fldCharType="begin" w:fldLock="1"/>
      </w:r>
      <w:r w:rsidR="00430285">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07f32166-9881-44a1-9e28-df3d5522d222"]}],"mendeley":{"formattedCitation":"[4]","plainTextFormattedCitation":"[4]","previouslyFormattedCitation":"[12]"},"properties":{"noteIndex":0},"schema":"https://github.com/citation-style-language/schema/raw/master/csl-citation.json"}</w:instrText>
      </w:r>
      <w:r>
        <w:fldChar w:fldCharType="separate"/>
      </w:r>
      <w:r w:rsidR="00430285" w:rsidRPr="00430285">
        <w:rPr>
          <w:noProof/>
        </w:rPr>
        <w:t>[4]</w:t>
      </w:r>
      <w:r>
        <w:fldChar w:fldCharType="end"/>
      </w:r>
      <w:r>
        <w:t xml:space="preserve"> is showing the saturation level flexural modulus of Nylon 6 in addition to the transient flexural modulus. Using the dry and saturation flexural modul</w:t>
      </w:r>
      <w:r w:rsidR="00F31F62">
        <w:t>i of the Nylon 6 and the Eq. (81)</w:t>
      </w:r>
      <w:r>
        <w:t xml:space="preserve">, the flexural modulus model predictions are illustrated in </w:t>
      </w:r>
      <w:r>
        <w:fldChar w:fldCharType="begin"/>
      </w:r>
      <w:r>
        <w:instrText xml:space="preserve"> REF _Ref528330639 \h </w:instrText>
      </w:r>
      <w:r w:rsidR="00682F7B">
        <w:instrText xml:space="preserve"> \* MERGEFORMAT </w:instrText>
      </w:r>
      <w:r>
        <w:fldChar w:fldCharType="separate"/>
      </w:r>
      <w:r w:rsidR="006D52C2">
        <w:t xml:space="preserve">Figure </w:t>
      </w:r>
      <w:r w:rsidR="006D52C2">
        <w:rPr>
          <w:noProof/>
        </w:rPr>
        <w:t>81</w:t>
      </w:r>
      <w:r>
        <w:fldChar w:fldCharType="end"/>
      </w:r>
      <w:r>
        <w:t>. The model prediction is consistent with the experimental data of flexural modulus.</w:t>
      </w:r>
    </w:p>
    <w:p w14:paraId="41328FA2" w14:textId="28F81444" w:rsidR="0079607B" w:rsidRDefault="007833A3" w:rsidP="0079607B">
      <w:pPr>
        <w:pStyle w:val="NoSpacing"/>
      </w:pPr>
      <w:r>
        <w:rPr>
          <w:noProof/>
          <w:lang w:bidi="ar-SA"/>
        </w:rPr>
        <w:drawing>
          <wp:inline distT="0" distB="0" distL="0" distR="0" wp14:anchorId="31DB3CFC" wp14:editId="649454B2">
            <wp:extent cx="5090474" cy="3657600"/>
            <wp:effectExtent l="0" t="0" r="0" b="0"/>
            <wp:docPr id="38" name="Picture 38" descr="C:\Users\Administrator\Desktop\proje\PhD Dissertation\Modulus Study\Literature Data\Kagan et al\Nylon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proje\PhD Dissertation\Modulus Study\Literature Data\Kagan et al\Nylon 6.ti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90474" cy="3657600"/>
                    </a:xfrm>
                    <a:prstGeom prst="rect">
                      <a:avLst/>
                    </a:prstGeom>
                    <a:noFill/>
                    <a:ln>
                      <a:noFill/>
                    </a:ln>
                  </pic:spPr>
                </pic:pic>
              </a:graphicData>
            </a:graphic>
          </wp:inline>
        </w:drawing>
      </w:r>
    </w:p>
    <w:p w14:paraId="73C02390" w14:textId="1BE44D59" w:rsidR="00A21B79" w:rsidRDefault="008529AB" w:rsidP="00682F7B">
      <w:pPr>
        <w:pStyle w:val="Caption"/>
      </w:pPr>
      <w:bookmarkStart w:id="351" w:name="_Ref528330639"/>
      <w:bookmarkStart w:id="352" w:name="_Toc530997437"/>
      <w:r>
        <w:t xml:space="preserve">Figure </w:t>
      </w:r>
      <w:r w:rsidR="00BB4871">
        <w:rPr>
          <w:noProof/>
        </w:rPr>
        <w:fldChar w:fldCharType="begin"/>
      </w:r>
      <w:r w:rsidR="00BB4871">
        <w:rPr>
          <w:noProof/>
        </w:rPr>
        <w:instrText xml:space="preserve"> SEQ Figure \* ARABIC </w:instrText>
      </w:r>
      <w:r w:rsidR="00BB4871">
        <w:rPr>
          <w:noProof/>
        </w:rPr>
        <w:fldChar w:fldCharType="separate"/>
      </w:r>
      <w:r w:rsidR="006D52C2">
        <w:rPr>
          <w:noProof/>
        </w:rPr>
        <w:t>81</w:t>
      </w:r>
      <w:r w:rsidR="00BB4871">
        <w:rPr>
          <w:noProof/>
        </w:rPr>
        <w:fldChar w:fldCharType="end"/>
      </w:r>
      <w:bookmarkEnd w:id="351"/>
      <w:r>
        <w:t xml:space="preserve">. </w:t>
      </w:r>
      <w:r w:rsidR="008D34B6">
        <w:t>Variation in elastic modulus and mass gain due to moisture absorption into nylon 6</w:t>
      </w:r>
      <w:bookmarkEnd w:id="352"/>
    </w:p>
    <w:p w14:paraId="07BB360C" w14:textId="77777777" w:rsidR="00632228" w:rsidRDefault="00632228" w:rsidP="00632228"/>
    <w:p w14:paraId="34151E5C" w14:textId="77777777" w:rsidR="00632228" w:rsidRDefault="00632228" w:rsidP="00632228"/>
    <w:p w14:paraId="639B4695" w14:textId="1C324469" w:rsidR="0079607B" w:rsidRDefault="004A1139" w:rsidP="00BB2C1B">
      <w:pPr>
        <w:pStyle w:val="Heading2"/>
      </w:pPr>
      <w:bookmarkStart w:id="353" w:name="_Toc531943794"/>
      <w:r>
        <w:lastRenderedPageBreak/>
        <w:t>5.</w:t>
      </w:r>
      <w:r w:rsidR="00BA1AD9">
        <w:t>6</w:t>
      </w:r>
      <w:r>
        <w:t>. Conclusion</w:t>
      </w:r>
      <w:bookmarkEnd w:id="353"/>
    </w:p>
    <w:p w14:paraId="237036F0" w14:textId="69AFDC29" w:rsidR="00B63058" w:rsidRDefault="00B63058" w:rsidP="00B63058">
      <w:r>
        <w:t>In this chapter, a new comprehensive elastic modulus degradation model is introduced. The model assumes that the elastic modulus varies inversely linear with the moisture concentration. Thus, each concentration level of a polymer has a corresponding modulus value. During the moisture absorption process, just like the spatial moisture concentration field, elastic modulus creates a spatially non</w:t>
      </w:r>
      <w:r w:rsidR="00FC6235">
        <w:t>-</w:t>
      </w:r>
      <w:r>
        <w:t xml:space="preserve">uniform modulus distribution. Depending on the type of the test, effective tensile or flexural modulus can be calculated using this elastic modulus distribution. </w:t>
      </w:r>
    </w:p>
    <w:p w14:paraId="22F85DDF" w14:textId="77777777" w:rsidR="00B63058" w:rsidRDefault="00B63058" w:rsidP="00B63058">
      <w:r>
        <w:t>First, the linear change of modulus with concentration has been shown. Flexural tests on EPON 862 saturated at different levels of relative humidity displayed the linear relation between the modulus and the concentration.</w:t>
      </w:r>
    </w:p>
    <w:p w14:paraId="2D35EED5" w14:textId="77777777" w:rsidR="00B63058" w:rsidRDefault="00B63058" w:rsidP="00B63058">
      <w:r>
        <w:t xml:space="preserve">To validate the modulus model, experimental data of tensile or flexural modulus from three different published studies are used. The modulus data from different polymers and polymeric composites were gathered during the moisture absorption until the saturation. It should be noted here that the saturation level modulus is a critical factor to determine the transient modulus values. </w:t>
      </w:r>
    </w:p>
    <w:p w14:paraId="09182B69" w14:textId="56C0486B" w:rsidR="00B63058" w:rsidRDefault="00B63058" w:rsidP="00B63058">
      <w:r>
        <w:t>In the first two case</w:t>
      </w:r>
      <w:r w:rsidR="009D4B3D">
        <w:t>s</w:t>
      </w:r>
      <w:r>
        <w:t xml:space="preserve">, tensile modulus data from </w:t>
      </w:r>
      <w:proofErr w:type="spellStart"/>
      <w:r>
        <w:t>Eftekhari</w:t>
      </w:r>
      <w:proofErr w:type="spellEnd"/>
      <w:r>
        <w:t xml:space="preserve"> and </w:t>
      </w:r>
      <w:proofErr w:type="spellStart"/>
      <w:r>
        <w:t>Fatemi</w:t>
      </w:r>
      <w:proofErr w:type="spellEnd"/>
      <w:r>
        <w:t xml:space="preserve"> </w:t>
      </w:r>
      <w:r>
        <w:fldChar w:fldCharType="begin" w:fldLock="1"/>
      </w:r>
      <w:r>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fldChar w:fldCharType="separate"/>
      </w:r>
      <w:r w:rsidRPr="00D924BB">
        <w:rPr>
          <w:noProof/>
        </w:rPr>
        <w:t>[38]</w:t>
      </w:r>
      <w:r>
        <w:fldChar w:fldCharType="end"/>
      </w:r>
      <w:r>
        <w:t xml:space="preserve"> and </w:t>
      </w:r>
      <w:proofErr w:type="spellStart"/>
      <w:r>
        <w:t>Thwe</w:t>
      </w:r>
      <w:proofErr w:type="spellEnd"/>
      <w:r>
        <w:t xml:space="preserve"> and Liao </w:t>
      </w:r>
      <w:r>
        <w:fldChar w:fldCharType="begin" w:fldLock="1"/>
      </w:r>
      <w:r w:rsidR="00430285">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fldChar w:fldCharType="separate"/>
      </w:r>
      <w:r w:rsidR="004146D2" w:rsidRPr="004146D2">
        <w:rPr>
          <w:noProof/>
        </w:rPr>
        <w:t>[154]</w:t>
      </w:r>
      <w:r>
        <w:fldChar w:fldCharType="end"/>
      </w:r>
      <w:r w:rsidR="009D4B3D">
        <w:t xml:space="preserve"> are</w:t>
      </w:r>
      <w:r>
        <w:t xml:space="preserve"> used for validation. Both data supplied transient and saturation elastic modulus and absorption data until saturation. The absorption data is used to recover the 1DH</w:t>
      </w:r>
      <w:r w:rsidR="009D4B3D">
        <w:t>DM absorption parameters which are</w:t>
      </w:r>
      <w:r>
        <w:t xml:space="preserve"> used to predict the tensile modulus change in time. The tensile modulus model effectively predicted the transient elastic modulus of all material systems using only dry and saturation level elastic modulus and 1DHDM absorption parameters.</w:t>
      </w:r>
    </w:p>
    <w:p w14:paraId="7F46204D" w14:textId="74FD1BA6" w:rsidR="00B63058" w:rsidRDefault="00B63058" w:rsidP="00B63058">
      <w:r>
        <w:lastRenderedPageBreak/>
        <w:t>Similarly, to investigate the capabilities of flexural modulus model, absorption data</w:t>
      </w:r>
      <w:r w:rsidR="008E230D">
        <w:t>,</w:t>
      </w:r>
      <w:r>
        <w:t xml:space="preserve"> and flexural modulus of Nylon 6 </w:t>
      </w:r>
      <w:r>
        <w:fldChar w:fldCharType="begin" w:fldLock="1"/>
      </w:r>
      <w:r w:rsidR="00430285">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07f32166-9881-44a1-9e28-df3d5522d222"]}],"mendeley":{"formattedCitation":"[4]","plainTextFormattedCitation":"[4]","previouslyFormattedCitation":"[12]"},"properties":{"noteIndex":0},"schema":"https://github.com/citation-style-language/schema/raw/master/csl-citation.json"}</w:instrText>
      </w:r>
      <w:r>
        <w:fldChar w:fldCharType="separate"/>
      </w:r>
      <w:r w:rsidR="00430285" w:rsidRPr="00430285">
        <w:rPr>
          <w:noProof/>
        </w:rPr>
        <w:t>[4]</w:t>
      </w:r>
      <w:r>
        <w:fldChar w:fldCharType="end"/>
      </w:r>
      <w:r>
        <w:t xml:space="preserve"> is used. The flexural modulus model also successfully predicted the transient effective flexural modulus of Nylon 6 during the moisture absorption process. It should be noted here that while Kagan et al. </w:t>
      </w:r>
      <w:r>
        <w:fldChar w:fldCharType="begin" w:fldLock="1"/>
      </w:r>
      <w:r w:rsidR="00430285">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07f32166-9881-44a1-9e28-df3d5522d222"]}],"mendeley":{"formattedCitation":"[4]","plainTextFormattedCitation":"[4]","previouslyFormattedCitation":"[12]"},"properties":{"noteIndex":0},"schema":"https://github.com/citation-style-language/schema/raw/master/csl-citation.json"}</w:instrText>
      </w:r>
      <w:r>
        <w:fldChar w:fldCharType="separate"/>
      </w:r>
      <w:r w:rsidR="00430285" w:rsidRPr="00430285">
        <w:rPr>
          <w:noProof/>
        </w:rPr>
        <w:t>[4]</w:t>
      </w:r>
      <w:r>
        <w:fldChar w:fldCharType="end"/>
      </w:r>
      <w:r>
        <w:t xml:space="preserve"> tested the Nylon 6 in 5 different environmental conditions, only one set of moisture and flexural test data is used for validation purposes because only the absorption tests at 70</w:t>
      </w:r>
      <w:r w:rsidRPr="00145FCF">
        <w:rPr>
          <w:rFonts w:ascii="Cambria Math" w:hAnsi="Cambria Math" w:cs="Cambria Math"/>
          <w:szCs w:val="24"/>
        </w:rPr>
        <w:t>℃</w:t>
      </w:r>
      <w:r w:rsidRPr="005A3E52">
        <w:rPr>
          <w:rFonts w:cs="Times New Roman"/>
          <w:szCs w:val="24"/>
        </w:rPr>
        <w:t xml:space="preserve"> (</w:t>
      </w:r>
      <w:r>
        <w:rPr>
          <w:rFonts w:cs="Times New Roman"/>
          <w:szCs w:val="24"/>
        </w:rPr>
        <w:t>158</w:t>
      </w:r>
      <w:r w:rsidRPr="00145FCF">
        <w:rPr>
          <w:rFonts w:ascii="Cambria Math" w:hAnsi="Cambria Math" w:cs="Cambria Math"/>
          <w:szCs w:val="24"/>
        </w:rPr>
        <w:t>℉</w:t>
      </w:r>
      <w:r>
        <w:rPr>
          <w:rFonts w:cs="Times New Roman"/>
          <w:szCs w:val="24"/>
        </w:rPr>
        <w:t>)</w:t>
      </w:r>
      <w:r>
        <w:t xml:space="preserve"> and 62%</w:t>
      </w:r>
      <w:r w:rsidR="000D5F7C">
        <w:t xml:space="preserve"> </w:t>
      </w:r>
      <w:r>
        <w:t>RH were saturated.</w:t>
      </w:r>
    </w:p>
    <w:p w14:paraId="40521CEA" w14:textId="6A1D1387" w:rsidR="00B63058" w:rsidRDefault="00B63058" w:rsidP="00B63058">
      <w:r>
        <w:t>In conclusion, elastic modulus has been experimentally shown to have an inverse linear trend with the moisture concentration. The proposed elastic modulus model has been proven valid for three separate cases. To have a complete understanding on the moisture induced property loss, other types of mechanical properties such as tensile strength, shear strength</w:t>
      </w:r>
      <w:r w:rsidR="008E230D">
        <w:t>,</w:t>
      </w:r>
      <w:r>
        <w:t xml:space="preserve"> and viscoelastic properties are suggested to be investigated in the future. </w:t>
      </w:r>
    </w:p>
    <w:p w14:paraId="292C0910" w14:textId="77777777" w:rsidR="00B63058" w:rsidRDefault="00B63058" w:rsidP="00B63058">
      <w:pPr>
        <w:sectPr w:rsidR="00B63058" w:rsidSect="008D14C2">
          <w:pgSz w:w="12240" w:h="15840"/>
          <w:pgMar w:top="1440" w:right="1440" w:bottom="1440" w:left="2160" w:header="720" w:footer="720" w:gutter="0"/>
          <w:cols w:space="720"/>
          <w:docGrid w:linePitch="360"/>
        </w:sectPr>
      </w:pPr>
    </w:p>
    <w:p w14:paraId="30E83903" w14:textId="2B13A2EB" w:rsidR="00D02795" w:rsidRDefault="00D02795" w:rsidP="00C730E9">
      <w:pPr>
        <w:pStyle w:val="Heading1"/>
      </w:pPr>
      <w:bookmarkStart w:id="354" w:name="_Toc531943795"/>
      <w:r>
        <w:lastRenderedPageBreak/>
        <w:t>Concluding Remarks</w:t>
      </w:r>
      <w:bookmarkEnd w:id="354"/>
    </w:p>
    <w:p w14:paraId="3121A624" w14:textId="3D4CDB7F" w:rsidR="00D87660" w:rsidRDefault="00D87660" w:rsidP="008C52C1">
      <w:r>
        <w:t xml:space="preserve">All </w:t>
      </w:r>
      <w:r w:rsidR="00BB2CD1">
        <w:t>liquid and gas molecules exhibit</w:t>
      </w:r>
      <w:r>
        <w:t xml:space="preserve"> molecular diffusion above the absolute zero temperature. The rate </w:t>
      </w:r>
      <w:r w:rsidR="00BB2CD1">
        <w:t xml:space="preserve">and extent </w:t>
      </w:r>
      <w:r>
        <w:t>of diffusion depend on</w:t>
      </w:r>
      <w:r w:rsidR="00EF2FC7" w:rsidRPr="00EF2FC7">
        <w:t xml:space="preserve"> </w:t>
      </w:r>
      <w:r w:rsidR="00EF2FC7">
        <w:t>the environment and</w:t>
      </w:r>
      <w:r>
        <w:t xml:space="preserve"> the molecular structure </w:t>
      </w:r>
      <w:r w:rsidR="00BB2CD1">
        <w:t>as well as the</w:t>
      </w:r>
      <w:r>
        <w:t xml:space="preserve"> properties of both the penet</w:t>
      </w:r>
      <w:r w:rsidR="00EF2FC7">
        <w:t>rant and the medium</w:t>
      </w:r>
      <w:r>
        <w:t>. Polymers are known for their susceptibility to moisture ingress in high</w:t>
      </w:r>
      <w:r w:rsidR="00BB2CD1">
        <w:t>ly</w:t>
      </w:r>
      <w:r>
        <w:t xml:space="preserve"> humid environments. </w:t>
      </w:r>
    </w:p>
    <w:p w14:paraId="4EC80DBD" w14:textId="3C4F35D8" w:rsidR="008C52C1" w:rsidRDefault="00407B39" w:rsidP="008C52C1">
      <w:pPr>
        <w:rPr>
          <w:szCs w:val="24"/>
        </w:rPr>
      </w:pPr>
      <w:r>
        <w:rPr>
          <w:szCs w:val="24"/>
        </w:rPr>
        <w:t>A</w:t>
      </w:r>
      <w:r w:rsidRPr="00494575">
        <w:rPr>
          <w:szCs w:val="24"/>
        </w:rPr>
        <w:t xml:space="preserve">bsorption of </w:t>
      </w:r>
      <w:r w:rsidR="00BB2CD1">
        <w:rPr>
          <w:szCs w:val="24"/>
        </w:rPr>
        <w:t xml:space="preserve">a </w:t>
      </w:r>
      <w:r w:rsidRPr="00494575">
        <w:rPr>
          <w:szCs w:val="24"/>
        </w:rPr>
        <w:t xml:space="preserve">liquid </w:t>
      </w:r>
      <w:r w:rsidR="00BB2CD1">
        <w:rPr>
          <w:szCs w:val="24"/>
        </w:rPr>
        <w:t>by</w:t>
      </w:r>
      <w:r w:rsidRPr="00494575">
        <w:rPr>
          <w:szCs w:val="24"/>
        </w:rPr>
        <w:t xml:space="preserve"> polymers and </w:t>
      </w:r>
      <w:r>
        <w:rPr>
          <w:szCs w:val="24"/>
        </w:rPr>
        <w:t xml:space="preserve">polymeric </w:t>
      </w:r>
      <w:r w:rsidRPr="00494575">
        <w:rPr>
          <w:szCs w:val="24"/>
        </w:rPr>
        <w:t xml:space="preserve">composites causes </w:t>
      </w:r>
      <w:r>
        <w:rPr>
          <w:szCs w:val="24"/>
        </w:rPr>
        <w:t>changes in the microstructure</w:t>
      </w:r>
      <w:r w:rsidRPr="00494575">
        <w:rPr>
          <w:szCs w:val="24"/>
        </w:rPr>
        <w:t xml:space="preserve"> </w:t>
      </w:r>
      <w:r>
        <w:rPr>
          <w:szCs w:val="24"/>
        </w:rPr>
        <w:t xml:space="preserve">resulting </w:t>
      </w:r>
      <w:r w:rsidR="008C52C1">
        <w:rPr>
          <w:szCs w:val="24"/>
        </w:rPr>
        <w:t>in different type and level of degradation</w:t>
      </w:r>
      <w:r>
        <w:rPr>
          <w:szCs w:val="24"/>
        </w:rPr>
        <w:t xml:space="preserve"> such as</w:t>
      </w:r>
      <w:r w:rsidR="008C52C1">
        <w:rPr>
          <w:szCs w:val="24"/>
        </w:rPr>
        <w:t xml:space="preserve"> </w:t>
      </w:r>
      <w:r w:rsidR="008C52C1" w:rsidRPr="00DD5DDA">
        <w:rPr>
          <w:szCs w:val="24"/>
        </w:rPr>
        <w:t>swelling</w:t>
      </w:r>
      <w:r>
        <w:rPr>
          <w:szCs w:val="24"/>
        </w:rPr>
        <w:t>,</w:t>
      </w:r>
      <w:r w:rsidR="008C52C1" w:rsidRPr="00DD5DDA">
        <w:rPr>
          <w:szCs w:val="24"/>
        </w:rPr>
        <w:t xml:space="preserve"> residual stresses</w:t>
      </w:r>
      <w:r w:rsidR="005F0486">
        <w:rPr>
          <w:szCs w:val="24"/>
        </w:rPr>
        <w:t>,</w:t>
      </w:r>
      <w:r w:rsidRPr="00407B39">
        <w:rPr>
          <w:szCs w:val="24"/>
        </w:rPr>
        <w:t xml:space="preserve"> </w:t>
      </w:r>
      <w:r>
        <w:rPr>
          <w:szCs w:val="24"/>
        </w:rPr>
        <w:t>and plasticization of the polymer</w:t>
      </w:r>
      <w:r w:rsidR="008C52C1">
        <w:t>.</w:t>
      </w:r>
      <w:r w:rsidR="008C52C1" w:rsidRPr="008C52C1">
        <w:rPr>
          <w:szCs w:val="24"/>
        </w:rPr>
        <w:t xml:space="preserve"> </w:t>
      </w:r>
      <w:r w:rsidR="008C52C1" w:rsidRPr="00494575">
        <w:rPr>
          <w:szCs w:val="24"/>
        </w:rPr>
        <w:t xml:space="preserve">These </w:t>
      </w:r>
      <w:r>
        <w:rPr>
          <w:szCs w:val="24"/>
        </w:rPr>
        <w:t>damages lead to</w:t>
      </w:r>
      <w:r w:rsidR="008C52C1" w:rsidRPr="00494575">
        <w:rPr>
          <w:szCs w:val="24"/>
        </w:rPr>
        <w:t xml:space="preserve"> </w:t>
      </w:r>
      <w:r>
        <w:rPr>
          <w:szCs w:val="24"/>
        </w:rPr>
        <w:t xml:space="preserve">electrical, optical, thermal and </w:t>
      </w:r>
      <w:r w:rsidR="008C52C1" w:rsidRPr="00494575">
        <w:rPr>
          <w:szCs w:val="24"/>
        </w:rPr>
        <w:t>mechanical damages</w:t>
      </w:r>
      <w:r>
        <w:rPr>
          <w:szCs w:val="24"/>
        </w:rPr>
        <w:t>,</w:t>
      </w:r>
      <w:r w:rsidR="008C52C1" w:rsidRPr="00494575">
        <w:rPr>
          <w:szCs w:val="24"/>
        </w:rPr>
        <w:t xml:space="preserve"> an</w:t>
      </w:r>
      <w:r>
        <w:rPr>
          <w:szCs w:val="24"/>
        </w:rPr>
        <w:t xml:space="preserve">d property loss in the material which </w:t>
      </w:r>
      <w:r w:rsidR="008C52C1" w:rsidRPr="00494575">
        <w:rPr>
          <w:szCs w:val="24"/>
        </w:rPr>
        <w:t>limit</w:t>
      </w:r>
      <w:r w:rsidR="008C52C1">
        <w:rPr>
          <w:szCs w:val="24"/>
        </w:rPr>
        <w:t>s</w:t>
      </w:r>
      <w:r w:rsidR="00A4620B">
        <w:rPr>
          <w:szCs w:val="24"/>
        </w:rPr>
        <w:t xml:space="preserve"> the design and use of </w:t>
      </w:r>
      <w:r w:rsidR="00A00068">
        <w:rPr>
          <w:szCs w:val="24"/>
        </w:rPr>
        <w:t xml:space="preserve">polymers and polymeric </w:t>
      </w:r>
      <w:r w:rsidR="008C52C1" w:rsidRPr="00494575">
        <w:rPr>
          <w:szCs w:val="24"/>
        </w:rPr>
        <w:t>composites in environmentally harsh conditions</w:t>
      </w:r>
      <w:r w:rsidR="008C52C1">
        <w:rPr>
          <w:szCs w:val="24"/>
        </w:rPr>
        <w:t>.</w:t>
      </w:r>
    </w:p>
    <w:p w14:paraId="3884532D" w14:textId="762CEBCF" w:rsidR="00A00068" w:rsidRDefault="008C52C1" w:rsidP="00CE28D8">
      <w:r w:rsidRPr="00494575">
        <w:t xml:space="preserve">The one-dimensional Fickian diffusion model is </w:t>
      </w:r>
      <w:r w:rsidR="00A00068">
        <w:t xml:space="preserve">the </w:t>
      </w:r>
      <w:r w:rsidRPr="00494575">
        <w:t>most</w:t>
      </w:r>
      <w:r w:rsidR="00A00068">
        <w:t xml:space="preserve"> fundamental model </w:t>
      </w:r>
      <w:r w:rsidR="00BB2CD1">
        <w:t xml:space="preserve">which is often </w:t>
      </w:r>
      <w:r w:rsidRPr="00494575">
        <w:t xml:space="preserve">used for predicting absorption behavior </w:t>
      </w:r>
      <w:r w:rsidR="00A00068">
        <w:t xml:space="preserve">assuming </w:t>
      </w:r>
      <w:r w:rsidR="00BB2CD1">
        <w:t xml:space="preserve">reversible, </w:t>
      </w:r>
      <w:r w:rsidR="00A00068">
        <w:t xml:space="preserve">random molecular motion of diffusion particles from high concentration region to low one. Even though many researchers used the Fickian diffusion model </w:t>
      </w:r>
      <w:r w:rsidR="00A00068" w:rsidRPr="00494575">
        <w:t>due to its simplicity an</w:t>
      </w:r>
      <w:r w:rsidR="00A00068">
        <w:t>d mathematical tractability, s</w:t>
      </w:r>
      <w:r w:rsidR="00A00068" w:rsidRPr="00494575">
        <w:t>everal researchers</w:t>
      </w:r>
      <w:r w:rsidR="00A00068">
        <w:t>,</w:t>
      </w:r>
      <w:r w:rsidR="00A00068" w:rsidRPr="00A00068">
        <w:t xml:space="preserve"> </w:t>
      </w:r>
      <w:r w:rsidR="00A00068">
        <w:t>r</w:t>
      </w:r>
      <w:r w:rsidR="00A00068" w:rsidRPr="00494575">
        <w:t xml:space="preserve">ecognizing the limitations of </w:t>
      </w:r>
      <w:r w:rsidR="00BB2CD1">
        <w:t xml:space="preserve">the </w:t>
      </w:r>
      <w:r w:rsidR="00A00068" w:rsidRPr="00494575">
        <w:t>Fickian theory</w:t>
      </w:r>
      <w:r w:rsidR="00A00068">
        <w:t>,</w:t>
      </w:r>
      <w:r w:rsidR="00A00068" w:rsidRPr="00494575">
        <w:t xml:space="preserve"> have proposed </w:t>
      </w:r>
      <w:r w:rsidR="00BB2CD1">
        <w:t>more realistic</w:t>
      </w:r>
      <w:r w:rsidR="00A00068" w:rsidRPr="00494575">
        <w:t xml:space="preserve"> models for moisture absorption, in order to account for </w:t>
      </w:r>
      <w:r w:rsidR="00A00068">
        <w:t>anisotropy, edge effects, and polymer-absorbent affinity</w:t>
      </w:r>
      <w:r w:rsidR="00A00068" w:rsidRPr="00494575">
        <w:t>.</w:t>
      </w:r>
    </w:p>
    <w:p w14:paraId="209632F4" w14:textId="4776B960" w:rsidR="00584F2D" w:rsidRDefault="00BB2CD1" w:rsidP="00742148">
      <w:pPr>
        <w:rPr>
          <w:rFonts w:cs="Times New Roman"/>
        </w:rPr>
      </w:pPr>
      <w:r>
        <w:t>Among the several non-Fickian models, o</w:t>
      </w:r>
      <w:r w:rsidR="00742148">
        <w:t xml:space="preserve">ne-dimensional hindered diffusion model predicts the absorption behavior considering the chemical interaction between the polymer and the penetrant in addition to diffusion of penetrant through </w:t>
      </w:r>
      <w:r w:rsidR="00742148" w:rsidRPr="00494575">
        <w:t>the interstice</w:t>
      </w:r>
      <w:r w:rsidR="00742148">
        <w:t xml:space="preserve">. The model </w:t>
      </w:r>
      <w:r w:rsidR="000D4EA4">
        <w:t xml:space="preserve">differentiates </w:t>
      </w:r>
      <w:r w:rsidR="00742148">
        <w:t xml:space="preserve">the absorbed penetrant as either </w:t>
      </w:r>
      <w:r w:rsidR="00742148" w:rsidRPr="002B06F5">
        <w:rPr>
          <w:rFonts w:cs="Times New Roman"/>
        </w:rPr>
        <w:t xml:space="preserve">unbound molecules </w:t>
      </w:r>
      <w:r w:rsidR="00742148">
        <w:rPr>
          <w:rFonts w:cs="Times New Roman"/>
        </w:rPr>
        <w:t xml:space="preserve">or </w:t>
      </w:r>
      <w:r w:rsidR="00742148" w:rsidRPr="002B06F5">
        <w:rPr>
          <w:rFonts w:cs="Times New Roman"/>
        </w:rPr>
        <w:t>bound molecules</w:t>
      </w:r>
      <w:r w:rsidR="00742148" w:rsidRPr="00742148">
        <w:rPr>
          <w:rFonts w:cs="Times New Roman"/>
        </w:rPr>
        <w:t>. Coupling</w:t>
      </w:r>
      <w:r w:rsidR="00742148">
        <w:t xml:space="preserve"> of polymer and the penetrant due to the intermolecular forces between them </w:t>
      </w:r>
      <w:r w:rsidR="00742148">
        <w:lastRenderedPageBreak/>
        <w:t>results in bound, or immobile molecule</w:t>
      </w:r>
      <w:r w:rsidR="000D4EA4">
        <w:t>s</w:t>
      </w:r>
      <w:r w:rsidR="00742148">
        <w:t xml:space="preserve"> which are no longer part of ongoing diffusion. M</w:t>
      </w:r>
      <w:r w:rsidR="008C52C1" w:rsidRPr="00494575">
        <w:t>olecules that are free to move through the interstice are often called unbound, or mobile</w:t>
      </w:r>
      <w:r w:rsidR="008C52C1">
        <w:t>.</w:t>
      </w:r>
      <w:r w:rsidR="00584F2D">
        <w:t xml:space="preserve"> M</w:t>
      </w:r>
      <w:r w:rsidR="00584F2D">
        <w:rPr>
          <w:rFonts w:cs="Times New Roman"/>
        </w:rPr>
        <w:t>olecules diffuse into the material as unbound can either remain as unbound molecule or interact with polymer chain and become bound. Likewise, bound molecule</w:t>
      </w:r>
      <w:r w:rsidR="000D4EA4">
        <w:rPr>
          <w:rFonts w:cs="Times New Roman"/>
        </w:rPr>
        <w:t>s</w:t>
      </w:r>
      <w:r w:rsidR="00584F2D">
        <w:rPr>
          <w:rFonts w:cs="Times New Roman"/>
        </w:rPr>
        <w:t xml:space="preserve"> can transform back to unbound</w:t>
      </w:r>
      <w:r w:rsidR="000D4EA4">
        <w:rPr>
          <w:rFonts w:cs="Times New Roman"/>
        </w:rPr>
        <w:t xml:space="preserve"> ones</w:t>
      </w:r>
      <w:r w:rsidR="00584F2D">
        <w:rPr>
          <w:rFonts w:cs="Times New Roman"/>
        </w:rPr>
        <w:t xml:space="preserve">. The rate of exchange between the unbound and bound </w:t>
      </w:r>
      <w:r w:rsidR="000D4EA4">
        <w:rPr>
          <w:rFonts w:cs="Times New Roman"/>
        </w:rPr>
        <w:t xml:space="preserve">moisture </w:t>
      </w:r>
      <w:r w:rsidR="00584F2D">
        <w:rPr>
          <w:rFonts w:cs="Times New Roman"/>
        </w:rPr>
        <w:t>governs the hindrance in reaching the dynamic equilibrium and defined as hindrance coefficient, µ.</w:t>
      </w:r>
    </w:p>
    <w:p w14:paraId="58C734F9" w14:textId="554C269F" w:rsidR="006C7112" w:rsidRDefault="00E60CF4" w:rsidP="00E53EFD">
      <w:r>
        <w:t xml:space="preserve">Although </w:t>
      </w:r>
      <w:r w:rsidR="000D4EA4">
        <w:t xml:space="preserve">the amount of </w:t>
      </w:r>
      <w:r>
        <w:t xml:space="preserve">bound </w:t>
      </w:r>
      <w:r w:rsidR="000D4EA4">
        <w:t>moisture</w:t>
      </w:r>
      <w:r>
        <w:t xml:space="preserve"> is defined by the polymer-penetrant affinity, additive/</w:t>
      </w:r>
      <w:r w:rsidR="000D4EA4">
        <w:t xml:space="preserve">fiber and </w:t>
      </w:r>
      <w:r>
        <w:t xml:space="preserve">matrix interface and/or voids and pores may </w:t>
      </w:r>
      <w:r w:rsidRPr="00E60CF4">
        <w:t xml:space="preserve">also be considered as </w:t>
      </w:r>
      <w:r>
        <w:t>additional storage sites for</w:t>
      </w:r>
      <w:r w:rsidRPr="00E60CF4">
        <w:t xml:space="preserve"> bound, immobile m</w:t>
      </w:r>
      <w:r>
        <w:t>olecules</w:t>
      </w:r>
      <w:r w:rsidRPr="00E60CF4">
        <w:t xml:space="preserve"> from a phenomenological perspective.</w:t>
      </w:r>
      <w:r>
        <w:t xml:space="preserve"> </w:t>
      </w:r>
      <w:r w:rsidR="006C7112">
        <w:t xml:space="preserve">To understand the change in absorption kinetics due to micro/nano additives and/or process induced voids and pores, </w:t>
      </w:r>
      <w:r w:rsidR="006C7112" w:rsidRPr="006C7112">
        <w:t>experimental identification of model specific set of material properties, generally referred to as diffusion or absorption paramete</w:t>
      </w:r>
      <w:r w:rsidR="006C7112">
        <w:t xml:space="preserve">rs, </w:t>
      </w:r>
      <w:r w:rsidR="00984B44">
        <w:t xml:space="preserve">are </w:t>
      </w:r>
      <w:r w:rsidR="006C7112">
        <w:t xml:space="preserve">needed to be </w:t>
      </w:r>
      <w:r w:rsidR="000D4EA4">
        <w:t>determined</w:t>
      </w:r>
      <w:r w:rsidR="006C7112">
        <w:t>. The absorption pa</w:t>
      </w:r>
      <w:r w:rsidR="00EF2FC7">
        <w:t>rameters can be</w:t>
      </w:r>
      <w:r w:rsidR="006C7112">
        <w:t xml:space="preserve"> </w:t>
      </w:r>
      <w:r w:rsidR="00EF2FC7">
        <w:t xml:space="preserve">conveniently </w:t>
      </w:r>
      <w:r w:rsidR="006C7112">
        <w:t xml:space="preserve">recovered by minimizing the error between the model </w:t>
      </w:r>
      <w:r w:rsidR="000D4EA4">
        <w:t xml:space="preserve">predictions </w:t>
      </w:r>
      <w:r w:rsidR="006C7112">
        <w:t xml:space="preserve">and experimental data using </w:t>
      </w:r>
      <w:r w:rsidR="000D4EA4">
        <w:t xml:space="preserve">the </w:t>
      </w:r>
      <w:r w:rsidR="006C7112">
        <w:t xml:space="preserve">least square error function. Steepest descent gradient optimization is determined to be a </w:t>
      </w:r>
      <w:r w:rsidR="000D4EA4">
        <w:t>convenient</w:t>
      </w:r>
      <w:r w:rsidR="006C7112">
        <w:t xml:space="preserve"> method to minimize the error</w:t>
      </w:r>
      <w:r w:rsidR="000D4EA4">
        <w:t>,</w:t>
      </w:r>
      <w:r w:rsidR="006C7112">
        <w:t xml:space="preserve"> while recovering the model specific set of absorpt</w:t>
      </w:r>
      <w:r w:rsidR="0084615F">
        <w:t>ion parameters simultaneously.</w:t>
      </w:r>
    </w:p>
    <w:p w14:paraId="22A4D325" w14:textId="7646FA3B" w:rsidR="00E53EFD" w:rsidRDefault="00E53EFD" w:rsidP="006C7112">
      <w:r>
        <w:t xml:space="preserve">The recovery of </w:t>
      </w:r>
      <w:r w:rsidR="00F73B65">
        <w:t xml:space="preserve">one-dimensional hindered diffusion model </w:t>
      </w:r>
      <w:r>
        <w:t>absorption parameters of I.30E nanoclay/DGEBA epoxy and I.30E nanoclay/DGEBF epoxy</w:t>
      </w:r>
      <w:r w:rsidR="00F73B65">
        <w:t xml:space="preserve"> </w:t>
      </w:r>
      <w:r>
        <w:t xml:space="preserve">(EPON 862) nanocomposites, and APS treated glass sphere/DGEBA epoxy and </w:t>
      </w:r>
      <w:proofErr w:type="spellStart"/>
      <w:r>
        <w:t>nBS</w:t>
      </w:r>
      <w:proofErr w:type="spellEnd"/>
      <w:r>
        <w:t xml:space="preserve"> treated glass sphere/DGEBA epoxy micro additive composites yielded changes in absorption kinetics of each composite due to additive content.</w:t>
      </w:r>
      <w:r w:rsidR="00F73B65">
        <w:t xml:space="preserve"> </w:t>
      </w:r>
      <w:r w:rsidRPr="00E53EFD">
        <w:t>Addition of fillers</w:t>
      </w:r>
      <w:r w:rsidR="000D4EA4">
        <w:t xml:space="preserve"> </w:t>
      </w:r>
      <w:r w:rsidRPr="00E53EFD">
        <w:t xml:space="preserve">in thermosetting polymers is </w:t>
      </w:r>
      <w:r w:rsidRPr="00E53EFD">
        <w:lastRenderedPageBreak/>
        <w:t xml:space="preserve">a common practice </w:t>
      </w:r>
      <w:r w:rsidR="00584F2D" w:rsidRPr="00E53EFD">
        <w:t xml:space="preserve">to help with </w:t>
      </w:r>
      <w:r w:rsidR="000D4EA4">
        <w:t xml:space="preserve">the </w:t>
      </w:r>
      <w:r w:rsidR="00584F2D" w:rsidRPr="00E53EFD">
        <w:t>cost, mechanical, and/or other property enhancement.</w:t>
      </w:r>
      <w:r w:rsidR="00984B44">
        <w:t xml:space="preserve"> While the additives in</w:t>
      </w:r>
      <w:r w:rsidR="00584F2D">
        <w:t xml:space="preserve"> polymers enhance the desired property, they would change the moisture absorption kinetics of the polymer</w:t>
      </w:r>
      <w:r w:rsidR="000D4EA4">
        <w:t xml:space="preserve"> at the macroscale</w:t>
      </w:r>
      <w:r w:rsidR="00584F2D">
        <w:t>.</w:t>
      </w:r>
      <w:r w:rsidR="00F73B65">
        <w:t xml:space="preserve"> </w:t>
      </w:r>
    </w:p>
    <w:p w14:paraId="16BE870B" w14:textId="2A31B06A" w:rsidR="00584F2D" w:rsidRDefault="00584F2D" w:rsidP="006C7112">
      <w:r w:rsidRPr="008A555B">
        <w:t>Nano</w:t>
      </w:r>
      <w:r w:rsidR="00F73B65">
        <w:t>c</w:t>
      </w:r>
      <w:r w:rsidR="00272945">
        <w:t>lay or</w:t>
      </w:r>
      <w:r w:rsidR="00F73B65">
        <w:t xml:space="preserve"> glass sphere</w:t>
      </w:r>
      <w:r w:rsidRPr="008A555B">
        <w:t xml:space="preserve"> addition in epoxy result</w:t>
      </w:r>
      <w:r w:rsidR="00F73B65">
        <w:t>ed</w:t>
      </w:r>
      <w:r w:rsidRPr="008A555B">
        <w:t xml:space="preserve"> in a linear </w:t>
      </w:r>
      <w:r w:rsidR="00F73B65">
        <w:t xml:space="preserve">decrease in diffusion coefficient with respect to the additive content following the rule of mixture. Both I.30E nanoclay and glass spheres are known to be impermeable. Impermeable additives </w:t>
      </w:r>
      <w:r w:rsidR="000D4EA4">
        <w:t xml:space="preserve">do not </w:t>
      </w:r>
      <w:r w:rsidR="00F73B65">
        <w:t>absorb water</w:t>
      </w:r>
      <w:r w:rsidR="000D4EA4">
        <w:t>, thus</w:t>
      </w:r>
      <w:r w:rsidR="00F73B65">
        <w:t xml:space="preserve"> setting the diffusion coefficient</w:t>
      </w:r>
      <w:r w:rsidR="000D4EA4">
        <w:t xml:space="preserve"> of these additives to </w:t>
      </w:r>
      <w:r w:rsidR="00F73B65">
        <w:t>zero. Nonetheless, the additives occupy space in the polymer matrix and create interface</w:t>
      </w:r>
      <w:r w:rsidR="000D4EA4">
        <w:t xml:space="preserve"> at which the moisture can be stored</w:t>
      </w:r>
      <w:r w:rsidR="00F73B65">
        <w:t>. The decrease in the polymer content per unit volume and increase in the interface density a</w:t>
      </w:r>
      <w:r w:rsidR="000D117B">
        <w:t>ffect</w:t>
      </w:r>
      <w:r w:rsidR="00F73B65">
        <w:t xml:space="preserve"> the absorption kinetics.</w:t>
      </w:r>
    </w:p>
    <w:p w14:paraId="1DE7EDA7" w14:textId="1BFAAC7C" w:rsidR="00272945" w:rsidRDefault="00272945" w:rsidP="006C7112">
      <w:r>
        <w:t>Increasing nanoclay or glass sphere content resulted in a linear decrease in maximum moisture content of aforementioned composites. Maximum moisture content consist</w:t>
      </w:r>
      <w:r w:rsidR="00984B44">
        <w:t>s</w:t>
      </w:r>
      <w:r>
        <w:t xml:space="preserve"> of unbound and bound maximum moisture content. Although there is a continuous transformation between the unbound and bound moisture, these two parameters are independent of each other. Thus, to understand the effect of additives on the maximum moisture content, its constituents are investigated.</w:t>
      </w:r>
    </w:p>
    <w:p w14:paraId="265B0FD7" w14:textId="7AFA8BFA" w:rsidR="00272945" w:rsidRDefault="0074711D" w:rsidP="006C7112">
      <w:r>
        <w:t xml:space="preserve">Increasing nanoclay or glass content showed a linearly decreasing trend in the unbound maximum moisture content. As the impermeable additive content increases, the amount of epoxy in a unit volume, “free volume”, decreases. Since the unbound moisture is defined to be absorbed only by the diffusion, the decrease in free volume would definitely lead to less maximum unbound moisture content. In this regard, same additive in the same epoxy system should lead to identical decrease the maximum unbound moisture content. </w:t>
      </w:r>
      <w:r w:rsidR="00171DD0">
        <w:t xml:space="preserve">Both APS treated glass sphere/DGEBA epoxy and </w:t>
      </w:r>
      <w:proofErr w:type="spellStart"/>
      <w:r w:rsidR="00171DD0">
        <w:t>nBS</w:t>
      </w:r>
      <w:proofErr w:type="spellEnd"/>
      <w:r w:rsidR="00171DD0">
        <w:t xml:space="preserve"> treated glass sphere/DGEBA epoxy </w:t>
      </w:r>
      <w:r w:rsidR="00171DD0">
        <w:lastRenderedPageBreak/>
        <w:t>showed identical decrease in the unbound maximum moisture content with respect to the glass content since both composites ha</w:t>
      </w:r>
      <w:r w:rsidR="00E4576A">
        <w:t>ve</w:t>
      </w:r>
      <w:r w:rsidR="00171DD0">
        <w:t xml:space="preserve"> the same matrix and glass spheres size</w:t>
      </w:r>
      <w:r w:rsidR="00EF2FC7">
        <w:t>.</w:t>
      </w:r>
      <w:r w:rsidR="00171DD0">
        <w:t xml:space="preserve"> </w:t>
      </w:r>
      <w:r w:rsidR="00EF2FC7">
        <w:t>T</w:t>
      </w:r>
      <w:r w:rsidR="00171DD0">
        <w:t xml:space="preserve">he surface treatments on them </w:t>
      </w:r>
      <w:r w:rsidR="00E4576A">
        <w:t>are</w:t>
      </w:r>
      <w:r w:rsidR="00171DD0">
        <w:t xml:space="preserve"> only affecting the interface properties. </w:t>
      </w:r>
    </w:p>
    <w:p w14:paraId="07F25D65" w14:textId="78D8EBC1" w:rsidR="00F73B65" w:rsidRDefault="00631CA4" w:rsidP="006C7112">
      <w:r>
        <w:t xml:space="preserve">Changes in bound maximum moisture content and hindrance coefficient are considered simultaneously since hindrance coefficient quantifies the anomalous absorption behavior due to bound moisture absorption. The effect of additive on the bound maximum moisture content and the hindrance coefficient demonstrated </w:t>
      </w:r>
      <w:r w:rsidR="00E4576A">
        <w:t>opposing</w:t>
      </w:r>
      <w:r>
        <w:t xml:space="preserve"> trends in different composites. </w:t>
      </w:r>
      <w:r w:rsidR="000D117B">
        <w:t xml:space="preserve">Increasing </w:t>
      </w:r>
      <w:r>
        <w:t>inclusion</w:t>
      </w:r>
      <w:r w:rsidR="000D117B">
        <w:t xml:space="preserve"> content resulted in a linear </w:t>
      </w:r>
      <w:r w:rsidR="00A43FFF">
        <w:t>decrease</w:t>
      </w:r>
      <w:r w:rsidR="000D117B">
        <w:t xml:space="preserve"> in the hindrance coefficient and the maximum bound moisture content in </w:t>
      </w:r>
      <w:r>
        <w:t>I.30E/</w:t>
      </w:r>
      <w:r w:rsidR="00A43FFF">
        <w:t>DGEBA</w:t>
      </w:r>
      <w:r w:rsidR="000D117B">
        <w:t xml:space="preserve"> epoxy whereas a linear </w:t>
      </w:r>
      <w:r w:rsidR="00A43FFF">
        <w:t>increase</w:t>
      </w:r>
      <w:r w:rsidR="000D117B">
        <w:t xml:space="preserve"> in </w:t>
      </w:r>
      <w:r>
        <w:t>I.30E/</w:t>
      </w:r>
      <w:r w:rsidR="000D117B">
        <w:t>DGEB</w:t>
      </w:r>
      <w:r w:rsidR="00A43FFF">
        <w:t>F</w:t>
      </w:r>
      <w:r w:rsidR="000D117B">
        <w:t xml:space="preserve"> epoxy</w:t>
      </w:r>
      <w:r>
        <w:t xml:space="preserve"> and both glass sphere/DGEBA epoxy composites</w:t>
      </w:r>
      <w:r w:rsidR="00272945">
        <w:t xml:space="preserve">. </w:t>
      </w:r>
      <w:r>
        <w:t xml:space="preserve">Moisture is known to be bound to the matrix, matrix/additive interface, and stored in voids or pores. </w:t>
      </w:r>
      <w:r w:rsidR="00486236">
        <w:t xml:space="preserve">Decrease in epoxy in unit volume by increasing additive content reduces the binding sites in the matrix. </w:t>
      </w:r>
      <w:r>
        <w:t>Depending on the surface chemistry of t</w:t>
      </w:r>
      <w:r w:rsidR="00486236">
        <w:t>he additive/matrix interface, moisture may or may not bind to the interface. The tradeoff between the diminishing matrix binding sites and increasing/decreasing interface binding sites would govern the trend of maximum bound moisture content and the hindrance coefficient.</w:t>
      </w:r>
    </w:p>
    <w:p w14:paraId="38A96287" w14:textId="0EA13A62" w:rsidR="00486236" w:rsidRDefault="00B217B7" w:rsidP="00486236">
      <w:pPr>
        <w:rPr>
          <w:rFonts w:cs="Times New Roman"/>
        </w:rPr>
      </w:pPr>
      <w:r>
        <w:t xml:space="preserve">One-dimensional hindered diffusion model is capable of </w:t>
      </w:r>
      <w:r w:rsidR="00E4576A">
        <w:t>identifying</w:t>
      </w:r>
      <w:r>
        <w:t xml:space="preserve"> the effects of additives and interface between the additive and the matrix but is not able to explain the change in absorption behavior due to different layers of polymers. </w:t>
      </w:r>
      <w:r w:rsidR="00E04F92">
        <w:t>Many polymers are subjected to layers of coatings to</w:t>
      </w:r>
      <w:r w:rsidR="00486236">
        <w:t xml:space="preserve"> </w:t>
      </w:r>
      <w:r w:rsidR="00486236" w:rsidRPr="00E04F92">
        <w:rPr>
          <w:rFonts w:cs="Times New Roman"/>
        </w:rPr>
        <w:t>improve quality and service life</w:t>
      </w:r>
      <w:r w:rsidR="00E04F92" w:rsidRPr="00E04F92">
        <w:rPr>
          <w:rFonts w:cs="Times New Roman"/>
        </w:rPr>
        <w:t>.</w:t>
      </w:r>
      <w:r w:rsidR="00E04F92">
        <w:rPr>
          <w:rFonts w:cs="Times New Roman"/>
        </w:rPr>
        <w:t xml:space="preserve"> </w:t>
      </w:r>
      <w:r>
        <w:rPr>
          <w:rFonts w:cs="Times New Roman"/>
        </w:rPr>
        <w:t xml:space="preserve">Thus, hindered diffusion model </w:t>
      </w:r>
      <w:r w:rsidR="00486236" w:rsidRPr="00B217B7">
        <w:rPr>
          <w:rFonts w:cs="Times New Roman"/>
        </w:rPr>
        <w:t>is modified to consider a continuous absorption with the discrete</w:t>
      </w:r>
      <w:r>
        <w:rPr>
          <w:rFonts w:cs="Times New Roman"/>
        </w:rPr>
        <w:t xml:space="preserve"> changes in material properties.</w:t>
      </w:r>
      <w:r w:rsidR="002D25DF">
        <w:rPr>
          <w:rFonts w:cs="Times New Roman"/>
        </w:rPr>
        <w:t xml:space="preserve"> </w:t>
      </w:r>
    </w:p>
    <w:p w14:paraId="12CA3E53" w14:textId="12923BD5" w:rsidR="002D25DF" w:rsidRDefault="00B217B7" w:rsidP="00486236">
      <w:r>
        <w:lastRenderedPageBreak/>
        <w:t>Change</w:t>
      </w:r>
      <w:r w:rsidR="00984B44">
        <w:t>s</w:t>
      </w:r>
      <w:r>
        <w:t xml:space="preserve"> in absorption kinetics due to additive</w:t>
      </w:r>
      <w:r w:rsidR="002D25DF">
        <w:t>s</w:t>
      </w:r>
      <w:r>
        <w:t xml:space="preserve"> lead to hollow glass sphere addition into epoxy to form a multilayer composite. </w:t>
      </w:r>
      <w:r w:rsidR="00984B44">
        <w:t>Low</w:t>
      </w:r>
      <w:r>
        <w:t xml:space="preserve"> density hollow spheres formed a layer of glass sphere/epoxy composite on top of the epoxy resin. </w:t>
      </w:r>
      <w:r w:rsidR="002D25DF">
        <w:t xml:space="preserve">Highly packed glass sphere/epoxy layer ended up absorbing more moisture than the neat epoxy layer. Even though the glass sphere/epoxy layer formation decreased the barrier capabilities of EPON 862 epoxy, multilayer hindered diffusion model, a modified version of hindered diffusion model considering the discrete change in absorption properties, successfully predicted the absorption kinetics of hollow glass sphere/epoxy-epoxy multilayer composites. </w:t>
      </w:r>
    </w:p>
    <w:p w14:paraId="50A59862" w14:textId="2BF69C8C" w:rsidR="00B57F76" w:rsidRDefault="00C0030E" w:rsidP="00264C8A">
      <w:r>
        <w:t>C</w:t>
      </w:r>
      <w:r w:rsidR="008C52C1">
        <w:t>omplex fabrication process</w:t>
      </w:r>
      <w:r w:rsidR="00E4576A">
        <w:t>es</w:t>
      </w:r>
      <w:r w:rsidR="008C52C1">
        <w:t xml:space="preserve"> </w:t>
      </w:r>
      <w:r>
        <w:t>of thermosetting polymers give rise to</w:t>
      </w:r>
      <w:r w:rsidR="008C52C1">
        <w:t xml:space="preserve"> void formation </w:t>
      </w:r>
      <w:r>
        <w:t xml:space="preserve">during </w:t>
      </w:r>
      <w:r w:rsidR="008C52C1">
        <w:t xml:space="preserve">gelation and curing. Although voids in polymers </w:t>
      </w:r>
      <w:r>
        <w:t>causes loss in material properties and</w:t>
      </w:r>
      <w:r w:rsidR="008C52C1">
        <w:t xml:space="preserve"> performance in general, pores may be introduced purposefully</w:t>
      </w:r>
      <w:r>
        <w:t xml:space="preserve"> for a specific application</w:t>
      </w:r>
      <w:r w:rsidR="008C52C1">
        <w:t>.</w:t>
      </w:r>
      <w:r w:rsidR="00654306">
        <w:t xml:space="preserve"> The pores, vacant sites,</w:t>
      </w:r>
      <w:r w:rsidR="00984B44">
        <w:t xml:space="preserve"> in foams are</w:t>
      </w:r>
      <w:r>
        <w:t xml:space="preserve"> responsible for extreme amount of liquid absorption. </w:t>
      </w:r>
      <w:r w:rsidR="004F00AE">
        <w:t>V</w:t>
      </w:r>
      <w:r w:rsidR="004F00AE">
        <w:rPr>
          <w:rFonts w:cs="Times New Roman"/>
          <w:szCs w:val="24"/>
        </w:rPr>
        <w:t>oid filling</w:t>
      </w:r>
      <w:r w:rsidR="004F00AE" w:rsidRPr="005A3E52">
        <w:rPr>
          <w:rFonts w:cs="Times New Roman"/>
          <w:szCs w:val="24"/>
        </w:rPr>
        <w:t xml:space="preserve"> hindered diffusion model is </w:t>
      </w:r>
      <w:r w:rsidR="004F00AE">
        <w:rPr>
          <w:rFonts w:cs="Times New Roman"/>
          <w:szCs w:val="24"/>
        </w:rPr>
        <w:t xml:space="preserve">developed </w:t>
      </w:r>
      <w:r w:rsidR="004F00AE" w:rsidRPr="005A3E52">
        <w:rPr>
          <w:rFonts w:cs="Times New Roman"/>
          <w:szCs w:val="24"/>
        </w:rPr>
        <w:t xml:space="preserve">to illustrate the effect of </w:t>
      </w:r>
      <w:r w:rsidR="004F00AE">
        <w:rPr>
          <w:rFonts w:cs="Times New Roman"/>
          <w:szCs w:val="24"/>
        </w:rPr>
        <w:t>porosity</w:t>
      </w:r>
      <w:r w:rsidR="00264C8A">
        <w:rPr>
          <w:rFonts w:cs="Times New Roman"/>
          <w:szCs w:val="24"/>
        </w:rPr>
        <w:t xml:space="preserve"> and microstructure</w:t>
      </w:r>
      <w:r w:rsidR="004F00AE">
        <w:rPr>
          <w:rFonts w:cs="Times New Roman"/>
          <w:szCs w:val="24"/>
        </w:rPr>
        <w:t xml:space="preserve"> on moisture absorption</w:t>
      </w:r>
      <w:r w:rsidR="004F00AE" w:rsidRPr="005A3E52">
        <w:rPr>
          <w:rFonts w:cs="Times New Roman"/>
          <w:szCs w:val="24"/>
        </w:rPr>
        <w:t>.</w:t>
      </w:r>
      <w:r w:rsidR="009C1215">
        <w:t xml:space="preserve"> </w:t>
      </w:r>
      <w:r w:rsidR="00264C8A">
        <w:t>Hindered diffusion model extended to void filling hindered diffusion model by incorporating porosity of foams to differentiate between the bound molecules stored in the matrix</w:t>
      </w:r>
      <w:r w:rsidR="00EF2FC7">
        <w:t xml:space="preserve"> or </w:t>
      </w:r>
      <w:r w:rsidR="00264C8A">
        <w:t xml:space="preserve">interface and the bound molecules stored in the pores and voids. </w:t>
      </w:r>
      <w:r w:rsidR="00B57F76" w:rsidRPr="00E56273">
        <w:t xml:space="preserve">Void filling </w:t>
      </w:r>
      <w:r w:rsidR="00B57F76">
        <w:t>hindered diffusion</w:t>
      </w:r>
      <w:r w:rsidR="00B57F76" w:rsidRPr="00E56273">
        <w:t xml:space="preserve"> model considers diffusion</w:t>
      </w:r>
      <w:r w:rsidR="00264C8A">
        <w:t xml:space="preserve"> (unbound molecules)</w:t>
      </w:r>
      <w:r w:rsidR="00B57F76" w:rsidRPr="00E56273">
        <w:t>, chemical interaction between medium and penetrant</w:t>
      </w:r>
      <w:r w:rsidR="00264C8A">
        <w:t xml:space="preserve"> (bound molecules)</w:t>
      </w:r>
      <w:r w:rsidR="00264C8A" w:rsidRPr="00E56273">
        <w:t xml:space="preserve">, </w:t>
      </w:r>
      <w:r w:rsidR="00B57F76" w:rsidRPr="00E56273">
        <w:t>and storage of mo</w:t>
      </w:r>
      <w:r w:rsidR="00264C8A">
        <w:t>lecules</w:t>
      </w:r>
      <w:r w:rsidR="00B57F76" w:rsidRPr="00E56273">
        <w:t xml:space="preserve"> in voids and porous structure</w:t>
      </w:r>
      <w:r w:rsidR="00264C8A">
        <w:t xml:space="preserve"> (trapped molecules)</w:t>
      </w:r>
      <w:r w:rsidR="00B57F76" w:rsidRPr="00E56273">
        <w:t>.</w:t>
      </w:r>
      <w:r w:rsidR="00B57F76" w:rsidRPr="008614ED">
        <w:t xml:space="preserve"> </w:t>
      </w:r>
    </w:p>
    <w:p w14:paraId="1C5A946D" w14:textId="25075E42" w:rsidR="00867BFC" w:rsidRDefault="00867BFC" w:rsidP="00867BFC">
      <w:r w:rsidRPr="00E40180">
        <w:t>ROHACELL® WF-71</w:t>
      </w:r>
      <w:r>
        <w:t xml:space="preserve"> </w:t>
      </w:r>
      <w:r w:rsidRPr="001E42CE">
        <w:t>rigid foam plastic based on PMI (</w:t>
      </w:r>
      <w:proofErr w:type="spellStart"/>
      <w:r w:rsidRPr="001E42CE">
        <w:t>polymethacrylimide</w:t>
      </w:r>
      <w:proofErr w:type="spellEnd"/>
      <w:r w:rsidRPr="001E42CE">
        <w:t xml:space="preserve">) </w:t>
      </w:r>
      <w:r w:rsidRPr="00E40180">
        <w:t>is</w:t>
      </w:r>
      <w:r>
        <w:t xml:space="preserve"> a highly porous</w:t>
      </w:r>
      <w:r w:rsidR="00E26D8C">
        <w:t>,</w:t>
      </w:r>
      <w:r>
        <w:t xml:space="preserve"> closed-cell foam mostly used in high temperature and pressure aerospace applications</w:t>
      </w:r>
      <w:r w:rsidRPr="00E40180">
        <w:t xml:space="preserve">. </w:t>
      </w:r>
      <w:r w:rsidR="006655A8">
        <w:t xml:space="preserve">Moisture absorption tests on </w:t>
      </w:r>
      <w:r w:rsidR="006655A8" w:rsidRPr="00E40180">
        <w:t>ROHACELL® WF-71</w:t>
      </w:r>
      <w:r w:rsidR="006655A8">
        <w:t xml:space="preserve"> showed the thickness of the foam has an effect on the moisture absorption. SEM imaging and density measurements </w:t>
      </w:r>
      <w:r w:rsidR="006655A8">
        <w:lastRenderedPageBreak/>
        <w:t xml:space="preserve">on the ROHACELL foams having different thicknesses yielded that the </w:t>
      </w:r>
      <w:r w:rsidR="00FC6235">
        <w:t>open-cell on the surface to the closed-</w:t>
      </w:r>
      <w:r w:rsidR="006655A8">
        <w:t xml:space="preserve">cell ratio of foams depends on the foam thickness. Thus, </w:t>
      </w:r>
      <w:r w:rsidR="00E26D8C">
        <w:t xml:space="preserve">due to surface layer, </w:t>
      </w:r>
      <w:r w:rsidR="006655A8">
        <w:t xml:space="preserve">porosity of the foams changes by the thickness of the foams. Due to the high </w:t>
      </w:r>
      <w:r w:rsidR="00FC6235">
        <w:t>open-cell</w:t>
      </w:r>
      <w:r w:rsidR="006655A8">
        <w:t xml:space="preserve"> to closed</w:t>
      </w:r>
      <w:r w:rsidR="00FC6235">
        <w:t>-</w:t>
      </w:r>
      <w:r w:rsidR="006655A8">
        <w:t>cell ratio, thin foams are less porous than the thick foams. Void filling hindered diffusion model accurately predicted the change in absorption behavior due to thickness of the foams by integrating the porosity of the foams to the model.</w:t>
      </w:r>
    </w:p>
    <w:p w14:paraId="552C59EA" w14:textId="7BE3D232" w:rsidR="00794D36" w:rsidRDefault="00794D36" w:rsidP="00867BFC">
      <w:r>
        <w:t>Heat treatment and the pressure on the foams changed their microstructure and porosity. Hot pressed foams showed cell shrinkage and decrease in porosity and thickness. Higher pressure of hot press even resulted in cell coalescence in the foams. Decrease in porosity in foams due to hot pressing caused decrease in maximum moisture content of the foams. Void filling hindered diffusion model not only successfully recovered the absorption parameters of the hot pressed foams but</w:t>
      </w:r>
      <w:r w:rsidR="00E26D8C">
        <w:t xml:space="preserve"> </w:t>
      </w:r>
      <w:r>
        <w:t xml:space="preserve">attributed the decrease in maximum moisture content to the trapped moisture in the pores as well. </w:t>
      </w:r>
    </w:p>
    <w:p w14:paraId="1A439238" w14:textId="1117387A" w:rsidR="009D4A42" w:rsidRDefault="009D4A42" w:rsidP="00867BFC">
      <w:r>
        <w:t>Hindered diffusion model and its derivatives (multilayer, void filling</w:t>
      </w:r>
      <w:r w:rsidR="005F0486">
        <w:t>,</w:t>
      </w:r>
      <w:r>
        <w:t xml:space="preserve"> and three-dimensional hindered diffusion models) can basically predict the absorption behavior of all types of </w:t>
      </w:r>
      <w:r w:rsidR="00E26D8C">
        <w:t xml:space="preserve">thermosetting </w:t>
      </w:r>
      <w:r>
        <w:t xml:space="preserve">polymers and </w:t>
      </w:r>
      <w:r w:rsidR="00E26D8C">
        <w:t>micro- and nano-</w:t>
      </w:r>
      <w:r w:rsidR="00984B44">
        <w:t xml:space="preserve">polymer composites. However, </w:t>
      </w:r>
      <w:r>
        <w:t xml:space="preserve">moisture induced damages in polymers still cannot be quantified by the moisture absorption models. Absorption models may explain but cannot predict the extent of </w:t>
      </w:r>
      <w:r w:rsidR="00E26D8C">
        <w:t xml:space="preserve">the </w:t>
      </w:r>
      <w:r>
        <w:t>property loss.</w:t>
      </w:r>
    </w:p>
    <w:p w14:paraId="23218BD3" w14:textId="22DCC7E1" w:rsidR="0089028A" w:rsidRDefault="00252B2A" w:rsidP="0089028A">
      <w:r>
        <w:t>Theoretically, each concentration level can be related to the saturation moisture content at various relative humidity conditions. If there is a relation between the saturation moisture content at different relative humidity conditions and the loss in material property, that relation may be used to predict the transient property change during the immersion</w:t>
      </w:r>
      <w:r w:rsidR="002318DD">
        <w:t xml:space="preserve"> or in </w:t>
      </w:r>
      <w:r w:rsidR="002318DD">
        <w:lastRenderedPageBreak/>
        <w:t>other environments with transient relative humidity</w:t>
      </w:r>
      <w:r>
        <w:t>. Absorption tests in various relative humidity on EPON 862 showed a linear trend between saturation moisture content and corresponding flexural modulus.</w:t>
      </w:r>
      <w:r w:rsidR="0089028A">
        <w:t xml:space="preserve"> </w:t>
      </w:r>
    </w:p>
    <w:p w14:paraId="5A6D050B" w14:textId="0AECC9D9" w:rsidR="00B57F76" w:rsidRDefault="00252B2A" w:rsidP="00B57F76">
      <w:r>
        <w:t xml:space="preserve"> </w:t>
      </w:r>
      <w:r w:rsidR="005228F2">
        <w:t>A</w:t>
      </w:r>
      <w:r w:rsidR="00B57F76">
        <w:t xml:space="preserve"> new comprehensive modulus degradation model </w:t>
      </w:r>
      <w:r w:rsidR="0089028A">
        <w:t xml:space="preserve">where the </w:t>
      </w:r>
      <w:r w:rsidR="00B57F76">
        <w:t>modulus varies inversely linear with the moisture concentration</w:t>
      </w:r>
      <w:r w:rsidR="0089028A">
        <w:t xml:space="preserve"> is introduced</w:t>
      </w:r>
      <w:r w:rsidR="00B57F76">
        <w:t xml:space="preserve">. </w:t>
      </w:r>
      <w:r w:rsidR="0089028A">
        <w:t>Linearly decreasing trend of modulus creates a spatial modulus distribution during the moisture immersion. The change in effective modulus is presumed to be f</w:t>
      </w:r>
      <w:r w:rsidR="002318DD">
        <w:t>ound</w:t>
      </w:r>
      <w:r w:rsidR="0089028A">
        <w:t xml:space="preserve"> by using the modulus distribution. </w:t>
      </w:r>
    </w:p>
    <w:p w14:paraId="51B3E3F3" w14:textId="28F592B3" w:rsidR="00B57F76" w:rsidRDefault="0089028A" w:rsidP="00B57F76">
      <w:r>
        <w:t>E</w:t>
      </w:r>
      <w:r w:rsidR="00B57F76">
        <w:t xml:space="preserve">xperimental data of tensile or flexural modulus </w:t>
      </w:r>
      <w:r>
        <w:t xml:space="preserve">and moisture absorption </w:t>
      </w:r>
      <w:r w:rsidR="00B57F76">
        <w:t xml:space="preserve">from </w:t>
      </w:r>
      <w:r w:rsidR="002D3A39">
        <w:t xml:space="preserve">three different published studies are </w:t>
      </w:r>
      <w:r w:rsidR="00B57F76">
        <w:t>used</w:t>
      </w:r>
      <w:r w:rsidRPr="0089028A">
        <w:t xml:space="preserve"> </w:t>
      </w:r>
      <w:r>
        <w:t>to validate the modulus model</w:t>
      </w:r>
      <w:r w:rsidR="00B57F76">
        <w:t xml:space="preserve">. </w:t>
      </w:r>
      <w:r>
        <w:t xml:space="preserve">Knowing the dry and saturation level modulus, the change in between is assumed linear. Using the recovered absorption parameters and using the modulus data, both elastic modulus model and flexural modulus model accurately represented the transient change in the modulus. </w:t>
      </w:r>
    </w:p>
    <w:p w14:paraId="06021B19" w14:textId="07CAB9AD" w:rsidR="0089028A" w:rsidRDefault="0089028A" w:rsidP="006924B6">
      <w:pPr>
        <w:pStyle w:val="Heading2"/>
      </w:pPr>
      <w:bookmarkStart w:id="355" w:name="_Toc531943796"/>
      <w:r>
        <w:t>6.1. Research Proposals</w:t>
      </w:r>
      <w:bookmarkEnd w:id="355"/>
    </w:p>
    <w:p w14:paraId="0741CC1C" w14:textId="39084BC5" w:rsidR="006924B6" w:rsidRDefault="002F5037" w:rsidP="006924B6">
      <w:r>
        <w:t>Capabilities of hindered diffusion model and its</w:t>
      </w:r>
      <w:r w:rsidR="002318DD">
        <w:t xml:space="preserve"> extensions</w:t>
      </w:r>
      <w:r>
        <w:t xml:space="preserve"> to predict the absorption behavior of various polymers and polymeric composites unfold further questions about the model. The absorption parameters that governs the rate of exchange between the unbound and bound molecules, </w:t>
      </w:r>
      <m:oMath>
        <m:r>
          <w:rPr>
            <w:rFonts w:ascii="Cambria Math" w:hAnsi="Cambria Math"/>
          </w:rPr>
          <m:t>γ</m:t>
        </m:r>
      </m:oMath>
      <w:r>
        <w:t xml:space="preserve"> and</w:t>
      </w:r>
      <m:oMath>
        <m:r>
          <w:rPr>
            <w:rFonts w:ascii="Cambria Math" w:hAnsi="Cambria Math"/>
          </w:rPr>
          <m:t xml:space="preserve"> β</m:t>
        </m:r>
      </m:oMath>
      <w:r>
        <w:t>, should be investigated in d</w:t>
      </w:r>
      <w:proofErr w:type="spellStart"/>
      <w:r>
        <w:t>epth</w:t>
      </w:r>
      <w:proofErr w:type="spellEnd"/>
      <w:r>
        <w:t xml:space="preserve">. The chemical reaction rate of becoming bound or unbound molecule may help explain the change in </w:t>
      </w:r>
      <m:oMath>
        <m:r>
          <w:rPr>
            <w:rFonts w:ascii="Cambria Math" w:hAnsi="Cambria Math"/>
          </w:rPr>
          <m:t>γ</m:t>
        </m:r>
      </m:oMath>
      <w:r>
        <w:t xml:space="preserve"> and</w:t>
      </w:r>
      <m:oMath>
        <m:r>
          <w:rPr>
            <w:rFonts w:ascii="Cambria Math" w:hAnsi="Cambria Math"/>
          </w:rPr>
          <m:t xml:space="preserve"> β</m:t>
        </m:r>
      </m:oMath>
      <w:r>
        <w:t xml:space="preserve">. Alternatively, the rate of exchange between the unbound and bound molecules may be investigated following a probabilistic approach following the entropy equation. Either way the nature of rate of exchange between the unbound and bound molecules, </w:t>
      </w:r>
      <m:oMath>
        <m:r>
          <w:rPr>
            <w:rFonts w:ascii="Cambria Math" w:hAnsi="Cambria Math"/>
          </w:rPr>
          <m:t>γ</m:t>
        </m:r>
      </m:oMath>
      <w:r>
        <w:t xml:space="preserve"> and</w:t>
      </w:r>
      <m:oMath>
        <m:r>
          <w:rPr>
            <w:rFonts w:ascii="Cambria Math" w:hAnsi="Cambria Math"/>
          </w:rPr>
          <m:t xml:space="preserve"> β</m:t>
        </m:r>
      </m:oMath>
      <w:r>
        <w:t>, is worth exploring.</w:t>
      </w:r>
    </w:p>
    <w:p w14:paraId="70CE7206" w14:textId="42DE63AE" w:rsidR="00D8513C" w:rsidRDefault="00D8513C" w:rsidP="006924B6">
      <w:r>
        <w:lastRenderedPageBreak/>
        <w:t xml:space="preserve">As the trapped moisture </w:t>
      </w:r>
      <w:r w:rsidR="002318DD">
        <w:t xml:space="preserve">is </w:t>
      </w:r>
      <w:r>
        <w:t>differentiated from the bound moisture using the void filling hindered diffusion model, bound moisture at the additive matrix interface may be distinguished using the interface properties. Linear change</w:t>
      </w:r>
      <w:r w:rsidR="00984B44">
        <w:t>s</w:t>
      </w:r>
      <w:r>
        <w:t xml:space="preserve"> of absorption parameters with respect to the additive content suggest a relation between the interface density and the </w:t>
      </w:r>
      <w:r w:rsidR="00AF43EE">
        <w:t>absorption parameters. Moreover, the change in the slope for different material systems may be defined in terms of interface properties such as surface tension and chemical potential.</w:t>
      </w:r>
    </w:p>
    <w:p w14:paraId="7664C837" w14:textId="42C73BC5" w:rsidR="00AF43EE" w:rsidRDefault="002743C4" w:rsidP="00AF43EE">
      <w:pPr>
        <w:rPr>
          <w:rFonts w:cs="Times New Roman"/>
        </w:rPr>
      </w:pPr>
      <w:r>
        <w:t xml:space="preserve">Multilayer hindered diffusion model effectively predicted the absorption behavior of glass sphere/epoxy-epoxy multilayer composites. Even though the barrier properties of the glass sphere/epoxy </w:t>
      </w:r>
      <w:r w:rsidR="007818E4">
        <w:t>are</w:t>
      </w:r>
      <w:r>
        <w:t xml:space="preserve"> unfavorable</w:t>
      </w:r>
      <w:r w:rsidR="007818E4">
        <w:t>,</w:t>
      </w:r>
      <w:r>
        <w:t xml:space="preserve"> </w:t>
      </w:r>
      <w:r w:rsidR="00AF43EE">
        <w:t>multilayer hindered diffusion model may be used to predict what type of reinforcement or coating would be needed to improve the water resistance.</w:t>
      </w:r>
      <w:r>
        <w:t xml:space="preserve"> The model can be used to design a coating for protection against moisture absorption.</w:t>
      </w:r>
    </w:p>
    <w:p w14:paraId="04964B66" w14:textId="0E4F986A" w:rsidR="00AF43EE" w:rsidRDefault="00AF43EE" w:rsidP="00AF43EE">
      <w:pPr>
        <w:rPr>
          <w:rFonts w:cs="Times New Roman"/>
          <w:szCs w:val="24"/>
        </w:rPr>
      </w:pPr>
      <w:r>
        <w:rPr>
          <w:rFonts w:cs="Times New Roman"/>
          <w:szCs w:val="24"/>
        </w:rPr>
        <w:t>Foams are frequently used in high-end engineering applications as a core material in sandwich composites.</w:t>
      </w:r>
      <w:r w:rsidR="00D32C3D">
        <w:rPr>
          <w:rFonts w:cs="Times New Roman"/>
          <w:szCs w:val="24"/>
        </w:rPr>
        <w:t xml:space="preserve"> As a core material, foams increase the flexural strength of the sandwich structure without a compromise from the weight. A merger between the void filling hindered diffusion model and multilayer hindered diffusion model might be</w:t>
      </w:r>
      <w:r w:rsidR="002318DD">
        <w:rPr>
          <w:rFonts w:cs="Times New Roman"/>
          <w:szCs w:val="24"/>
        </w:rPr>
        <w:t xml:space="preserve"> </w:t>
      </w:r>
      <w:r w:rsidR="00D32C3D">
        <w:rPr>
          <w:rFonts w:cs="Times New Roman"/>
          <w:szCs w:val="24"/>
        </w:rPr>
        <w:t>useful to predict the absorption behavior of sandwich composites. Often sandwich composites have less absorbent facesheets. However, barrier properties of the facesheets does not change the fact that the foam core will eventually start absorbing moisture and the mass gain of the foams would be significant. Thus, the overall absorption behavior of the foam core sandwich composites should be investigated to predict the durability of the material.</w:t>
      </w:r>
    </w:p>
    <w:p w14:paraId="2FA72C25" w14:textId="71867A7E" w:rsidR="0089028A" w:rsidRDefault="00D32C3D" w:rsidP="00D32C3D">
      <w:pPr>
        <w:sectPr w:rsidR="0089028A" w:rsidSect="00B57F76">
          <w:pgSz w:w="12240" w:h="15840"/>
          <w:pgMar w:top="1440" w:right="1440" w:bottom="1440" w:left="2160" w:header="720" w:footer="720" w:gutter="0"/>
          <w:cols w:space="720"/>
          <w:docGrid w:linePitch="360"/>
        </w:sectPr>
      </w:pPr>
      <w:r>
        <w:rPr>
          <w:rFonts w:cs="Times New Roman"/>
          <w:szCs w:val="24"/>
        </w:rPr>
        <w:lastRenderedPageBreak/>
        <w:t>Lastly, the capabilities of the modulus model can be extended to other types of mechanical or electrical properties. Change in desired property should be investigated by saturating the material in various relative humidity conditions. If a meaningful relation between the saturation moisture content and the property is determined, transient prope</w:t>
      </w:r>
      <w:r w:rsidR="0084615F">
        <w:rPr>
          <w:rFonts w:cs="Times New Roman"/>
          <w:szCs w:val="24"/>
        </w:rPr>
        <w:t>rty change can be investigated.</w:t>
      </w:r>
    </w:p>
    <w:p w14:paraId="0B339AB9" w14:textId="4077E103" w:rsidR="00274703" w:rsidRDefault="006A743A" w:rsidP="008767E0">
      <w:pPr>
        <w:pStyle w:val="Tableofcon"/>
      </w:pPr>
      <w:r w:rsidRPr="00845FFA">
        <w:lastRenderedPageBreak/>
        <w:t>References</w:t>
      </w:r>
    </w:p>
    <w:p w14:paraId="44BCC001" w14:textId="108ED70D" w:rsidR="00430285" w:rsidRPr="00430285" w:rsidRDefault="00F24CF7" w:rsidP="00430285">
      <w:pPr>
        <w:widowControl w:val="0"/>
        <w:autoSpaceDE w:val="0"/>
        <w:autoSpaceDN w:val="0"/>
        <w:adjustRightInd w:val="0"/>
        <w:spacing w:before="240" w:after="240" w:line="240" w:lineRule="auto"/>
        <w:ind w:left="640" w:hanging="640"/>
        <w:rPr>
          <w:rFonts w:cs="Times New Roman"/>
          <w:noProof/>
          <w:szCs w:val="24"/>
        </w:rPr>
      </w:pPr>
      <w:r w:rsidRPr="00797000">
        <w:rPr>
          <w:rFonts w:cs="Times New Roman"/>
          <w:szCs w:val="24"/>
        </w:rPr>
        <w:fldChar w:fldCharType="begin" w:fldLock="1"/>
      </w:r>
      <w:r w:rsidRPr="00797000">
        <w:rPr>
          <w:rFonts w:cs="Times New Roman"/>
          <w:szCs w:val="24"/>
        </w:rPr>
        <w:instrText xml:space="preserve">ADDIN Mendeley Bibliography CSL_BIBLIOGRAPHY </w:instrText>
      </w:r>
      <w:r w:rsidRPr="00797000">
        <w:rPr>
          <w:rFonts w:cs="Times New Roman"/>
          <w:szCs w:val="24"/>
        </w:rPr>
        <w:fldChar w:fldCharType="separate"/>
      </w:r>
      <w:r w:rsidR="00430285" w:rsidRPr="00430285">
        <w:rPr>
          <w:rFonts w:cs="Times New Roman"/>
          <w:noProof/>
          <w:szCs w:val="24"/>
        </w:rPr>
        <w:t>[1]</w:t>
      </w:r>
      <w:r w:rsidR="00430285" w:rsidRPr="00430285">
        <w:rPr>
          <w:rFonts w:cs="Times New Roman"/>
          <w:noProof/>
          <w:szCs w:val="24"/>
        </w:rPr>
        <w:tab/>
        <w:t xml:space="preserve">Guloglu G.E., Hamidi Y.K. and Altan M.C. "Fast recovery of non‐fickian moisture absorption parameters for polymers and polymer composites". </w:t>
      </w:r>
      <w:r w:rsidR="00430285" w:rsidRPr="00430285">
        <w:rPr>
          <w:rFonts w:cs="Times New Roman"/>
          <w:i/>
          <w:iCs/>
          <w:noProof/>
          <w:szCs w:val="24"/>
        </w:rPr>
        <w:t>Polymer Engineering &amp; Science</w:t>
      </w:r>
      <w:r w:rsidR="00430285" w:rsidRPr="00430285">
        <w:rPr>
          <w:rFonts w:cs="Times New Roman"/>
          <w:noProof/>
          <w:szCs w:val="24"/>
        </w:rPr>
        <w:t>, 2016;57:921–31.</w:t>
      </w:r>
    </w:p>
    <w:p w14:paraId="181ED14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w:t>
      </w:r>
      <w:r w:rsidRPr="00430285">
        <w:rPr>
          <w:rFonts w:cs="Times New Roman"/>
          <w:noProof/>
          <w:szCs w:val="24"/>
        </w:rPr>
        <w:tab/>
        <w:t xml:space="preserve">Glaskova T. and Aniskevich A. "Moisture absorption by epoxy/montmorillonite nanocomposite". </w:t>
      </w:r>
      <w:r w:rsidRPr="00430285">
        <w:rPr>
          <w:rFonts w:cs="Times New Roman"/>
          <w:i/>
          <w:iCs/>
          <w:noProof/>
          <w:szCs w:val="24"/>
        </w:rPr>
        <w:t>Composites Science and Technology</w:t>
      </w:r>
      <w:r w:rsidRPr="00430285">
        <w:rPr>
          <w:rFonts w:cs="Times New Roman"/>
          <w:noProof/>
          <w:szCs w:val="24"/>
        </w:rPr>
        <w:t>, 2009;69:2711–5.</w:t>
      </w:r>
    </w:p>
    <w:p w14:paraId="714FBF1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w:t>
      </w:r>
      <w:r w:rsidRPr="00430285">
        <w:rPr>
          <w:rFonts w:cs="Times New Roman"/>
          <w:noProof/>
          <w:szCs w:val="24"/>
        </w:rPr>
        <w:tab/>
        <w:t xml:space="preserve">Sridhar R., Narasimha Murthy H.N., Karthik B., Vishnu Mahesh K.R., Krishna M. and Ratna P. "Moisture diffusion through nanoclay/vinylester processed using twin‐screw extrusion". </w:t>
      </w:r>
      <w:r w:rsidRPr="00430285">
        <w:rPr>
          <w:rFonts w:cs="Times New Roman"/>
          <w:i/>
          <w:iCs/>
          <w:noProof/>
          <w:szCs w:val="24"/>
        </w:rPr>
        <w:t>Journal of Vinyl and Additive Technology</w:t>
      </w:r>
      <w:r w:rsidRPr="00430285">
        <w:rPr>
          <w:rFonts w:cs="Times New Roman"/>
          <w:noProof/>
          <w:szCs w:val="24"/>
        </w:rPr>
        <w:t>, 2014;20:152–9.</w:t>
      </w:r>
    </w:p>
    <w:p w14:paraId="1B6228C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w:t>
      </w:r>
      <w:r w:rsidRPr="00430285">
        <w:rPr>
          <w:rFonts w:cs="Times New Roman"/>
          <w:noProof/>
          <w:szCs w:val="24"/>
        </w:rPr>
        <w:tab/>
        <w:t xml:space="preserve">Jia N., Fraenkel H.A. and Kagan V.A. "Effects of moisture conditioning methods on mechanical properties of injection molded nylon 6". </w:t>
      </w:r>
      <w:r w:rsidRPr="00430285">
        <w:rPr>
          <w:rFonts w:cs="Times New Roman"/>
          <w:i/>
          <w:iCs/>
          <w:noProof/>
          <w:szCs w:val="24"/>
        </w:rPr>
        <w:t>Journal of Reinforced Plastics and Composites</w:t>
      </w:r>
      <w:r w:rsidRPr="00430285">
        <w:rPr>
          <w:rFonts w:cs="Times New Roman"/>
          <w:noProof/>
          <w:szCs w:val="24"/>
        </w:rPr>
        <w:t>, 2004;23:729–37.</w:t>
      </w:r>
    </w:p>
    <w:p w14:paraId="1FC30AE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w:t>
      </w:r>
      <w:r w:rsidRPr="00430285">
        <w:rPr>
          <w:rFonts w:cs="Times New Roman"/>
          <w:noProof/>
          <w:szCs w:val="24"/>
        </w:rPr>
        <w:tab/>
        <w:t xml:space="preserve">Czél G. and Czigány T. "A study of water absorption and mechanical properties of glass fiber/polyester composite pipes - Effects of specimen geometry and preparation". </w:t>
      </w:r>
      <w:r w:rsidRPr="00430285">
        <w:rPr>
          <w:rFonts w:cs="Times New Roman"/>
          <w:i/>
          <w:iCs/>
          <w:noProof/>
          <w:szCs w:val="24"/>
        </w:rPr>
        <w:t>Journal of Composite Materials</w:t>
      </w:r>
      <w:r w:rsidRPr="00430285">
        <w:rPr>
          <w:rFonts w:cs="Times New Roman"/>
          <w:noProof/>
          <w:szCs w:val="24"/>
        </w:rPr>
        <w:t>, 2008;42:2815–27.</w:t>
      </w:r>
    </w:p>
    <w:p w14:paraId="1886D52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w:t>
      </w:r>
      <w:r w:rsidRPr="00430285">
        <w:rPr>
          <w:rFonts w:cs="Times New Roman"/>
          <w:noProof/>
          <w:szCs w:val="24"/>
        </w:rPr>
        <w:tab/>
        <w:t xml:space="preserve">Thwe M.M. and Liao K. "Environmental effects on bamboo-glass/polypropylene hybrid composites". </w:t>
      </w:r>
      <w:r w:rsidRPr="00430285">
        <w:rPr>
          <w:rFonts w:cs="Times New Roman"/>
          <w:i/>
          <w:iCs/>
          <w:noProof/>
          <w:szCs w:val="24"/>
        </w:rPr>
        <w:t>Journal of Materials Science</w:t>
      </w:r>
      <w:r w:rsidRPr="00430285">
        <w:rPr>
          <w:rFonts w:cs="Times New Roman"/>
          <w:noProof/>
          <w:szCs w:val="24"/>
        </w:rPr>
        <w:t>, 2003;38:363–76.</w:t>
      </w:r>
    </w:p>
    <w:p w14:paraId="07AC15B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w:t>
      </w:r>
      <w:r w:rsidRPr="00430285">
        <w:rPr>
          <w:rFonts w:cs="Times New Roman"/>
          <w:noProof/>
          <w:szCs w:val="24"/>
        </w:rPr>
        <w:tab/>
        <w:t xml:space="preserve">Beg M.D.H. and Pickering K.L. "Mechanical performance of Kraft fibre reinforced polypropylene composites: Influence of fibre length, fibre beating and hygrothermal ageing". </w:t>
      </w:r>
      <w:r w:rsidRPr="00430285">
        <w:rPr>
          <w:rFonts w:cs="Times New Roman"/>
          <w:i/>
          <w:iCs/>
          <w:noProof/>
          <w:szCs w:val="24"/>
        </w:rPr>
        <w:t>Composites Part A: Applied Science and Manufacturing</w:t>
      </w:r>
      <w:r w:rsidRPr="00430285">
        <w:rPr>
          <w:rFonts w:cs="Times New Roman"/>
          <w:noProof/>
          <w:szCs w:val="24"/>
        </w:rPr>
        <w:t>, 2008;39:1748–55.</w:t>
      </w:r>
    </w:p>
    <w:p w14:paraId="6FC980B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w:t>
      </w:r>
      <w:r w:rsidRPr="00430285">
        <w:rPr>
          <w:rFonts w:cs="Times New Roman"/>
          <w:noProof/>
          <w:szCs w:val="24"/>
        </w:rPr>
        <w:tab/>
        <w:t xml:space="preserve">Hargitai H., Rácz I. and Anandjiwala R.D. "Development of HEMP fiber reinforced polypropylene composites". </w:t>
      </w:r>
      <w:r w:rsidRPr="00430285">
        <w:rPr>
          <w:rFonts w:cs="Times New Roman"/>
          <w:i/>
          <w:iCs/>
          <w:noProof/>
          <w:szCs w:val="24"/>
        </w:rPr>
        <w:t>Journal of Thermoplastic Composite Materials</w:t>
      </w:r>
      <w:r w:rsidRPr="00430285">
        <w:rPr>
          <w:rFonts w:cs="Times New Roman"/>
          <w:noProof/>
          <w:szCs w:val="24"/>
        </w:rPr>
        <w:t>, 2008;21:165–74.</w:t>
      </w:r>
    </w:p>
    <w:p w14:paraId="205CD78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w:t>
      </w:r>
      <w:r w:rsidRPr="00430285">
        <w:rPr>
          <w:rFonts w:cs="Times New Roman"/>
          <w:noProof/>
          <w:szCs w:val="24"/>
        </w:rPr>
        <w:tab/>
        <w:t xml:space="preserve">Yu Y., Yang X., Wang L. and Liu H. "Hygrothermal aging on pultruded carbon fiber/vinyl ester resin composite for sucker rod application". </w:t>
      </w:r>
      <w:r w:rsidRPr="00430285">
        <w:rPr>
          <w:rFonts w:cs="Times New Roman"/>
          <w:i/>
          <w:iCs/>
          <w:noProof/>
          <w:szCs w:val="24"/>
        </w:rPr>
        <w:t>Journal of Reinforced Plastics and Composites</w:t>
      </w:r>
      <w:r w:rsidRPr="00430285">
        <w:rPr>
          <w:rFonts w:cs="Times New Roman"/>
          <w:noProof/>
          <w:szCs w:val="24"/>
        </w:rPr>
        <w:t>, 2006;25:149–60.</w:t>
      </w:r>
    </w:p>
    <w:p w14:paraId="24C47204"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w:t>
      </w:r>
      <w:r w:rsidRPr="00430285">
        <w:rPr>
          <w:rFonts w:cs="Times New Roman"/>
          <w:noProof/>
          <w:szCs w:val="24"/>
        </w:rPr>
        <w:tab/>
        <w:t xml:space="preserve">Popineau S., Rondeau-Mouro C., Sulpice-Gaillet C. and Shanahan M.E.R. "Free/bound water absorption in an epoxy adhesive". </w:t>
      </w:r>
      <w:r w:rsidRPr="00430285">
        <w:rPr>
          <w:rFonts w:cs="Times New Roman"/>
          <w:i/>
          <w:iCs/>
          <w:noProof/>
          <w:szCs w:val="24"/>
        </w:rPr>
        <w:t>Polymer</w:t>
      </w:r>
      <w:r w:rsidRPr="00430285">
        <w:rPr>
          <w:rFonts w:cs="Times New Roman"/>
          <w:noProof/>
          <w:szCs w:val="24"/>
        </w:rPr>
        <w:t>, 2005;46:10733–40.</w:t>
      </w:r>
    </w:p>
    <w:p w14:paraId="1F56CA7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w:t>
      </w:r>
      <w:r w:rsidRPr="00430285">
        <w:rPr>
          <w:rFonts w:cs="Times New Roman"/>
          <w:noProof/>
          <w:szCs w:val="24"/>
        </w:rPr>
        <w:tab/>
        <w:t xml:space="preserve">Hu R.-H., Sun M.-Y. and Lim J.-K. "Moisture absorption, tensile strength and microstructure evolution of short jute fiber/polylactide composite in hygrothermal environment". </w:t>
      </w:r>
      <w:r w:rsidRPr="00430285">
        <w:rPr>
          <w:rFonts w:cs="Times New Roman"/>
          <w:i/>
          <w:iCs/>
          <w:noProof/>
          <w:szCs w:val="24"/>
        </w:rPr>
        <w:t>Materials and Design</w:t>
      </w:r>
      <w:r w:rsidRPr="00430285">
        <w:rPr>
          <w:rFonts w:cs="Times New Roman"/>
          <w:noProof/>
          <w:szCs w:val="24"/>
        </w:rPr>
        <w:t>, 2010;31:3167–73.</w:t>
      </w:r>
    </w:p>
    <w:p w14:paraId="5FA2D86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w:t>
      </w:r>
      <w:r w:rsidRPr="00430285">
        <w:rPr>
          <w:rFonts w:cs="Times New Roman"/>
          <w:noProof/>
          <w:szCs w:val="24"/>
        </w:rPr>
        <w:tab/>
        <w:t xml:space="preserve">Errajhi O.A.Z., Osborne J.R.F., Richardson M.O.W. and Dhakal H.N. "Water absorption characteristics of aluminised E-glass fibre reinforced unsaturated polyester composites". </w:t>
      </w:r>
      <w:r w:rsidRPr="00430285">
        <w:rPr>
          <w:rFonts w:cs="Times New Roman"/>
          <w:i/>
          <w:iCs/>
          <w:noProof/>
          <w:szCs w:val="24"/>
        </w:rPr>
        <w:t>Composite Structures</w:t>
      </w:r>
      <w:r w:rsidRPr="00430285">
        <w:rPr>
          <w:rFonts w:cs="Times New Roman"/>
          <w:noProof/>
          <w:szCs w:val="24"/>
        </w:rPr>
        <w:t>, 2005;71:333–6.</w:t>
      </w:r>
    </w:p>
    <w:p w14:paraId="0553D93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lastRenderedPageBreak/>
        <w:t>[13]</w:t>
      </w:r>
      <w:r w:rsidRPr="00430285">
        <w:rPr>
          <w:rFonts w:cs="Times New Roman"/>
          <w:noProof/>
          <w:szCs w:val="24"/>
        </w:rPr>
        <w:tab/>
        <w:t xml:space="preserve">Sajna V., Mohanty S. and Nayak S.K. "Moisture absorption behavior of hybrid bionanocomposites of polylactic acid and evaluation of physicochemical properties". </w:t>
      </w:r>
      <w:r w:rsidRPr="00430285">
        <w:rPr>
          <w:rFonts w:cs="Times New Roman"/>
          <w:i/>
          <w:iCs/>
          <w:noProof/>
          <w:szCs w:val="24"/>
        </w:rPr>
        <w:t>Journal of Thermoplastic Composite Materials</w:t>
      </w:r>
      <w:r w:rsidRPr="00430285">
        <w:rPr>
          <w:rFonts w:cs="Times New Roman"/>
          <w:noProof/>
          <w:szCs w:val="24"/>
        </w:rPr>
        <w:t>, 2017;30:521–44.</w:t>
      </w:r>
    </w:p>
    <w:p w14:paraId="7CC0832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w:t>
      </w:r>
      <w:r w:rsidRPr="00430285">
        <w:rPr>
          <w:rFonts w:cs="Times New Roman"/>
          <w:noProof/>
          <w:szCs w:val="24"/>
        </w:rPr>
        <w:tab/>
        <w:t xml:space="preserve">Scott P. and Lees J.M. "Water, salt water, and alkaline solution uptake in epoxy thin films". </w:t>
      </w:r>
      <w:r w:rsidRPr="00430285">
        <w:rPr>
          <w:rFonts w:cs="Times New Roman"/>
          <w:i/>
          <w:iCs/>
          <w:noProof/>
          <w:szCs w:val="24"/>
        </w:rPr>
        <w:t>Journal of Applied Polymer Science</w:t>
      </w:r>
      <w:r w:rsidRPr="00430285">
        <w:rPr>
          <w:rFonts w:cs="Times New Roman"/>
          <w:noProof/>
          <w:szCs w:val="24"/>
        </w:rPr>
        <w:t>, 2013;130:1898–908.</w:t>
      </w:r>
    </w:p>
    <w:p w14:paraId="0074FC5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[15]</w:t>
      </w:r>
      <w:r w:rsidRPr="00430285">
        <w:rPr>
          <w:rFonts w:cs="Times New Roman"/>
          <w:noProof/>
          <w:szCs w:val="24"/>
        </w:rPr>
        <w:tab/>
        <w:t xml:space="preserve">Loos A.C. and Springer G.S. "Moisture Absorption of Graphite-Epoxy Composites Immersed in Liquids and in Humid Air". </w:t>
      </w:r>
      <w:r w:rsidRPr="00430285">
        <w:rPr>
          <w:rFonts w:cs="Times New Roman"/>
          <w:i/>
          <w:iCs/>
          <w:noProof/>
          <w:szCs w:val="24"/>
        </w:rPr>
        <w:t>Journal of Composite Materials</w:t>
      </w:r>
      <w:r w:rsidRPr="00430285">
        <w:rPr>
          <w:rFonts w:cs="Times New Roman"/>
          <w:noProof/>
          <w:szCs w:val="24"/>
        </w:rPr>
        <w:t>, 1979;13:131–47.</w:t>
      </w:r>
    </w:p>
    <w:p w14:paraId="23004DE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[16]</w:t>
      </w:r>
      <w:r w:rsidRPr="00430285">
        <w:rPr>
          <w:rFonts w:cs="Times New Roman"/>
          <w:noProof/>
          <w:szCs w:val="24"/>
        </w:rPr>
        <w:tab/>
        <w:t xml:space="preserve">Dana H.R., Perronnet A., Fréour S., Casari P. and Jacquemin F. "Identification of moisture diffusion parameters in organic matrix composites". </w:t>
      </w:r>
      <w:r w:rsidRPr="00430285">
        <w:rPr>
          <w:rFonts w:cs="Times New Roman"/>
          <w:i/>
          <w:iCs/>
          <w:noProof/>
          <w:szCs w:val="24"/>
        </w:rPr>
        <w:t>Journal of Composite Materials</w:t>
      </w:r>
      <w:r w:rsidRPr="00430285">
        <w:rPr>
          <w:rFonts w:cs="Times New Roman"/>
          <w:noProof/>
          <w:szCs w:val="24"/>
        </w:rPr>
        <w:t>, 2013;47:1081–92.</w:t>
      </w:r>
    </w:p>
    <w:p w14:paraId="5DBA2DC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[17]</w:t>
      </w:r>
      <w:r w:rsidRPr="00430285">
        <w:rPr>
          <w:rFonts w:cs="Times New Roman"/>
          <w:noProof/>
          <w:szCs w:val="24"/>
        </w:rPr>
        <w:tab/>
        <w:t xml:space="preserve">Dhakal H.N., Zhang Z.Y., Bennett N., Lopez-Arraiza A. and Vallejo F.J. "Effects of water immersion ageing on the mechanical properties of flax and jute fibre biocomposites evaluated by nanoindentation and flexural testing". </w:t>
      </w:r>
      <w:r w:rsidRPr="00430285">
        <w:rPr>
          <w:rFonts w:cs="Times New Roman"/>
          <w:i/>
          <w:iCs/>
          <w:noProof/>
          <w:szCs w:val="24"/>
        </w:rPr>
        <w:t>Journal of Composite Materials</w:t>
      </w:r>
      <w:r w:rsidRPr="00430285">
        <w:rPr>
          <w:rFonts w:cs="Times New Roman"/>
          <w:noProof/>
          <w:szCs w:val="24"/>
        </w:rPr>
        <w:t>, 2014;48:1399–406.</w:t>
      </w:r>
    </w:p>
    <w:p w14:paraId="4A7BF95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[18]</w:t>
      </w:r>
      <w:r w:rsidRPr="00430285">
        <w:rPr>
          <w:rFonts w:cs="Times New Roman"/>
          <w:noProof/>
          <w:szCs w:val="24"/>
        </w:rPr>
        <w:tab/>
        <w:t xml:space="preserve">Shah A.P., Gupta R.K., Gangarao H.V.S. and Powell C.E. "Moisture diffusion through vinyl ester nanocomposites made with montmorillonite clay". </w:t>
      </w:r>
      <w:r w:rsidRPr="00430285">
        <w:rPr>
          <w:rFonts w:cs="Times New Roman"/>
          <w:i/>
          <w:iCs/>
          <w:noProof/>
          <w:szCs w:val="24"/>
        </w:rPr>
        <w:t>Polymer Engineering and Science</w:t>
      </w:r>
      <w:r w:rsidRPr="00430285">
        <w:rPr>
          <w:rFonts w:cs="Times New Roman"/>
          <w:noProof/>
          <w:szCs w:val="24"/>
        </w:rPr>
        <w:t>, 2002;42:1852–63.</w:t>
      </w:r>
    </w:p>
    <w:p w14:paraId="111A258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[19]</w:t>
      </w:r>
      <w:r w:rsidRPr="00430285">
        <w:rPr>
          <w:rFonts w:cs="Times New Roman"/>
          <w:noProof/>
          <w:szCs w:val="24"/>
        </w:rPr>
        <w:tab/>
        <w:t xml:space="preserve">Grace L.R. "Projecting long-term non-Fickian diffusion behavior in polymeric composites based on short-term data: a 5-year validation study". </w:t>
      </w:r>
      <w:r w:rsidRPr="00430285">
        <w:rPr>
          <w:rFonts w:cs="Times New Roman"/>
          <w:i/>
          <w:iCs/>
          <w:noProof/>
          <w:szCs w:val="24"/>
        </w:rPr>
        <w:t>Journal of Materials Science</w:t>
      </w:r>
      <w:r w:rsidRPr="00430285">
        <w:rPr>
          <w:rFonts w:cs="Times New Roman"/>
          <w:noProof/>
          <w:szCs w:val="24"/>
        </w:rPr>
        <w:t>, 2016;51:845–53.</w:t>
      </w:r>
    </w:p>
    <w:p w14:paraId="331E5D1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[20]</w:t>
      </w:r>
      <w:r w:rsidRPr="00430285">
        <w:rPr>
          <w:rFonts w:cs="Times New Roman"/>
          <w:noProof/>
          <w:szCs w:val="24"/>
        </w:rPr>
        <w:tab/>
        <w:t xml:space="preserve">Joliff Y., Belec L. and Chailan J.F. "Modified water diffusion kinetics in an unidirectional glass/fibre composite due to the interphase area: Experimental, analytical and numerical approach". </w:t>
      </w:r>
      <w:r w:rsidRPr="00430285">
        <w:rPr>
          <w:rFonts w:cs="Times New Roman"/>
          <w:i/>
          <w:iCs/>
          <w:noProof/>
          <w:szCs w:val="24"/>
        </w:rPr>
        <w:t>Composite Structures</w:t>
      </w:r>
      <w:r w:rsidRPr="00430285">
        <w:rPr>
          <w:rFonts w:cs="Times New Roman"/>
          <w:noProof/>
          <w:szCs w:val="24"/>
        </w:rPr>
        <w:t>, 2013;97:296–303.</w:t>
      </w:r>
    </w:p>
    <w:p w14:paraId="2EE7472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[21]</w:t>
      </w:r>
      <w:r w:rsidRPr="00430285">
        <w:rPr>
          <w:rFonts w:cs="Times New Roman"/>
          <w:noProof/>
          <w:szCs w:val="24"/>
        </w:rPr>
        <w:tab/>
        <w:t xml:space="preserve">Helmroth I.E., Dekker M. and Hankemeier T. "Additive diffusion from LDPE slabs into contacting solvents as a function of solvent absorption". </w:t>
      </w:r>
      <w:r w:rsidRPr="00430285">
        <w:rPr>
          <w:rFonts w:cs="Times New Roman"/>
          <w:i/>
          <w:iCs/>
          <w:noProof/>
          <w:szCs w:val="24"/>
        </w:rPr>
        <w:t>Journal of Applied Polymer Science</w:t>
      </w:r>
      <w:r w:rsidRPr="00430285">
        <w:rPr>
          <w:rFonts w:cs="Times New Roman"/>
          <w:noProof/>
          <w:szCs w:val="24"/>
        </w:rPr>
        <w:t>, 2003;90:1609–17.</w:t>
      </w:r>
    </w:p>
    <w:p w14:paraId="79A080C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[22]</w:t>
      </w:r>
      <w:r w:rsidRPr="00430285">
        <w:rPr>
          <w:rFonts w:cs="Times New Roman"/>
          <w:noProof/>
          <w:szCs w:val="24"/>
        </w:rPr>
        <w:tab/>
        <w:t xml:space="preserve">Moffet M.L. and La Saponara V. "Rheological properties of neat epoxy exposed to in-service aerospace contaminants". </w:t>
      </w:r>
      <w:r w:rsidRPr="00430285">
        <w:rPr>
          <w:rFonts w:cs="Times New Roman"/>
          <w:i/>
          <w:iCs/>
          <w:noProof/>
          <w:szCs w:val="24"/>
        </w:rPr>
        <w:t>Journal of Applied Polymer Science</w:t>
      </w:r>
      <w:r w:rsidRPr="00430285">
        <w:rPr>
          <w:rFonts w:cs="Times New Roman"/>
          <w:noProof/>
          <w:szCs w:val="24"/>
        </w:rPr>
        <w:t>, 2013;130:3961–71.</w:t>
      </w:r>
    </w:p>
    <w:p w14:paraId="1D79FAB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[23]</w:t>
      </w:r>
      <w:r w:rsidRPr="00430285">
        <w:rPr>
          <w:rFonts w:cs="Times New Roman"/>
          <w:noProof/>
          <w:szCs w:val="24"/>
        </w:rPr>
        <w:tab/>
        <w:t xml:space="preserve">La Saponara V. "Environmental and chemical degradation of carbon/epoxy and structural adhesive for aerospace applications: Fickian and anomalous diffusion, Arrhenius kinetics". </w:t>
      </w:r>
      <w:r w:rsidRPr="00430285">
        <w:rPr>
          <w:rFonts w:cs="Times New Roman"/>
          <w:i/>
          <w:iCs/>
          <w:noProof/>
          <w:szCs w:val="24"/>
        </w:rPr>
        <w:t>Composite Structures</w:t>
      </w:r>
      <w:r w:rsidRPr="00430285">
        <w:rPr>
          <w:rFonts w:cs="Times New Roman"/>
          <w:noProof/>
          <w:szCs w:val="24"/>
        </w:rPr>
        <w:t>, 2011;93:2180–95.</w:t>
      </w:r>
    </w:p>
    <w:p w14:paraId="6B93E17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[24]</w:t>
      </w:r>
      <w:r w:rsidRPr="00430285">
        <w:rPr>
          <w:rFonts w:cs="Times New Roman"/>
          <w:noProof/>
          <w:szCs w:val="24"/>
        </w:rPr>
        <w:tab/>
        <w:t>Hamidi Y., Altan M. and Grady P.B. Polymer Composites. In: Encyclopedia of Chemical Processing. 2005.</w:t>
      </w:r>
    </w:p>
    <w:p w14:paraId="233DB22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[25]</w:t>
      </w:r>
      <w:r w:rsidRPr="00430285">
        <w:rPr>
          <w:rFonts w:cs="Times New Roman"/>
          <w:noProof/>
          <w:szCs w:val="24"/>
        </w:rPr>
        <w:tab/>
        <w:t>Rodriguez F. and Rodriguez F. "Principles of polymer systems" 2003.</w:t>
      </w:r>
    </w:p>
    <w:p w14:paraId="10E7677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lastRenderedPageBreak/>
        <w:t>[26]</w:t>
      </w:r>
      <w:r w:rsidRPr="00430285">
        <w:rPr>
          <w:rFonts w:cs="Times New Roman"/>
          <w:noProof/>
          <w:szCs w:val="24"/>
        </w:rPr>
        <w:tab/>
        <w:t xml:space="preserve">Kim D.H. and Kim H.S. "Waterproof characteristics of nanoclay/epoxy nanocomposite in adhesively bonded joints". </w:t>
      </w:r>
      <w:r w:rsidRPr="00430285">
        <w:rPr>
          <w:rFonts w:cs="Times New Roman"/>
          <w:i/>
          <w:iCs/>
          <w:noProof/>
          <w:szCs w:val="24"/>
        </w:rPr>
        <w:t>Composites Part B: Engineering</w:t>
      </w:r>
      <w:r w:rsidRPr="00430285">
        <w:rPr>
          <w:rFonts w:cs="Times New Roman"/>
          <w:noProof/>
          <w:szCs w:val="24"/>
        </w:rPr>
        <w:t>, 2013;55:86–95.</w:t>
      </w:r>
    </w:p>
    <w:p w14:paraId="1878308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[27]</w:t>
      </w:r>
      <w:r w:rsidRPr="00430285">
        <w:rPr>
          <w:rFonts w:cs="Times New Roman"/>
          <w:noProof/>
          <w:szCs w:val="24"/>
        </w:rPr>
        <w:tab/>
        <w:t xml:space="preserve">Sugita Y., Winkelmann C. and La Saponara V. "Environmental and chemical degradation of carbon/epoxy lap joints for aerospace applications, and effects on their mechanical performance". </w:t>
      </w:r>
      <w:r w:rsidRPr="00430285">
        <w:rPr>
          <w:rFonts w:cs="Times New Roman"/>
          <w:i/>
          <w:iCs/>
          <w:noProof/>
          <w:szCs w:val="24"/>
        </w:rPr>
        <w:t>Composites Science and Technology</w:t>
      </w:r>
      <w:r w:rsidRPr="00430285">
        <w:rPr>
          <w:rFonts w:cs="Times New Roman"/>
          <w:noProof/>
          <w:szCs w:val="24"/>
        </w:rPr>
        <w:t>, 2010;70:829–39.</w:t>
      </w:r>
    </w:p>
    <w:p w14:paraId="55EA295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[28]</w:t>
      </w:r>
      <w:r w:rsidRPr="00430285">
        <w:rPr>
          <w:rFonts w:cs="Times New Roman"/>
          <w:noProof/>
          <w:szCs w:val="24"/>
        </w:rPr>
        <w:tab/>
        <w:t xml:space="preserve">Akil H.M., Santulli C., Sarasini F., Tirillò J. and Valente T. "Environmental effects on the mechanical behaviour of pultruded jute/glass fibre-reinforced polyester hybrid composites". </w:t>
      </w:r>
      <w:r w:rsidRPr="00430285">
        <w:rPr>
          <w:rFonts w:cs="Times New Roman"/>
          <w:i/>
          <w:iCs/>
          <w:noProof/>
          <w:szCs w:val="24"/>
        </w:rPr>
        <w:t>Composites Science and Technology</w:t>
      </w:r>
      <w:r w:rsidRPr="00430285">
        <w:rPr>
          <w:rFonts w:cs="Times New Roman"/>
          <w:noProof/>
          <w:szCs w:val="24"/>
        </w:rPr>
        <w:t>, 2014;94:62–70.</w:t>
      </w:r>
    </w:p>
    <w:p w14:paraId="134001D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[29]</w:t>
      </w:r>
      <w:r w:rsidRPr="00430285">
        <w:rPr>
          <w:rFonts w:cs="Times New Roman"/>
          <w:noProof/>
          <w:szCs w:val="24"/>
        </w:rPr>
        <w:tab/>
        <w:t xml:space="preserve">Adhikary K.B., Pang S. and Staiger M.P. "Long-term moisture absorption and thickness swelling behaviour of recycled thermoplastics reinforced with Pinus radiata sawdust". </w:t>
      </w:r>
      <w:r w:rsidRPr="00430285">
        <w:rPr>
          <w:rFonts w:cs="Times New Roman"/>
          <w:i/>
          <w:iCs/>
          <w:noProof/>
          <w:szCs w:val="24"/>
        </w:rPr>
        <w:t>Chemical Engineering Journal</w:t>
      </w:r>
      <w:r w:rsidRPr="00430285">
        <w:rPr>
          <w:rFonts w:cs="Times New Roman"/>
          <w:noProof/>
          <w:szCs w:val="24"/>
        </w:rPr>
        <w:t>, 2008;142:190–8.</w:t>
      </w:r>
    </w:p>
    <w:p w14:paraId="199245E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[30]</w:t>
      </w:r>
      <w:r w:rsidRPr="00430285">
        <w:rPr>
          <w:rFonts w:cs="Times New Roman"/>
          <w:noProof/>
          <w:szCs w:val="24"/>
        </w:rPr>
        <w:tab/>
        <w:t xml:space="preserve">Abhilash A.S., Joshi S.P., Mukherjee A. and Mishnaevsky L. "Micromechanics of diffusion-induced damage evolution in reinforced polymers". </w:t>
      </w:r>
      <w:r w:rsidRPr="00430285">
        <w:rPr>
          <w:rFonts w:cs="Times New Roman"/>
          <w:i/>
          <w:iCs/>
          <w:noProof/>
          <w:szCs w:val="24"/>
        </w:rPr>
        <w:t>Composites Science and Technology</w:t>
      </w:r>
      <w:r w:rsidRPr="00430285">
        <w:rPr>
          <w:rFonts w:cs="Times New Roman"/>
          <w:noProof/>
          <w:szCs w:val="24"/>
        </w:rPr>
        <w:t>, 2011;71:333–42.</w:t>
      </w:r>
    </w:p>
    <w:p w14:paraId="1B918C3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[31]</w:t>
      </w:r>
      <w:r w:rsidRPr="00430285">
        <w:rPr>
          <w:rFonts w:cs="Times New Roman"/>
          <w:noProof/>
          <w:szCs w:val="24"/>
        </w:rPr>
        <w:tab/>
        <w:t xml:space="preserve">Visco A.M., Brancato V. and Campo N. "Degradation effects in polyester and vinyl ester resins induced by accelerated aging in seawater". </w:t>
      </w:r>
      <w:r w:rsidRPr="00430285">
        <w:rPr>
          <w:rFonts w:cs="Times New Roman"/>
          <w:i/>
          <w:iCs/>
          <w:noProof/>
          <w:szCs w:val="24"/>
        </w:rPr>
        <w:t>Journal of Composite Materials</w:t>
      </w:r>
      <w:r w:rsidRPr="00430285">
        <w:rPr>
          <w:rFonts w:cs="Times New Roman"/>
          <w:noProof/>
          <w:szCs w:val="24"/>
        </w:rPr>
        <w:t>, 2012;46:2025–40.</w:t>
      </w:r>
    </w:p>
    <w:p w14:paraId="39BDAC4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[32]</w:t>
      </w:r>
      <w:r w:rsidRPr="00430285">
        <w:rPr>
          <w:rFonts w:cs="Times New Roman"/>
          <w:noProof/>
          <w:szCs w:val="24"/>
        </w:rPr>
        <w:tab/>
        <w:t xml:space="preserve">Pérez-Pacheco E., Cauich-Cupul J.I., Valadez-González A. and Herrera-Franco P.J. "Effect of moisture absorption on the mechanical behavior of carbon fiber/epoxy matrix composites". </w:t>
      </w:r>
      <w:r w:rsidRPr="00430285">
        <w:rPr>
          <w:rFonts w:cs="Times New Roman"/>
          <w:i/>
          <w:iCs/>
          <w:noProof/>
          <w:szCs w:val="24"/>
        </w:rPr>
        <w:t>Journal of Materials Science</w:t>
      </w:r>
      <w:r w:rsidRPr="00430285">
        <w:rPr>
          <w:rFonts w:cs="Times New Roman"/>
          <w:noProof/>
          <w:szCs w:val="24"/>
        </w:rPr>
        <w:t>, 2013;48:1873–82.</w:t>
      </w:r>
    </w:p>
    <w:p w14:paraId="3C87929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[33]</w:t>
      </w:r>
      <w:r w:rsidRPr="00430285">
        <w:rPr>
          <w:rFonts w:cs="Times New Roman"/>
          <w:noProof/>
          <w:szCs w:val="24"/>
        </w:rPr>
        <w:tab/>
        <w:t xml:space="preserve">Aktas L., Hamidi Y. and Altan M.C. "Effect of moisture on the mechanical properties of resin transfer molded composites - Part II: Desorption". </w:t>
      </w:r>
      <w:r w:rsidRPr="00430285">
        <w:rPr>
          <w:rFonts w:cs="Times New Roman"/>
          <w:i/>
          <w:iCs/>
          <w:noProof/>
          <w:szCs w:val="24"/>
        </w:rPr>
        <w:t>Journal of Materials Processing and Manufacturing Science</w:t>
      </w:r>
      <w:r w:rsidRPr="00430285">
        <w:rPr>
          <w:rFonts w:cs="Times New Roman"/>
          <w:noProof/>
          <w:szCs w:val="24"/>
        </w:rPr>
        <w:t>, 2002;10:255–67.</w:t>
      </w:r>
    </w:p>
    <w:p w14:paraId="380E659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[34]</w:t>
      </w:r>
      <w:r w:rsidRPr="00430285">
        <w:rPr>
          <w:rFonts w:cs="Times New Roman"/>
          <w:noProof/>
          <w:szCs w:val="24"/>
        </w:rPr>
        <w:tab/>
        <w:t xml:space="preserve">Aktas L., Hamidi Y. and Altan M. "Effect of Moisture on the Mechanical Properties of Resin Transfer Molded Composites - Part I: Absorption". </w:t>
      </w:r>
      <w:r w:rsidRPr="00430285">
        <w:rPr>
          <w:rFonts w:cs="Times New Roman"/>
          <w:i/>
          <w:iCs/>
          <w:noProof/>
          <w:szCs w:val="24"/>
        </w:rPr>
        <w:t>Journal of Materials Processing &amp; Manufacturing Science - J MATER PROCESS MANUF SCI</w:t>
      </w:r>
      <w:r w:rsidRPr="00430285">
        <w:rPr>
          <w:rFonts w:cs="Times New Roman"/>
          <w:noProof/>
          <w:szCs w:val="24"/>
        </w:rPr>
        <w:t>, 2002;10:239–54.</w:t>
      </w:r>
    </w:p>
    <w:p w14:paraId="1B5B61E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[35]</w:t>
      </w:r>
      <w:r w:rsidRPr="00430285">
        <w:rPr>
          <w:rFonts w:cs="Times New Roman"/>
          <w:noProof/>
          <w:szCs w:val="24"/>
        </w:rPr>
        <w:tab/>
        <w:t xml:space="preserve">Selzer R. and Friedrich K. "Mechanical properties and failure behaviour of carbon fibre-reinforced polymer composites under the influence of moisture". </w:t>
      </w:r>
      <w:r w:rsidRPr="00430285">
        <w:rPr>
          <w:rFonts w:cs="Times New Roman"/>
          <w:i/>
          <w:iCs/>
          <w:noProof/>
          <w:szCs w:val="24"/>
        </w:rPr>
        <w:t>Composites Part A: Applied Science and Manufacturing</w:t>
      </w:r>
      <w:r w:rsidRPr="00430285">
        <w:rPr>
          <w:rFonts w:cs="Times New Roman"/>
          <w:noProof/>
          <w:szCs w:val="24"/>
        </w:rPr>
        <w:t>, 1997;28:595–604.</w:t>
      </w:r>
    </w:p>
    <w:p w14:paraId="1BC8199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[36]</w:t>
      </w:r>
      <w:r w:rsidRPr="00430285">
        <w:rPr>
          <w:rFonts w:cs="Times New Roman"/>
          <w:noProof/>
          <w:szCs w:val="24"/>
        </w:rPr>
        <w:tab/>
        <w:t xml:space="preserve">Pomies F. and Carlsson L.A. "Analysis of Modulus and Strength of Dry and Wet Thermoset and Thermoplastic Composites Loaded in Transverse Tension". </w:t>
      </w:r>
      <w:r w:rsidRPr="00430285">
        <w:rPr>
          <w:rFonts w:cs="Times New Roman"/>
          <w:i/>
          <w:iCs/>
          <w:noProof/>
          <w:szCs w:val="24"/>
        </w:rPr>
        <w:t>Journal of Composite Materials</w:t>
      </w:r>
      <w:r w:rsidRPr="00430285">
        <w:rPr>
          <w:rFonts w:cs="Times New Roman"/>
          <w:noProof/>
          <w:szCs w:val="24"/>
        </w:rPr>
        <w:t>, 1994;28:22–35.</w:t>
      </w:r>
    </w:p>
    <w:p w14:paraId="668B5A1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[37]</w:t>
      </w:r>
      <w:r w:rsidRPr="00430285">
        <w:rPr>
          <w:rFonts w:cs="Times New Roman"/>
          <w:noProof/>
          <w:szCs w:val="24"/>
        </w:rPr>
        <w:tab/>
        <w:t xml:space="preserve">Regazzi A., Léger R., Corn S. and Ienny P. "Modeling of hydrothermal aging of short flax fiber reinforced composites". </w:t>
      </w:r>
      <w:r w:rsidRPr="00430285">
        <w:rPr>
          <w:rFonts w:cs="Times New Roman"/>
          <w:i/>
          <w:iCs/>
          <w:noProof/>
          <w:szCs w:val="24"/>
        </w:rPr>
        <w:t xml:space="preserve">Composites Part A: Applied Science and </w:t>
      </w:r>
      <w:r w:rsidRPr="00430285">
        <w:rPr>
          <w:rFonts w:cs="Times New Roman"/>
          <w:i/>
          <w:iCs/>
          <w:noProof/>
          <w:szCs w:val="24"/>
        </w:rPr>
        <w:lastRenderedPageBreak/>
        <w:t>Manufacturing</w:t>
      </w:r>
      <w:r w:rsidRPr="00430285">
        <w:rPr>
          <w:rFonts w:cs="Times New Roman"/>
          <w:noProof/>
          <w:szCs w:val="24"/>
        </w:rPr>
        <w:t>, 2016;90:559–66.</w:t>
      </w:r>
    </w:p>
    <w:p w14:paraId="0B0B740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[38]</w:t>
      </w:r>
      <w:r w:rsidRPr="00430285">
        <w:rPr>
          <w:rFonts w:cs="Times New Roman"/>
          <w:noProof/>
          <w:szCs w:val="24"/>
        </w:rPr>
        <w:tab/>
        <w:t xml:space="preserve">Eftekhari M. and Fatemi A. "Tensile behavior of thermoplastic composites including temperature, moisture, and hygrothermal effects". </w:t>
      </w:r>
      <w:r w:rsidRPr="00430285">
        <w:rPr>
          <w:rFonts w:cs="Times New Roman"/>
          <w:i/>
          <w:iCs/>
          <w:noProof/>
          <w:szCs w:val="24"/>
        </w:rPr>
        <w:t>Polymer Testing</w:t>
      </w:r>
      <w:r w:rsidRPr="00430285">
        <w:rPr>
          <w:rFonts w:cs="Times New Roman"/>
          <w:noProof/>
          <w:szCs w:val="24"/>
        </w:rPr>
        <w:t>, 2016;51:151–64.</w:t>
      </w:r>
    </w:p>
    <w:p w14:paraId="516F045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[39]</w:t>
      </w:r>
      <w:r w:rsidRPr="00430285">
        <w:rPr>
          <w:rFonts w:cs="Times New Roman"/>
          <w:noProof/>
          <w:szCs w:val="24"/>
        </w:rPr>
        <w:tab/>
        <w:t xml:space="preserve">Peret T., Clement A., Freour S. and Jacquemin F. "Numerical transient hygro-elastic analyses of reinforced Fickian and non-Fickian polymers". </w:t>
      </w:r>
      <w:r w:rsidRPr="00430285">
        <w:rPr>
          <w:rFonts w:cs="Times New Roman"/>
          <w:i/>
          <w:iCs/>
          <w:noProof/>
          <w:szCs w:val="24"/>
        </w:rPr>
        <w:t>Composite Structures</w:t>
      </w:r>
      <w:r w:rsidRPr="00430285">
        <w:rPr>
          <w:rFonts w:cs="Times New Roman"/>
          <w:noProof/>
          <w:szCs w:val="24"/>
        </w:rPr>
        <w:t>, 2014;116:395–403.</w:t>
      </w:r>
    </w:p>
    <w:p w14:paraId="2B054DC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[40]</w:t>
      </w:r>
      <w:r w:rsidRPr="00430285">
        <w:rPr>
          <w:rFonts w:cs="Times New Roman"/>
          <w:noProof/>
          <w:szCs w:val="24"/>
        </w:rPr>
        <w:tab/>
        <w:t xml:space="preserve">Reimschuessel H.K. and Chemical A. "Relationships on the effect of water on glass transition temperature and young ’ s modulus of nylon 6". </w:t>
      </w:r>
      <w:r w:rsidRPr="00430285">
        <w:rPr>
          <w:rFonts w:cs="Times New Roman"/>
          <w:i/>
          <w:iCs/>
          <w:noProof/>
          <w:szCs w:val="24"/>
        </w:rPr>
        <w:t>Journal of Polymer Science: Polymer Chemisrty Edition</w:t>
      </w:r>
      <w:r w:rsidRPr="00430285">
        <w:rPr>
          <w:rFonts w:cs="Times New Roman"/>
          <w:noProof/>
          <w:szCs w:val="24"/>
        </w:rPr>
        <w:t>, 1978;16:1229–36.</w:t>
      </w:r>
    </w:p>
    <w:p w14:paraId="05848CA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[41]</w:t>
      </w:r>
      <w:r w:rsidRPr="00430285">
        <w:rPr>
          <w:rFonts w:cs="Times New Roman"/>
          <w:noProof/>
          <w:szCs w:val="24"/>
        </w:rPr>
        <w:tab/>
        <w:t xml:space="preserve">Youssef Z., Jacquemin F., Gloaguen D. and Guillén R. "A multiscale hygroviscoelastic approach to predicting the internal stresses in composite materials". </w:t>
      </w:r>
      <w:r w:rsidRPr="00430285">
        <w:rPr>
          <w:rFonts w:cs="Times New Roman"/>
          <w:i/>
          <w:iCs/>
          <w:noProof/>
          <w:szCs w:val="24"/>
        </w:rPr>
        <w:t>Mechanics of Composite Materials</w:t>
      </w:r>
      <w:r w:rsidRPr="00430285">
        <w:rPr>
          <w:rFonts w:cs="Times New Roman"/>
          <w:noProof/>
          <w:szCs w:val="24"/>
        </w:rPr>
        <w:t>, 2010;46:201–10.</w:t>
      </w:r>
    </w:p>
    <w:p w14:paraId="49159F1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[42]</w:t>
      </w:r>
      <w:r w:rsidRPr="00430285">
        <w:rPr>
          <w:rFonts w:cs="Times New Roman"/>
          <w:noProof/>
          <w:szCs w:val="24"/>
        </w:rPr>
        <w:tab/>
        <w:t xml:space="preserve">Fick A. "Ueber Difusion;". </w:t>
      </w:r>
      <w:r w:rsidRPr="00430285">
        <w:rPr>
          <w:rFonts w:cs="Times New Roman"/>
          <w:i/>
          <w:iCs/>
          <w:noProof/>
          <w:szCs w:val="24"/>
        </w:rPr>
        <w:t>Annalen Der Physik</w:t>
      </w:r>
      <w:r w:rsidRPr="00430285">
        <w:rPr>
          <w:rFonts w:cs="Times New Roman"/>
          <w:noProof/>
          <w:szCs w:val="24"/>
        </w:rPr>
        <w:t>, 1855.</w:t>
      </w:r>
    </w:p>
    <w:p w14:paraId="5D8511D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[43]</w:t>
      </w:r>
      <w:r w:rsidRPr="00430285">
        <w:rPr>
          <w:rFonts w:cs="Times New Roman"/>
          <w:noProof/>
          <w:szCs w:val="24"/>
        </w:rPr>
        <w:tab/>
        <w:t xml:space="preserve">Shen C.-H. and Springer G.S. "Moisture Absorption and Desorption of Composite Materials". </w:t>
      </w:r>
      <w:r w:rsidRPr="00430285">
        <w:rPr>
          <w:rFonts w:cs="Times New Roman"/>
          <w:i/>
          <w:iCs/>
          <w:noProof/>
          <w:szCs w:val="24"/>
        </w:rPr>
        <w:t>Journal of Composite Materials</w:t>
      </w:r>
      <w:r w:rsidRPr="00430285">
        <w:rPr>
          <w:rFonts w:cs="Times New Roman"/>
          <w:noProof/>
          <w:szCs w:val="24"/>
        </w:rPr>
        <w:t>, 1976;10:2–20.</w:t>
      </w:r>
    </w:p>
    <w:p w14:paraId="55095E4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[44]</w:t>
      </w:r>
      <w:r w:rsidRPr="00430285">
        <w:rPr>
          <w:rFonts w:cs="Times New Roman"/>
          <w:noProof/>
          <w:szCs w:val="24"/>
        </w:rPr>
        <w:tab/>
        <w:t xml:space="preserve">Joliff Y., Belec L., Heman M.B. and Chailan J.F. "Experimental, analytical and numerical study of water diffusion in unidirectional composite materials - Interphase impact". </w:t>
      </w:r>
      <w:r w:rsidRPr="00430285">
        <w:rPr>
          <w:rFonts w:cs="Times New Roman"/>
          <w:i/>
          <w:iCs/>
          <w:noProof/>
          <w:szCs w:val="24"/>
        </w:rPr>
        <w:t>Computational Materials Science</w:t>
      </w:r>
      <w:r w:rsidRPr="00430285">
        <w:rPr>
          <w:rFonts w:cs="Times New Roman"/>
          <w:noProof/>
          <w:szCs w:val="24"/>
        </w:rPr>
        <w:t>, 2012;64:141–5.</w:t>
      </w:r>
    </w:p>
    <w:p w14:paraId="6373DF4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[45]</w:t>
      </w:r>
      <w:r w:rsidRPr="00430285">
        <w:rPr>
          <w:rFonts w:cs="Times New Roman"/>
          <w:noProof/>
          <w:szCs w:val="24"/>
        </w:rPr>
        <w:tab/>
        <w:t xml:space="preserve">Rao R.M.V.G.K., Chanda M. and Balasubramanian N. "A Fickian Diffusion Model for Permeable Fibre Polymer Composites". </w:t>
      </w:r>
      <w:r w:rsidRPr="00430285">
        <w:rPr>
          <w:rFonts w:cs="Times New Roman"/>
          <w:i/>
          <w:iCs/>
          <w:noProof/>
          <w:szCs w:val="24"/>
        </w:rPr>
        <w:t>Journal of Reinforced Plastics and Composites</w:t>
      </w:r>
      <w:r w:rsidRPr="00430285">
        <w:rPr>
          <w:rFonts w:cs="Times New Roman"/>
          <w:noProof/>
          <w:szCs w:val="24"/>
        </w:rPr>
        <w:t>, 1983;2:289–99.</w:t>
      </w:r>
    </w:p>
    <w:p w14:paraId="6F4A8EA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[46]</w:t>
      </w:r>
      <w:r w:rsidRPr="00430285">
        <w:rPr>
          <w:rFonts w:cs="Times New Roman"/>
          <w:noProof/>
          <w:szCs w:val="24"/>
        </w:rPr>
        <w:tab/>
        <w:t xml:space="preserve">Hayward D., Hollins E., Johncock P., McEwan I., Pethrick R.A. and Pollock E.A. "The cure and diffusion of water in halogen containing epoxy/amine thermosets". </w:t>
      </w:r>
      <w:r w:rsidRPr="00430285">
        <w:rPr>
          <w:rFonts w:cs="Times New Roman"/>
          <w:i/>
          <w:iCs/>
          <w:noProof/>
          <w:szCs w:val="24"/>
        </w:rPr>
        <w:t>Polymer</w:t>
      </w:r>
      <w:r w:rsidRPr="00430285">
        <w:rPr>
          <w:rFonts w:cs="Times New Roman"/>
          <w:noProof/>
          <w:szCs w:val="24"/>
        </w:rPr>
        <w:t>, 1997;38:1151–68.</w:t>
      </w:r>
    </w:p>
    <w:p w14:paraId="1A50467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[47]</w:t>
      </w:r>
      <w:r w:rsidRPr="00430285">
        <w:rPr>
          <w:rFonts w:cs="Times New Roman"/>
          <w:noProof/>
          <w:szCs w:val="24"/>
        </w:rPr>
        <w:tab/>
        <w:t xml:space="preserve">Al-Harthi M., Loughlin K. and Kahraman R. "Moisture diffusion into epoxy adhesive: Testing and modeling". </w:t>
      </w:r>
      <w:r w:rsidRPr="00430285">
        <w:rPr>
          <w:rFonts w:cs="Times New Roman"/>
          <w:i/>
          <w:iCs/>
          <w:noProof/>
          <w:szCs w:val="24"/>
        </w:rPr>
        <w:t>Adsorption</w:t>
      </w:r>
      <w:r w:rsidRPr="00430285">
        <w:rPr>
          <w:rFonts w:cs="Times New Roman"/>
          <w:noProof/>
          <w:szCs w:val="24"/>
        </w:rPr>
        <w:t>, 2007;13:115–20.</w:t>
      </w:r>
    </w:p>
    <w:p w14:paraId="14AAE42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[48]</w:t>
      </w:r>
      <w:r w:rsidRPr="00430285">
        <w:rPr>
          <w:rFonts w:cs="Times New Roman"/>
          <w:noProof/>
          <w:szCs w:val="24"/>
        </w:rPr>
        <w:tab/>
        <w:t xml:space="preserve">Mensitieri G., Lavorgna M., Musto P. and Ragosta G. "Water transport in densely crosslinked networks: A comparison between epoxy systems having different interactive characters". </w:t>
      </w:r>
      <w:r w:rsidRPr="00430285">
        <w:rPr>
          <w:rFonts w:cs="Times New Roman"/>
          <w:i/>
          <w:iCs/>
          <w:noProof/>
          <w:szCs w:val="24"/>
        </w:rPr>
        <w:t>Polymer</w:t>
      </w:r>
      <w:r w:rsidRPr="00430285">
        <w:rPr>
          <w:rFonts w:cs="Times New Roman"/>
          <w:noProof/>
          <w:szCs w:val="24"/>
        </w:rPr>
        <w:t>, 2006;47:8326–36.</w:t>
      </w:r>
    </w:p>
    <w:p w14:paraId="7B00294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[49]</w:t>
      </w:r>
      <w:r w:rsidRPr="00430285">
        <w:rPr>
          <w:rFonts w:cs="Times New Roman"/>
          <w:noProof/>
          <w:szCs w:val="24"/>
        </w:rPr>
        <w:tab/>
        <w:t xml:space="preserve">Roy S., Xu W.X., Park S.J. and Liechti K.M. "Anomalous Moisture Diffusion in Viscoelastic Polymers: Modeling and Testing". </w:t>
      </w:r>
      <w:r w:rsidRPr="00430285">
        <w:rPr>
          <w:rFonts w:cs="Times New Roman"/>
          <w:i/>
          <w:iCs/>
          <w:noProof/>
          <w:szCs w:val="24"/>
        </w:rPr>
        <w:t>Journal of Applied Mechanics</w:t>
      </w:r>
      <w:r w:rsidRPr="00430285">
        <w:rPr>
          <w:rFonts w:cs="Times New Roman"/>
          <w:noProof/>
          <w:szCs w:val="24"/>
        </w:rPr>
        <w:t>, 2000;67:391.</w:t>
      </w:r>
    </w:p>
    <w:p w14:paraId="503C529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[50]</w:t>
      </w:r>
      <w:r w:rsidRPr="00430285">
        <w:rPr>
          <w:rFonts w:cs="Times New Roman"/>
          <w:noProof/>
          <w:szCs w:val="24"/>
        </w:rPr>
        <w:tab/>
        <w:t xml:space="preserve">Jacobs P.M. and Jones E.R. "Diffusion of moisture into two-phase polymers - Part 2 Styrenated polyester resins". </w:t>
      </w:r>
      <w:r w:rsidRPr="00430285">
        <w:rPr>
          <w:rFonts w:cs="Times New Roman"/>
          <w:i/>
          <w:iCs/>
          <w:noProof/>
          <w:szCs w:val="24"/>
        </w:rPr>
        <w:t>Journal of Materials Science</w:t>
      </w:r>
      <w:r w:rsidRPr="00430285">
        <w:rPr>
          <w:rFonts w:cs="Times New Roman"/>
          <w:noProof/>
          <w:szCs w:val="24"/>
        </w:rPr>
        <w:t>, 1989;24:2343–7.</w:t>
      </w:r>
    </w:p>
    <w:p w14:paraId="35398E4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lastRenderedPageBreak/>
        <w:t>[51]</w:t>
      </w:r>
      <w:r w:rsidRPr="00430285">
        <w:rPr>
          <w:rFonts w:cs="Times New Roman"/>
          <w:noProof/>
          <w:szCs w:val="24"/>
        </w:rPr>
        <w:tab/>
        <w:t xml:space="preserve">Maggana C. and Pissis P. "Water Sorption and Diffusion in an Epoxy Resin System". </w:t>
      </w:r>
      <w:r w:rsidRPr="00430285">
        <w:rPr>
          <w:rFonts w:cs="Times New Roman"/>
          <w:i/>
          <w:iCs/>
          <w:noProof/>
          <w:szCs w:val="24"/>
        </w:rPr>
        <w:t>Journal Of Polymer Science Part B-Polymer Physics</w:t>
      </w:r>
      <w:r w:rsidRPr="00430285">
        <w:rPr>
          <w:rFonts w:cs="Times New Roman"/>
          <w:noProof/>
          <w:szCs w:val="24"/>
        </w:rPr>
        <w:t>, 1999;37:1165–82.</w:t>
      </w:r>
    </w:p>
    <w:p w14:paraId="7C13F35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[52]</w:t>
      </w:r>
      <w:r w:rsidRPr="00430285">
        <w:rPr>
          <w:rFonts w:cs="Times New Roman"/>
          <w:noProof/>
          <w:szCs w:val="24"/>
        </w:rPr>
        <w:tab/>
        <w:t xml:space="preserve">Berens A.R. and Hopfenberg H.B. "Diffusion and relaxation in glassy polymer powders: 2. Separation of diffusion and relaxation parameters". </w:t>
      </w:r>
      <w:r w:rsidRPr="00430285">
        <w:rPr>
          <w:rFonts w:cs="Times New Roman"/>
          <w:i/>
          <w:iCs/>
          <w:noProof/>
          <w:szCs w:val="24"/>
        </w:rPr>
        <w:t>Polymer</w:t>
      </w:r>
      <w:r w:rsidRPr="00430285">
        <w:rPr>
          <w:rFonts w:cs="Times New Roman"/>
          <w:noProof/>
          <w:szCs w:val="24"/>
        </w:rPr>
        <w:t>, 1978;19:489–96.</w:t>
      </w:r>
    </w:p>
    <w:p w14:paraId="246B1744"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[53]</w:t>
      </w:r>
      <w:r w:rsidRPr="00430285">
        <w:rPr>
          <w:rFonts w:cs="Times New Roman"/>
          <w:noProof/>
          <w:szCs w:val="24"/>
        </w:rPr>
        <w:tab/>
        <w:t xml:space="preserve">Berens A.R. "Induction and Measurement of Glassy-State Relaxations by Vapor Sorption Techniques". </w:t>
      </w:r>
      <w:r w:rsidRPr="00430285">
        <w:rPr>
          <w:rFonts w:cs="Times New Roman"/>
          <w:i/>
          <w:iCs/>
          <w:noProof/>
          <w:szCs w:val="24"/>
        </w:rPr>
        <w:t>Journal of Polymer Science</w:t>
      </w:r>
      <w:r w:rsidRPr="00430285">
        <w:rPr>
          <w:rFonts w:cs="Times New Roman"/>
          <w:noProof/>
          <w:szCs w:val="24"/>
        </w:rPr>
        <w:t>, 1979;17:1757–70.</w:t>
      </w:r>
    </w:p>
    <w:p w14:paraId="3B684A4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[54]</w:t>
      </w:r>
      <w:r w:rsidRPr="00430285">
        <w:rPr>
          <w:rFonts w:cs="Times New Roman"/>
          <w:noProof/>
          <w:szCs w:val="24"/>
        </w:rPr>
        <w:tab/>
        <w:t xml:space="preserve">Carter H.G. and Kibler K.G. "Langmuir-Type Model for Anomalous Moisture Diffusion In Composite Resins". </w:t>
      </w:r>
      <w:r w:rsidRPr="00430285">
        <w:rPr>
          <w:rFonts w:cs="Times New Roman"/>
          <w:i/>
          <w:iCs/>
          <w:noProof/>
          <w:szCs w:val="24"/>
        </w:rPr>
        <w:t>Journal of Composite Materials</w:t>
      </w:r>
      <w:r w:rsidRPr="00430285">
        <w:rPr>
          <w:rFonts w:cs="Times New Roman"/>
          <w:noProof/>
          <w:szCs w:val="24"/>
        </w:rPr>
        <w:t>, 1978;12:118–31.</w:t>
      </w:r>
    </w:p>
    <w:p w14:paraId="2AF6063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[55]</w:t>
      </w:r>
      <w:r w:rsidRPr="00430285">
        <w:rPr>
          <w:rFonts w:cs="Times New Roman"/>
          <w:noProof/>
          <w:szCs w:val="24"/>
        </w:rPr>
        <w:tab/>
        <w:t xml:space="preserve">Grace L.R. and Altan M.C. "Non‐Fickian three-dimensional hindered moisture absorption in polymeric composites: Model development and validation". </w:t>
      </w:r>
      <w:r w:rsidRPr="00430285">
        <w:rPr>
          <w:rFonts w:cs="Times New Roman"/>
          <w:i/>
          <w:iCs/>
          <w:noProof/>
          <w:szCs w:val="24"/>
        </w:rPr>
        <w:t>Polymer Composites</w:t>
      </w:r>
      <w:r w:rsidRPr="00430285">
        <w:rPr>
          <w:rFonts w:cs="Times New Roman"/>
          <w:noProof/>
          <w:szCs w:val="24"/>
        </w:rPr>
        <w:t>, 2013;34:1144–57.</w:t>
      </w:r>
    </w:p>
    <w:p w14:paraId="3B5A55C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[56]</w:t>
      </w:r>
      <w:r w:rsidRPr="00430285">
        <w:rPr>
          <w:rFonts w:cs="Times New Roman"/>
          <w:noProof/>
          <w:szCs w:val="24"/>
        </w:rPr>
        <w:tab/>
        <w:t xml:space="preserve">Lee M.C. and Peppas N.A. "Water transport in epoxy resins". </w:t>
      </w:r>
      <w:r w:rsidRPr="00430285">
        <w:rPr>
          <w:rFonts w:cs="Times New Roman"/>
          <w:i/>
          <w:iCs/>
          <w:noProof/>
          <w:szCs w:val="24"/>
        </w:rPr>
        <w:t>Progress in Polymer Science</w:t>
      </w:r>
      <w:r w:rsidRPr="00430285">
        <w:rPr>
          <w:rFonts w:cs="Times New Roman"/>
          <w:noProof/>
          <w:szCs w:val="24"/>
        </w:rPr>
        <w:t>, 1993;18:947–61.</w:t>
      </w:r>
    </w:p>
    <w:p w14:paraId="139AC58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[57]</w:t>
      </w:r>
      <w:r w:rsidRPr="00430285">
        <w:rPr>
          <w:rFonts w:cs="Times New Roman"/>
          <w:noProof/>
          <w:szCs w:val="24"/>
        </w:rPr>
        <w:tab/>
        <w:t xml:space="preserve">Grace L.R. and Altan M.C. "Characterization of anisotropic moisture absorption in polymeric composites using hindered diffusion model". </w:t>
      </w:r>
      <w:r w:rsidRPr="00430285">
        <w:rPr>
          <w:rFonts w:cs="Times New Roman"/>
          <w:i/>
          <w:iCs/>
          <w:noProof/>
          <w:szCs w:val="24"/>
        </w:rPr>
        <w:t>Composites Part A: Applied Science and Manufacturing</w:t>
      </w:r>
      <w:r w:rsidRPr="00430285">
        <w:rPr>
          <w:rFonts w:cs="Times New Roman"/>
          <w:noProof/>
          <w:szCs w:val="24"/>
        </w:rPr>
        <w:t>, 2012;43:1187–96.</w:t>
      </w:r>
    </w:p>
    <w:p w14:paraId="3397E7D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[58]</w:t>
      </w:r>
      <w:r w:rsidRPr="00430285">
        <w:rPr>
          <w:rFonts w:cs="Times New Roman"/>
          <w:noProof/>
          <w:szCs w:val="24"/>
        </w:rPr>
        <w:tab/>
        <w:t>Vanlandingham M.R., Eduljee R.F. and Gillespie J.W. "Relationships between Stoichiometry, Microstructure, and Properties for Amine-Cured Epoxies" 2001:699–712.</w:t>
      </w:r>
    </w:p>
    <w:p w14:paraId="65A6E8B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[59]</w:t>
      </w:r>
      <w:r w:rsidRPr="00430285">
        <w:rPr>
          <w:rFonts w:cs="Times New Roman"/>
          <w:noProof/>
          <w:szCs w:val="24"/>
        </w:rPr>
        <w:tab/>
        <w:t>Yosomiya R., Morimoto K., Nakajima A., Ikaka Y. and Suzuki T. Adhesion and Bonding in Composites. Taylor &amp; Francis; 1989.</w:t>
      </w:r>
    </w:p>
    <w:p w14:paraId="4F3BAA9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[60]</w:t>
      </w:r>
      <w:r w:rsidRPr="00430285">
        <w:rPr>
          <w:rFonts w:cs="Times New Roman"/>
          <w:noProof/>
          <w:szCs w:val="24"/>
        </w:rPr>
        <w:tab/>
        <w:t xml:space="preserve">Arao Y., Koyanagi J., Hatta H. and Kawada H. "Analysis of Time-Dependent Deformation of CFRP Considering the Anisotropy of Moisture Diffusion". </w:t>
      </w:r>
      <w:r w:rsidRPr="00430285">
        <w:rPr>
          <w:rFonts w:cs="Times New Roman"/>
          <w:i/>
          <w:iCs/>
          <w:noProof/>
          <w:szCs w:val="24"/>
        </w:rPr>
        <w:t>Advanced Composite Materials</w:t>
      </w:r>
      <w:r w:rsidRPr="00430285">
        <w:rPr>
          <w:rFonts w:cs="Times New Roman"/>
          <w:noProof/>
          <w:szCs w:val="24"/>
        </w:rPr>
        <w:t>, 2008;17:359–72.</w:t>
      </w:r>
    </w:p>
    <w:p w14:paraId="3F0C86C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[61]</w:t>
      </w:r>
      <w:r w:rsidRPr="00430285">
        <w:rPr>
          <w:rFonts w:cs="Times New Roman"/>
          <w:noProof/>
          <w:szCs w:val="24"/>
        </w:rPr>
        <w:tab/>
        <w:t xml:space="preserve">Aktas L., Hamidi Y.K. and Altan M.C. "Combined Edge and Anisotropy Effects on Fickian Mass Diffusion in Polymer Composites". </w:t>
      </w:r>
      <w:r w:rsidRPr="00430285">
        <w:rPr>
          <w:rFonts w:cs="Times New Roman"/>
          <w:i/>
          <w:iCs/>
          <w:noProof/>
          <w:szCs w:val="24"/>
        </w:rPr>
        <w:t>Journal of Engineering Materials and Technology</w:t>
      </w:r>
      <w:r w:rsidRPr="00430285">
        <w:rPr>
          <w:rFonts w:cs="Times New Roman"/>
          <w:noProof/>
          <w:szCs w:val="24"/>
        </w:rPr>
        <w:t>, 2004;126:427.</w:t>
      </w:r>
    </w:p>
    <w:p w14:paraId="5E9C2A6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[62]</w:t>
      </w:r>
      <w:r w:rsidRPr="00430285">
        <w:rPr>
          <w:rFonts w:cs="Times New Roman"/>
          <w:noProof/>
          <w:szCs w:val="24"/>
        </w:rPr>
        <w:tab/>
        <w:t>Guloglu G.E., Hurdelbrink K.R., Anderson J.P. and Altan M.C. "Experimental and theoretical investigation of non-Fickian moisture absorption of quartz/BMI laminates fabricated by preconditioned prepregs" 2016;120012:120012.</w:t>
      </w:r>
    </w:p>
    <w:p w14:paraId="2814B48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[63]</w:t>
      </w:r>
      <w:r w:rsidRPr="00430285">
        <w:rPr>
          <w:rFonts w:cs="Times New Roman"/>
          <w:noProof/>
          <w:szCs w:val="24"/>
        </w:rPr>
        <w:tab/>
        <w:t xml:space="preserve">Glaskova T.I., Guedes R.M., Morais J.J. and Aniskevich A.N. "A comparative analysis of moisture transport models as applied to an epoxy binder". </w:t>
      </w:r>
      <w:r w:rsidRPr="00430285">
        <w:rPr>
          <w:rFonts w:cs="Times New Roman"/>
          <w:i/>
          <w:iCs/>
          <w:noProof/>
          <w:szCs w:val="24"/>
        </w:rPr>
        <w:t>Mechanics of Composite Materials</w:t>
      </w:r>
      <w:r w:rsidRPr="00430285">
        <w:rPr>
          <w:rFonts w:cs="Times New Roman"/>
          <w:noProof/>
          <w:szCs w:val="24"/>
        </w:rPr>
        <w:t>, 2007;43:377–88.</w:t>
      </w:r>
    </w:p>
    <w:p w14:paraId="3D5D539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[64]</w:t>
      </w:r>
      <w:r w:rsidRPr="00430285">
        <w:rPr>
          <w:rFonts w:cs="Times New Roman"/>
          <w:noProof/>
          <w:szCs w:val="24"/>
        </w:rPr>
        <w:tab/>
        <w:t xml:space="preserve">Boukhoulda F.B., Guillaumat L., Lataillade J.L., Adda-Bedia E. and Lousdad A. </w:t>
      </w:r>
      <w:r w:rsidRPr="00430285">
        <w:rPr>
          <w:rFonts w:cs="Times New Roman"/>
          <w:noProof/>
          <w:szCs w:val="24"/>
        </w:rPr>
        <w:lastRenderedPageBreak/>
        <w:t xml:space="preserve">"Aging-impact coupling based analysis upon glass/polyester composite material in hygrothermal environment". </w:t>
      </w:r>
      <w:r w:rsidRPr="00430285">
        <w:rPr>
          <w:rFonts w:cs="Times New Roman"/>
          <w:i/>
          <w:iCs/>
          <w:noProof/>
          <w:szCs w:val="24"/>
        </w:rPr>
        <w:t>Materials and Design</w:t>
      </w:r>
      <w:r w:rsidRPr="00430285">
        <w:rPr>
          <w:rFonts w:cs="Times New Roman"/>
          <w:noProof/>
          <w:szCs w:val="24"/>
        </w:rPr>
        <w:t>, 2011;32:4080–7.</w:t>
      </w:r>
    </w:p>
    <w:p w14:paraId="405D81F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[65]</w:t>
      </w:r>
      <w:r w:rsidRPr="00430285">
        <w:rPr>
          <w:rFonts w:cs="Times New Roman"/>
          <w:noProof/>
          <w:szCs w:val="24"/>
        </w:rPr>
        <w:tab/>
        <w:t xml:space="preserve">Grace L.R. and Altan M.C. "Three‐dimensional anisotropic moisture absorption in quartz‐reinforced bismaleimide laminates". </w:t>
      </w:r>
      <w:r w:rsidRPr="00430285">
        <w:rPr>
          <w:rFonts w:cs="Times New Roman"/>
          <w:i/>
          <w:iCs/>
          <w:noProof/>
          <w:szCs w:val="24"/>
        </w:rPr>
        <w:t>Polymer Engineering &amp; Science</w:t>
      </w:r>
      <w:r w:rsidRPr="00430285">
        <w:rPr>
          <w:rFonts w:cs="Times New Roman"/>
          <w:noProof/>
          <w:szCs w:val="24"/>
        </w:rPr>
        <w:t>, 2013;54:137–46.</w:t>
      </w:r>
    </w:p>
    <w:p w14:paraId="5E4F584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[66]</w:t>
      </w:r>
      <w:r w:rsidRPr="00430285">
        <w:rPr>
          <w:rFonts w:cs="Times New Roman"/>
          <w:noProof/>
          <w:szCs w:val="24"/>
        </w:rPr>
        <w:tab/>
        <w:t xml:space="preserve">Aronhime M.T., Peng X., Gillham J.K. and Small R.D. "Effect of time‐temperature path of cure on the water absorption of high Tgepoxy resins". </w:t>
      </w:r>
      <w:r w:rsidRPr="00430285">
        <w:rPr>
          <w:rFonts w:cs="Times New Roman"/>
          <w:i/>
          <w:iCs/>
          <w:noProof/>
          <w:szCs w:val="24"/>
        </w:rPr>
        <w:t>Journal of Applied Polymer Science</w:t>
      </w:r>
      <w:r w:rsidRPr="00430285">
        <w:rPr>
          <w:rFonts w:cs="Times New Roman"/>
          <w:noProof/>
          <w:szCs w:val="24"/>
        </w:rPr>
        <w:t>, 1986;32:3589–626.</w:t>
      </w:r>
    </w:p>
    <w:p w14:paraId="24F9EE6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[67]</w:t>
      </w:r>
      <w:r w:rsidRPr="00430285">
        <w:rPr>
          <w:rFonts w:cs="Times New Roman"/>
          <w:noProof/>
          <w:szCs w:val="24"/>
        </w:rPr>
        <w:tab/>
        <w:t xml:space="preserve">LaPlante G. and Lee-Sullivan P. "Moisture effects on FM300 structural film adhesive: Stress relaxation, fracture toughness, and dynamic mechanical analysis". </w:t>
      </w:r>
      <w:r w:rsidRPr="00430285">
        <w:rPr>
          <w:rFonts w:cs="Times New Roman"/>
          <w:i/>
          <w:iCs/>
          <w:noProof/>
          <w:szCs w:val="24"/>
        </w:rPr>
        <w:t>Journal of Applied Polymer Science</w:t>
      </w:r>
      <w:r w:rsidRPr="00430285">
        <w:rPr>
          <w:rFonts w:cs="Times New Roman"/>
          <w:noProof/>
          <w:szCs w:val="24"/>
        </w:rPr>
        <w:t>, 2005;95:1285–94.</w:t>
      </w:r>
    </w:p>
    <w:p w14:paraId="233B22F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[68]</w:t>
      </w:r>
      <w:r w:rsidRPr="00430285">
        <w:rPr>
          <w:rFonts w:cs="Times New Roman"/>
          <w:noProof/>
          <w:szCs w:val="24"/>
        </w:rPr>
        <w:tab/>
        <w:t xml:space="preserve">Liu W., Hoa S. V. and Pugh M. "Water uptake of epoxy-clay nanocomposites: Model development". </w:t>
      </w:r>
      <w:r w:rsidRPr="00430285">
        <w:rPr>
          <w:rFonts w:cs="Times New Roman"/>
          <w:i/>
          <w:iCs/>
          <w:noProof/>
          <w:szCs w:val="24"/>
        </w:rPr>
        <w:t>Composites Science and Technology</w:t>
      </w:r>
      <w:r w:rsidRPr="00430285">
        <w:rPr>
          <w:rFonts w:cs="Times New Roman"/>
          <w:noProof/>
          <w:szCs w:val="24"/>
        </w:rPr>
        <w:t>, 2008;68:156–63.</w:t>
      </w:r>
    </w:p>
    <w:p w14:paraId="2EB8E66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[69]</w:t>
      </w:r>
      <w:r w:rsidRPr="00430285">
        <w:rPr>
          <w:rFonts w:cs="Times New Roman"/>
          <w:noProof/>
          <w:szCs w:val="24"/>
        </w:rPr>
        <w:tab/>
        <w:t xml:space="preserve">Eslami S. and Taheri F. "Effects of perforation size on the response of perforated GFRP composites aged in acidic media". </w:t>
      </w:r>
      <w:r w:rsidRPr="00430285">
        <w:rPr>
          <w:rFonts w:cs="Times New Roman"/>
          <w:i/>
          <w:iCs/>
          <w:noProof/>
          <w:szCs w:val="24"/>
        </w:rPr>
        <w:t>Corrosion Science</w:t>
      </w:r>
      <w:r w:rsidRPr="00430285">
        <w:rPr>
          <w:rFonts w:cs="Times New Roman"/>
          <w:noProof/>
          <w:szCs w:val="24"/>
        </w:rPr>
        <w:t>, 2013;69:262–9.</w:t>
      </w:r>
    </w:p>
    <w:p w14:paraId="066C99C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[70]</w:t>
      </w:r>
      <w:r w:rsidRPr="00430285">
        <w:rPr>
          <w:rFonts w:cs="Times New Roman"/>
          <w:noProof/>
          <w:szCs w:val="24"/>
        </w:rPr>
        <w:tab/>
        <w:t xml:space="preserve">Li Y., Miranda J. and Sije H. "Moisture Diffusion Behavior in Bismaleimide Resin Subjected to Hygrotherrnal Cycling". </w:t>
      </w:r>
      <w:r w:rsidRPr="00430285">
        <w:rPr>
          <w:rFonts w:cs="Times New Roman"/>
          <w:i/>
          <w:iCs/>
          <w:noProof/>
          <w:szCs w:val="24"/>
        </w:rPr>
        <w:t>Polymer Engineering and Sciencengineering and Science</w:t>
      </w:r>
      <w:r w:rsidRPr="00430285">
        <w:rPr>
          <w:rFonts w:cs="Times New Roman"/>
          <w:noProof/>
          <w:szCs w:val="24"/>
        </w:rPr>
        <w:t>, 2002;42:375–81.</w:t>
      </w:r>
    </w:p>
    <w:p w14:paraId="0F5400E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[71]</w:t>
      </w:r>
      <w:r w:rsidRPr="00430285">
        <w:rPr>
          <w:rFonts w:cs="Times New Roman"/>
          <w:noProof/>
          <w:szCs w:val="24"/>
        </w:rPr>
        <w:tab/>
        <w:t xml:space="preserve">Barink M., Mavinkurve A. and Janssen J. "Predicting non-Fickian moisture diffusion in EMCs for application in micro-electronic devices". </w:t>
      </w:r>
      <w:r w:rsidRPr="00430285">
        <w:rPr>
          <w:rFonts w:cs="Times New Roman"/>
          <w:i/>
          <w:iCs/>
          <w:noProof/>
          <w:szCs w:val="24"/>
        </w:rPr>
        <w:t>Microelectronics Reliability</w:t>
      </w:r>
      <w:r w:rsidRPr="00430285">
        <w:rPr>
          <w:rFonts w:cs="Times New Roman"/>
          <w:noProof/>
          <w:szCs w:val="24"/>
        </w:rPr>
        <w:t>, 2016;62:45–9.</w:t>
      </w:r>
    </w:p>
    <w:p w14:paraId="24B415D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[72]</w:t>
      </w:r>
      <w:r w:rsidRPr="00430285">
        <w:rPr>
          <w:rFonts w:cs="Times New Roman"/>
          <w:noProof/>
          <w:szCs w:val="24"/>
        </w:rPr>
        <w:tab/>
        <w:t xml:space="preserve">Noamen G., Nader H., Khaled E. and Ferid A.H. "Effect of filler addition and weathering conditions on the performance of PVC/CaCO3 composites". </w:t>
      </w:r>
      <w:r w:rsidRPr="00430285">
        <w:rPr>
          <w:rFonts w:cs="Times New Roman"/>
          <w:i/>
          <w:iCs/>
          <w:noProof/>
          <w:szCs w:val="24"/>
        </w:rPr>
        <w:t>Polymer Composites</w:t>
      </w:r>
      <w:r w:rsidRPr="00430285">
        <w:rPr>
          <w:rFonts w:cs="Times New Roman"/>
          <w:noProof/>
          <w:szCs w:val="24"/>
        </w:rPr>
        <w:t>, 2015;37:2171–83.</w:t>
      </w:r>
    </w:p>
    <w:p w14:paraId="2BB74E4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[73]</w:t>
      </w:r>
      <w:r w:rsidRPr="00430285">
        <w:rPr>
          <w:rFonts w:cs="Times New Roman"/>
          <w:noProof/>
          <w:szCs w:val="24"/>
        </w:rPr>
        <w:tab/>
        <w:t xml:space="preserve">Garg M., Sharma S. and Mehta R. "Carbon nanotube-reinforced glass fiber epoxy composite laminates exposed to hygrothermal conditioning". </w:t>
      </w:r>
      <w:r w:rsidRPr="00430285">
        <w:rPr>
          <w:rFonts w:cs="Times New Roman"/>
          <w:i/>
          <w:iCs/>
          <w:noProof/>
          <w:szCs w:val="24"/>
        </w:rPr>
        <w:t>Journal of Materials Science</w:t>
      </w:r>
      <w:r w:rsidRPr="00430285">
        <w:rPr>
          <w:rFonts w:cs="Times New Roman"/>
          <w:noProof/>
          <w:szCs w:val="24"/>
        </w:rPr>
        <w:t>, 2016;51:8562–78.</w:t>
      </w:r>
    </w:p>
    <w:p w14:paraId="3242937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[74]</w:t>
      </w:r>
      <w:r w:rsidRPr="00430285">
        <w:rPr>
          <w:rFonts w:cs="Times New Roman"/>
          <w:noProof/>
          <w:szCs w:val="24"/>
        </w:rPr>
        <w:tab/>
        <w:t xml:space="preserve">Kotrotsos A., Vavouliotis A., Tsantzalis S. and Kostopoulos V. "Effect of CNT modified matrix of epoxy CFRPs on hydrothermal behaviour of material. Evaluation of water uptake using electrical resistance measurements". </w:t>
      </w:r>
      <w:r w:rsidRPr="00430285">
        <w:rPr>
          <w:rFonts w:cs="Times New Roman"/>
          <w:i/>
          <w:iCs/>
          <w:noProof/>
          <w:szCs w:val="24"/>
        </w:rPr>
        <w:t>Plastics, Rubber and Composites</w:t>
      </w:r>
      <w:r w:rsidRPr="00430285">
        <w:rPr>
          <w:rFonts w:cs="Times New Roman"/>
          <w:noProof/>
          <w:szCs w:val="24"/>
        </w:rPr>
        <w:t>, 2014;43:122–9.</w:t>
      </w:r>
    </w:p>
    <w:p w14:paraId="3F212E3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[75]</w:t>
      </w:r>
      <w:r w:rsidRPr="00430285">
        <w:rPr>
          <w:rFonts w:cs="Times New Roman"/>
          <w:noProof/>
          <w:szCs w:val="24"/>
        </w:rPr>
        <w:tab/>
        <w:t xml:space="preserve">van Soestbergen M. and Mavinkurve A. "Anomalous water absorption by microelectronic encapsulants due to hygrothermal‐induced degradation". </w:t>
      </w:r>
      <w:r w:rsidRPr="00430285">
        <w:rPr>
          <w:rFonts w:cs="Times New Roman"/>
          <w:i/>
          <w:iCs/>
          <w:noProof/>
          <w:szCs w:val="24"/>
        </w:rPr>
        <w:t>Journal of Applied Polymer Science</w:t>
      </w:r>
      <w:r w:rsidRPr="00430285">
        <w:rPr>
          <w:rFonts w:cs="Times New Roman"/>
          <w:noProof/>
          <w:szCs w:val="24"/>
        </w:rPr>
        <w:t>, 2014;131.</w:t>
      </w:r>
    </w:p>
    <w:p w14:paraId="76F73EA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[76]</w:t>
      </w:r>
      <w:r w:rsidRPr="00430285">
        <w:rPr>
          <w:rFonts w:cs="Times New Roman"/>
          <w:noProof/>
          <w:szCs w:val="24"/>
        </w:rPr>
        <w:tab/>
        <w:t xml:space="preserve">Starkova O., Buschhorn S.T., Mannov E., Schulte K. and Aniskevich A. "Water transport in epoxy/MWCNT composites". </w:t>
      </w:r>
      <w:r w:rsidRPr="00430285">
        <w:rPr>
          <w:rFonts w:cs="Times New Roman"/>
          <w:i/>
          <w:iCs/>
          <w:noProof/>
          <w:szCs w:val="24"/>
        </w:rPr>
        <w:t>European Polymer Journal</w:t>
      </w:r>
      <w:r w:rsidRPr="00430285">
        <w:rPr>
          <w:rFonts w:cs="Times New Roman"/>
          <w:noProof/>
          <w:szCs w:val="24"/>
        </w:rPr>
        <w:t xml:space="preserve">, </w:t>
      </w:r>
      <w:r w:rsidRPr="00430285">
        <w:rPr>
          <w:rFonts w:cs="Times New Roman"/>
          <w:noProof/>
          <w:szCs w:val="24"/>
        </w:rPr>
        <w:lastRenderedPageBreak/>
        <w:t>2013;49:2138–48.</w:t>
      </w:r>
    </w:p>
    <w:p w14:paraId="062BC03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[77]</w:t>
      </w:r>
      <w:r w:rsidRPr="00430285">
        <w:rPr>
          <w:rFonts w:cs="Times New Roman"/>
          <w:noProof/>
          <w:szCs w:val="24"/>
        </w:rPr>
        <w:tab/>
        <w:t xml:space="preserve">Korobkov V.A., Krylova Y.E., Kasatkina T.B., Levashov A.S., Gorokhov R.V., Bukov N.N., et al. "Diffusion of moisture in an epoxy coating with a disperse mineral filler". </w:t>
      </w:r>
      <w:r w:rsidRPr="00430285">
        <w:rPr>
          <w:rFonts w:cs="Times New Roman"/>
          <w:i/>
          <w:iCs/>
          <w:noProof/>
          <w:szCs w:val="24"/>
        </w:rPr>
        <w:t>Polymer Science - Series D</w:t>
      </w:r>
      <w:r w:rsidRPr="00430285">
        <w:rPr>
          <w:rFonts w:cs="Times New Roman"/>
          <w:noProof/>
          <w:szCs w:val="24"/>
        </w:rPr>
        <w:t>, 2016;9:351–7.</w:t>
      </w:r>
    </w:p>
    <w:p w14:paraId="5779201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[78]</w:t>
      </w:r>
      <w:r w:rsidRPr="00430285">
        <w:rPr>
          <w:rFonts w:cs="Times New Roman"/>
          <w:noProof/>
          <w:szCs w:val="24"/>
        </w:rPr>
        <w:tab/>
        <w:t>Drozdov A.D., Christiansen J., Gupta R.K., Shah A.P. and Virginia W. "Model for Anomalous Moisture Diffusion through a Polymer – Clay Nanocomposite" 2002:476–92.</w:t>
      </w:r>
    </w:p>
    <w:p w14:paraId="5CD1221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[79]</w:t>
      </w:r>
      <w:r w:rsidRPr="00430285">
        <w:rPr>
          <w:rFonts w:cs="Times New Roman"/>
          <w:noProof/>
          <w:szCs w:val="24"/>
        </w:rPr>
        <w:tab/>
        <w:t xml:space="preserve">Kumar A. and Roy S. "Modeling of anomalous moisture diffusion in nanographene reinforced thermoset polymers". </w:t>
      </w:r>
      <w:r w:rsidRPr="00430285">
        <w:rPr>
          <w:rFonts w:cs="Times New Roman"/>
          <w:i/>
          <w:iCs/>
          <w:noProof/>
          <w:szCs w:val="24"/>
        </w:rPr>
        <w:t>Composite Structures</w:t>
      </w:r>
      <w:r w:rsidRPr="00430285">
        <w:rPr>
          <w:rFonts w:cs="Times New Roman"/>
          <w:noProof/>
          <w:szCs w:val="24"/>
        </w:rPr>
        <w:t>, 2015;122:1–7.</w:t>
      </w:r>
    </w:p>
    <w:p w14:paraId="5E14CED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[80]</w:t>
      </w:r>
      <w:r w:rsidRPr="00430285">
        <w:rPr>
          <w:rFonts w:cs="Times New Roman"/>
          <w:noProof/>
          <w:szCs w:val="24"/>
        </w:rPr>
        <w:tab/>
        <w:t xml:space="preserve">Al-Qadhi M., Merah N. and Gasem Z.M. "Mechanical properties and water uptake of epoxy-clay nanocomposites containing different clay loadings". </w:t>
      </w:r>
      <w:r w:rsidRPr="00430285">
        <w:rPr>
          <w:rFonts w:cs="Times New Roman"/>
          <w:i/>
          <w:iCs/>
          <w:noProof/>
          <w:szCs w:val="24"/>
        </w:rPr>
        <w:t>Journal of Materials Science</w:t>
      </w:r>
      <w:r w:rsidRPr="00430285">
        <w:rPr>
          <w:rFonts w:cs="Times New Roman"/>
          <w:noProof/>
          <w:szCs w:val="24"/>
        </w:rPr>
        <w:t>, 2013;48:3798–804.</w:t>
      </w:r>
    </w:p>
    <w:p w14:paraId="5F505184"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[81]</w:t>
      </w:r>
      <w:r w:rsidRPr="00430285">
        <w:rPr>
          <w:rFonts w:cs="Times New Roman"/>
          <w:noProof/>
          <w:szCs w:val="24"/>
        </w:rPr>
        <w:tab/>
        <w:t xml:space="preserve">Kawaguchi T. and Pearson R.A. "The effect of particle-matrix adhesion on the mechanical behavior of glass filled epoxies: Part 1. A study on yield behavior and cohesive strength". </w:t>
      </w:r>
      <w:r w:rsidRPr="00430285">
        <w:rPr>
          <w:rFonts w:cs="Times New Roman"/>
          <w:i/>
          <w:iCs/>
          <w:noProof/>
          <w:szCs w:val="24"/>
        </w:rPr>
        <w:t>Polymer</w:t>
      </w:r>
      <w:r w:rsidRPr="00430285">
        <w:rPr>
          <w:rFonts w:cs="Times New Roman"/>
          <w:noProof/>
          <w:szCs w:val="24"/>
        </w:rPr>
        <w:t>, 2003;44:4229–38.</w:t>
      </w:r>
    </w:p>
    <w:p w14:paraId="27542A5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[82]</w:t>
      </w:r>
      <w:r w:rsidRPr="00430285">
        <w:rPr>
          <w:rFonts w:cs="Times New Roman"/>
          <w:noProof/>
          <w:szCs w:val="24"/>
        </w:rPr>
        <w:tab/>
        <w:t xml:space="preserve">Gauvin F. and Robert M. "Durability study of vinylester/silicate nanocomposites for civil engineering applications". </w:t>
      </w:r>
      <w:r w:rsidRPr="00430285">
        <w:rPr>
          <w:rFonts w:cs="Times New Roman"/>
          <w:i/>
          <w:iCs/>
          <w:noProof/>
          <w:szCs w:val="24"/>
        </w:rPr>
        <w:t>Polymer Degradation and Stability</w:t>
      </w:r>
      <w:r w:rsidRPr="00430285">
        <w:rPr>
          <w:rFonts w:cs="Times New Roman"/>
          <w:noProof/>
          <w:szCs w:val="24"/>
        </w:rPr>
        <w:t>, 2015;121:359–68.</w:t>
      </w:r>
    </w:p>
    <w:p w14:paraId="62EA23D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[83]</w:t>
      </w:r>
      <w:r w:rsidRPr="00430285">
        <w:rPr>
          <w:rFonts w:cs="Times New Roman"/>
          <w:noProof/>
          <w:szCs w:val="24"/>
        </w:rPr>
        <w:tab/>
        <w:t xml:space="preserve">Jefferson G.D., Farah B., Hempowicz M.L. and Hsiao K.T. "Influence of hygrothermal aging on carbon nanofiber enhanced polyester material systems". </w:t>
      </w:r>
      <w:r w:rsidRPr="00430285">
        <w:rPr>
          <w:rFonts w:cs="Times New Roman"/>
          <w:i/>
          <w:iCs/>
          <w:noProof/>
          <w:szCs w:val="24"/>
        </w:rPr>
        <w:t>Composites Part B: Engineering</w:t>
      </w:r>
      <w:r w:rsidRPr="00430285">
        <w:rPr>
          <w:rFonts w:cs="Times New Roman"/>
          <w:noProof/>
          <w:szCs w:val="24"/>
        </w:rPr>
        <w:t>, 2015;78:319–23.</w:t>
      </w:r>
    </w:p>
    <w:p w14:paraId="4B6D410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[84]</w:t>
      </w:r>
      <w:r w:rsidRPr="00430285">
        <w:rPr>
          <w:rFonts w:cs="Times New Roman"/>
          <w:noProof/>
          <w:szCs w:val="24"/>
        </w:rPr>
        <w:tab/>
        <w:t xml:space="preserve">Shen L., Phang I.Y., Chen L., Liu T. and Zeng K. "Nanoindentation and morphological studies on nylon 66 nanocomposites. I. Effect of clay loading". </w:t>
      </w:r>
      <w:r w:rsidRPr="00430285">
        <w:rPr>
          <w:rFonts w:cs="Times New Roman"/>
          <w:i/>
          <w:iCs/>
          <w:noProof/>
          <w:szCs w:val="24"/>
        </w:rPr>
        <w:t>Polymer</w:t>
      </w:r>
      <w:r w:rsidRPr="00430285">
        <w:rPr>
          <w:rFonts w:cs="Times New Roman"/>
          <w:noProof/>
          <w:szCs w:val="24"/>
        </w:rPr>
        <w:t>, 2004;45:3341–9.</w:t>
      </w:r>
    </w:p>
    <w:p w14:paraId="3964682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[85]</w:t>
      </w:r>
      <w:r w:rsidRPr="00430285">
        <w:rPr>
          <w:rFonts w:cs="Times New Roman"/>
          <w:noProof/>
          <w:szCs w:val="24"/>
        </w:rPr>
        <w:tab/>
        <w:t xml:space="preserve">Haque A., Shamsuzzoha M., Hussain F. and Dean D. "S2-glass/epoxy polymer nanocomposites: Manufacturing, structures, thermal and mechanical properties". </w:t>
      </w:r>
      <w:r w:rsidRPr="00430285">
        <w:rPr>
          <w:rFonts w:cs="Times New Roman"/>
          <w:i/>
          <w:iCs/>
          <w:noProof/>
          <w:szCs w:val="24"/>
        </w:rPr>
        <w:t>Journal of Composite Materials</w:t>
      </w:r>
      <w:r w:rsidRPr="00430285">
        <w:rPr>
          <w:rFonts w:cs="Times New Roman"/>
          <w:noProof/>
          <w:szCs w:val="24"/>
        </w:rPr>
        <w:t>, 2003;37:1821–38.</w:t>
      </w:r>
    </w:p>
    <w:p w14:paraId="5BFDA73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[86]</w:t>
      </w:r>
      <w:r w:rsidRPr="00430285">
        <w:rPr>
          <w:rFonts w:cs="Times New Roman"/>
          <w:noProof/>
          <w:szCs w:val="24"/>
        </w:rPr>
        <w:tab/>
        <w:t xml:space="preserve">Hosur M., Mahdi T.H., Islam M.E. and Jeelani S. "Mechanical and viscoelastic properties of epoxy nanocomposites reinforced with carbon nanotubes, nanoclay, and binary nanoparticles". </w:t>
      </w:r>
      <w:r w:rsidRPr="00430285">
        <w:rPr>
          <w:rFonts w:cs="Times New Roman"/>
          <w:i/>
          <w:iCs/>
          <w:noProof/>
          <w:szCs w:val="24"/>
        </w:rPr>
        <w:t>Journal of Reinforced Plastics and Composites</w:t>
      </w:r>
      <w:r w:rsidRPr="00430285">
        <w:rPr>
          <w:rFonts w:cs="Times New Roman"/>
          <w:noProof/>
          <w:szCs w:val="24"/>
        </w:rPr>
        <w:t>, 2017;36:667–84.</w:t>
      </w:r>
    </w:p>
    <w:p w14:paraId="2D04E88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[87]</w:t>
      </w:r>
      <w:r w:rsidRPr="00430285">
        <w:rPr>
          <w:rFonts w:cs="Times New Roman"/>
          <w:noProof/>
          <w:szCs w:val="24"/>
        </w:rPr>
        <w:tab/>
        <w:t xml:space="preserve">Lei Y., Wu Q., Clemons C.M., Yao F. and Xu Y. "Influence of nanoclay on properties of HDPE/wood composites". </w:t>
      </w:r>
      <w:r w:rsidRPr="00430285">
        <w:rPr>
          <w:rFonts w:cs="Times New Roman"/>
          <w:i/>
          <w:iCs/>
          <w:noProof/>
          <w:szCs w:val="24"/>
        </w:rPr>
        <w:t>Journal of Applied Polymer Science</w:t>
      </w:r>
      <w:r w:rsidRPr="00430285">
        <w:rPr>
          <w:rFonts w:cs="Times New Roman"/>
          <w:noProof/>
          <w:szCs w:val="24"/>
        </w:rPr>
        <w:t>, 2007;106:3958–66.</w:t>
      </w:r>
    </w:p>
    <w:p w14:paraId="3058A2E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[88]</w:t>
      </w:r>
      <w:r w:rsidRPr="00430285">
        <w:rPr>
          <w:rFonts w:cs="Times New Roman"/>
          <w:noProof/>
          <w:szCs w:val="24"/>
        </w:rPr>
        <w:tab/>
        <w:t xml:space="preserve">Haq M., Burgueño R., Mohanty A.K. and Misra M. "Hybrid bio-based composites from UPE/EML blends, natural fibers, and nanoclay". </w:t>
      </w:r>
      <w:r w:rsidRPr="00430285">
        <w:rPr>
          <w:rFonts w:cs="Times New Roman"/>
          <w:i/>
          <w:iCs/>
          <w:noProof/>
          <w:szCs w:val="24"/>
        </w:rPr>
        <w:t xml:space="preserve">Macromolecular Materials </w:t>
      </w:r>
      <w:r w:rsidRPr="00430285">
        <w:rPr>
          <w:rFonts w:cs="Times New Roman"/>
          <w:i/>
          <w:iCs/>
          <w:noProof/>
          <w:szCs w:val="24"/>
        </w:rPr>
        <w:lastRenderedPageBreak/>
        <w:t>and Engineering</w:t>
      </w:r>
      <w:r w:rsidRPr="00430285">
        <w:rPr>
          <w:rFonts w:cs="Times New Roman"/>
          <w:noProof/>
          <w:szCs w:val="24"/>
        </w:rPr>
        <w:t>, 2014;299:1306–15.</w:t>
      </w:r>
    </w:p>
    <w:p w14:paraId="536E9CC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[89]</w:t>
      </w:r>
      <w:r w:rsidRPr="00430285">
        <w:rPr>
          <w:rFonts w:cs="Times New Roman"/>
          <w:noProof/>
          <w:szCs w:val="24"/>
        </w:rPr>
        <w:tab/>
        <w:t xml:space="preserve">Costa M.L., De Almeida S.F.M. and Rezende M.C. "Critical Void Content for Polymer Composite Laminates". </w:t>
      </w:r>
      <w:r w:rsidRPr="00430285">
        <w:rPr>
          <w:rFonts w:cs="Times New Roman"/>
          <w:i/>
          <w:iCs/>
          <w:noProof/>
          <w:szCs w:val="24"/>
        </w:rPr>
        <w:t>AIAA Journal</w:t>
      </w:r>
      <w:r w:rsidRPr="00430285">
        <w:rPr>
          <w:rFonts w:cs="Times New Roman"/>
          <w:noProof/>
          <w:szCs w:val="24"/>
        </w:rPr>
        <w:t>, 2005;43:1336–41.</w:t>
      </w:r>
    </w:p>
    <w:p w14:paraId="5580AFB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[90]</w:t>
      </w:r>
      <w:r w:rsidRPr="00430285">
        <w:rPr>
          <w:rFonts w:cs="Times New Roman"/>
          <w:noProof/>
          <w:szCs w:val="24"/>
        </w:rPr>
        <w:tab/>
        <w:t xml:space="preserve">Loos A.C. and Springer G.S. "Curing of Epoxy Matrix Composites". </w:t>
      </w:r>
      <w:r w:rsidRPr="00430285">
        <w:rPr>
          <w:rFonts w:cs="Times New Roman"/>
          <w:i/>
          <w:iCs/>
          <w:noProof/>
          <w:szCs w:val="24"/>
        </w:rPr>
        <w:t>Journal of Composite Materials</w:t>
      </w:r>
      <w:r w:rsidRPr="00430285">
        <w:rPr>
          <w:rFonts w:cs="Times New Roman"/>
          <w:noProof/>
          <w:szCs w:val="24"/>
        </w:rPr>
        <w:t>, 1983;17:135–69.</w:t>
      </w:r>
    </w:p>
    <w:p w14:paraId="44E104B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[91]</w:t>
      </w:r>
      <w:r w:rsidRPr="00430285">
        <w:rPr>
          <w:rFonts w:cs="Times New Roman"/>
          <w:noProof/>
          <w:szCs w:val="24"/>
        </w:rPr>
        <w:tab/>
        <w:t xml:space="preserve">Harper B.D., Staab G.H. and Chen R.S. "A Note on the Effects of Voids Upon the Hygral and Mechanical Properties of AS4/3502 Graphite/Epoxy". </w:t>
      </w:r>
      <w:r w:rsidRPr="00430285">
        <w:rPr>
          <w:rFonts w:cs="Times New Roman"/>
          <w:i/>
          <w:iCs/>
          <w:noProof/>
          <w:szCs w:val="24"/>
        </w:rPr>
        <w:t>Journal of Composite Materials</w:t>
      </w:r>
      <w:r w:rsidRPr="00430285">
        <w:rPr>
          <w:rFonts w:cs="Times New Roman"/>
          <w:noProof/>
          <w:szCs w:val="24"/>
        </w:rPr>
        <w:t>, 1987;21:280–9.</w:t>
      </w:r>
    </w:p>
    <w:p w14:paraId="077FFF5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[92]</w:t>
      </w:r>
      <w:r w:rsidRPr="00430285">
        <w:rPr>
          <w:rFonts w:cs="Times New Roman"/>
          <w:noProof/>
          <w:szCs w:val="24"/>
        </w:rPr>
        <w:tab/>
        <w:t xml:space="preserve">de Almeida S.F.M. and Neto Z.D.S.N. "Effect of Void Content on the Strength of Composite Laminates". </w:t>
      </w:r>
      <w:r w:rsidRPr="00430285">
        <w:rPr>
          <w:rFonts w:cs="Times New Roman"/>
          <w:i/>
          <w:iCs/>
          <w:noProof/>
          <w:szCs w:val="24"/>
        </w:rPr>
        <w:t>Composite Structures</w:t>
      </w:r>
      <w:r w:rsidRPr="00430285">
        <w:rPr>
          <w:rFonts w:cs="Times New Roman"/>
          <w:noProof/>
          <w:szCs w:val="24"/>
        </w:rPr>
        <w:t>, 1994;28:139–48.</w:t>
      </w:r>
    </w:p>
    <w:p w14:paraId="54743C7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[93]</w:t>
      </w:r>
      <w:r w:rsidRPr="00430285">
        <w:rPr>
          <w:rFonts w:cs="Times New Roman"/>
          <w:noProof/>
          <w:szCs w:val="24"/>
        </w:rPr>
        <w:tab/>
        <w:t xml:space="preserve">Liu H., Cui H., Wen W., Su X., Kang H. and Engler-Pinto C. "The effect of voids on the quasi-static tensile properties of carbon fiber/polymer-laminated composites". </w:t>
      </w:r>
      <w:r w:rsidRPr="00430285">
        <w:rPr>
          <w:rFonts w:cs="Times New Roman"/>
          <w:i/>
          <w:iCs/>
          <w:noProof/>
          <w:szCs w:val="24"/>
        </w:rPr>
        <w:t>Journal of Composite Materials</w:t>
      </w:r>
      <w:r w:rsidRPr="00430285">
        <w:rPr>
          <w:rFonts w:cs="Times New Roman"/>
          <w:noProof/>
          <w:szCs w:val="24"/>
        </w:rPr>
        <w:t>, 2017.</w:t>
      </w:r>
    </w:p>
    <w:p w14:paraId="0A3FBAF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[94]</w:t>
      </w:r>
      <w:r w:rsidRPr="00430285">
        <w:rPr>
          <w:rFonts w:cs="Times New Roman"/>
          <w:noProof/>
          <w:szCs w:val="24"/>
        </w:rPr>
        <w:tab/>
        <w:t xml:space="preserve">Zhang A., Lu H. and Zhang D. "Effects of voids on residual tensile strength after impact of hygrothermal conditioned CFRP laminates". </w:t>
      </w:r>
      <w:r w:rsidRPr="00430285">
        <w:rPr>
          <w:rFonts w:cs="Times New Roman"/>
          <w:i/>
          <w:iCs/>
          <w:noProof/>
          <w:szCs w:val="24"/>
        </w:rPr>
        <w:t>Composite Structures</w:t>
      </w:r>
      <w:r w:rsidRPr="00430285">
        <w:rPr>
          <w:rFonts w:cs="Times New Roman"/>
          <w:noProof/>
          <w:szCs w:val="24"/>
        </w:rPr>
        <w:t>, 2013;95:322–7.</w:t>
      </w:r>
    </w:p>
    <w:p w14:paraId="49F3FEC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[95]</w:t>
      </w:r>
      <w:r w:rsidRPr="00430285">
        <w:rPr>
          <w:rFonts w:cs="Times New Roman"/>
          <w:noProof/>
          <w:szCs w:val="24"/>
        </w:rPr>
        <w:tab/>
        <w:t xml:space="preserve">Costa M.L., Rezende M.C. and De Almeida S.F.M. "Strength of hygrothermally conditioned polymer composites with voids". </w:t>
      </w:r>
      <w:r w:rsidRPr="00430285">
        <w:rPr>
          <w:rFonts w:cs="Times New Roman"/>
          <w:i/>
          <w:iCs/>
          <w:noProof/>
          <w:szCs w:val="24"/>
        </w:rPr>
        <w:t>Journal of Composite Materials</w:t>
      </w:r>
      <w:r w:rsidRPr="00430285">
        <w:rPr>
          <w:rFonts w:cs="Times New Roman"/>
          <w:noProof/>
          <w:szCs w:val="24"/>
        </w:rPr>
        <w:t>, 2005;39:1943–61.</w:t>
      </w:r>
    </w:p>
    <w:p w14:paraId="3082E85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[96]</w:t>
      </w:r>
      <w:r w:rsidRPr="00430285">
        <w:rPr>
          <w:rFonts w:cs="Times New Roman"/>
          <w:noProof/>
          <w:szCs w:val="24"/>
        </w:rPr>
        <w:tab/>
        <w:t xml:space="preserve">Lu Z., Xian G. and Li H. "Effects of thermal aging on the water uptake behavior of pultruded BFRP plates". </w:t>
      </w:r>
      <w:r w:rsidRPr="00430285">
        <w:rPr>
          <w:rFonts w:cs="Times New Roman"/>
          <w:i/>
          <w:iCs/>
          <w:noProof/>
          <w:szCs w:val="24"/>
        </w:rPr>
        <w:t>Polymer Degradation and Stability</w:t>
      </w:r>
      <w:r w:rsidRPr="00430285">
        <w:rPr>
          <w:rFonts w:cs="Times New Roman"/>
          <w:noProof/>
          <w:szCs w:val="24"/>
        </w:rPr>
        <w:t>, 2014;110:216–24.</w:t>
      </w:r>
    </w:p>
    <w:p w14:paraId="29186B0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[97]</w:t>
      </w:r>
      <w:r w:rsidRPr="00430285">
        <w:rPr>
          <w:rFonts w:cs="Times New Roman"/>
          <w:noProof/>
          <w:szCs w:val="24"/>
        </w:rPr>
        <w:tab/>
        <w:t xml:space="preserve">Bao L.R. and Yee A.F. "Moisture diffusion and hygrothermal aging in bismaleimide matrix carbon fiber composites: Part II-woven and hybrid composites". </w:t>
      </w:r>
      <w:r w:rsidRPr="00430285">
        <w:rPr>
          <w:rFonts w:cs="Times New Roman"/>
          <w:i/>
          <w:iCs/>
          <w:noProof/>
          <w:szCs w:val="24"/>
        </w:rPr>
        <w:t>Composites Science and Technology</w:t>
      </w:r>
      <w:r w:rsidRPr="00430285">
        <w:rPr>
          <w:rFonts w:cs="Times New Roman"/>
          <w:noProof/>
          <w:szCs w:val="24"/>
        </w:rPr>
        <w:t>, 2002;62:2111–9.</w:t>
      </w:r>
    </w:p>
    <w:p w14:paraId="28CFF84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[98]</w:t>
      </w:r>
      <w:r w:rsidRPr="00430285">
        <w:rPr>
          <w:rFonts w:cs="Times New Roman"/>
          <w:noProof/>
          <w:szCs w:val="24"/>
        </w:rPr>
        <w:tab/>
        <w:t xml:space="preserve">Ahern A., Verbist G., Weaire D., Phelan R. and Fleurent H. "The conductivity of foams: A generalisation of the electrical to the thermal case". </w:t>
      </w:r>
      <w:r w:rsidRPr="00430285">
        <w:rPr>
          <w:rFonts w:cs="Times New Roman"/>
          <w:i/>
          <w:iCs/>
          <w:noProof/>
          <w:szCs w:val="24"/>
        </w:rPr>
        <w:t>Colloids and Surfaces A: Physicochemical and Engineering Aspects</w:t>
      </w:r>
      <w:r w:rsidRPr="00430285">
        <w:rPr>
          <w:rFonts w:cs="Times New Roman"/>
          <w:noProof/>
          <w:szCs w:val="24"/>
        </w:rPr>
        <w:t>, 2005;263:275–9.</w:t>
      </w:r>
    </w:p>
    <w:p w14:paraId="4D75008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[99]</w:t>
      </w:r>
      <w:r w:rsidRPr="00430285">
        <w:rPr>
          <w:rFonts w:cs="Times New Roman"/>
          <w:noProof/>
          <w:szCs w:val="24"/>
        </w:rPr>
        <w:tab/>
        <w:t xml:space="preserve">Amaral C., Vicente R., Ferreira V.M. and Silva T. "Polyurethane foams with microencapsulated phase change material: Comparative analysis of thermal conductivity characterization approaches". </w:t>
      </w:r>
      <w:r w:rsidRPr="00430285">
        <w:rPr>
          <w:rFonts w:cs="Times New Roman"/>
          <w:i/>
          <w:iCs/>
          <w:noProof/>
          <w:szCs w:val="24"/>
        </w:rPr>
        <w:t>Energy and Buildings</w:t>
      </w:r>
      <w:r w:rsidRPr="00430285">
        <w:rPr>
          <w:rFonts w:cs="Times New Roman"/>
          <w:noProof/>
          <w:szCs w:val="24"/>
        </w:rPr>
        <w:t>, 2017;153:392–402.</w:t>
      </w:r>
    </w:p>
    <w:p w14:paraId="1CA320F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[100]</w:t>
      </w:r>
      <w:r w:rsidRPr="00430285">
        <w:rPr>
          <w:rFonts w:cs="Times New Roman"/>
          <w:noProof/>
          <w:szCs w:val="24"/>
        </w:rPr>
        <w:tab/>
        <w:t xml:space="preserve">Yuan H., Xiong Y., Luo G., Li M., Shen Q. and Zhang L. "Microstructure and electrical conductivity of CNTs/PMMA nanocomposite foams foaming by supercritical carbon dioxide". </w:t>
      </w:r>
      <w:r w:rsidRPr="00430285">
        <w:rPr>
          <w:rFonts w:cs="Times New Roman"/>
          <w:i/>
          <w:iCs/>
          <w:noProof/>
          <w:szCs w:val="24"/>
        </w:rPr>
        <w:t>Journal Wuhan University of Technology, Materials Science Edition</w:t>
      </w:r>
      <w:r w:rsidRPr="00430285">
        <w:rPr>
          <w:rFonts w:cs="Times New Roman"/>
          <w:noProof/>
          <w:szCs w:val="24"/>
        </w:rPr>
        <w:t>, 2016;31:481–6.</w:t>
      </w:r>
    </w:p>
    <w:p w14:paraId="3934E50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lastRenderedPageBreak/>
        <w:t>[101]</w:t>
      </w:r>
      <w:r w:rsidRPr="00430285">
        <w:rPr>
          <w:rFonts w:cs="Times New Roman"/>
          <w:noProof/>
          <w:szCs w:val="24"/>
        </w:rPr>
        <w:tab/>
        <w:t xml:space="preserve">Vizzini A.J. "Lightweight Sandwich Structures". </w:t>
      </w:r>
      <w:r w:rsidRPr="00430285">
        <w:rPr>
          <w:rFonts w:cs="Times New Roman"/>
          <w:i/>
          <w:iCs/>
          <w:noProof/>
          <w:szCs w:val="24"/>
        </w:rPr>
        <w:t>Aerospace Engineering</w:t>
      </w:r>
      <w:r w:rsidRPr="00430285">
        <w:rPr>
          <w:rFonts w:cs="Times New Roman"/>
          <w:noProof/>
          <w:szCs w:val="24"/>
        </w:rPr>
        <w:t>, 2010:1–10.</w:t>
      </w:r>
    </w:p>
    <w:p w14:paraId="3D43C91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[102]</w:t>
      </w:r>
      <w:r w:rsidRPr="00430285">
        <w:rPr>
          <w:rFonts w:cs="Times New Roman"/>
          <w:noProof/>
          <w:szCs w:val="24"/>
        </w:rPr>
        <w:tab/>
        <w:t xml:space="preserve">Mouritz A.P. "Ultrasonic and Interlaminar Properties of Highly Porous Composites". </w:t>
      </w:r>
      <w:r w:rsidRPr="00430285">
        <w:rPr>
          <w:rFonts w:cs="Times New Roman"/>
          <w:i/>
          <w:iCs/>
          <w:noProof/>
          <w:szCs w:val="24"/>
        </w:rPr>
        <w:t>Journal of Composite Materials</w:t>
      </w:r>
      <w:r w:rsidRPr="00430285">
        <w:rPr>
          <w:rFonts w:cs="Times New Roman"/>
          <w:noProof/>
          <w:szCs w:val="24"/>
        </w:rPr>
        <w:t>, 2000;34:218–39.</w:t>
      </w:r>
    </w:p>
    <w:p w14:paraId="6C87298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[103]</w:t>
      </w:r>
      <w:r w:rsidRPr="00430285">
        <w:rPr>
          <w:rFonts w:cs="Times New Roman"/>
          <w:noProof/>
          <w:szCs w:val="24"/>
        </w:rPr>
        <w:tab/>
        <w:t xml:space="preserve">Huo Z., Mohamed M., Nicholas J.R. and Wang X. "Experimentation and simulation of moisture diffusion in foam-cored polyurethane sandwich structure". </w:t>
      </w:r>
      <w:r w:rsidRPr="00430285">
        <w:rPr>
          <w:rFonts w:cs="Times New Roman"/>
          <w:i/>
          <w:iCs/>
          <w:noProof/>
          <w:szCs w:val="24"/>
        </w:rPr>
        <w:t>Journal of Sandwich Structures and Materials</w:t>
      </w:r>
      <w:r w:rsidRPr="00430285">
        <w:rPr>
          <w:rFonts w:cs="Times New Roman"/>
          <w:noProof/>
          <w:szCs w:val="24"/>
        </w:rPr>
        <w:t>, 2016;18:30–49.</w:t>
      </w:r>
    </w:p>
    <w:p w14:paraId="1850677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[104]</w:t>
      </w:r>
      <w:r w:rsidRPr="00430285">
        <w:rPr>
          <w:rFonts w:cs="Times New Roman"/>
          <w:noProof/>
          <w:szCs w:val="24"/>
        </w:rPr>
        <w:tab/>
        <w:t xml:space="preserve">Gueribiz D., Rahmani M., Jacquemin F., Fréour S., Guillen R. and Loucif K. "Homogenization of Moisture Diffusing Behavior of Composite Materials with Impermeable or Permeable Fibers — Application to Porous Composite Materials". </w:t>
      </w:r>
      <w:r w:rsidRPr="00430285">
        <w:rPr>
          <w:rFonts w:cs="Times New Roman"/>
          <w:i/>
          <w:iCs/>
          <w:noProof/>
          <w:szCs w:val="24"/>
        </w:rPr>
        <w:t>Journal of Composite Materials</w:t>
      </w:r>
      <w:r w:rsidRPr="00430285">
        <w:rPr>
          <w:rFonts w:cs="Times New Roman"/>
          <w:noProof/>
          <w:szCs w:val="24"/>
        </w:rPr>
        <w:t>, 2009;43:1391–408.</w:t>
      </w:r>
    </w:p>
    <w:p w14:paraId="5F9E618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[105]</w:t>
      </w:r>
      <w:r w:rsidRPr="00430285">
        <w:rPr>
          <w:rFonts w:cs="Times New Roman"/>
          <w:noProof/>
          <w:szCs w:val="24"/>
        </w:rPr>
        <w:tab/>
        <w:t xml:space="preserve">Youssef Z., Jacquemin F., Gloaguen D. and Guillén R. "Hygro-elastic Internal Stresses in Porous Composite Materials: A Multi-scale Analysis". </w:t>
      </w:r>
      <w:r w:rsidRPr="00430285">
        <w:rPr>
          <w:rFonts w:cs="Times New Roman"/>
          <w:i/>
          <w:iCs/>
          <w:noProof/>
          <w:szCs w:val="24"/>
        </w:rPr>
        <w:t>Journal of Reinforced Plastics and Composites</w:t>
      </w:r>
      <w:r w:rsidRPr="00430285">
        <w:rPr>
          <w:rFonts w:cs="Times New Roman"/>
          <w:noProof/>
          <w:szCs w:val="24"/>
        </w:rPr>
        <w:t>, 2007;26:1865–80.</w:t>
      </w:r>
    </w:p>
    <w:p w14:paraId="5A113AD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[106]</w:t>
      </w:r>
      <w:r w:rsidRPr="00430285">
        <w:rPr>
          <w:rFonts w:cs="Times New Roman"/>
          <w:noProof/>
          <w:szCs w:val="24"/>
        </w:rPr>
        <w:tab/>
        <w:t xml:space="preserve">Bennacer R., Mohamad A.A. and El Ganaoui M. "Analytical and numerical investigation of double diffusion in thermally anisotropy multilayer porous medium". </w:t>
      </w:r>
      <w:r w:rsidRPr="00430285">
        <w:rPr>
          <w:rFonts w:cs="Times New Roman"/>
          <w:i/>
          <w:iCs/>
          <w:noProof/>
          <w:szCs w:val="24"/>
        </w:rPr>
        <w:t>Heat and Mass Transfer/Waerme- Und Stoffuebertragung</w:t>
      </w:r>
      <w:r w:rsidRPr="00430285">
        <w:rPr>
          <w:rFonts w:cs="Times New Roman"/>
          <w:noProof/>
          <w:szCs w:val="24"/>
        </w:rPr>
        <w:t>, 2005;41:298–305.</w:t>
      </w:r>
    </w:p>
    <w:p w14:paraId="620AEAB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[107]</w:t>
      </w:r>
      <w:r w:rsidRPr="00430285">
        <w:rPr>
          <w:rFonts w:cs="Times New Roman"/>
          <w:noProof/>
          <w:szCs w:val="24"/>
        </w:rPr>
        <w:tab/>
        <w:t xml:space="preserve">Prakotmak P., Soponronnarit S. and Prachayawarakorn S. "Modelling of moisture diffusion in pores of banana foam mat using a 2-D stochastic pore network: Determination of moisture diffusion coefficient during adsorption process". </w:t>
      </w:r>
      <w:r w:rsidRPr="00430285">
        <w:rPr>
          <w:rFonts w:cs="Times New Roman"/>
          <w:i/>
          <w:iCs/>
          <w:noProof/>
          <w:szCs w:val="24"/>
        </w:rPr>
        <w:t>Journal of Food Engineering</w:t>
      </w:r>
      <w:r w:rsidRPr="00430285">
        <w:rPr>
          <w:rFonts w:cs="Times New Roman"/>
          <w:noProof/>
          <w:szCs w:val="24"/>
        </w:rPr>
        <w:t>, 2010;96:119–26.</w:t>
      </w:r>
    </w:p>
    <w:p w14:paraId="57DAAF64"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[108]</w:t>
      </w:r>
      <w:r w:rsidRPr="00430285">
        <w:rPr>
          <w:rFonts w:cs="Times New Roman"/>
          <w:noProof/>
          <w:szCs w:val="24"/>
        </w:rPr>
        <w:tab/>
        <w:t xml:space="preserve">Chen L., Chu H.W. and Fan X. "A convection-diffusion porous media model for moisture transport in polymer composites: Model development and validation". </w:t>
      </w:r>
      <w:r w:rsidRPr="00430285">
        <w:rPr>
          <w:rFonts w:cs="Times New Roman"/>
          <w:i/>
          <w:iCs/>
          <w:noProof/>
          <w:szCs w:val="24"/>
        </w:rPr>
        <w:t>Journal of Polymer Science, Part B: Polymer Physics</w:t>
      </w:r>
      <w:r w:rsidRPr="00430285">
        <w:rPr>
          <w:rFonts w:cs="Times New Roman"/>
          <w:noProof/>
          <w:szCs w:val="24"/>
        </w:rPr>
        <w:t>, 2015;53:1440–9.</w:t>
      </w:r>
    </w:p>
    <w:p w14:paraId="7B876B6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[109]</w:t>
      </w:r>
      <w:r w:rsidRPr="00430285">
        <w:rPr>
          <w:rFonts w:cs="Times New Roman"/>
          <w:noProof/>
          <w:szCs w:val="24"/>
        </w:rPr>
        <w:tab/>
        <w:t xml:space="preserve">Piggott M. and Woo M. "Water Absorption of Resins and Composites: IV. Water Transport in Fiber Reinforced Plastics". </w:t>
      </w:r>
      <w:r w:rsidRPr="00430285">
        <w:rPr>
          <w:rFonts w:cs="Times New Roman"/>
          <w:i/>
          <w:iCs/>
          <w:noProof/>
          <w:szCs w:val="24"/>
        </w:rPr>
        <w:t>Journal of Composites, Technology and Research</w:t>
      </w:r>
      <w:r w:rsidRPr="00430285">
        <w:rPr>
          <w:rFonts w:cs="Times New Roman"/>
          <w:noProof/>
          <w:szCs w:val="24"/>
        </w:rPr>
        <w:t>, 1988;10:20–4.</w:t>
      </w:r>
    </w:p>
    <w:p w14:paraId="1530A46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[110]</w:t>
      </w:r>
      <w:r w:rsidRPr="00430285">
        <w:rPr>
          <w:rFonts w:cs="Times New Roman"/>
          <w:noProof/>
          <w:szCs w:val="24"/>
        </w:rPr>
        <w:tab/>
        <w:t>Crank J. "the Mathematics of Diffusion" 1975.</w:t>
      </w:r>
    </w:p>
    <w:p w14:paraId="0620475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[111]</w:t>
      </w:r>
      <w:r w:rsidRPr="00430285">
        <w:rPr>
          <w:rFonts w:cs="Times New Roman"/>
          <w:noProof/>
          <w:szCs w:val="24"/>
        </w:rPr>
        <w:tab/>
        <w:t>Blikstad R. "Three-Dimensional Moisture Diffusion in Graphite / Epoxy Laminates Pthin" 1986;5:9–18.</w:t>
      </w:r>
    </w:p>
    <w:p w14:paraId="1F5E478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[112]</w:t>
      </w:r>
      <w:r w:rsidRPr="00430285">
        <w:rPr>
          <w:rFonts w:cs="Times New Roman"/>
          <w:noProof/>
          <w:szCs w:val="24"/>
        </w:rPr>
        <w:tab/>
        <w:t xml:space="preserve">Aronhime M.T., Neumann S. and Marom G. "The anisotropic diffusion of water in Kevlar-epoxy composites". </w:t>
      </w:r>
      <w:r w:rsidRPr="00430285">
        <w:rPr>
          <w:rFonts w:cs="Times New Roman"/>
          <w:i/>
          <w:iCs/>
          <w:noProof/>
          <w:szCs w:val="24"/>
        </w:rPr>
        <w:t>Journal of Materials Science</w:t>
      </w:r>
      <w:r w:rsidRPr="00430285">
        <w:rPr>
          <w:rFonts w:cs="Times New Roman"/>
          <w:noProof/>
          <w:szCs w:val="24"/>
        </w:rPr>
        <w:t>, 1987;22:2435–46.</w:t>
      </w:r>
    </w:p>
    <w:p w14:paraId="7EEAB4D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[113]</w:t>
      </w:r>
      <w:r w:rsidRPr="00430285">
        <w:rPr>
          <w:rFonts w:cs="Times New Roman"/>
          <w:noProof/>
          <w:szCs w:val="24"/>
        </w:rPr>
        <w:tab/>
        <w:t xml:space="preserve">Pierron F., Poirette Y. and Vautrin A. "A Novel Procedure for Identification of 3D Moisture Diffusion Parameters on Thick Composites: Theory, Validation and Experimental Results". </w:t>
      </w:r>
      <w:r w:rsidRPr="00430285">
        <w:rPr>
          <w:rFonts w:cs="Times New Roman"/>
          <w:i/>
          <w:iCs/>
          <w:noProof/>
          <w:szCs w:val="24"/>
        </w:rPr>
        <w:t>Journal of Composite Materials</w:t>
      </w:r>
      <w:r w:rsidRPr="00430285">
        <w:rPr>
          <w:rFonts w:cs="Times New Roman"/>
          <w:noProof/>
          <w:szCs w:val="24"/>
        </w:rPr>
        <w:t>, 2002;36:2219–43.</w:t>
      </w:r>
    </w:p>
    <w:p w14:paraId="0D29BD0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lastRenderedPageBreak/>
        <w:t>[114]</w:t>
      </w:r>
      <w:r w:rsidRPr="00430285">
        <w:rPr>
          <w:rFonts w:cs="Times New Roman"/>
          <w:noProof/>
          <w:szCs w:val="24"/>
        </w:rPr>
        <w:tab/>
        <w:t xml:space="preserve">Weitsman Y. "Diffusion With Time-Varying Diffusivity, With Application to Moisture-Sorption in Composites". </w:t>
      </w:r>
      <w:r w:rsidRPr="00430285">
        <w:rPr>
          <w:rFonts w:cs="Times New Roman"/>
          <w:i/>
          <w:iCs/>
          <w:noProof/>
          <w:szCs w:val="24"/>
        </w:rPr>
        <w:t>Journal of Composite Materials</w:t>
      </w:r>
      <w:r w:rsidRPr="00430285">
        <w:rPr>
          <w:rFonts w:cs="Times New Roman"/>
          <w:noProof/>
          <w:szCs w:val="24"/>
        </w:rPr>
        <w:t>, 1976;10:193–204.</w:t>
      </w:r>
    </w:p>
    <w:p w14:paraId="1544C21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[115]</w:t>
      </w:r>
      <w:r w:rsidRPr="00430285">
        <w:rPr>
          <w:rFonts w:cs="Times New Roman"/>
          <w:noProof/>
          <w:szCs w:val="24"/>
        </w:rPr>
        <w:tab/>
        <w:t xml:space="preserve">Gersappe D. "Molecular Mechanisms of Failure in Polymer Nanocomposites". </w:t>
      </w:r>
      <w:r w:rsidRPr="00430285">
        <w:rPr>
          <w:rFonts w:cs="Times New Roman"/>
          <w:i/>
          <w:iCs/>
          <w:noProof/>
          <w:szCs w:val="24"/>
        </w:rPr>
        <w:t>Physical Review Letters</w:t>
      </w:r>
      <w:r w:rsidRPr="00430285">
        <w:rPr>
          <w:rFonts w:cs="Times New Roman"/>
          <w:noProof/>
          <w:szCs w:val="24"/>
        </w:rPr>
        <w:t>, 2002;89:1–4.</w:t>
      </w:r>
    </w:p>
    <w:p w14:paraId="09D656A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[116]</w:t>
      </w:r>
      <w:r w:rsidRPr="00430285">
        <w:rPr>
          <w:rFonts w:cs="Times New Roman"/>
          <w:noProof/>
          <w:szCs w:val="24"/>
        </w:rPr>
        <w:tab/>
        <w:t xml:space="preserve">Shah D., Maiti P., Jiang D.D., Batt C.A. and Giannelis E.P. "Effect of nanoparticle mobility on toughness of polymer nanocomposites". </w:t>
      </w:r>
      <w:r w:rsidRPr="00430285">
        <w:rPr>
          <w:rFonts w:cs="Times New Roman"/>
          <w:i/>
          <w:iCs/>
          <w:noProof/>
          <w:szCs w:val="24"/>
        </w:rPr>
        <w:t>Advanced Materials</w:t>
      </w:r>
      <w:r w:rsidRPr="00430285">
        <w:rPr>
          <w:rFonts w:cs="Times New Roman"/>
          <w:noProof/>
          <w:szCs w:val="24"/>
        </w:rPr>
        <w:t>, 2005;17:525–8.</w:t>
      </w:r>
    </w:p>
    <w:p w14:paraId="7EC61E6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[117]</w:t>
      </w:r>
      <w:r w:rsidRPr="00430285">
        <w:rPr>
          <w:rFonts w:cs="Times New Roman"/>
          <w:noProof/>
          <w:szCs w:val="24"/>
        </w:rPr>
        <w:tab/>
        <w:t xml:space="preserve">Agubra V.A. and Mahesh H. V. "Environmental degradation of E-glass/nanocomposite under the combined effect of UV radiation, moisture, and rain". </w:t>
      </w:r>
      <w:r w:rsidRPr="00430285">
        <w:rPr>
          <w:rFonts w:cs="Times New Roman"/>
          <w:i/>
          <w:iCs/>
          <w:noProof/>
          <w:szCs w:val="24"/>
        </w:rPr>
        <w:t>Journal of Polymer Science, Part B: Polymer Physics</w:t>
      </w:r>
      <w:r w:rsidRPr="00430285">
        <w:rPr>
          <w:rFonts w:cs="Times New Roman"/>
          <w:noProof/>
          <w:szCs w:val="24"/>
        </w:rPr>
        <w:t>, 2014;52:1024–9.</w:t>
      </w:r>
    </w:p>
    <w:p w14:paraId="11892CF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[118]</w:t>
      </w:r>
      <w:r w:rsidRPr="00430285">
        <w:rPr>
          <w:rFonts w:cs="Times New Roman"/>
          <w:noProof/>
          <w:szCs w:val="24"/>
        </w:rPr>
        <w:tab/>
        <w:t xml:space="preserve">Bradley W. and Grant T. "The effect of the moisture absorption on the interfacial strength of polymeric matrix composites". </w:t>
      </w:r>
      <w:r w:rsidRPr="00430285">
        <w:rPr>
          <w:rFonts w:cs="Times New Roman"/>
          <w:i/>
          <w:iCs/>
          <w:noProof/>
          <w:szCs w:val="24"/>
        </w:rPr>
        <w:t>Journal of Materials Science</w:t>
      </w:r>
      <w:r w:rsidRPr="00430285">
        <w:rPr>
          <w:rFonts w:cs="Times New Roman"/>
          <w:noProof/>
          <w:szCs w:val="24"/>
        </w:rPr>
        <w:t>, 1995;30:5537–42.</w:t>
      </w:r>
    </w:p>
    <w:p w14:paraId="568DACA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[119]</w:t>
      </w:r>
      <w:r w:rsidRPr="00430285">
        <w:rPr>
          <w:rFonts w:cs="Times New Roman"/>
          <w:noProof/>
          <w:szCs w:val="24"/>
        </w:rPr>
        <w:tab/>
        <w:t xml:space="preserve">Sideridis E.P. and Bikakis G.S. "Shear properties and load–deflection response of cross–ply glass–epoxy composite short–beams subjected to three-point-bending tests, and the effect of moisture absorption". </w:t>
      </w:r>
      <w:r w:rsidRPr="00430285">
        <w:rPr>
          <w:rFonts w:cs="Times New Roman"/>
          <w:i/>
          <w:iCs/>
          <w:noProof/>
          <w:szCs w:val="24"/>
        </w:rPr>
        <w:t>Journal of Applied Polymer Science</w:t>
      </w:r>
      <w:r w:rsidRPr="00430285">
        <w:rPr>
          <w:rFonts w:cs="Times New Roman"/>
          <w:noProof/>
          <w:szCs w:val="24"/>
        </w:rPr>
        <w:t>, 2013;129:2244–52.</w:t>
      </w:r>
    </w:p>
    <w:p w14:paraId="14258F16"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[120]</w:t>
      </w:r>
      <w:r w:rsidRPr="00430285">
        <w:rPr>
          <w:rFonts w:cs="Times New Roman"/>
          <w:noProof/>
          <w:szCs w:val="24"/>
        </w:rPr>
        <w:tab/>
        <w:t xml:space="preserve">Bullions T.A., Loos A.C. and McGrath J.E. "Moisture Sorption Effects on and Properties of a Carbon Fiber-reinforced Phenylethynyl-terminated Poly(etherimide)". </w:t>
      </w:r>
      <w:r w:rsidRPr="00430285">
        <w:rPr>
          <w:rFonts w:cs="Times New Roman"/>
          <w:i/>
          <w:iCs/>
          <w:noProof/>
          <w:szCs w:val="24"/>
        </w:rPr>
        <w:t>Journal of Composite Materials</w:t>
      </w:r>
      <w:r w:rsidRPr="00430285">
        <w:rPr>
          <w:rFonts w:cs="Times New Roman"/>
          <w:noProof/>
          <w:szCs w:val="24"/>
        </w:rPr>
        <w:t>, 2003;37:791–809.</w:t>
      </w:r>
    </w:p>
    <w:p w14:paraId="7FEF019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[121]</w:t>
      </w:r>
      <w:r w:rsidRPr="00430285">
        <w:rPr>
          <w:rFonts w:cs="Times New Roman"/>
          <w:noProof/>
          <w:szCs w:val="24"/>
        </w:rPr>
        <w:tab/>
        <w:t>Bentzl R.W. and Neville H.A. "Water Content of Hydrophilic Phenol-Formaldehyde Resins : Vapor Pressure-Temperature Relationships" 1949;IV:673–88.</w:t>
      </w:r>
    </w:p>
    <w:p w14:paraId="0F1D5D2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[122]</w:t>
      </w:r>
      <w:r w:rsidRPr="00430285">
        <w:rPr>
          <w:rFonts w:cs="Times New Roman"/>
          <w:noProof/>
          <w:szCs w:val="24"/>
        </w:rPr>
        <w:tab/>
        <w:t xml:space="preserve">Reynolds J.G., Johnston C.T. and Agnew S.F. "A molality-based bet equation for modeling the activity of water sorbed on clay minerals". </w:t>
      </w:r>
      <w:r w:rsidRPr="00430285">
        <w:rPr>
          <w:rFonts w:cs="Times New Roman"/>
          <w:i/>
          <w:iCs/>
          <w:noProof/>
          <w:szCs w:val="24"/>
        </w:rPr>
        <w:t>Clays and Clay Minerals</w:t>
      </w:r>
      <w:r w:rsidRPr="00430285">
        <w:rPr>
          <w:rFonts w:cs="Times New Roman"/>
          <w:noProof/>
          <w:szCs w:val="24"/>
        </w:rPr>
        <w:t>, 2012;60:599–609.</w:t>
      </w:r>
    </w:p>
    <w:p w14:paraId="748B130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[123]</w:t>
      </w:r>
      <w:r w:rsidRPr="00430285">
        <w:rPr>
          <w:rFonts w:cs="Times New Roman"/>
          <w:noProof/>
          <w:szCs w:val="24"/>
        </w:rPr>
        <w:tab/>
        <w:t xml:space="preserve">Bai J., Liao X., Huang E., Luo Y., Yang Q. and Li G. "Control of the cell structure of microcellular silicone rubber/nanographite foam for enhanced mechanical performance". </w:t>
      </w:r>
      <w:r w:rsidRPr="00430285">
        <w:rPr>
          <w:rFonts w:cs="Times New Roman"/>
          <w:i/>
          <w:iCs/>
          <w:noProof/>
          <w:szCs w:val="24"/>
        </w:rPr>
        <w:t>Materials and Design</w:t>
      </w:r>
      <w:r w:rsidRPr="00430285">
        <w:rPr>
          <w:rFonts w:cs="Times New Roman"/>
          <w:noProof/>
          <w:szCs w:val="24"/>
        </w:rPr>
        <w:t>, 2017;133:288–98.</w:t>
      </w:r>
    </w:p>
    <w:p w14:paraId="166500E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[124]</w:t>
      </w:r>
      <w:r w:rsidRPr="00430285">
        <w:rPr>
          <w:rFonts w:cs="Times New Roman"/>
          <w:noProof/>
          <w:szCs w:val="24"/>
        </w:rPr>
        <w:tab/>
        <w:t xml:space="preserve">Park E.-S. "Mechanical properties and antibacterial activity of peroxide-cured silicone rubber foams". </w:t>
      </w:r>
      <w:r w:rsidRPr="00430285">
        <w:rPr>
          <w:rFonts w:cs="Times New Roman"/>
          <w:i/>
          <w:iCs/>
          <w:noProof/>
          <w:szCs w:val="24"/>
        </w:rPr>
        <w:t>Journal of Applied Polymer Science</w:t>
      </w:r>
      <w:r w:rsidRPr="00430285">
        <w:rPr>
          <w:rFonts w:cs="Times New Roman"/>
          <w:noProof/>
          <w:szCs w:val="24"/>
        </w:rPr>
        <w:t>, 2008;110:1723–9.</w:t>
      </w:r>
    </w:p>
    <w:p w14:paraId="3BE07B5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[125]</w:t>
      </w:r>
      <w:r w:rsidRPr="00430285">
        <w:rPr>
          <w:rFonts w:cs="Times New Roman"/>
          <w:noProof/>
          <w:szCs w:val="24"/>
        </w:rPr>
        <w:tab/>
        <w:t>Klempner D., Sendijarevic V. and Aseeva R.M. Handbook of polymeric foams and foam technology. Munich; Cincinnati: Hanser Publishers ; Hanser Gardener [i.e. Gardner] Publications; 2004.</w:t>
      </w:r>
    </w:p>
    <w:p w14:paraId="2DE918F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[126]</w:t>
      </w:r>
      <w:r w:rsidRPr="00430285">
        <w:rPr>
          <w:rFonts w:cs="Times New Roman"/>
          <w:noProof/>
          <w:szCs w:val="24"/>
        </w:rPr>
        <w:tab/>
        <w:t xml:space="preserve">Verdejo R., Stämpfli R., Alvarez-Lainez M., Mourad S., Rodriguez-Perez M.A., Brühwiler P.A., et al. "Enhanced acoustic damping in flexible polyurethane foams </w:t>
      </w:r>
      <w:r w:rsidRPr="00430285">
        <w:rPr>
          <w:rFonts w:cs="Times New Roman"/>
          <w:noProof/>
          <w:szCs w:val="24"/>
        </w:rPr>
        <w:lastRenderedPageBreak/>
        <w:t xml:space="preserve">filled with carbon nanotubes". </w:t>
      </w:r>
      <w:r w:rsidRPr="00430285">
        <w:rPr>
          <w:rFonts w:cs="Times New Roman"/>
          <w:i/>
          <w:iCs/>
          <w:noProof/>
          <w:szCs w:val="24"/>
        </w:rPr>
        <w:t>Composites Science and Technology</w:t>
      </w:r>
      <w:r w:rsidRPr="00430285">
        <w:rPr>
          <w:rFonts w:cs="Times New Roman"/>
          <w:noProof/>
          <w:szCs w:val="24"/>
        </w:rPr>
        <w:t>, 2009;69:1564–9.</w:t>
      </w:r>
    </w:p>
    <w:p w14:paraId="626EA8F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[127]</w:t>
      </w:r>
      <w:r w:rsidRPr="00430285">
        <w:rPr>
          <w:rFonts w:cs="Times New Roman"/>
          <w:noProof/>
          <w:szCs w:val="24"/>
        </w:rPr>
        <w:tab/>
        <w:t xml:space="preserve">Zhang C., Li J., Hu Z., Zhu F. and Huang Y. "Correlation between the acoustic and porous cell morphology of polyurethane foam: Effect of interconnected porosity". </w:t>
      </w:r>
      <w:r w:rsidRPr="00430285">
        <w:rPr>
          <w:rFonts w:cs="Times New Roman"/>
          <w:i/>
          <w:iCs/>
          <w:noProof/>
          <w:szCs w:val="24"/>
        </w:rPr>
        <w:t>Materials and Design</w:t>
      </w:r>
      <w:r w:rsidRPr="00430285">
        <w:rPr>
          <w:rFonts w:cs="Times New Roman"/>
          <w:noProof/>
          <w:szCs w:val="24"/>
        </w:rPr>
        <w:t>, 2012;41:319–25.</w:t>
      </w:r>
    </w:p>
    <w:p w14:paraId="4A542C1F"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[128]</w:t>
      </w:r>
      <w:r w:rsidRPr="00430285">
        <w:rPr>
          <w:rFonts w:cs="Times New Roman"/>
          <w:noProof/>
          <w:szCs w:val="24"/>
        </w:rPr>
        <w:tab/>
        <w:t xml:space="preserve">Ridha M. and Shim V.P.W. "Microstructure and Tensile Mechanical Properties of Anisotropic Rigid Polyurethane Foam". </w:t>
      </w:r>
      <w:r w:rsidRPr="00430285">
        <w:rPr>
          <w:rFonts w:cs="Times New Roman"/>
          <w:i/>
          <w:iCs/>
          <w:noProof/>
          <w:szCs w:val="24"/>
        </w:rPr>
        <w:t>Experimental Mechanics</w:t>
      </w:r>
      <w:r w:rsidRPr="00430285">
        <w:rPr>
          <w:rFonts w:cs="Times New Roman"/>
          <w:noProof/>
          <w:szCs w:val="24"/>
        </w:rPr>
        <w:t>, 2008;48:763–76.</w:t>
      </w:r>
    </w:p>
    <w:p w14:paraId="1A2D83CC"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[129]</w:t>
      </w:r>
      <w:r w:rsidRPr="00430285">
        <w:rPr>
          <w:rFonts w:cs="Times New Roman"/>
          <w:noProof/>
          <w:szCs w:val="24"/>
        </w:rPr>
        <w:tab/>
        <w:t>Gibson L.J. and Ashby M.F. Cellular Solids: Structure and Properties. 2nd ed. Cambridge: Cambridge University Press; 1997.</w:t>
      </w:r>
    </w:p>
    <w:p w14:paraId="5F25D71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[130]</w:t>
      </w:r>
      <w:r w:rsidRPr="00430285">
        <w:rPr>
          <w:rFonts w:cs="Times New Roman"/>
          <w:noProof/>
          <w:szCs w:val="24"/>
        </w:rPr>
        <w:tab/>
        <w:t xml:space="preserve">Chen Y., Das R. and Battley M. "Effects of cell size and cell wall thickness variations on the strength of closed-cell foams". </w:t>
      </w:r>
      <w:r w:rsidRPr="00430285">
        <w:rPr>
          <w:rFonts w:cs="Times New Roman"/>
          <w:i/>
          <w:iCs/>
          <w:noProof/>
          <w:szCs w:val="24"/>
        </w:rPr>
        <w:t>International Journal of Engineering Science</w:t>
      </w:r>
      <w:r w:rsidRPr="00430285">
        <w:rPr>
          <w:rFonts w:cs="Times New Roman"/>
          <w:noProof/>
          <w:szCs w:val="24"/>
        </w:rPr>
        <w:t>, 2017;120:220–40.</w:t>
      </w:r>
    </w:p>
    <w:p w14:paraId="49BA619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[131]</w:t>
      </w:r>
      <w:r w:rsidRPr="00430285">
        <w:rPr>
          <w:rFonts w:cs="Times New Roman"/>
          <w:noProof/>
          <w:szCs w:val="24"/>
        </w:rPr>
        <w:tab/>
        <w:t xml:space="preserve">Siriruk A., Penumadu D. and Sharma A. "Effects of Seawater and Low Temperatures on Polymeric Foam Core Material". </w:t>
      </w:r>
      <w:r w:rsidRPr="00430285">
        <w:rPr>
          <w:rFonts w:cs="Times New Roman"/>
          <w:i/>
          <w:iCs/>
          <w:noProof/>
          <w:szCs w:val="24"/>
        </w:rPr>
        <w:t>Experimental Mechanics</w:t>
      </w:r>
      <w:r w:rsidRPr="00430285">
        <w:rPr>
          <w:rFonts w:cs="Times New Roman"/>
          <w:noProof/>
          <w:szCs w:val="24"/>
        </w:rPr>
        <w:t>, 2012;52:25–36.</w:t>
      </w:r>
    </w:p>
    <w:p w14:paraId="0E3F4AA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[132]</w:t>
      </w:r>
      <w:r w:rsidRPr="00430285">
        <w:rPr>
          <w:rFonts w:cs="Times New Roman"/>
          <w:noProof/>
          <w:szCs w:val="24"/>
        </w:rPr>
        <w:tab/>
        <w:t xml:space="preserve">Fesmire J.E., Coffman B.E., Sass J.P., Williams M.K., Smith T.M. and Meneghelli B.J. "Cryogenic Moisture Uptake in Foam Insulation for Space Launch Vehicles". </w:t>
      </w:r>
      <w:r w:rsidRPr="00430285">
        <w:rPr>
          <w:rFonts w:cs="Times New Roman"/>
          <w:i/>
          <w:iCs/>
          <w:noProof/>
          <w:szCs w:val="24"/>
        </w:rPr>
        <w:t>Journal of Spacecraft and Rockets</w:t>
      </w:r>
      <w:r w:rsidRPr="00430285">
        <w:rPr>
          <w:rFonts w:cs="Times New Roman"/>
          <w:noProof/>
          <w:szCs w:val="24"/>
        </w:rPr>
        <w:t>, 2012;49:220–30.</w:t>
      </w:r>
    </w:p>
    <w:p w14:paraId="2D1EDBB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[133]</w:t>
      </w:r>
      <w:r w:rsidRPr="00430285">
        <w:rPr>
          <w:rFonts w:cs="Times New Roman"/>
          <w:noProof/>
          <w:szCs w:val="24"/>
        </w:rPr>
        <w:tab/>
        <w:t xml:space="preserve">Manujesh B.J., Rao V. and Aan M.P.S. "Moisture absorption and mechanical degradation studies of polyurethane foam cored E-glass-reinforced vinyl-ester sandwich composites". </w:t>
      </w:r>
      <w:r w:rsidRPr="00430285">
        <w:rPr>
          <w:rFonts w:cs="Times New Roman"/>
          <w:i/>
          <w:iCs/>
          <w:noProof/>
          <w:szCs w:val="24"/>
        </w:rPr>
        <w:t>Journal of Reinforced Plastics and Composites</w:t>
      </w:r>
      <w:r w:rsidRPr="00430285">
        <w:rPr>
          <w:rFonts w:cs="Times New Roman"/>
          <w:noProof/>
          <w:szCs w:val="24"/>
        </w:rPr>
        <w:t>, 2014;33:479–92.</w:t>
      </w:r>
    </w:p>
    <w:p w14:paraId="13E0553A"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[134]</w:t>
      </w:r>
      <w:r w:rsidRPr="00430285">
        <w:rPr>
          <w:rFonts w:cs="Times New Roman"/>
          <w:noProof/>
          <w:szCs w:val="24"/>
        </w:rPr>
        <w:tab/>
        <w:t xml:space="preserve">Singh A.K. and Davidson B.D. "Effects of temperature, seawater and impact on the strength, stiffness, and life of sandwich composites". </w:t>
      </w:r>
      <w:r w:rsidRPr="00430285">
        <w:rPr>
          <w:rFonts w:cs="Times New Roman"/>
          <w:i/>
          <w:iCs/>
          <w:noProof/>
          <w:szCs w:val="24"/>
        </w:rPr>
        <w:t>Journal of Reinforced Plastics and Composites</w:t>
      </w:r>
      <w:r w:rsidRPr="00430285">
        <w:rPr>
          <w:rFonts w:cs="Times New Roman"/>
          <w:noProof/>
          <w:szCs w:val="24"/>
        </w:rPr>
        <w:t>, 2011;30:269–77.</w:t>
      </w:r>
    </w:p>
    <w:p w14:paraId="20323FB4"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[135]</w:t>
      </w:r>
      <w:r w:rsidRPr="00430285">
        <w:rPr>
          <w:rFonts w:cs="Times New Roman"/>
          <w:noProof/>
          <w:szCs w:val="24"/>
        </w:rPr>
        <w:tab/>
        <w:t xml:space="preserve">Avilés F. and Aguilar-Montero M. "Moisture absorption in foam-cored composite sandwich structures". </w:t>
      </w:r>
      <w:r w:rsidRPr="00430285">
        <w:rPr>
          <w:rFonts w:cs="Times New Roman"/>
          <w:i/>
          <w:iCs/>
          <w:noProof/>
          <w:szCs w:val="24"/>
        </w:rPr>
        <w:t>Polymer Composites</w:t>
      </w:r>
      <w:r w:rsidRPr="00430285">
        <w:rPr>
          <w:rFonts w:cs="Times New Roman"/>
          <w:noProof/>
          <w:szCs w:val="24"/>
        </w:rPr>
        <w:t>, 2009;31:714–22.</w:t>
      </w:r>
    </w:p>
    <w:p w14:paraId="42C2A79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[136]</w:t>
      </w:r>
      <w:r w:rsidRPr="00430285">
        <w:rPr>
          <w:rFonts w:cs="Times New Roman"/>
          <w:noProof/>
          <w:szCs w:val="24"/>
        </w:rPr>
        <w:tab/>
        <w:t xml:space="preserve">Earl J.S. and Shenoi R.A. "Determination of the moisture uptake mechanism in closed cell polymeric structural foam during hygrothermal exposure". </w:t>
      </w:r>
      <w:r w:rsidRPr="00430285">
        <w:rPr>
          <w:rFonts w:cs="Times New Roman"/>
          <w:i/>
          <w:iCs/>
          <w:noProof/>
          <w:szCs w:val="24"/>
        </w:rPr>
        <w:t>Journal of Composite Materials</w:t>
      </w:r>
      <w:r w:rsidRPr="00430285">
        <w:rPr>
          <w:rFonts w:cs="Times New Roman"/>
          <w:noProof/>
          <w:szCs w:val="24"/>
        </w:rPr>
        <w:t>, 2004;38:1345–65.</w:t>
      </w:r>
    </w:p>
    <w:p w14:paraId="40A5405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[137]</w:t>
      </w:r>
      <w:r w:rsidRPr="00430285">
        <w:rPr>
          <w:rFonts w:cs="Times New Roman"/>
          <w:noProof/>
          <w:szCs w:val="24"/>
        </w:rPr>
        <w:tab/>
        <w:t xml:space="preserve">Li X. and Weitsman Y.J. "Sea-water effects on foam-cored composite sandwich lay-ups". </w:t>
      </w:r>
      <w:r w:rsidRPr="00430285">
        <w:rPr>
          <w:rFonts w:cs="Times New Roman"/>
          <w:i/>
          <w:iCs/>
          <w:noProof/>
          <w:szCs w:val="24"/>
        </w:rPr>
        <w:t>Composites Part B: Engineering</w:t>
      </w:r>
      <w:r w:rsidRPr="00430285">
        <w:rPr>
          <w:rFonts w:cs="Times New Roman"/>
          <w:noProof/>
          <w:szCs w:val="24"/>
        </w:rPr>
        <w:t>, 2004;35:451–9.</w:t>
      </w:r>
    </w:p>
    <w:p w14:paraId="1EA1878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[138]</w:t>
      </w:r>
      <w:r w:rsidRPr="00430285">
        <w:rPr>
          <w:rFonts w:cs="Times New Roman"/>
          <w:noProof/>
          <w:szCs w:val="24"/>
        </w:rPr>
        <w:tab/>
        <w:t>Sabbahi A. and Vergnaud J.M. "Absorption of water at 100°C by polyurethane foam" 1991;27:845–50.</w:t>
      </w:r>
    </w:p>
    <w:p w14:paraId="35D8CB3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[139]</w:t>
      </w:r>
      <w:r w:rsidRPr="00430285">
        <w:rPr>
          <w:rFonts w:cs="Times New Roman"/>
          <w:noProof/>
          <w:szCs w:val="24"/>
        </w:rPr>
        <w:tab/>
        <w:t xml:space="preserve">Georjon O. and Galy J. "Effects of crosslink density on the volumetric properties of </w:t>
      </w:r>
      <w:r w:rsidRPr="00430285">
        <w:rPr>
          <w:rFonts w:cs="Times New Roman"/>
          <w:noProof/>
          <w:szCs w:val="24"/>
        </w:rPr>
        <w:lastRenderedPageBreak/>
        <w:t xml:space="preserve">high Tg polyurethane networks. Consequences on moisture absorption". </w:t>
      </w:r>
      <w:r w:rsidRPr="00430285">
        <w:rPr>
          <w:rFonts w:cs="Times New Roman"/>
          <w:i/>
          <w:iCs/>
          <w:noProof/>
          <w:szCs w:val="24"/>
        </w:rPr>
        <w:t>Polymer</w:t>
      </w:r>
      <w:r w:rsidRPr="00430285">
        <w:rPr>
          <w:rFonts w:cs="Times New Roman"/>
          <w:noProof/>
          <w:szCs w:val="24"/>
        </w:rPr>
        <w:t>, 1998;39:339–45.</w:t>
      </w:r>
    </w:p>
    <w:p w14:paraId="58F8C4E9"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[140]</w:t>
      </w:r>
      <w:r w:rsidRPr="00430285">
        <w:rPr>
          <w:rFonts w:cs="Times New Roman"/>
          <w:noProof/>
          <w:szCs w:val="24"/>
        </w:rPr>
        <w:tab/>
        <w:t xml:space="preserve">Kumosa L., Benedikt B., Armentrout D. and Kumosa M. "Moisture absorption properties of unidirectional glass/polymer composites used in composite (non-ceramic) insulators". </w:t>
      </w:r>
      <w:r w:rsidRPr="00430285">
        <w:rPr>
          <w:rFonts w:cs="Times New Roman"/>
          <w:i/>
          <w:iCs/>
          <w:noProof/>
          <w:szCs w:val="24"/>
        </w:rPr>
        <w:t>Composites Part A: Applied Science and Manufacturing</w:t>
      </w:r>
      <w:r w:rsidRPr="00430285">
        <w:rPr>
          <w:rFonts w:cs="Times New Roman"/>
          <w:noProof/>
          <w:szCs w:val="24"/>
        </w:rPr>
        <w:t>, 2004;35:1049–63.</w:t>
      </w:r>
    </w:p>
    <w:p w14:paraId="5AA706DE"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[141]</w:t>
      </w:r>
      <w:r w:rsidRPr="00430285">
        <w:rPr>
          <w:rFonts w:cs="Times New Roman"/>
          <w:noProof/>
          <w:szCs w:val="24"/>
        </w:rPr>
        <w:tab/>
        <w:t xml:space="preserve">Cotinaud M., Bonniau P. and Bunsell A.R. "The effect of water absorption on the electrical properties of glass-fibre reinforced epoxy composites". </w:t>
      </w:r>
      <w:r w:rsidRPr="00430285">
        <w:rPr>
          <w:rFonts w:cs="Times New Roman"/>
          <w:i/>
          <w:iCs/>
          <w:noProof/>
          <w:szCs w:val="24"/>
        </w:rPr>
        <w:t>Journal of Materials Science</w:t>
      </w:r>
      <w:r w:rsidRPr="00430285">
        <w:rPr>
          <w:rFonts w:cs="Times New Roman"/>
          <w:noProof/>
          <w:szCs w:val="24"/>
        </w:rPr>
        <w:t>, 1982;17:867–77.</w:t>
      </w:r>
    </w:p>
    <w:p w14:paraId="54BF65E3"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[142]</w:t>
      </w:r>
      <w:r w:rsidRPr="00430285">
        <w:rPr>
          <w:rFonts w:cs="Times New Roman"/>
          <w:noProof/>
          <w:szCs w:val="24"/>
        </w:rPr>
        <w:tab/>
        <w:t xml:space="preserve">Wang W., Sain M. and Cooper P.A. "Study of moisture absorption in natural fiber plastic composites". </w:t>
      </w:r>
      <w:r w:rsidRPr="00430285">
        <w:rPr>
          <w:rFonts w:cs="Times New Roman"/>
          <w:i/>
          <w:iCs/>
          <w:noProof/>
          <w:szCs w:val="24"/>
        </w:rPr>
        <w:t>Composites Science and Technology</w:t>
      </w:r>
      <w:r w:rsidRPr="00430285">
        <w:rPr>
          <w:rFonts w:cs="Times New Roman"/>
          <w:noProof/>
          <w:szCs w:val="24"/>
        </w:rPr>
        <w:t>, 2006;66:379–86.</w:t>
      </w:r>
    </w:p>
    <w:p w14:paraId="4DB49D3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[143]</w:t>
      </w:r>
      <w:r w:rsidRPr="00430285">
        <w:rPr>
          <w:rFonts w:cs="Times New Roman"/>
          <w:noProof/>
          <w:szCs w:val="24"/>
        </w:rPr>
        <w:tab/>
        <w:t xml:space="preserve">Zhao H. and Li R.K.Y. "Effect of water absorption on the mechanical and dielectric properties of nano-alumina filled epoxy nanocomposites". </w:t>
      </w:r>
      <w:r w:rsidRPr="00430285">
        <w:rPr>
          <w:rFonts w:cs="Times New Roman"/>
          <w:i/>
          <w:iCs/>
          <w:noProof/>
          <w:szCs w:val="24"/>
        </w:rPr>
        <w:t>Composites Part A: Applied Science and Manufacturing</w:t>
      </w:r>
      <w:r w:rsidRPr="00430285">
        <w:rPr>
          <w:rFonts w:cs="Times New Roman"/>
          <w:noProof/>
          <w:szCs w:val="24"/>
        </w:rPr>
        <w:t>, 2008;39:602–11.</w:t>
      </w:r>
    </w:p>
    <w:p w14:paraId="25011CF5"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[144]</w:t>
      </w:r>
      <w:r w:rsidRPr="00430285">
        <w:rPr>
          <w:rFonts w:cs="Times New Roman"/>
          <w:noProof/>
          <w:szCs w:val="24"/>
        </w:rPr>
        <w:tab/>
        <w:t xml:space="preserve">Simar A., Gigliotti M., Grandidier J.C. and Ammar-Khodja I. "Evidence of thermo-oxidation phenomena occurring during hygrothermal aging of thermosetting resins for RTM composite applications". </w:t>
      </w:r>
      <w:r w:rsidRPr="00430285">
        <w:rPr>
          <w:rFonts w:cs="Times New Roman"/>
          <w:i/>
          <w:iCs/>
          <w:noProof/>
          <w:szCs w:val="24"/>
        </w:rPr>
        <w:t>Composites Part A: Applied Science and Manufacturing</w:t>
      </w:r>
      <w:r w:rsidRPr="00430285">
        <w:rPr>
          <w:rFonts w:cs="Times New Roman"/>
          <w:noProof/>
          <w:szCs w:val="24"/>
        </w:rPr>
        <w:t>, 2014;66:175–82.</w:t>
      </w:r>
    </w:p>
    <w:p w14:paraId="36C096C8"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[145]</w:t>
      </w:r>
      <w:r w:rsidRPr="00430285">
        <w:rPr>
          <w:rFonts w:cs="Times New Roman"/>
          <w:noProof/>
          <w:szCs w:val="24"/>
        </w:rPr>
        <w:tab/>
        <w:t xml:space="preserve">Silva L., Tognana S. and Salgueiro W. "Study of the water absorption and its influence on the Young’s modulus in a commercial polyamide". </w:t>
      </w:r>
      <w:r w:rsidRPr="00430285">
        <w:rPr>
          <w:rFonts w:cs="Times New Roman"/>
          <w:i/>
          <w:iCs/>
          <w:noProof/>
          <w:szCs w:val="24"/>
        </w:rPr>
        <w:t>Polymer Testing</w:t>
      </w:r>
      <w:r w:rsidRPr="00430285">
        <w:rPr>
          <w:rFonts w:cs="Times New Roman"/>
          <w:noProof/>
          <w:szCs w:val="24"/>
        </w:rPr>
        <w:t>, 2013;32:158–64.</w:t>
      </w:r>
    </w:p>
    <w:p w14:paraId="15653DD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[146]</w:t>
      </w:r>
      <w:r w:rsidRPr="00430285">
        <w:rPr>
          <w:rFonts w:cs="Times New Roman"/>
          <w:noProof/>
          <w:szCs w:val="24"/>
        </w:rPr>
        <w:tab/>
        <w:t xml:space="preserve">Sarfaraz R., Canal L.P., Violakis G., Botsis J., Michaud V. and Limberger H.G. "An experimental-numerical investigation of hydrothermal response in adhesively bonded composite structures". </w:t>
      </w:r>
      <w:r w:rsidRPr="00430285">
        <w:rPr>
          <w:rFonts w:cs="Times New Roman"/>
          <w:i/>
          <w:iCs/>
          <w:noProof/>
          <w:szCs w:val="24"/>
        </w:rPr>
        <w:t>Composites Part A: Applied Science and Manufacturing</w:t>
      </w:r>
      <w:r w:rsidRPr="00430285">
        <w:rPr>
          <w:rFonts w:cs="Times New Roman"/>
          <w:noProof/>
          <w:szCs w:val="24"/>
        </w:rPr>
        <w:t>, 2015;73:176–85.</w:t>
      </w:r>
    </w:p>
    <w:p w14:paraId="68022A02"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[147]</w:t>
      </w:r>
      <w:r w:rsidRPr="00430285">
        <w:rPr>
          <w:rFonts w:cs="Times New Roman"/>
          <w:noProof/>
          <w:szCs w:val="24"/>
        </w:rPr>
        <w:tab/>
        <w:t xml:space="preserve">Zai B.A., Park M.K., Choi H.S., Mehboob H. and Ali R. "Effect of moisture absorption on damping and dynamic stiffness of carbon fiber/epoxy composites". </w:t>
      </w:r>
      <w:r w:rsidRPr="00430285">
        <w:rPr>
          <w:rFonts w:cs="Times New Roman"/>
          <w:i/>
          <w:iCs/>
          <w:noProof/>
          <w:szCs w:val="24"/>
        </w:rPr>
        <w:t>Journal of Mechanical Science and Technology</w:t>
      </w:r>
      <w:r w:rsidRPr="00430285">
        <w:rPr>
          <w:rFonts w:cs="Times New Roman"/>
          <w:noProof/>
          <w:szCs w:val="24"/>
        </w:rPr>
        <w:t>, 2010;23:2998–3004.</w:t>
      </w:r>
    </w:p>
    <w:p w14:paraId="361284D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[148]</w:t>
      </w:r>
      <w:r w:rsidRPr="00430285">
        <w:rPr>
          <w:rFonts w:cs="Times New Roman"/>
          <w:noProof/>
          <w:szCs w:val="24"/>
        </w:rPr>
        <w:tab/>
        <w:t xml:space="preserve">Botelho E.C., Costa M.L., Pardini L.C. and Rezende M.C. "Processing and hygrothermal effects on viscoelastic behavior of glass fiber/epoxy composites". </w:t>
      </w:r>
      <w:r w:rsidRPr="00430285">
        <w:rPr>
          <w:rFonts w:cs="Times New Roman"/>
          <w:i/>
          <w:iCs/>
          <w:noProof/>
          <w:szCs w:val="24"/>
        </w:rPr>
        <w:t>Journal of Materials Science</w:t>
      </w:r>
      <w:r w:rsidRPr="00430285">
        <w:rPr>
          <w:rFonts w:cs="Times New Roman"/>
          <w:noProof/>
          <w:szCs w:val="24"/>
        </w:rPr>
        <w:t>, 2005;40:3615–23.</w:t>
      </w:r>
    </w:p>
    <w:p w14:paraId="7F7E039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[149]</w:t>
      </w:r>
      <w:r w:rsidRPr="00430285">
        <w:rPr>
          <w:rFonts w:cs="Times New Roman"/>
          <w:noProof/>
          <w:szCs w:val="24"/>
        </w:rPr>
        <w:tab/>
        <w:t xml:space="preserve">Rajeesh K.R., Gnanamoorthy R. and Velmurugan R. "Effect of humidity on the indentation hardness and flexural fatigue behavior of polyamide 6 nanocomposite". </w:t>
      </w:r>
      <w:r w:rsidRPr="00430285">
        <w:rPr>
          <w:rFonts w:cs="Times New Roman"/>
          <w:i/>
          <w:iCs/>
          <w:noProof/>
          <w:szCs w:val="24"/>
        </w:rPr>
        <w:t>Materials Science and Engineering A</w:t>
      </w:r>
      <w:r w:rsidRPr="00430285">
        <w:rPr>
          <w:rFonts w:cs="Times New Roman"/>
          <w:noProof/>
          <w:szCs w:val="24"/>
        </w:rPr>
        <w:t>, 2010;527:2826–30.</w:t>
      </w:r>
    </w:p>
    <w:p w14:paraId="205CA481"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[150]</w:t>
      </w:r>
      <w:r w:rsidRPr="00430285">
        <w:rPr>
          <w:rFonts w:cs="Times New Roman"/>
          <w:noProof/>
          <w:szCs w:val="24"/>
        </w:rPr>
        <w:tab/>
        <w:t xml:space="preserve">Botelho E.C., Pardini L.C. and Rezende M.C. "Hygrothermal effects on the shear properties of carbon fiber/epoxy composites". </w:t>
      </w:r>
      <w:r w:rsidRPr="00430285">
        <w:rPr>
          <w:rFonts w:cs="Times New Roman"/>
          <w:i/>
          <w:iCs/>
          <w:noProof/>
          <w:szCs w:val="24"/>
        </w:rPr>
        <w:t>Journal of Materials Science</w:t>
      </w:r>
      <w:r w:rsidRPr="00430285">
        <w:rPr>
          <w:rFonts w:cs="Times New Roman"/>
          <w:noProof/>
          <w:szCs w:val="24"/>
        </w:rPr>
        <w:t>, 2006;41:7111–8.</w:t>
      </w:r>
    </w:p>
    <w:p w14:paraId="1D1FAB07"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lastRenderedPageBreak/>
        <w:t>[151]</w:t>
      </w:r>
      <w:r w:rsidRPr="00430285">
        <w:rPr>
          <w:rFonts w:cs="Times New Roman"/>
          <w:noProof/>
          <w:szCs w:val="24"/>
        </w:rPr>
        <w:tab/>
        <w:t xml:space="preserve">Cheour K., Assarar M., Scida D., Ayad R. and Gong X.L. "Effect of water ageing on the mechanical and damping properties of flax-fibre reinforced composite materials". </w:t>
      </w:r>
      <w:r w:rsidRPr="00430285">
        <w:rPr>
          <w:rFonts w:cs="Times New Roman"/>
          <w:i/>
          <w:iCs/>
          <w:noProof/>
          <w:szCs w:val="24"/>
        </w:rPr>
        <w:t>Composite Structures</w:t>
      </w:r>
      <w:r w:rsidRPr="00430285">
        <w:rPr>
          <w:rFonts w:cs="Times New Roman"/>
          <w:noProof/>
          <w:szCs w:val="24"/>
        </w:rPr>
        <w:t>, 2016;152:259–66.</w:t>
      </w:r>
    </w:p>
    <w:p w14:paraId="62F0EDED"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[152]</w:t>
      </w:r>
      <w:r w:rsidRPr="00430285">
        <w:rPr>
          <w:rFonts w:cs="Times New Roman"/>
          <w:noProof/>
          <w:szCs w:val="24"/>
        </w:rPr>
        <w:tab/>
        <w:t xml:space="preserve">Nissan A.H. "H-Bond Dissociation in Hydrogen Bond Dominated Solids". </w:t>
      </w:r>
      <w:r w:rsidRPr="00430285">
        <w:rPr>
          <w:rFonts w:cs="Times New Roman"/>
          <w:i/>
          <w:iCs/>
          <w:noProof/>
          <w:szCs w:val="24"/>
        </w:rPr>
        <w:t>Macromolecules</w:t>
      </w:r>
      <w:r w:rsidRPr="00430285">
        <w:rPr>
          <w:rFonts w:cs="Times New Roman"/>
          <w:noProof/>
          <w:szCs w:val="24"/>
        </w:rPr>
        <w:t>, 1976;9:840–50.</w:t>
      </w:r>
    </w:p>
    <w:p w14:paraId="4FE49AC0"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szCs w:val="24"/>
        </w:rPr>
      </w:pPr>
      <w:r w:rsidRPr="00430285">
        <w:rPr>
          <w:rFonts w:cs="Times New Roman"/>
          <w:noProof/>
          <w:szCs w:val="24"/>
        </w:rPr>
        <w:t>[153]</w:t>
      </w:r>
      <w:r w:rsidRPr="00430285">
        <w:rPr>
          <w:rFonts w:cs="Times New Roman"/>
          <w:noProof/>
          <w:szCs w:val="24"/>
        </w:rPr>
        <w:tab/>
        <w:t xml:space="preserve">Bailakanavar M., Fish J., Aitharaju V. and Rodgers W. "Computational coupling of moisture diffusion and mechanical deformation in polymer matrix composites". </w:t>
      </w:r>
      <w:r w:rsidRPr="00430285">
        <w:rPr>
          <w:rFonts w:cs="Times New Roman"/>
          <w:i/>
          <w:iCs/>
          <w:noProof/>
          <w:szCs w:val="24"/>
        </w:rPr>
        <w:t>International Journal for Numerical Methods in Engineering</w:t>
      </w:r>
      <w:r w:rsidRPr="00430285">
        <w:rPr>
          <w:rFonts w:cs="Times New Roman"/>
          <w:noProof/>
          <w:szCs w:val="24"/>
        </w:rPr>
        <w:t>, 2014;98:859–80.</w:t>
      </w:r>
    </w:p>
    <w:p w14:paraId="1011A90B" w14:textId="77777777" w:rsidR="00430285" w:rsidRPr="00430285" w:rsidRDefault="00430285" w:rsidP="00430285">
      <w:pPr>
        <w:widowControl w:val="0"/>
        <w:autoSpaceDE w:val="0"/>
        <w:autoSpaceDN w:val="0"/>
        <w:adjustRightInd w:val="0"/>
        <w:spacing w:before="240" w:after="240" w:line="240" w:lineRule="auto"/>
        <w:ind w:left="640" w:hanging="640"/>
        <w:rPr>
          <w:rFonts w:cs="Times New Roman"/>
          <w:noProof/>
        </w:rPr>
      </w:pPr>
      <w:r w:rsidRPr="00430285">
        <w:rPr>
          <w:rFonts w:cs="Times New Roman"/>
          <w:noProof/>
          <w:szCs w:val="24"/>
        </w:rPr>
        <w:t>[154]</w:t>
      </w:r>
      <w:r w:rsidRPr="00430285">
        <w:rPr>
          <w:rFonts w:cs="Times New Roman"/>
          <w:noProof/>
          <w:szCs w:val="24"/>
        </w:rPr>
        <w:tab/>
        <w:t xml:space="preserve">Thwe M.M. and Liao K. "Effects of environmental aging on the mechanical properties of bamboo-glass fiber reinforced polymer matrix hybrid composites". </w:t>
      </w:r>
      <w:r w:rsidRPr="00430285">
        <w:rPr>
          <w:rFonts w:cs="Times New Roman"/>
          <w:i/>
          <w:iCs/>
          <w:noProof/>
          <w:szCs w:val="24"/>
        </w:rPr>
        <w:t>Composites - Part A: Applied Science and Manufacturing</w:t>
      </w:r>
      <w:r w:rsidRPr="00430285">
        <w:rPr>
          <w:rFonts w:cs="Times New Roman"/>
          <w:noProof/>
          <w:szCs w:val="24"/>
        </w:rPr>
        <w:t>, 2002;33:43–52.</w:t>
      </w:r>
    </w:p>
    <w:p w14:paraId="51FFF88B" w14:textId="0D8DCAE0" w:rsidR="008767E0" w:rsidRPr="00797000" w:rsidRDefault="00F24CF7" w:rsidP="0058062A">
      <w:pPr>
        <w:pStyle w:val="References"/>
      </w:pPr>
      <w:r w:rsidRPr="00797000">
        <w:fldChar w:fldCharType="end"/>
      </w:r>
    </w:p>
    <w:p w14:paraId="63FFCDD9" w14:textId="0358E905" w:rsidR="00FA7B3C" w:rsidRDefault="00FA7B3C" w:rsidP="00797000">
      <w:pPr>
        <w:pStyle w:val="References"/>
      </w:pPr>
    </w:p>
    <w:p w14:paraId="6FB1CDCE" w14:textId="77777777" w:rsidR="004146D2" w:rsidRDefault="004146D2" w:rsidP="00797000">
      <w:pPr>
        <w:pStyle w:val="References"/>
      </w:pPr>
    </w:p>
    <w:p w14:paraId="4109D758" w14:textId="77777777" w:rsidR="004146D2" w:rsidRDefault="004146D2" w:rsidP="00797000">
      <w:pPr>
        <w:pStyle w:val="References"/>
        <w:sectPr w:rsidR="004146D2" w:rsidSect="005C3775">
          <w:pgSz w:w="12240" w:h="15840"/>
          <w:pgMar w:top="1440" w:right="1440" w:bottom="1440" w:left="2160" w:header="720" w:footer="720" w:gutter="0"/>
          <w:cols w:space="720"/>
          <w:docGrid w:linePitch="360"/>
        </w:sectPr>
      </w:pPr>
    </w:p>
    <w:p w14:paraId="1331520C" w14:textId="31971D77" w:rsidR="004146D2" w:rsidRDefault="004146D2" w:rsidP="004146D2">
      <w:pPr>
        <w:pStyle w:val="Tableofcon"/>
      </w:pPr>
      <w:r>
        <w:lastRenderedPageBreak/>
        <w:t>Appendix</w:t>
      </w:r>
    </w:p>
    <w:tbl>
      <w:tblPr>
        <w:tblStyle w:val="PlainTable21"/>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62"/>
        <w:gridCol w:w="1237"/>
        <w:gridCol w:w="1237"/>
        <w:gridCol w:w="1237"/>
        <w:gridCol w:w="973"/>
        <w:gridCol w:w="1092"/>
        <w:gridCol w:w="1092"/>
      </w:tblGrid>
      <w:tr w:rsidR="004146D2" w:rsidRPr="005A3E52" w14:paraId="351E2DB8" w14:textId="7C6AD8B8" w:rsidTr="004146D2">
        <w:trPr>
          <w:cnfStyle w:val="100000000000" w:firstRow="1" w:lastRow="0" w:firstColumn="0" w:lastColumn="0" w:oddVBand="0" w:evenVBand="0" w:oddHBand="0" w:evenHBand="0" w:firstRowFirstColumn="0" w:firstRowLastColumn="0" w:lastRowFirstColumn="0" w:lastRowLastColumn="0"/>
          <w:trHeight w:val="350"/>
          <w:jc w:val="center"/>
        </w:trPr>
        <w:tc>
          <w:tcPr>
            <w:tcW w:w="1762" w:type="dxa"/>
          </w:tcPr>
          <w:p w14:paraId="6E6D4684" w14:textId="77777777" w:rsidR="004146D2" w:rsidRPr="00C75422" w:rsidRDefault="004146D2" w:rsidP="00EF2FC7">
            <w:pPr>
              <w:pStyle w:val="Paragraph"/>
              <w:spacing w:before="120" w:after="120"/>
              <w:ind w:firstLine="0"/>
              <w:jc w:val="center"/>
              <w:rPr>
                <w:sz w:val="24"/>
                <w:szCs w:val="24"/>
              </w:rPr>
            </w:pPr>
            <w:r w:rsidRPr="0081755C">
              <w:rPr>
                <w:sz w:val="24"/>
                <w:szCs w:val="24"/>
              </w:rPr>
              <w:t>Material Systems</w:t>
            </w:r>
          </w:p>
        </w:tc>
        <w:tc>
          <w:tcPr>
            <w:tcW w:w="1237" w:type="dxa"/>
          </w:tcPr>
          <w:p w14:paraId="713717BB" w14:textId="77777777" w:rsidR="004146D2" w:rsidRPr="00C75422" w:rsidRDefault="007B3686" w:rsidP="00EF2FC7">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z</m:t>
                  </m:r>
                </m:sub>
              </m:sSub>
            </m:oMath>
            <w:r w:rsidR="004146D2" w:rsidRPr="00C75422">
              <w:rPr>
                <w:sz w:val="24"/>
                <w:szCs w:val="24"/>
              </w:rPr>
              <w:t xml:space="preserve"> (mm</w:t>
            </w:r>
            <w:r w:rsidR="004146D2" w:rsidRPr="00C75422">
              <w:rPr>
                <w:sz w:val="24"/>
                <w:szCs w:val="24"/>
                <w:vertAlign w:val="superscript"/>
              </w:rPr>
              <w:t>2</w:t>
            </w:r>
            <w:r w:rsidR="004146D2" w:rsidRPr="00C75422">
              <w:rPr>
                <w:sz w:val="24"/>
                <w:szCs w:val="24"/>
              </w:rPr>
              <w:t>/h)</w:t>
            </w:r>
          </w:p>
        </w:tc>
        <w:tc>
          <w:tcPr>
            <w:tcW w:w="1237" w:type="dxa"/>
          </w:tcPr>
          <w:p w14:paraId="699662C8" w14:textId="77777777" w:rsidR="004146D2" w:rsidRDefault="004146D2" w:rsidP="00EF2FC7">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β</m:t>
              </m:r>
            </m:oMath>
            <w:r>
              <w:rPr>
                <w:rFonts w:ascii="Calibri" w:hAnsi="Calibri"/>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1237" w:type="dxa"/>
          </w:tcPr>
          <w:p w14:paraId="49588A9E" w14:textId="77777777" w:rsidR="004146D2" w:rsidRDefault="004146D2" w:rsidP="00EF2FC7">
            <w:pPr>
              <w:pStyle w:val="Paragraph"/>
              <w:spacing w:before="120" w:after="120"/>
              <w:ind w:left="-6" w:firstLine="6"/>
              <w:jc w:val="center"/>
              <w:rPr>
                <w:rFonts w:ascii="Calibri" w:hAnsi="Calibri"/>
                <w:sz w:val="24"/>
                <w:szCs w:val="24"/>
              </w:rPr>
            </w:pPr>
            <m:oMath>
              <m:r>
                <m:rPr>
                  <m:sty m:val="bi"/>
                </m:rPr>
                <w:rPr>
                  <w:rFonts w:ascii="Cambria Math" w:hAnsi="Cambria Math"/>
                  <w:sz w:val="24"/>
                  <w:szCs w:val="24"/>
                </w:rPr>
                <m:t>γ</m:t>
              </m:r>
            </m:oMath>
            <w:r>
              <w:rPr>
                <w:sz w:val="24"/>
                <w:szCs w:val="24"/>
              </w:rPr>
              <w:t xml:space="preserve"> </w:t>
            </w:r>
            <w:r w:rsidRPr="0060480F">
              <w:rPr>
                <w:sz w:val="24"/>
                <w:szCs w:val="24"/>
              </w:rPr>
              <w:t>(hr</w:t>
            </w:r>
            <w:r w:rsidRPr="0060480F">
              <w:rPr>
                <w:sz w:val="24"/>
                <w:szCs w:val="24"/>
                <w:vertAlign w:val="superscript"/>
              </w:rPr>
              <w:t>-1</w:t>
            </w:r>
            <w:r w:rsidRPr="0060480F">
              <w:rPr>
                <w:sz w:val="24"/>
                <w:szCs w:val="24"/>
              </w:rPr>
              <w:t>)</w:t>
            </w:r>
          </w:p>
        </w:tc>
        <w:tc>
          <w:tcPr>
            <w:tcW w:w="973" w:type="dxa"/>
          </w:tcPr>
          <w:p w14:paraId="4CAEC7A3" w14:textId="77777777" w:rsidR="004146D2" w:rsidRPr="00C75422" w:rsidRDefault="007B3686" w:rsidP="00EF2FC7">
            <w:pPr>
              <w:pStyle w:val="Paragraph"/>
              <w:spacing w:before="120" w:after="120"/>
              <w:ind w:firstLine="0"/>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oMath>
            <w:r w:rsidR="004146D2" w:rsidRPr="00C75422">
              <w:rPr>
                <w:sz w:val="24"/>
                <w:szCs w:val="24"/>
              </w:rPr>
              <w:t xml:space="preserve"> (</w:t>
            </w:r>
            <w:proofErr w:type="gramStart"/>
            <w:r w:rsidR="004146D2">
              <w:rPr>
                <w:sz w:val="24"/>
                <w:szCs w:val="24"/>
              </w:rPr>
              <w:t>wt</w:t>
            </w:r>
            <w:proofErr w:type="gramEnd"/>
            <w:r w:rsidR="004146D2">
              <w:rPr>
                <w:sz w:val="24"/>
                <w:szCs w:val="24"/>
              </w:rPr>
              <w:t>.%</w:t>
            </w:r>
            <w:r w:rsidR="004146D2" w:rsidRPr="00C75422">
              <w:rPr>
                <w:sz w:val="24"/>
                <w:szCs w:val="24"/>
              </w:rPr>
              <w:t>)</w:t>
            </w:r>
          </w:p>
        </w:tc>
        <w:tc>
          <w:tcPr>
            <w:tcW w:w="1092" w:type="dxa"/>
          </w:tcPr>
          <w:p w14:paraId="682D8397" w14:textId="0420941B" w:rsidR="004146D2" w:rsidRPr="00CE7F96" w:rsidRDefault="007B3686" w:rsidP="00EF2FC7">
            <w:pPr>
              <w:pStyle w:val="Paragraph"/>
              <w:spacing w:before="120" w:after="120"/>
              <w:ind w:hanging="18"/>
              <w:jc w:val="center"/>
              <w:rPr>
                <w:sz w:val="24"/>
                <w:szCs w:val="24"/>
              </w:rPr>
            </w:pPr>
            <m:oMath>
              <m:sSub>
                <m:sSubPr>
                  <m:ctrlPr>
                    <w:rPr>
                      <w:rFonts w:ascii="Cambria Math" w:hAnsi="Cambria Math"/>
                      <w:i/>
                      <w:sz w:val="24"/>
                      <w:szCs w:val="24"/>
                    </w:rPr>
                  </m:ctrlPr>
                </m:sSubPr>
                <m:e>
                  <m:r>
                    <m:rPr>
                      <m:sty m:val="bi"/>
                    </m:rPr>
                    <w:rPr>
                      <w:rFonts w:ascii="Cambria Math" w:hAnsi="Cambria Math"/>
                      <w:sz w:val="24"/>
                      <w:szCs w:val="24"/>
                    </w:rPr>
                    <m:t>E</m:t>
                  </m:r>
                </m:e>
                <m:sub>
                  <m:r>
                    <m:rPr>
                      <m:sty m:val="bi"/>
                    </m:rPr>
                    <w:rPr>
                      <w:rFonts w:ascii="Cambria Math" w:hAnsi="Cambria Math"/>
                      <w:sz w:val="24"/>
                      <w:szCs w:val="24"/>
                    </w:rPr>
                    <m:t>0</m:t>
                  </m:r>
                </m:sub>
              </m:sSub>
            </m:oMath>
            <w:r w:rsidR="004146D2">
              <w:rPr>
                <w:sz w:val="24"/>
                <w:szCs w:val="24"/>
              </w:rPr>
              <w:t xml:space="preserve"> (GPa)</w:t>
            </w:r>
          </w:p>
        </w:tc>
        <w:tc>
          <w:tcPr>
            <w:tcW w:w="1092" w:type="dxa"/>
          </w:tcPr>
          <w:p w14:paraId="2A08F971" w14:textId="7D28C5C0" w:rsidR="004146D2" w:rsidRPr="00657286" w:rsidRDefault="007B3686" w:rsidP="00EF2FC7">
            <w:pPr>
              <w:pStyle w:val="Paragraph"/>
              <w:spacing w:before="120" w:after="120"/>
              <w:ind w:hanging="18"/>
              <w:jc w:val="center"/>
              <w:rPr>
                <w:b w:val="0"/>
                <w:bCs w:val="0"/>
                <w:sz w:val="24"/>
                <w:szCs w:val="24"/>
              </w:rPr>
            </w:pPr>
            <m:oMath>
              <m:sSub>
                <m:sSubPr>
                  <m:ctrlPr>
                    <w:rPr>
                      <w:rFonts w:ascii="Cambria Math" w:hAnsi="Cambria Math"/>
                      <w:sz w:val="24"/>
                      <w:szCs w:val="24"/>
                    </w:rPr>
                  </m:ctrlPr>
                </m:sSubPr>
                <m:e>
                  <m:r>
                    <m:rPr>
                      <m:sty m:val="bi"/>
                    </m:rPr>
                    <w:rPr>
                      <w:rFonts w:ascii="Cambria Math" w:hAnsi="Cambria Math"/>
                      <w:sz w:val="24"/>
                      <w:szCs w:val="24"/>
                    </w:rPr>
                    <m:t>E</m:t>
                  </m:r>
                </m:e>
                <m:sub>
                  <m:r>
                    <m:rPr>
                      <m:sty m:val="bi"/>
                    </m:rPr>
                    <w:rPr>
                      <w:rFonts w:ascii="Cambria Math" w:hAnsi="Cambria Math"/>
                      <w:sz w:val="24"/>
                      <w:szCs w:val="24"/>
                    </w:rPr>
                    <m:t>@</m:t>
                  </m:r>
                  <m:sSub>
                    <m:sSubPr>
                      <m:ctrlPr>
                        <w:rPr>
                          <w:rFonts w:ascii="Cambria Math" w:hAnsi="Cambria Math"/>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m:t>
                      </m:r>
                    </m:sub>
                  </m:sSub>
                </m:sub>
              </m:sSub>
            </m:oMath>
            <w:r w:rsidR="004146D2" w:rsidRPr="004146D2">
              <w:rPr>
                <w:sz w:val="24"/>
                <w:szCs w:val="24"/>
              </w:rPr>
              <w:t xml:space="preserve"> </w:t>
            </w:r>
            <w:r w:rsidR="004146D2">
              <w:rPr>
                <w:sz w:val="24"/>
                <w:szCs w:val="24"/>
              </w:rPr>
              <w:t>(</w:t>
            </w:r>
            <w:proofErr w:type="spellStart"/>
            <w:r w:rsidR="004146D2">
              <w:rPr>
                <w:sz w:val="24"/>
                <w:szCs w:val="24"/>
              </w:rPr>
              <w:t>GPa</w:t>
            </w:r>
            <w:proofErr w:type="spellEnd"/>
            <w:r w:rsidR="004146D2">
              <w:rPr>
                <w:sz w:val="24"/>
                <w:szCs w:val="24"/>
              </w:rPr>
              <w:t>)</w:t>
            </w:r>
          </w:p>
        </w:tc>
      </w:tr>
      <w:tr w:rsidR="004146D2" w:rsidRPr="005A3E52" w14:paraId="017BCDC3" w14:textId="35561B6C" w:rsidTr="004146D2">
        <w:trPr>
          <w:trHeight w:val="350"/>
          <w:jc w:val="center"/>
        </w:trPr>
        <w:tc>
          <w:tcPr>
            <w:tcW w:w="1762" w:type="dxa"/>
          </w:tcPr>
          <w:p w14:paraId="61CCBAF7" w14:textId="3615C99C" w:rsidR="004146D2" w:rsidRPr="00C75422" w:rsidRDefault="004146D2" w:rsidP="00EF2FC7">
            <w:pPr>
              <w:pStyle w:val="Paragraph"/>
              <w:spacing w:before="120" w:after="120"/>
              <w:ind w:firstLine="0"/>
              <w:jc w:val="center"/>
              <w:rPr>
                <w:b/>
                <w:sz w:val="24"/>
                <w:szCs w:val="24"/>
              </w:rPr>
            </w:pPr>
            <w:r>
              <w:rPr>
                <w:b/>
                <w:sz w:val="24"/>
                <w:szCs w:val="24"/>
              </w:rPr>
              <w:t xml:space="preserve">PA 66 </w:t>
            </w:r>
            <w:r>
              <w:rPr>
                <w:b/>
                <w:sz w:val="24"/>
                <w:szCs w:val="24"/>
              </w:rPr>
              <w:fldChar w:fldCharType="begin" w:fldLock="1"/>
            </w:r>
            <w:r w:rsidR="00430285">
              <w:rPr>
                <w:b/>
                <w:sz w:val="24"/>
                <w:szCs w:val="24"/>
              </w:rPr>
              <w:instrText>ADDIN CSL_CITATION {"citationItems":[{"id":"ITEM-1","itemData":{"DOI":"10.1016/j.polymertesting.2016.03.011","ISBN":"0142-9418","ISSN":"01429418","abstract":"An experimental study was conducted to investigate the effect of temperature, moisture, and hygrothermal aging on the tensile behavior of thermoplastic composites. Four different composites including talc filled and short glass fiber reinforced polypropylene, short glass fiber reinforced polyamide-6.6, and a blend of polyphenylene ether and polystyrene with short glass fibers were used for the study. Kinetics of water absorption and desorption were investigated for polyamide-6.6 composites and Fickian behavior was observed. The reductions in tensile strength and elastic modulus due to water absorption are represented by mathematical relations as a function of moisture content. In addition to moisture content, aging time was also found to influence the tensile behavior. A parameter is introduced for correlation of normalized stiffness and strength with different aging times and temperatures. Higher strength and stiffness obtained for re-dried samples after aging was explained by an increase in crystallinity.","author":[{"dropping-particle":"","family":"Eftekhari","given":"Mohammadreza","non-dropping-particle":"","parse-names":false,"suffix":""},{"dropping-particle":"","family":"Fatemi","given":"Ali","non-dropping-particle":"","parse-names":false,"suffix":""}],"container-title":"Polymer Testing","id":"ITEM-1","issued":{"date-parts":[["2016"]]},"page":"151-164","publisher":"Elsevier Ltd","title":"Tensile behavior of thermoplastic composites including temperature, moisture, and hygrothermal effects","type":"article-journal","volume":"51"},"uris":["http://www.mendeley.com/documents/?uuid=79a330cb-79fc-42ca-b296-0fc4b1a1e539"]}],"mendeley":{"formattedCitation":"[38]","plainTextFormattedCitation":"[38]","previouslyFormattedCitation":"[38]"},"properties":{"noteIndex":0},"schema":"https://github.com/citation-style-language/schema/raw/master/csl-citation.json"}</w:instrText>
            </w:r>
            <w:r>
              <w:rPr>
                <w:b/>
                <w:sz w:val="24"/>
                <w:szCs w:val="24"/>
              </w:rPr>
              <w:fldChar w:fldCharType="separate"/>
            </w:r>
            <w:r w:rsidRPr="004146D2">
              <w:rPr>
                <w:b/>
                <w:noProof/>
                <w:sz w:val="24"/>
                <w:szCs w:val="24"/>
              </w:rPr>
              <w:t>[38]</w:t>
            </w:r>
            <w:r>
              <w:rPr>
                <w:b/>
                <w:sz w:val="24"/>
                <w:szCs w:val="24"/>
              </w:rPr>
              <w:fldChar w:fldCharType="end"/>
            </w:r>
          </w:p>
        </w:tc>
        <w:tc>
          <w:tcPr>
            <w:tcW w:w="1237" w:type="dxa"/>
            <w:vAlign w:val="center"/>
          </w:tcPr>
          <w:p w14:paraId="062D8EBE" w14:textId="55A773FC" w:rsidR="004146D2" w:rsidRPr="008365E2" w:rsidRDefault="004146D2" w:rsidP="00EF2FC7">
            <w:pPr>
              <w:pStyle w:val="Paragraph"/>
              <w:spacing w:before="120" w:after="120"/>
              <w:ind w:firstLine="0"/>
              <w:jc w:val="center"/>
              <w:rPr>
                <w:sz w:val="24"/>
                <w:szCs w:val="24"/>
              </w:rPr>
            </w:pPr>
            <w:r>
              <w:rPr>
                <w:sz w:val="24"/>
                <w:szCs w:val="24"/>
              </w:rPr>
              <w:t>1.03×</w:t>
            </w:r>
            <w:r w:rsidRPr="008365E2">
              <w:rPr>
                <w:sz w:val="24"/>
                <w:szCs w:val="24"/>
              </w:rPr>
              <w:t>10</w:t>
            </w:r>
            <w:r>
              <w:rPr>
                <w:sz w:val="24"/>
                <w:szCs w:val="24"/>
                <w:vertAlign w:val="superscript"/>
              </w:rPr>
              <w:t>-3</w:t>
            </w:r>
          </w:p>
        </w:tc>
        <w:tc>
          <w:tcPr>
            <w:tcW w:w="1237" w:type="dxa"/>
            <w:vAlign w:val="center"/>
          </w:tcPr>
          <w:p w14:paraId="1CC9CFEA" w14:textId="082AB6D0" w:rsidR="004146D2" w:rsidRPr="008365E2" w:rsidRDefault="004146D2" w:rsidP="004146D2">
            <w:pPr>
              <w:pStyle w:val="Paragraph"/>
              <w:spacing w:before="120" w:after="120"/>
              <w:ind w:firstLine="0"/>
              <w:jc w:val="center"/>
              <w:rPr>
                <w:sz w:val="24"/>
                <w:szCs w:val="24"/>
              </w:rPr>
            </w:pPr>
            <w:r>
              <w:rPr>
                <w:sz w:val="24"/>
                <w:szCs w:val="24"/>
              </w:rPr>
              <w:t>1.07×</w:t>
            </w:r>
            <w:r w:rsidRPr="008365E2">
              <w:rPr>
                <w:sz w:val="24"/>
                <w:szCs w:val="24"/>
              </w:rPr>
              <w:t>10</w:t>
            </w:r>
            <w:r>
              <w:rPr>
                <w:sz w:val="24"/>
                <w:szCs w:val="24"/>
                <w:vertAlign w:val="superscript"/>
              </w:rPr>
              <w:t>-2</w:t>
            </w:r>
          </w:p>
        </w:tc>
        <w:tc>
          <w:tcPr>
            <w:tcW w:w="1237" w:type="dxa"/>
            <w:vAlign w:val="center"/>
          </w:tcPr>
          <w:p w14:paraId="053A0307" w14:textId="7E69CA31" w:rsidR="004146D2" w:rsidRPr="008365E2" w:rsidRDefault="004146D2" w:rsidP="004146D2">
            <w:pPr>
              <w:pStyle w:val="Paragraph"/>
              <w:spacing w:before="120" w:after="120"/>
              <w:ind w:firstLine="0"/>
              <w:jc w:val="center"/>
              <w:rPr>
                <w:sz w:val="24"/>
                <w:szCs w:val="24"/>
              </w:rPr>
            </w:pPr>
            <w:r>
              <w:rPr>
                <w:sz w:val="24"/>
                <w:szCs w:val="24"/>
              </w:rPr>
              <w:t>2.96×</w:t>
            </w:r>
            <w:r w:rsidRPr="008365E2">
              <w:rPr>
                <w:sz w:val="24"/>
                <w:szCs w:val="24"/>
              </w:rPr>
              <w:t>10</w:t>
            </w:r>
            <w:r>
              <w:rPr>
                <w:sz w:val="24"/>
                <w:szCs w:val="24"/>
                <w:vertAlign w:val="superscript"/>
              </w:rPr>
              <w:t>-5</w:t>
            </w:r>
          </w:p>
        </w:tc>
        <w:tc>
          <w:tcPr>
            <w:tcW w:w="973" w:type="dxa"/>
            <w:vAlign w:val="center"/>
          </w:tcPr>
          <w:p w14:paraId="23EE1C66" w14:textId="089E3F82" w:rsidR="004146D2" w:rsidRPr="008365E2" w:rsidRDefault="004146D2" w:rsidP="00EF2FC7">
            <w:pPr>
              <w:pStyle w:val="Paragraph"/>
              <w:spacing w:before="120" w:after="120"/>
              <w:ind w:firstLine="0"/>
              <w:jc w:val="center"/>
              <w:rPr>
                <w:sz w:val="24"/>
                <w:szCs w:val="24"/>
              </w:rPr>
            </w:pPr>
            <w:r>
              <w:rPr>
                <w:sz w:val="24"/>
                <w:szCs w:val="24"/>
              </w:rPr>
              <w:t>5.46</w:t>
            </w:r>
          </w:p>
        </w:tc>
        <w:tc>
          <w:tcPr>
            <w:tcW w:w="1092" w:type="dxa"/>
            <w:vAlign w:val="center"/>
          </w:tcPr>
          <w:p w14:paraId="00C43041" w14:textId="5F2AFA60" w:rsidR="004146D2" w:rsidRPr="008365E2" w:rsidRDefault="004146D2" w:rsidP="00EF2FC7">
            <w:pPr>
              <w:pStyle w:val="Paragraph"/>
              <w:spacing w:before="120" w:after="120"/>
              <w:ind w:firstLine="0"/>
              <w:jc w:val="center"/>
              <w:rPr>
                <w:sz w:val="24"/>
                <w:szCs w:val="24"/>
              </w:rPr>
            </w:pPr>
            <w:r>
              <w:rPr>
                <w:sz w:val="24"/>
                <w:szCs w:val="24"/>
              </w:rPr>
              <w:t>5.16</w:t>
            </w:r>
          </w:p>
        </w:tc>
        <w:tc>
          <w:tcPr>
            <w:tcW w:w="1092" w:type="dxa"/>
          </w:tcPr>
          <w:p w14:paraId="4366E0FD" w14:textId="0ED41C34" w:rsidR="004146D2" w:rsidRDefault="004146D2" w:rsidP="00EF2FC7">
            <w:pPr>
              <w:pStyle w:val="Paragraph"/>
              <w:spacing w:before="120" w:after="120"/>
              <w:ind w:firstLine="0"/>
              <w:jc w:val="center"/>
              <w:rPr>
                <w:sz w:val="24"/>
                <w:szCs w:val="24"/>
              </w:rPr>
            </w:pPr>
            <w:r>
              <w:rPr>
                <w:sz w:val="24"/>
                <w:szCs w:val="24"/>
              </w:rPr>
              <w:t>2.14</w:t>
            </w:r>
          </w:p>
        </w:tc>
      </w:tr>
      <w:tr w:rsidR="004146D2" w:rsidRPr="005A3E52" w14:paraId="1358872B" w14:textId="5CD2332F" w:rsidTr="004146D2">
        <w:trPr>
          <w:trHeight w:val="350"/>
          <w:jc w:val="center"/>
        </w:trPr>
        <w:tc>
          <w:tcPr>
            <w:tcW w:w="1762" w:type="dxa"/>
            <w:vAlign w:val="center"/>
          </w:tcPr>
          <w:p w14:paraId="05916266" w14:textId="5436E913" w:rsidR="004146D2" w:rsidRPr="00C75422" w:rsidRDefault="004146D2" w:rsidP="00EF2FC7">
            <w:pPr>
              <w:pStyle w:val="Paragraph"/>
              <w:spacing w:before="120" w:after="120"/>
              <w:ind w:firstLine="0"/>
              <w:jc w:val="center"/>
              <w:rPr>
                <w:b/>
                <w:sz w:val="24"/>
                <w:szCs w:val="24"/>
              </w:rPr>
            </w:pPr>
            <w:r>
              <w:rPr>
                <w:b/>
                <w:sz w:val="24"/>
                <w:szCs w:val="24"/>
              </w:rPr>
              <w:t xml:space="preserve">B </w:t>
            </w:r>
            <w:r w:rsidRPr="004146D2">
              <w:rPr>
                <w:b/>
                <w:sz w:val="24"/>
                <w:szCs w:val="24"/>
              </w:rPr>
              <w:fldChar w:fldCharType="begin" w:fldLock="1"/>
            </w:r>
            <w:r w:rsidRPr="004146D2">
              <w:rPr>
                <w:b/>
                <w:sz w:val="24"/>
                <w:szCs w:val="24"/>
              </w:rPr>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Pr="004146D2">
              <w:rPr>
                <w:b/>
                <w:sz w:val="24"/>
                <w:szCs w:val="24"/>
              </w:rPr>
              <w:fldChar w:fldCharType="separate"/>
            </w:r>
            <w:r w:rsidRPr="004146D2">
              <w:rPr>
                <w:b/>
                <w:noProof/>
                <w:sz w:val="24"/>
                <w:szCs w:val="24"/>
              </w:rPr>
              <w:t>[154]</w:t>
            </w:r>
            <w:r w:rsidRPr="004146D2">
              <w:rPr>
                <w:b/>
                <w:sz w:val="24"/>
                <w:szCs w:val="24"/>
              </w:rPr>
              <w:fldChar w:fldCharType="end"/>
            </w:r>
          </w:p>
        </w:tc>
        <w:tc>
          <w:tcPr>
            <w:tcW w:w="1237" w:type="dxa"/>
            <w:vAlign w:val="center"/>
          </w:tcPr>
          <w:p w14:paraId="357896A4" w14:textId="125EB3B3" w:rsidR="004146D2" w:rsidRPr="008365E2" w:rsidRDefault="004146D2" w:rsidP="004146D2">
            <w:pPr>
              <w:pStyle w:val="Paragraph"/>
              <w:spacing w:before="120" w:after="120"/>
              <w:ind w:firstLine="0"/>
              <w:jc w:val="center"/>
              <w:rPr>
                <w:sz w:val="24"/>
                <w:szCs w:val="24"/>
              </w:rPr>
            </w:pPr>
            <w:r>
              <w:rPr>
                <w:sz w:val="24"/>
                <w:szCs w:val="24"/>
              </w:rPr>
              <w:t>3.77×</w:t>
            </w:r>
            <w:r w:rsidRPr="008365E2">
              <w:rPr>
                <w:sz w:val="24"/>
                <w:szCs w:val="24"/>
              </w:rPr>
              <w:t>10</w:t>
            </w:r>
            <w:r>
              <w:rPr>
                <w:sz w:val="24"/>
                <w:szCs w:val="24"/>
                <w:vertAlign w:val="superscript"/>
              </w:rPr>
              <w:t>-3</w:t>
            </w:r>
          </w:p>
        </w:tc>
        <w:tc>
          <w:tcPr>
            <w:tcW w:w="1237" w:type="dxa"/>
            <w:vAlign w:val="center"/>
          </w:tcPr>
          <w:p w14:paraId="6E37E9E3" w14:textId="2B859226" w:rsidR="004146D2" w:rsidRPr="008365E2" w:rsidRDefault="004146D2" w:rsidP="004146D2">
            <w:pPr>
              <w:pStyle w:val="Paragraph"/>
              <w:spacing w:before="120" w:after="120"/>
              <w:ind w:firstLine="0"/>
              <w:jc w:val="center"/>
              <w:rPr>
                <w:sz w:val="24"/>
                <w:szCs w:val="24"/>
              </w:rPr>
            </w:pPr>
            <w:r>
              <w:rPr>
                <w:sz w:val="24"/>
                <w:szCs w:val="24"/>
              </w:rPr>
              <w:t>1.09×</w:t>
            </w:r>
            <w:r w:rsidRPr="008365E2">
              <w:rPr>
                <w:sz w:val="24"/>
                <w:szCs w:val="24"/>
              </w:rPr>
              <w:t>10</w:t>
            </w:r>
            <w:r>
              <w:rPr>
                <w:sz w:val="24"/>
                <w:szCs w:val="24"/>
                <w:vertAlign w:val="superscript"/>
              </w:rPr>
              <w:t>-2</w:t>
            </w:r>
          </w:p>
        </w:tc>
        <w:tc>
          <w:tcPr>
            <w:tcW w:w="1237" w:type="dxa"/>
            <w:vAlign w:val="center"/>
          </w:tcPr>
          <w:p w14:paraId="7214A82A" w14:textId="5EF14624" w:rsidR="004146D2" w:rsidRPr="008365E2" w:rsidRDefault="004146D2" w:rsidP="00EF2FC7">
            <w:pPr>
              <w:pStyle w:val="Paragraph"/>
              <w:spacing w:before="120" w:after="120"/>
              <w:ind w:firstLine="0"/>
              <w:jc w:val="center"/>
              <w:rPr>
                <w:sz w:val="24"/>
                <w:szCs w:val="24"/>
              </w:rPr>
            </w:pPr>
            <w:r>
              <w:rPr>
                <w:sz w:val="24"/>
                <w:szCs w:val="24"/>
              </w:rPr>
              <w:t>6.99×</w:t>
            </w:r>
            <w:r w:rsidRPr="008365E2">
              <w:rPr>
                <w:sz w:val="24"/>
                <w:szCs w:val="24"/>
              </w:rPr>
              <w:t>10</w:t>
            </w:r>
            <w:r>
              <w:rPr>
                <w:sz w:val="24"/>
                <w:szCs w:val="24"/>
                <w:vertAlign w:val="superscript"/>
              </w:rPr>
              <w:t>-6</w:t>
            </w:r>
          </w:p>
        </w:tc>
        <w:tc>
          <w:tcPr>
            <w:tcW w:w="973" w:type="dxa"/>
            <w:vAlign w:val="center"/>
          </w:tcPr>
          <w:p w14:paraId="79689D44" w14:textId="5A6A76C7" w:rsidR="004146D2" w:rsidRPr="008365E2" w:rsidRDefault="004146D2" w:rsidP="00EF2FC7">
            <w:pPr>
              <w:pStyle w:val="Paragraph"/>
              <w:spacing w:before="120" w:after="120"/>
              <w:ind w:firstLine="0"/>
              <w:jc w:val="center"/>
              <w:rPr>
                <w:sz w:val="24"/>
                <w:szCs w:val="24"/>
              </w:rPr>
            </w:pPr>
            <w:r>
              <w:rPr>
                <w:sz w:val="24"/>
                <w:szCs w:val="24"/>
              </w:rPr>
              <w:t>12.04</w:t>
            </w:r>
          </w:p>
        </w:tc>
        <w:tc>
          <w:tcPr>
            <w:tcW w:w="1092" w:type="dxa"/>
            <w:vAlign w:val="center"/>
          </w:tcPr>
          <w:p w14:paraId="3D6629A6" w14:textId="7B5C12F6" w:rsidR="004146D2" w:rsidRPr="008365E2" w:rsidRDefault="004146D2" w:rsidP="00EF2FC7">
            <w:pPr>
              <w:pStyle w:val="Paragraph"/>
              <w:spacing w:before="120" w:after="120"/>
              <w:ind w:firstLine="0"/>
              <w:jc w:val="center"/>
              <w:rPr>
                <w:sz w:val="24"/>
                <w:szCs w:val="24"/>
              </w:rPr>
            </w:pPr>
            <w:r>
              <w:rPr>
                <w:sz w:val="24"/>
                <w:szCs w:val="24"/>
              </w:rPr>
              <w:t>2.53</w:t>
            </w:r>
          </w:p>
        </w:tc>
        <w:tc>
          <w:tcPr>
            <w:tcW w:w="1092" w:type="dxa"/>
          </w:tcPr>
          <w:p w14:paraId="070273C9" w14:textId="16505F2E" w:rsidR="004146D2" w:rsidRDefault="004146D2" w:rsidP="00EF2FC7">
            <w:pPr>
              <w:pStyle w:val="Paragraph"/>
              <w:spacing w:before="120" w:after="120"/>
              <w:ind w:firstLine="0"/>
              <w:jc w:val="center"/>
              <w:rPr>
                <w:sz w:val="24"/>
                <w:szCs w:val="24"/>
              </w:rPr>
            </w:pPr>
            <w:r>
              <w:rPr>
                <w:sz w:val="24"/>
                <w:szCs w:val="24"/>
              </w:rPr>
              <w:t>2.13</w:t>
            </w:r>
          </w:p>
        </w:tc>
      </w:tr>
      <w:tr w:rsidR="004146D2" w:rsidRPr="005A3E52" w14:paraId="55B5CA06" w14:textId="77777777" w:rsidTr="00EF2FC7">
        <w:trPr>
          <w:trHeight w:val="350"/>
          <w:jc w:val="center"/>
        </w:trPr>
        <w:tc>
          <w:tcPr>
            <w:tcW w:w="1762" w:type="dxa"/>
            <w:vAlign w:val="center"/>
          </w:tcPr>
          <w:p w14:paraId="4B07682C" w14:textId="095B7F3C" w:rsidR="004146D2" w:rsidRPr="00C75422" w:rsidRDefault="004146D2" w:rsidP="004146D2">
            <w:pPr>
              <w:pStyle w:val="Paragraph"/>
              <w:spacing w:before="120" w:after="120"/>
              <w:ind w:firstLine="0"/>
              <w:jc w:val="center"/>
              <w:rPr>
                <w:b/>
                <w:sz w:val="24"/>
                <w:szCs w:val="24"/>
              </w:rPr>
            </w:pPr>
            <w:r>
              <w:rPr>
                <w:b/>
                <w:sz w:val="24"/>
                <w:szCs w:val="24"/>
              </w:rPr>
              <w:t xml:space="preserve">H1 </w:t>
            </w:r>
            <w:r w:rsidRPr="004146D2">
              <w:rPr>
                <w:b/>
                <w:sz w:val="24"/>
                <w:szCs w:val="24"/>
              </w:rPr>
              <w:fldChar w:fldCharType="begin" w:fldLock="1"/>
            </w:r>
            <w:r w:rsidRPr="004146D2">
              <w:rPr>
                <w:b/>
                <w:sz w:val="24"/>
                <w:szCs w:val="24"/>
              </w:rPr>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Pr="004146D2">
              <w:rPr>
                <w:b/>
                <w:sz w:val="24"/>
                <w:szCs w:val="24"/>
              </w:rPr>
              <w:fldChar w:fldCharType="separate"/>
            </w:r>
            <w:r w:rsidRPr="004146D2">
              <w:rPr>
                <w:b/>
                <w:noProof/>
                <w:sz w:val="24"/>
                <w:szCs w:val="24"/>
              </w:rPr>
              <w:t>[154]</w:t>
            </w:r>
            <w:r w:rsidRPr="004146D2">
              <w:rPr>
                <w:b/>
                <w:sz w:val="24"/>
                <w:szCs w:val="24"/>
              </w:rPr>
              <w:fldChar w:fldCharType="end"/>
            </w:r>
          </w:p>
        </w:tc>
        <w:tc>
          <w:tcPr>
            <w:tcW w:w="1237" w:type="dxa"/>
          </w:tcPr>
          <w:p w14:paraId="76344F40" w14:textId="5FECD56F" w:rsidR="004146D2" w:rsidRPr="008365E2" w:rsidRDefault="004146D2" w:rsidP="004146D2">
            <w:pPr>
              <w:pStyle w:val="Paragraph"/>
              <w:spacing w:before="120" w:after="120"/>
              <w:ind w:firstLine="0"/>
              <w:jc w:val="center"/>
              <w:rPr>
                <w:sz w:val="24"/>
                <w:szCs w:val="24"/>
              </w:rPr>
            </w:pPr>
            <w:r>
              <w:rPr>
                <w:sz w:val="24"/>
                <w:szCs w:val="24"/>
              </w:rPr>
              <w:t>2.02</w:t>
            </w:r>
            <w:r w:rsidRPr="00447606">
              <w:rPr>
                <w:sz w:val="24"/>
                <w:szCs w:val="24"/>
              </w:rPr>
              <w:t>×10</w:t>
            </w:r>
            <w:r w:rsidRPr="00447606">
              <w:rPr>
                <w:sz w:val="24"/>
                <w:szCs w:val="24"/>
                <w:vertAlign w:val="superscript"/>
              </w:rPr>
              <w:t>-</w:t>
            </w:r>
            <w:r>
              <w:rPr>
                <w:sz w:val="24"/>
                <w:szCs w:val="24"/>
                <w:vertAlign w:val="superscript"/>
              </w:rPr>
              <w:t>2</w:t>
            </w:r>
          </w:p>
        </w:tc>
        <w:tc>
          <w:tcPr>
            <w:tcW w:w="1237" w:type="dxa"/>
            <w:vAlign w:val="center"/>
          </w:tcPr>
          <w:p w14:paraId="4FD14056" w14:textId="3189972B" w:rsidR="004146D2" w:rsidRDefault="004146D2" w:rsidP="004146D2">
            <w:pPr>
              <w:pStyle w:val="Paragraph"/>
              <w:spacing w:before="120" w:after="120"/>
              <w:ind w:firstLine="0"/>
              <w:jc w:val="center"/>
              <w:rPr>
                <w:sz w:val="24"/>
                <w:szCs w:val="24"/>
              </w:rPr>
            </w:pPr>
            <w:r>
              <w:rPr>
                <w:sz w:val="24"/>
                <w:szCs w:val="24"/>
              </w:rPr>
              <w:t>5.64×</w:t>
            </w:r>
            <w:r w:rsidRPr="008365E2">
              <w:rPr>
                <w:sz w:val="24"/>
                <w:szCs w:val="24"/>
              </w:rPr>
              <w:t>10</w:t>
            </w:r>
            <w:r>
              <w:rPr>
                <w:sz w:val="24"/>
                <w:szCs w:val="24"/>
                <w:vertAlign w:val="superscript"/>
              </w:rPr>
              <w:t>-3</w:t>
            </w:r>
          </w:p>
        </w:tc>
        <w:tc>
          <w:tcPr>
            <w:tcW w:w="1237" w:type="dxa"/>
            <w:vAlign w:val="center"/>
          </w:tcPr>
          <w:p w14:paraId="299E0746" w14:textId="15ACB00E" w:rsidR="004146D2" w:rsidRDefault="004146D2" w:rsidP="004146D2">
            <w:pPr>
              <w:pStyle w:val="Paragraph"/>
              <w:spacing w:before="120" w:after="120"/>
              <w:ind w:firstLine="0"/>
              <w:jc w:val="center"/>
              <w:rPr>
                <w:sz w:val="24"/>
                <w:szCs w:val="24"/>
              </w:rPr>
            </w:pPr>
            <w:r>
              <w:rPr>
                <w:sz w:val="24"/>
                <w:szCs w:val="24"/>
              </w:rPr>
              <w:t>1.27×</w:t>
            </w:r>
            <w:r w:rsidRPr="008365E2">
              <w:rPr>
                <w:sz w:val="24"/>
                <w:szCs w:val="24"/>
              </w:rPr>
              <w:t>10</w:t>
            </w:r>
            <w:r>
              <w:rPr>
                <w:sz w:val="24"/>
                <w:szCs w:val="24"/>
                <w:vertAlign w:val="superscript"/>
              </w:rPr>
              <w:t>-2</w:t>
            </w:r>
          </w:p>
        </w:tc>
        <w:tc>
          <w:tcPr>
            <w:tcW w:w="973" w:type="dxa"/>
            <w:vAlign w:val="center"/>
          </w:tcPr>
          <w:p w14:paraId="2E89CEB7" w14:textId="6C9AF0BD" w:rsidR="004146D2" w:rsidRDefault="004146D2" w:rsidP="004146D2">
            <w:pPr>
              <w:pStyle w:val="Paragraph"/>
              <w:spacing w:before="120" w:after="120"/>
              <w:ind w:firstLine="0"/>
              <w:jc w:val="center"/>
              <w:rPr>
                <w:sz w:val="24"/>
                <w:szCs w:val="24"/>
              </w:rPr>
            </w:pPr>
            <w:r>
              <w:rPr>
                <w:sz w:val="24"/>
                <w:szCs w:val="24"/>
              </w:rPr>
              <w:t>11.26</w:t>
            </w:r>
          </w:p>
        </w:tc>
        <w:tc>
          <w:tcPr>
            <w:tcW w:w="1092" w:type="dxa"/>
            <w:vAlign w:val="center"/>
          </w:tcPr>
          <w:p w14:paraId="77CC047D" w14:textId="48E2A4A2" w:rsidR="004146D2" w:rsidRDefault="004146D2" w:rsidP="004146D2">
            <w:pPr>
              <w:pStyle w:val="Paragraph"/>
              <w:spacing w:before="120" w:after="120"/>
              <w:ind w:firstLine="0"/>
              <w:jc w:val="center"/>
              <w:rPr>
                <w:sz w:val="24"/>
                <w:szCs w:val="24"/>
              </w:rPr>
            </w:pPr>
            <w:r>
              <w:rPr>
                <w:sz w:val="24"/>
                <w:szCs w:val="24"/>
              </w:rPr>
              <w:t>2.68</w:t>
            </w:r>
          </w:p>
        </w:tc>
        <w:tc>
          <w:tcPr>
            <w:tcW w:w="1092" w:type="dxa"/>
          </w:tcPr>
          <w:p w14:paraId="68D53096" w14:textId="39D2B1C5" w:rsidR="004146D2" w:rsidRDefault="004146D2" w:rsidP="004146D2">
            <w:pPr>
              <w:pStyle w:val="Paragraph"/>
              <w:spacing w:before="120" w:after="120"/>
              <w:ind w:firstLine="0"/>
              <w:jc w:val="center"/>
              <w:rPr>
                <w:sz w:val="24"/>
                <w:szCs w:val="24"/>
              </w:rPr>
            </w:pPr>
            <w:r>
              <w:rPr>
                <w:sz w:val="24"/>
                <w:szCs w:val="24"/>
              </w:rPr>
              <w:t>2.30</w:t>
            </w:r>
          </w:p>
        </w:tc>
      </w:tr>
      <w:tr w:rsidR="004146D2" w:rsidRPr="005A3E52" w14:paraId="314A31AC" w14:textId="77777777" w:rsidTr="00EF2FC7">
        <w:trPr>
          <w:trHeight w:val="350"/>
          <w:jc w:val="center"/>
        </w:trPr>
        <w:tc>
          <w:tcPr>
            <w:tcW w:w="1762" w:type="dxa"/>
            <w:vAlign w:val="center"/>
          </w:tcPr>
          <w:p w14:paraId="7B242E84" w14:textId="162CE390" w:rsidR="004146D2" w:rsidRPr="00C75422" w:rsidRDefault="004146D2" w:rsidP="004146D2">
            <w:pPr>
              <w:pStyle w:val="Paragraph"/>
              <w:spacing w:before="120" w:after="120"/>
              <w:ind w:firstLine="0"/>
              <w:jc w:val="center"/>
              <w:rPr>
                <w:b/>
                <w:sz w:val="24"/>
                <w:szCs w:val="24"/>
              </w:rPr>
            </w:pPr>
            <w:r>
              <w:rPr>
                <w:b/>
                <w:sz w:val="24"/>
                <w:szCs w:val="24"/>
              </w:rPr>
              <w:t xml:space="preserve">H2 </w:t>
            </w:r>
            <w:r w:rsidRPr="004146D2">
              <w:rPr>
                <w:b/>
                <w:sz w:val="24"/>
                <w:szCs w:val="24"/>
              </w:rPr>
              <w:fldChar w:fldCharType="begin" w:fldLock="1"/>
            </w:r>
            <w:r w:rsidRPr="004146D2">
              <w:rPr>
                <w:b/>
                <w:sz w:val="24"/>
                <w:szCs w:val="24"/>
              </w:rPr>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Pr="004146D2">
              <w:rPr>
                <w:b/>
                <w:sz w:val="24"/>
                <w:szCs w:val="24"/>
              </w:rPr>
              <w:fldChar w:fldCharType="separate"/>
            </w:r>
            <w:r w:rsidRPr="004146D2">
              <w:rPr>
                <w:b/>
                <w:noProof/>
                <w:sz w:val="24"/>
                <w:szCs w:val="24"/>
              </w:rPr>
              <w:t>[154]</w:t>
            </w:r>
            <w:r w:rsidRPr="004146D2">
              <w:rPr>
                <w:b/>
                <w:sz w:val="24"/>
                <w:szCs w:val="24"/>
              </w:rPr>
              <w:fldChar w:fldCharType="end"/>
            </w:r>
          </w:p>
        </w:tc>
        <w:tc>
          <w:tcPr>
            <w:tcW w:w="1237" w:type="dxa"/>
          </w:tcPr>
          <w:p w14:paraId="361969D0" w14:textId="79394E4A" w:rsidR="004146D2" w:rsidRPr="008365E2" w:rsidRDefault="004146D2" w:rsidP="004146D2">
            <w:pPr>
              <w:pStyle w:val="Paragraph"/>
              <w:spacing w:before="120" w:after="120"/>
              <w:ind w:firstLine="0"/>
              <w:jc w:val="center"/>
              <w:rPr>
                <w:sz w:val="24"/>
                <w:szCs w:val="24"/>
              </w:rPr>
            </w:pPr>
            <w:r>
              <w:rPr>
                <w:sz w:val="24"/>
                <w:szCs w:val="24"/>
              </w:rPr>
              <w:t>5.92</w:t>
            </w:r>
            <w:r w:rsidRPr="00447606">
              <w:rPr>
                <w:sz w:val="24"/>
                <w:szCs w:val="24"/>
              </w:rPr>
              <w:t>×10</w:t>
            </w:r>
            <w:r w:rsidRPr="00447606">
              <w:rPr>
                <w:sz w:val="24"/>
                <w:szCs w:val="24"/>
                <w:vertAlign w:val="superscript"/>
              </w:rPr>
              <w:t>-3</w:t>
            </w:r>
          </w:p>
        </w:tc>
        <w:tc>
          <w:tcPr>
            <w:tcW w:w="1237" w:type="dxa"/>
            <w:vAlign w:val="center"/>
          </w:tcPr>
          <w:p w14:paraId="07FD295B" w14:textId="39F0A2E0" w:rsidR="004146D2" w:rsidRDefault="004146D2" w:rsidP="004146D2">
            <w:pPr>
              <w:pStyle w:val="Paragraph"/>
              <w:spacing w:before="120" w:after="120"/>
              <w:ind w:firstLine="0"/>
              <w:jc w:val="center"/>
              <w:rPr>
                <w:sz w:val="24"/>
                <w:szCs w:val="24"/>
              </w:rPr>
            </w:pPr>
            <w:r>
              <w:rPr>
                <w:sz w:val="24"/>
                <w:szCs w:val="24"/>
              </w:rPr>
              <w:t>2.72×</w:t>
            </w:r>
            <w:r w:rsidRPr="008365E2">
              <w:rPr>
                <w:sz w:val="24"/>
                <w:szCs w:val="24"/>
              </w:rPr>
              <w:t>10</w:t>
            </w:r>
            <w:r>
              <w:rPr>
                <w:sz w:val="24"/>
                <w:szCs w:val="24"/>
                <w:vertAlign w:val="superscript"/>
              </w:rPr>
              <w:t>-2</w:t>
            </w:r>
          </w:p>
        </w:tc>
        <w:tc>
          <w:tcPr>
            <w:tcW w:w="1237" w:type="dxa"/>
            <w:vAlign w:val="center"/>
          </w:tcPr>
          <w:p w14:paraId="162844E7" w14:textId="35C2BE4E" w:rsidR="004146D2" w:rsidRDefault="004146D2" w:rsidP="004146D2">
            <w:pPr>
              <w:pStyle w:val="Paragraph"/>
              <w:spacing w:before="120" w:after="120"/>
              <w:ind w:firstLine="0"/>
              <w:jc w:val="center"/>
              <w:rPr>
                <w:sz w:val="24"/>
                <w:szCs w:val="24"/>
              </w:rPr>
            </w:pPr>
            <w:r>
              <w:rPr>
                <w:sz w:val="24"/>
                <w:szCs w:val="24"/>
              </w:rPr>
              <w:t>2.94×</w:t>
            </w:r>
            <w:r w:rsidRPr="008365E2">
              <w:rPr>
                <w:sz w:val="24"/>
                <w:szCs w:val="24"/>
              </w:rPr>
              <w:t>10</w:t>
            </w:r>
            <w:r>
              <w:rPr>
                <w:sz w:val="24"/>
                <w:szCs w:val="24"/>
                <w:vertAlign w:val="superscript"/>
              </w:rPr>
              <w:t>-2</w:t>
            </w:r>
          </w:p>
        </w:tc>
        <w:tc>
          <w:tcPr>
            <w:tcW w:w="973" w:type="dxa"/>
            <w:vAlign w:val="center"/>
          </w:tcPr>
          <w:p w14:paraId="21E81847" w14:textId="2B659F92" w:rsidR="004146D2" w:rsidRDefault="004146D2" w:rsidP="004146D2">
            <w:pPr>
              <w:pStyle w:val="Paragraph"/>
              <w:spacing w:before="120" w:after="120"/>
              <w:ind w:firstLine="0"/>
              <w:jc w:val="center"/>
              <w:rPr>
                <w:sz w:val="24"/>
                <w:szCs w:val="24"/>
              </w:rPr>
            </w:pPr>
            <w:r>
              <w:rPr>
                <w:sz w:val="24"/>
                <w:szCs w:val="24"/>
              </w:rPr>
              <w:t>10.66</w:t>
            </w:r>
          </w:p>
        </w:tc>
        <w:tc>
          <w:tcPr>
            <w:tcW w:w="1092" w:type="dxa"/>
            <w:vAlign w:val="center"/>
          </w:tcPr>
          <w:p w14:paraId="5FF824C6" w14:textId="4DB7D326" w:rsidR="004146D2" w:rsidRDefault="004146D2" w:rsidP="004146D2">
            <w:pPr>
              <w:pStyle w:val="Paragraph"/>
              <w:spacing w:before="120" w:after="120"/>
              <w:ind w:firstLine="0"/>
              <w:jc w:val="center"/>
              <w:rPr>
                <w:sz w:val="24"/>
                <w:szCs w:val="24"/>
              </w:rPr>
            </w:pPr>
            <w:r>
              <w:rPr>
                <w:sz w:val="24"/>
                <w:szCs w:val="24"/>
              </w:rPr>
              <w:t>2.86</w:t>
            </w:r>
          </w:p>
        </w:tc>
        <w:tc>
          <w:tcPr>
            <w:tcW w:w="1092" w:type="dxa"/>
          </w:tcPr>
          <w:p w14:paraId="4DA7969F" w14:textId="202C3AD0" w:rsidR="004146D2" w:rsidRDefault="004146D2" w:rsidP="004146D2">
            <w:pPr>
              <w:pStyle w:val="Paragraph"/>
              <w:spacing w:before="120" w:after="120"/>
              <w:ind w:firstLine="0"/>
              <w:jc w:val="center"/>
              <w:rPr>
                <w:sz w:val="24"/>
                <w:szCs w:val="24"/>
              </w:rPr>
            </w:pPr>
            <w:r>
              <w:rPr>
                <w:sz w:val="24"/>
                <w:szCs w:val="24"/>
              </w:rPr>
              <w:t>2.44</w:t>
            </w:r>
          </w:p>
        </w:tc>
      </w:tr>
      <w:tr w:rsidR="004146D2" w:rsidRPr="005A3E52" w14:paraId="6F72A0C9" w14:textId="77777777" w:rsidTr="00EF2FC7">
        <w:trPr>
          <w:trHeight w:val="350"/>
          <w:jc w:val="center"/>
        </w:trPr>
        <w:tc>
          <w:tcPr>
            <w:tcW w:w="1762" w:type="dxa"/>
            <w:vAlign w:val="center"/>
          </w:tcPr>
          <w:p w14:paraId="74AF3FCA" w14:textId="5322B8B8" w:rsidR="004146D2" w:rsidRPr="00C75422" w:rsidRDefault="004146D2" w:rsidP="004146D2">
            <w:pPr>
              <w:pStyle w:val="Paragraph"/>
              <w:spacing w:before="120" w:after="120"/>
              <w:ind w:firstLine="0"/>
              <w:jc w:val="center"/>
              <w:rPr>
                <w:b/>
                <w:sz w:val="24"/>
                <w:szCs w:val="24"/>
              </w:rPr>
            </w:pPr>
            <w:r>
              <w:rPr>
                <w:b/>
                <w:sz w:val="24"/>
                <w:szCs w:val="24"/>
              </w:rPr>
              <w:t xml:space="preserve">BM </w:t>
            </w:r>
            <w:r w:rsidRPr="004146D2">
              <w:rPr>
                <w:b/>
                <w:sz w:val="24"/>
                <w:szCs w:val="24"/>
              </w:rPr>
              <w:fldChar w:fldCharType="begin" w:fldLock="1"/>
            </w:r>
            <w:r w:rsidRPr="004146D2">
              <w:rPr>
                <w:b/>
                <w:sz w:val="24"/>
                <w:szCs w:val="24"/>
              </w:rPr>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Pr="004146D2">
              <w:rPr>
                <w:b/>
                <w:sz w:val="24"/>
                <w:szCs w:val="24"/>
              </w:rPr>
              <w:fldChar w:fldCharType="separate"/>
            </w:r>
            <w:r w:rsidRPr="004146D2">
              <w:rPr>
                <w:b/>
                <w:noProof/>
                <w:sz w:val="24"/>
                <w:szCs w:val="24"/>
              </w:rPr>
              <w:t>[154]</w:t>
            </w:r>
            <w:r w:rsidRPr="004146D2">
              <w:rPr>
                <w:b/>
                <w:sz w:val="24"/>
                <w:szCs w:val="24"/>
              </w:rPr>
              <w:fldChar w:fldCharType="end"/>
            </w:r>
          </w:p>
        </w:tc>
        <w:tc>
          <w:tcPr>
            <w:tcW w:w="1237" w:type="dxa"/>
          </w:tcPr>
          <w:p w14:paraId="022F11A9" w14:textId="6F1E7D15" w:rsidR="004146D2" w:rsidRPr="008365E2" w:rsidRDefault="004146D2" w:rsidP="004146D2">
            <w:pPr>
              <w:pStyle w:val="Paragraph"/>
              <w:spacing w:before="120" w:after="120"/>
              <w:ind w:firstLine="0"/>
              <w:jc w:val="center"/>
              <w:rPr>
                <w:sz w:val="24"/>
                <w:szCs w:val="24"/>
              </w:rPr>
            </w:pPr>
            <w:r>
              <w:rPr>
                <w:sz w:val="24"/>
                <w:szCs w:val="24"/>
              </w:rPr>
              <w:t>5.97</w:t>
            </w:r>
            <w:r w:rsidRPr="00447606">
              <w:rPr>
                <w:sz w:val="24"/>
                <w:szCs w:val="24"/>
              </w:rPr>
              <w:t>×10</w:t>
            </w:r>
            <w:r w:rsidRPr="00447606">
              <w:rPr>
                <w:sz w:val="24"/>
                <w:szCs w:val="24"/>
                <w:vertAlign w:val="superscript"/>
              </w:rPr>
              <w:t>-3</w:t>
            </w:r>
          </w:p>
        </w:tc>
        <w:tc>
          <w:tcPr>
            <w:tcW w:w="1237" w:type="dxa"/>
            <w:vAlign w:val="center"/>
          </w:tcPr>
          <w:p w14:paraId="62C53BD0" w14:textId="7A397D1F" w:rsidR="004146D2" w:rsidRDefault="004146D2" w:rsidP="004146D2">
            <w:pPr>
              <w:pStyle w:val="Paragraph"/>
              <w:spacing w:before="120" w:after="120"/>
              <w:ind w:firstLine="0"/>
              <w:jc w:val="center"/>
              <w:rPr>
                <w:sz w:val="24"/>
                <w:szCs w:val="24"/>
              </w:rPr>
            </w:pPr>
            <w:r>
              <w:rPr>
                <w:sz w:val="24"/>
                <w:szCs w:val="24"/>
              </w:rPr>
              <w:t>3.20×</w:t>
            </w:r>
            <w:r w:rsidRPr="008365E2">
              <w:rPr>
                <w:sz w:val="24"/>
                <w:szCs w:val="24"/>
              </w:rPr>
              <w:t>10</w:t>
            </w:r>
            <w:r>
              <w:rPr>
                <w:sz w:val="24"/>
                <w:szCs w:val="24"/>
                <w:vertAlign w:val="superscript"/>
              </w:rPr>
              <w:t>-2</w:t>
            </w:r>
          </w:p>
        </w:tc>
        <w:tc>
          <w:tcPr>
            <w:tcW w:w="1237" w:type="dxa"/>
            <w:vAlign w:val="center"/>
          </w:tcPr>
          <w:p w14:paraId="439475FA" w14:textId="663382F9" w:rsidR="004146D2" w:rsidRDefault="004146D2" w:rsidP="004146D2">
            <w:pPr>
              <w:pStyle w:val="Paragraph"/>
              <w:spacing w:before="120" w:after="120"/>
              <w:ind w:firstLine="0"/>
              <w:jc w:val="center"/>
              <w:rPr>
                <w:sz w:val="24"/>
                <w:szCs w:val="24"/>
              </w:rPr>
            </w:pPr>
            <w:r>
              <w:rPr>
                <w:sz w:val="24"/>
                <w:szCs w:val="24"/>
              </w:rPr>
              <w:t>2.48×</w:t>
            </w:r>
            <w:r w:rsidRPr="008365E2">
              <w:rPr>
                <w:sz w:val="24"/>
                <w:szCs w:val="24"/>
              </w:rPr>
              <w:t>10</w:t>
            </w:r>
            <w:r>
              <w:rPr>
                <w:sz w:val="24"/>
                <w:szCs w:val="24"/>
                <w:vertAlign w:val="superscript"/>
              </w:rPr>
              <w:t>-2</w:t>
            </w:r>
          </w:p>
        </w:tc>
        <w:tc>
          <w:tcPr>
            <w:tcW w:w="973" w:type="dxa"/>
            <w:vAlign w:val="center"/>
          </w:tcPr>
          <w:p w14:paraId="317ED961" w14:textId="435DE29C" w:rsidR="004146D2" w:rsidRDefault="004146D2" w:rsidP="004146D2">
            <w:pPr>
              <w:pStyle w:val="Paragraph"/>
              <w:spacing w:before="120" w:after="120"/>
              <w:ind w:firstLine="0"/>
              <w:jc w:val="center"/>
              <w:rPr>
                <w:sz w:val="24"/>
                <w:szCs w:val="24"/>
              </w:rPr>
            </w:pPr>
            <w:r>
              <w:rPr>
                <w:sz w:val="24"/>
                <w:szCs w:val="24"/>
              </w:rPr>
              <w:t>8.91</w:t>
            </w:r>
          </w:p>
        </w:tc>
        <w:tc>
          <w:tcPr>
            <w:tcW w:w="1092" w:type="dxa"/>
            <w:vAlign w:val="center"/>
          </w:tcPr>
          <w:p w14:paraId="6A6624BE" w14:textId="601846EC" w:rsidR="004146D2" w:rsidRDefault="004146D2" w:rsidP="004146D2">
            <w:pPr>
              <w:pStyle w:val="Paragraph"/>
              <w:spacing w:before="120" w:after="120"/>
              <w:ind w:firstLine="0"/>
              <w:jc w:val="center"/>
              <w:rPr>
                <w:sz w:val="24"/>
                <w:szCs w:val="24"/>
              </w:rPr>
            </w:pPr>
            <w:r>
              <w:rPr>
                <w:sz w:val="24"/>
                <w:szCs w:val="24"/>
              </w:rPr>
              <w:t>2.99</w:t>
            </w:r>
          </w:p>
        </w:tc>
        <w:tc>
          <w:tcPr>
            <w:tcW w:w="1092" w:type="dxa"/>
          </w:tcPr>
          <w:p w14:paraId="6B9C8A4D" w14:textId="1E65BDA1" w:rsidR="004146D2" w:rsidRDefault="004146D2" w:rsidP="004146D2">
            <w:pPr>
              <w:pStyle w:val="Paragraph"/>
              <w:spacing w:before="120" w:after="120"/>
              <w:ind w:firstLine="0"/>
              <w:jc w:val="center"/>
              <w:rPr>
                <w:sz w:val="24"/>
                <w:szCs w:val="24"/>
              </w:rPr>
            </w:pPr>
            <w:r>
              <w:rPr>
                <w:sz w:val="24"/>
                <w:szCs w:val="24"/>
              </w:rPr>
              <w:t>2.67</w:t>
            </w:r>
          </w:p>
        </w:tc>
      </w:tr>
      <w:tr w:rsidR="004146D2" w:rsidRPr="005A3E52" w14:paraId="653EDDF8" w14:textId="77777777" w:rsidTr="00EF2FC7">
        <w:trPr>
          <w:trHeight w:val="350"/>
          <w:jc w:val="center"/>
        </w:trPr>
        <w:tc>
          <w:tcPr>
            <w:tcW w:w="1762" w:type="dxa"/>
            <w:vAlign w:val="center"/>
          </w:tcPr>
          <w:p w14:paraId="64100088" w14:textId="76154787" w:rsidR="004146D2" w:rsidRPr="00C75422" w:rsidRDefault="004146D2" w:rsidP="004146D2">
            <w:pPr>
              <w:pStyle w:val="Paragraph"/>
              <w:spacing w:before="120" w:after="120"/>
              <w:ind w:firstLine="0"/>
              <w:jc w:val="center"/>
              <w:rPr>
                <w:b/>
                <w:sz w:val="24"/>
                <w:szCs w:val="24"/>
              </w:rPr>
            </w:pPr>
            <w:r>
              <w:rPr>
                <w:b/>
                <w:sz w:val="24"/>
                <w:szCs w:val="24"/>
              </w:rPr>
              <w:t xml:space="preserve">HM1 </w:t>
            </w:r>
            <w:r w:rsidRPr="004146D2">
              <w:rPr>
                <w:b/>
                <w:sz w:val="24"/>
                <w:szCs w:val="24"/>
              </w:rPr>
              <w:fldChar w:fldCharType="begin" w:fldLock="1"/>
            </w:r>
            <w:r w:rsidRPr="004146D2">
              <w:rPr>
                <w:b/>
                <w:sz w:val="24"/>
                <w:szCs w:val="24"/>
              </w:rPr>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Pr="004146D2">
              <w:rPr>
                <w:b/>
                <w:sz w:val="24"/>
                <w:szCs w:val="24"/>
              </w:rPr>
              <w:fldChar w:fldCharType="separate"/>
            </w:r>
            <w:r w:rsidRPr="004146D2">
              <w:rPr>
                <w:b/>
                <w:noProof/>
                <w:sz w:val="24"/>
                <w:szCs w:val="24"/>
              </w:rPr>
              <w:t>[154]</w:t>
            </w:r>
            <w:r w:rsidRPr="004146D2">
              <w:rPr>
                <w:b/>
                <w:sz w:val="24"/>
                <w:szCs w:val="24"/>
              </w:rPr>
              <w:fldChar w:fldCharType="end"/>
            </w:r>
          </w:p>
        </w:tc>
        <w:tc>
          <w:tcPr>
            <w:tcW w:w="1237" w:type="dxa"/>
          </w:tcPr>
          <w:p w14:paraId="54F1491B" w14:textId="1645B61E" w:rsidR="004146D2" w:rsidRPr="008365E2" w:rsidRDefault="004146D2" w:rsidP="004146D2">
            <w:pPr>
              <w:pStyle w:val="Paragraph"/>
              <w:spacing w:before="120" w:after="120"/>
              <w:ind w:firstLine="0"/>
              <w:jc w:val="center"/>
              <w:rPr>
                <w:sz w:val="24"/>
                <w:szCs w:val="24"/>
              </w:rPr>
            </w:pPr>
            <w:r>
              <w:rPr>
                <w:sz w:val="24"/>
                <w:szCs w:val="24"/>
              </w:rPr>
              <w:t>1.63</w:t>
            </w:r>
            <w:r w:rsidRPr="00447606">
              <w:rPr>
                <w:sz w:val="24"/>
                <w:szCs w:val="24"/>
              </w:rPr>
              <w:t>×10</w:t>
            </w:r>
            <w:r w:rsidRPr="00447606">
              <w:rPr>
                <w:sz w:val="24"/>
                <w:szCs w:val="24"/>
                <w:vertAlign w:val="superscript"/>
              </w:rPr>
              <w:t>-</w:t>
            </w:r>
            <w:r>
              <w:rPr>
                <w:sz w:val="24"/>
                <w:szCs w:val="24"/>
                <w:vertAlign w:val="superscript"/>
              </w:rPr>
              <w:t>2</w:t>
            </w:r>
          </w:p>
        </w:tc>
        <w:tc>
          <w:tcPr>
            <w:tcW w:w="1237" w:type="dxa"/>
            <w:vAlign w:val="center"/>
          </w:tcPr>
          <w:p w14:paraId="478E79A2" w14:textId="15891AC7" w:rsidR="004146D2" w:rsidRDefault="004146D2" w:rsidP="004146D2">
            <w:pPr>
              <w:pStyle w:val="Paragraph"/>
              <w:spacing w:before="120" w:after="120"/>
              <w:ind w:firstLine="0"/>
              <w:jc w:val="center"/>
              <w:rPr>
                <w:sz w:val="24"/>
                <w:szCs w:val="24"/>
              </w:rPr>
            </w:pPr>
            <w:r>
              <w:rPr>
                <w:sz w:val="24"/>
                <w:szCs w:val="24"/>
              </w:rPr>
              <w:t>7.17×</w:t>
            </w:r>
            <w:r w:rsidRPr="008365E2">
              <w:rPr>
                <w:sz w:val="24"/>
                <w:szCs w:val="24"/>
              </w:rPr>
              <w:t>10</w:t>
            </w:r>
            <w:r>
              <w:rPr>
                <w:sz w:val="24"/>
                <w:szCs w:val="24"/>
                <w:vertAlign w:val="superscript"/>
              </w:rPr>
              <w:t>-3</w:t>
            </w:r>
          </w:p>
        </w:tc>
        <w:tc>
          <w:tcPr>
            <w:tcW w:w="1237" w:type="dxa"/>
            <w:vAlign w:val="center"/>
          </w:tcPr>
          <w:p w14:paraId="3FDD1A1D" w14:textId="7CEE8600" w:rsidR="004146D2" w:rsidRDefault="004146D2" w:rsidP="004146D2">
            <w:pPr>
              <w:pStyle w:val="Paragraph"/>
              <w:spacing w:before="120" w:after="120"/>
              <w:ind w:firstLine="0"/>
              <w:jc w:val="center"/>
              <w:rPr>
                <w:sz w:val="24"/>
                <w:szCs w:val="24"/>
              </w:rPr>
            </w:pPr>
            <w:r>
              <w:rPr>
                <w:sz w:val="24"/>
                <w:szCs w:val="24"/>
              </w:rPr>
              <w:t>1.32×</w:t>
            </w:r>
            <w:r w:rsidRPr="008365E2">
              <w:rPr>
                <w:sz w:val="24"/>
                <w:szCs w:val="24"/>
              </w:rPr>
              <w:t>10</w:t>
            </w:r>
            <w:r>
              <w:rPr>
                <w:sz w:val="24"/>
                <w:szCs w:val="24"/>
                <w:vertAlign w:val="superscript"/>
              </w:rPr>
              <w:t>-2</w:t>
            </w:r>
          </w:p>
        </w:tc>
        <w:tc>
          <w:tcPr>
            <w:tcW w:w="973" w:type="dxa"/>
            <w:vAlign w:val="center"/>
          </w:tcPr>
          <w:p w14:paraId="203F9158" w14:textId="7A8BFDF3" w:rsidR="004146D2" w:rsidRDefault="004146D2" w:rsidP="004146D2">
            <w:pPr>
              <w:pStyle w:val="Paragraph"/>
              <w:spacing w:before="120" w:after="120"/>
              <w:ind w:firstLine="0"/>
              <w:jc w:val="center"/>
              <w:rPr>
                <w:sz w:val="24"/>
                <w:szCs w:val="24"/>
              </w:rPr>
            </w:pPr>
            <w:r>
              <w:rPr>
                <w:sz w:val="24"/>
                <w:szCs w:val="24"/>
              </w:rPr>
              <w:t>8.42</w:t>
            </w:r>
          </w:p>
        </w:tc>
        <w:tc>
          <w:tcPr>
            <w:tcW w:w="1092" w:type="dxa"/>
            <w:vAlign w:val="center"/>
          </w:tcPr>
          <w:p w14:paraId="41B7A965" w14:textId="565DE08F" w:rsidR="004146D2" w:rsidRDefault="004146D2" w:rsidP="004146D2">
            <w:pPr>
              <w:pStyle w:val="Paragraph"/>
              <w:spacing w:before="120" w:after="120"/>
              <w:ind w:firstLine="0"/>
              <w:jc w:val="center"/>
              <w:rPr>
                <w:sz w:val="24"/>
                <w:szCs w:val="24"/>
              </w:rPr>
            </w:pPr>
            <w:r>
              <w:rPr>
                <w:sz w:val="24"/>
                <w:szCs w:val="24"/>
              </w:rPr>
              <w:t>2.93</w:t>
            </w:r>
          </w:p>
        </w:tc>
        <w:tc>
          <w:tcPr>
            <w:tcW w:w="1092" w:type="dxa"/>
          </w:tcPr>
          <w:p w14:paraId="3DEA6C05" w14:textId="6A7CAE3B" w:rsidR="004146D2" w:rsidRDefault="004146D2" w:rsidP="004146D2">
            <w:pPr>
              <w:pStyle w:val="Paragraph"/>
              <w:spacing w:before="120" w:after="120"/>
              <w:ind w:firstLine="0"/>
              <w:jc w:val="center"/>
              <w:rPr>
                <w:sz w:val="24"/>
                <w:szCs w:val="24"/>
              </w:rPr>
            </w:pPr>
            <w:r>
              <w:rPr>
                <w:sz w:val="24"/>
                <w:szCs w:val="24"/>
              </w:rPr>
              <w:t>2.59</w:t>
            </w:r>
          </w:p>
        </w:tc>
      </w:tr>
      <w:tr w:rsidR="004146D2" w:rsidRPr="005A3E52" w14:paraId="00286E8A" w14:textId="77777777" w:rsidTr="00EF2FC7">
        <w:trPr>
          <w:trHeight w:val="350"/>
          <w:jc w:val="center"/>
        </w:trPr>
        <w:tc>
          <w:tcPr>
            <w:tcW w:w="1762" w:type="dxa"/>
            <w:vAlign w:val="center"/>
          </w:tcPr>
          <w:p w14:paraId="4E849DA4" w14:textId="2965FA55" w:rsidR="004146D2" w:rsidRPr="00C75422" w:rsidRDefault="004146D2" w:rsidP="004146D2">
            <w:pPr>
              <w:pStyle w:val="Paragraph"/>
              <w:spacing w:before="120" w:after="120"/>
              <w:ind w:firstLine="0"/>
              <w:jc w:val="center"/>
              <w:rPr>
                <w:b/>
                <w:sz w:val="24"/>
                <w:szCs w:val="24"/>
              </w:rPr>
            </w:pPr>
            <w:r>
              <w:rPr>
                <w:b/>
                <w:sz w:val="24"/>
                <w:szCs w:val="24"/>
              </w:rPr>
              <w:t xml:space="preserve">HM2 </w:t>
            </w:r>
            <w:r w:rsidRPr="004146D2">
              <w:rPr>
                <w:b/>
                <w:sz w:val="24"/>
                <w:szCs w:val="24"/>
              </w:rPr>
              <w:fldChar w:fldCharType="begin" w:fldLock="1"/>
            </w:r>
            <w:r w:rsidRPr="004146D2">
              <w:rPr>
                <w:b/>
                <w:sz w:val="24"/>
                <w:szCs w:val="24"/>
              </w:rPr>
              <w:instrText>ADDIN CSL_CITATION {"citationItems":[{"id":"ITEM-1","itemData":{"DOI":"10.1016/S1359-835X(01)00071-9","ISBN":"1359-835X","ISSN":"1359835X","abstract":"Short bamboo fiber reinforced polypropylene composites (BFRP) and short bamboo-glass fiber reinforced polypropylene hybrid composites (BGRP) were fabricated using a compression molding method. Maleic anhydride polypropylene (MAPP) was used as a compatibilizer to improve the adhesion between the reinforcements and the matrix material. By incorporating up to 20% (by mass) glass fiber, the tensile and flexural modulus of BGRP were increased by 12.5 and 10%, respectively; and the tensile and flexural strength were increased by 7 and 25%, respectively, compared to those of BFRP. Sorption behavior and effects of environmental aging on tensile properties of both BFRP and BGRP systems were studied by immersing samples in water for up to 1200 h at 25°C. Compared to BFRP, a 4% drop in saturated moisture level is seen in BGRP. After aging in water for 1200 h, reduction in tensile strength and modulus for BGRP is nearly two times less than that of BFRP. Use of MAPP as coupling agent in the polypropylene matrix results in decreased saturated moisture absorption level and enhanced mechanical properties for both BFRP and BGRP systems. Thus it is shown that the durability of bamboo fiber reinforced polypropylene can be enhanced by hybridization with small amount of glass fibers. © 2001 Elsevier Science Ltd. All rights reserved.","author":[{"dropping-particle":"","family":"Thwe","given":"Moe Moe","non-dropping-particle":"","parse-names":false,"suffix":""},{"dropping-particle":"","family":"Liao","given":"Kin","non-dropping-particle":"","parse-names":false,"suffix":""}],"container-title":"Composites - Part A: Applied Science and Manufacturing","id":"ITEM-1","issue":"1","issued":{"date-parts":[["2002"]]},"page":"43-52","title":"Effects of environmental aging on the mechanical properties of bamboo-glass fiber reinforced polymer matrix hybrid composites","type":"article-journal","volume":"33"},"uris":["http://www.mendeley.com/documents/?uuid=7f439690-50f8-470b-b4b6-575f5579b28f"]}],"mendeley":{"formattedCitation":"[154]","plainTextFormattedCitation":"[154]","previouslyFormattedCitation":"[154]"},"properties":{"noteIndex":0},"schema":"https://github.com/citation-style-language/schema/raw/master/csl-citation.json"}</w:instrText>
            </w:r>
            <w:r w:rsidRPr="004146D2">
              <w:rPr>
                <w:b/>
                <w:sz w:val="24"/>
                <w:szCs w:val="24"/>
              </w:rPr>
              <w:fldChar w:fldCharType="separate"/>
            </w:r>
            <w:r w:rsidRPr="004146D2">
              <w:rPr>
                <w:b/>
                <w:noProof/>
                <w:sz w:val="24"/>
                <w:szCs w:val="24"/>
              </w:rPr>
              <w:t>[154]</w:t>
            </w:r>
            <w:r w:rsidRPr="004146D2">
              <w:rPr>
                <w:b/>
                <w:sz w:val="24"/>
                <w:szCs w:val="24"/>
              </w:rPr>
              <w:fldChar w:fldCharType="end"/>
            </w:r>
          </w:p>
        </w:tc>
        <w:tc>
          <w:tcPr>
            <w:tcW w:w="1237" w:type="dxa"/>
          </w:tcPr>
          <w:p w14:paraId="50A088C6" w14:textId="53D92227" w:rsidR="004146D2" w:rsidRPr="008365E2" w:rsidRDefault="004146D2" w:rsidP="004146D2">
            <w:pPr>
              <w:pStyle w:val="Paragraph"/>
              <w:spacing w:before="120" w:after="120"/>
              <w:ind w:firstLine="0"/>
              <w:jc w:val="center"/>
              <w:rPr>
                <w:sz w:val="24"/>
                <w:szCs w:val="24"/>
              </w:rPr>
            </w:pPr>
            <w:r>
              <w:rPr>
                <w:sz w:val="24"/>
                <w:szCs w:val="24"/>
              </w:rPr>
              <w:t>6.01</w:t>
            </w:r>
            <w:r w:rsidRPr="00447606">
              <w:rPr>
                <w:sz w:val="24"/>
                <w:szCs w:val="24"/>
              </w:rPr>
              <w:t>×10</w:t>
            </w:r>
            <w:r w:rsidRPr="00447606">
              <w:rPr>
                <w:sz w:val="24"/>
                <w:szCs w:val="24"/>
                <w:vertAlign w:val="superscript"/>
              </w:rPr>
              <w:t>-3</w:t>
            </w:r>
          </w:p>
        </w:tc>
        <w:tc>
          <w:tcPr>
            <w:tcW w:w="1237" w:type="dxa"/>
            <w:vAlign w:val="center"/>
          </w:tcPr>
          <w:p w14:paraId="39ABF8DC" w14:textId="442AB69B" w:rsidR="004146D2" w:rsidRDefault="004146D2" w:rsidP="004146D2">
            <w:pPr>
              <w:pStyle w:val="Paragraph"/>
              <w:spacing w:before="120" w:after="120"/>
              <w:ind w:firstLine="0"/>
              <w:jc w:val="center"/>
              <w:rPr>
                <w:sz w:val="24"/>
                <w:szCs w:val="24"/>
              </w:rPr>
            </w:pPr>
            <w:r>
              <w:rPr>
                <w:sz w:val="24"/>
                <w:szCs w:val="24"/>
              </w:rPr>
              <w:t>3.19×</w:t>
            </w:r>
            <w:r w:rsidRPr="008365E2">
              <w:rPr>
                <w:sz w:val="24"/>
                <w:szCs w:val="24"/>
              </w:rPr>
              <w:t>10</w:t>
            </w:r>
            <w:r>
              <w:rPr>
                <w:sz w:val="24"/>
                <w:szCs w:val="24"/>
                <w:vertAlign w:val="superscript"/>
              </w:rPr>
              <w:t>-2</w:t>
            </w:r>
          </w:p>
        </w:tc>
        <w:tc>
          <w:tcPr>
            <w:tcW w:w="1237" w:type="dxa"/>
            <w:vAlign w:val="center"/>
          </w:tcPr>
          <w:p w14:paraId="1576DD1A" w14:textId="4664E924" w:rsidR="004146D2" w:rsidRDefault="004146D2" w:rsidP="004146D2">
            <w:pPr>
              <w:pStyle w:val="Paragraph"/>
              <w:spacing w:before="120" w:after="120"/>
              <w:ind w:firstLine="0"/>
              <w:jc w:val="center"/>
              <w:rPr>
                <w:sz w:val="24"/>
                <w:szCs w:val="24"/>
              </w:rPr>
            </w:pPr>
            <w:r>
              <w:rPr>
                <w:sz w:val="24"/>
                <w:szCs w:val="24"/>
              </w:rPr>
              <w:t>3.22×</w:t>
            </w:r>
            <w:r w:rsidRPr="008365E2">
              <w:rPr>
                <w:sz w:val="24"/>
                <w:szCs w:val="24"/>
              </w:rPr>
              <w:t>10</w:t>
            </w:r>
            <w:r>
              <w:rPr>
                <w:sz w:val="24"/>
                <w:szCs w:val="24"/>
                <w:vertAlign w:val="superscript"/>
              </w:rPr>
              <w:t>-2</w:t>
            </w:r>
          </w:p>
        </w:tc>
        <w:tc>
          <w:tcPr>
            <w:tcW w:w="973" w:type="dxa"/>
            <w:vAlign w:val="center"/>
          </w:tcPr>
          <w:p w14:paraId="0C0CE55F" w14:textId="20B46CB0" w:rsidR="004146D2" w:rsidRDefault="004146D2" w:rsidP="004146D2">
            <w:pPr>
              <w:pStyle w:val="Paragraph"/>
              <w:spacing w:before="120" w:after="120"/>
              <w:ind w:firstLine="0"/>
              <w:jc w:val="center"/>
              <w:rPr>
                <w:sz w:val="24"/>
                <w:szCs w:val="24"/>
              </w:rPr>
            </w:pPr>
            <w:r>
              <w:rPr>
                <w:sz w:val="24"/>
                <w:szCs w:val="24"/>
              </w:rPr>
              <w:t>9.84</w:t>
            </w:r>
          </w:p>
        </w:tc>
        <w:tc>
          <w:tcPr>
            <w:tcW w:w="1092" w:type="dxa"/>
            <w:vAlign w:val="center"/>
          </w:tcPr>
          <w:p w14:paraId="65C82675" w14:textId="2CD343FC" w:rsidR="004146D2" w:rsidRDefault="004146D2" w:rsidP="004146D2">
            <w:pPr>
              <w:pStyle w:val="Paragraph"/>
              <w:spacing w:before="120" w:after="120"/>
              <w:ind w:firstLine="0"/>
              <w:jc w:val="center"/>
              <w:rPr>
                <w:sz w:val="24"/>
                <w:szCs w:val="24"/>
              </w:rPr>
            </w:pPr>
            <w:r>
              <w:rPr>
                <w:sz w:val="24"/>
                <w:szCs w:val="24"/>
              </w:rPr>
              <w:t>3.16</w:t>
            </w:r>
          </w:p>
        </w:tc>
        <w:tc>
          <w:tcPr>
            <w:tcW w:w="1092" w:type="dxa"/>
          </w:tcPr>
          <w:p w14:paraId="4A783224" w14:textId="3FE3EA59" w:rsidR="004146D2" w:rsidRDefault="004146D2" w:rsidP="004146D2">
            <w:pPr>
              <w:pStyle w:val="Paragraph"/>
              <w:spacing w:before="120" w:after="120"/>
              <w:ind w:firstLine="0"/>
              <w:jc w:val="center"/>
              <w:rPr>
                <w:sz w:val="24"/>
                <w:szCs w:val="24"/>
              </w:rPr>
            </w:pPr>
            <w:r>
              <w:rPr>
                <w:sz w:val="24"/>
                <w:szCs w:val="24"/>
              </w:rPr>
              <w:t>2.90</w:t>
            </w:r>
          </w:p>
        </w:tc>
      </w:tr>
      <w:tr w:rsidR="004146D2" w:rsidRPr="005A3E52" w14:paraId="4EE3ED4E" w14:textId="77777777" w:rsidTr="004146D2">
        <w:trPr>
          <w:trHeight w:val="350"/>
          <w:jc w:val="center"/>
        </w:trPr>
        <w:tc>
          <w:tcPr>
            <w:tcW w:w="1762" w:type="dxa"/>
            <w:vAlign w:val="center"/>
          </w:tcPr>
          <w:p w14:paraId="508780CD" w14:textId="19A3A88A" w:rsidR="004146D2" w:rsidRPr="00C75422" w:rsidRDefault="004146D2" w:rsidP="004146D2">
            <w:pPr>
              <w:pStyle w:val="Paragraph"/>
              <w:spacing w:before="120" w:after="120"/>
              <w:ind w:firstLine="0"/>
              <w:jc w:val="center"/>
              <w:rPr>
                <w:b/>
                <w:sz w:val="24"/>
                <w:szCs w:val="24"/>
              </w:rPr>
            </w:pPr>
            <w:r>
              <w:rPr>
                <w:b/>
                <w:sz w:val="24"/>
                <w:szCs w:val="24"/>
              </w:rPr>
              <w:t xml:space="preserve">Nylon 6 </w:t>
            </w:r>
            <w:r w:rsidRPr="004146D2">
              <w:rPr>
                <w:b/>
                <w:sz w:val="24"/>
                <w:szCs w:val="24"/>
              </w:rPr>
              <w:fldChar w:fldCharType="begin" w:fldLock="1"/>
            </w:r>
            <w:r w:rsidR="00430285">
              <w:rPr>
                <w:b/>
                <w:sz w:val="24"/>
                <w:szCs w:val="24"/>
              </w:rPr>
              <w:instrText>ADDIN CSL_CITATION {"citationItems":[{"id":"ITEM-1","itemData":{"DOI":"10.1177/0731684404030730","ISSN":"07316844","abstract":"The influence of various standard (ASTM, ISO) and experimental moisture conditioning methods on mechanical performance of injection molded nylon 6 is discussed as a result of an in-depth, comprehensive investigation. These methods covered a wide range for two basic process parameters for conditioning: temperature (from 23 to 100 C) and relative humidity (from 50% RH to water immersion). The variation of these parameters may result in significantly different moisture absorption rates, equilibrium levels and mechanical properties. The kinetics of mechanical performance and microstructure were evaluated prior to tests and during conditioning in this comprehensive analysis. The results from this investigation may provide comprehensive, up-to-date information and recommendations concerning accelerated nylon conditioning methods for test specimens and various molded parts, preselection of nylon based plastic for design, and prediction and optimization of mechanical performance.","author":[{"dropping-particle":"","family":"Jia","given":"Nanying","non-dropping-particle":"","parse-names":false,"suffix":""},{"dropping-particle":"","family":"Fraenkel","given":"Howard A.","non-dropping-particle":"","parse-names":false,"suffix":""},{"dropping-particle":"","family":"Kagan","given":"Val A.","non-dropping-particle":"","parse-names":false,"suffix":""}],"container-title":"Journal of Reinforced Plastics and Composites","id":"ITEM-1","issue":"7","issued":{"date-parts":[["2004"]]},"page":"729-737","title":"Effects of moisture conditioning methods on mechanical properties of injection molded nylon 6","type":"article-journal","volume":"23"},"uris":["http://www.mendeley.com/documents/?uuid=07f32166-9881-44a1-9e28-df3d5522d222"]}],"mendeley":{"formattedCitation":"[4]","plainTextFormattedCitation":"[4]","previouslyFormattedCitation":"[12]"},"properties":{"noteIndex":0},"schema":"https://github.com/citation-style-language/schema/raw/master/csl-citation.json"}</w:instrText>
            </w:r>
            <w:r w:rsidRPr="004146D2">
              <w:rPr>
                <w:b/>
                <w:sz w:val="24"/>
                <w:szCs w:val="24"/>
              </w:rPr>
              <w:fldChar w:fldCharType="separate"/>
            </w:r>
            <w:r w:rsidR="00430285" w:rsidRPr="00430285">
              <w:rPr>
                <w:noProof/>
                <w:sz w:val="24"/>
                <w:szCs w:val="24"/>
              </w:rPr>
              <w:t>[4]</w:t>
            </w:r>
            <w:r w:rsidRPr="004146D2">
              <w:rPr>
                <w:b/>
                <w:sz w:val="24"/>
                <w:szCs w:val="24"/>
              </w:rPr>
              <w:fldChar w:fldCharType="end"/>
            </w:r>
          </w:p>
        </w:tc>
        <w:tc>
          <w:tcPr>
            <w:tcW w:w="1237" w:type="dxa"/>
            <w:vAlign w:val="center"/>
          </w:tcPr>
          <w:p w14:paraId="79650678" w14:textId="0E71ED14" w:rsidR="004146D2" w:rsidRPr="008365E2" w:rsidRDefault="004146D2" w:rsidP="004146D2">
            <w:pPr>
              <w:pStyle w:val="Paragraph"/>
              <w:spacing w:before="120" w:after="120"/>
              <w:ind w:firstLine="0"/>
              <w:jc w:val="center"/>
              <w:rPr>
                <w:sz w:val="24"/>
                <w:szCs w:val="24"/>
              </w:rPr>
            </w:pPr>
            <w:r>
              <w:rPr>
                <w:sz w:val="24"/>
                <w:szCs w:val="24"/>
              </w:rPr>
              <w:t>2.11×</w:t>
            </w:r>
            <w:r w:rsidRPr="008365E2">
              <w:rPr>
                <w:sz w:val="24"/>
                <w:szCs w:val="24"/>
              </w:rPr>
              <w:t>10</w:t>
            </w:r>
            <w:r>
              <w:rPr>
                <w:sz w:val="24"/>
                <w:szCs w:val="24"/>
                <w:vertAlign w:val="superscript"/>
              </w:rPr>
              <w:t>-2</w:t>
            </w:r>
          </w:p>
        </w:tc>
        <w:tc>
          <w:tcPr>
            <w:tcW w:w="1237" w:type="dxa"/>
            <w:vAlign w:val="center"/>
          </w:tcPr>
          <w:p w14:paraId="33B62D2B" w14:textId="4D03E99E" w:rsidR="004146D2" w:rsidRDefault="004146D2" w:rsidP="004146D2">
            <w:pPr>
              <w:pStyle w:val="Paragraph"/>
              <w:spacing w:before="120" w:after="120"/>
              <w:ind w:firstLine="0"/>
              <w:jc w:val="center"/>
              <w:rPr>
                <w:sz w:val="24"/>
                <w:szCs w:val="24"/>
              </w:rPr>
            </w:pPr>
            <w:r>
              <w:rPr>
                <w:sz w:val="24"/>
                <w:szCs w:val="24"/>
              </w:rPr>
              <w:t>1.23×</w:t>
            </w:r>
            <w:r w:rsidRPr="008365E2">
              <w:rPr>
                <w:sz w:val="24"/>
                <w:szCs w:val="24"/>
              </w:rPr>
              <w:t>10</w:t>
            </w:r>
            <w:r>
              <w:rPr>
                <w:sz w:val="24"/>
                <w:szCs w:val="24"/>
                <w:vertAlign w:val="superscript"/>
              </w:rPr>
              <w:t>-2</w:t>
            </w:r>
          </w:p>
        </w:tc>
        <w:tc>
          <w:tcPr>
            <w:tcW w:w="1237" w:type="dxa"/>
            <w:vAlign w:val="center"/>
          </w:tcPr>
          <w:p w14:paraId="6EEFA2F6" w14:textId="6201A140" w:rsidR="004146D2" w:rsidRDefault="004146D2" w:rsidP="004146D2">
            <w:pPr>
              <w:pStyle w:val="Paragraph"/>
              <w:spacing w:before="120" w:after="120"/>
              <w:ind w:firstLine="0"/>
              <w:jc w:val="center"/>
              <w:rPr>
                <w:sz w:val="24"/>
                <w:szCs w:val="24"/>
              </w:rPr>
            </w:pPr>
            <w:r>
              <w:rPr>
                <w:sz w:val="24"/>
                <w:szCs w:val="24"/>
              </w:rPr>
              <w:t>1.54×</w:t>
            </w:r>
            <w:r w:rsidRPr="008365E2">
              <w:rPr>
                <w:sz w:val="24"/>
                <w:szCs w:val="24"/>
              </w:rPr>
              <w:t>10</w:t>
            </w:r>
            <w:r>
              <w:rPr>
                <w:sz w:val="24"/>
                <w:szCs w:val="24"/>
                <w:vertAlign w:val="superscript"/>
              </w:rPr>
              <w:t>-6</w:t>
            </w:r>
          </w:p>
        </w:tc>
        <w:tc>
          <w:tcPr>
            <w:tcW w:w="973" w:type="dxa"/>
            <w:vAlign w:val="center"/>
          </w:tcPr>
          <w:p w14:paraId="7A4B971F" w14:textId="4D8F4F31" w:rsidR="004146D2" w:rsidRDefault="004146D2" w:rsidP="004146D2">
            <w:pPr>
              <w:pStyle w:val="Paragraph"/>
              <w:spacing w:before="120" w:after="120"/>
              <w:ind w:firstLine="0"/>
              <w:jc w:val="center"/>
              <w:rPr>
                <w:sz w:val="24"/>
                <w:szCs w:val="24"/>
              </w:rPr>
            </w:pPr>
            <w:r>
              <w:rPr>
                <w:sz w:val="24"/>
                <w:szCs w:val="24"/>
              </w:rPr>
              <w:t>3.99</w:t>
            </w:r>
          </w:p>
        </w:tc>
        <w:tc>
          <w:tcPr>
            <w:tcW w:w="1092" w:type="dxa"/>
            <w:vAlign w:val="center"/>
          </w:tcPr>
          <w:p w14:paraId="40F185DC" w14:textId="13E55C4A" w:rsidR="004146D2" w:rsidRDefault="004146D2" w:rsidP="004146D2">
            <w:pPr>
              <w:pStyle w:val="Paragraph"/>
              <w:spacing w:before="120" w:after="120"/>
              <w:ind w:firstLine="0"/>
              <w:jc w:val="center"/>
              <w:rPr>
                <w:sz w:val="24"/>
                <w:szCs w:val="24"/>
              </w:rPr>
            </w:pPr>
            <w:r>
              <w:rPr>
                <w:sz w:val="24"/>
                <w:szCs w:val="24"/>
              </w:rPr>
              <w:t>2.55</w:t>
            </w:r>
          </w:p>
        </w:tc>
        <w:tc>
          <w:tcPr>
            <w:tcW w:w="1092" w:type="dxa"/>
          </w:tcPr>
          <w:p w14:paraId="0CA91DAB" w14:textId="611246B1" w:rsidR="004146D2" w:rsidRDefault="004146D2" w:rsidP="004146D2">
            <w:pPr>
              <w:pStyle w:val="Paragraph"/>
              <w:spacing w:before="120" w:after="120"/>
              <w:ind w:firstLine="0"/>
              <w:jc w:val="center"/>
              <w:rPr>
                <w:sz w:val="24"/>
                <w:szCs w:val="24"/>
              </w:rPr>
            </w:pPr>
            <w:r>
              <w:rPr>
                <w:sz w:val="24"/>
                <w:szCs w:val="24"/>
              </w:rPr>
              <w:t>0.65</w:t>
            </w:r>
          </w:p>
        </w:tc>
      </w:tr>
    </w:tbl>
    <w:p w14:paraId="0D52378C" w14:textId="1FE58B13" w:rsidR="004146D2" w:rsidRPr="00797000" w:rsidRDefault="00D259FC" w:rsidP="00D259FC">
      <w:pPr>
        <w:pStyle w:val="Caption"/>
      </w:pPr>
      <w:bookmarkStart w:id="356" w:name="_Toc530997330"/>
      <w:r>
        <w:t xml:space="preserve">Table </w:t>
      </w:r>
      <w:r w:rsidR="003A13DF">
        <w:rPr>
          <w:noProof/>
        </w:rPr>
        <w:fldChar w:fldCharType="begin"/>
      </w:r>
      <w:r w:rsidR="003A13DF">
        <w:rPr>
          <w:noProof/>
        </w:rPr>
        <w:instrText xml:space="preserve"> SEQ Table \* ARABIC </w:instrText>
      </w:r>
      <w:r w:rsidR="003A13DF">
        <w:rPr>
          <w:noProof/>
        </w:rPr>
        <w:fldChar w:fldCharType="separate"/>
      </w:r>
      <w:r w:rsidR="006D52C2">
        <w:rPr>
          <w:noProof/>
        </w:rPr>
        <w:t>15</w:t>
      </w:r>
      <w:r w:rsidR="003A13DF">
        <w:rPr>
          <w:noProof/>
        </w:rPr>
        <w:fldChar w:fldCharType="end"/>
      </w:r>
      <w:r>
        <w:t>. Absorption parameters of polymers used to validate the elastic modulus models</w:t>
      </w:r>
      <w:bookmarkEnd w:id="356"/>
    </w:p>
    <w:p w14:paraId="16DA05B0" w14:textId="77777777" w:rsidR="004146D2" w:rsidRPr="00797000" w:rsidRDefault="004146D2"/>
    <w:sectPr w:rsidR="004146D2" w:rsidRPr="00797000" w:rsidSect="005C3775">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90F92" w14:textId="77777777" w:rsidR="007B3686" w:rsidRDefault="007B3686" w:rsidP="00372F1C">
      <w:pPr>
        <w:spacing w:line="240" w:lineRule="auto"/>
      </w:pPr>
      <w:r>
        <w:separator/>
      </w:r>
    </w:p>
  </w:endnote>
  <w:endnote w:type="continuationSeparator" w:id="0">
    <w:p w14:paraId="70930078" w14:textId="77777777" w:rsidR="007B3686" w:rsidRDefault="007B3686" w:rsidP="00372F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ff5">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058848"/>
      <w:docPartObj>
        <w:docPartGallery w:val="Page Numbers (Bottom of Page)"/>
        <w:docPartUnique/>
      </w:docPartObj>
    </w:sdtPr>
    <w:sdtEndPr>
      <w:rPr>
        <w:noProof/>
      </w:rPr>
    </w:sdtEndPr>
    <w:sdtContent>
      <w:p w14:paraId="54AB68CE" w14:textId="15F19BCE" w:rsidR="00AC291A" w:rsidRDefault="00AC291A">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4188DFD4" w14:textId="77777777" w:rsidR="00AC291A" w:rsidRDefault="00AC29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360767"/>
      <w:docPartObj>
        <w:docPartGallery w:val="Page Numbers (Bottom of Page)"/>
        <w:docPartUnique/>
      </w:docPartObj>
    </w:sdtPr>
    <w:sdtEndPr>
      <w:rPr>
        <w:noProof/>
      </w:rPr>
    </w:sdtEndPr>
    <w:sdtContent>
      <w:p w14:paraId="5EDE200D" w14:textId="7F3B91AB" w:rsidR="00AC291A" w:rsidRDefault="00AC291A">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69A03959" w14:textId="77777777" w:rsidR="000A15D2" w:rsidRDefault="000A15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16948"/>
      <w:docPartObj>
        <w:docPartGallery w:val="Page Numbers (Bottom of Page)"/>
        <w:docPartUnique/>
      </w:docPartObj>
    </w:sdtPr>
    <w:sdtEndPr>
      <w:rPr>
        <w:noProof/>
      </w:rPr>
    </w:sdtEndPr>
    <w:sdtContent>
      <w:p w14:paraId="4BFF54E6" w14:textId="664DB47D" w:rsidR="000A15D2" w:rsidRPr="00D60753" w:rsidRDefault="000A15D2" w:rsidP="00D25652">
        <w:pPr>
          <w:pStyle w:val="Footer"/>
          <w:jc w:val="center"/>
        </w:pPr>
        <w:r w:rsidRPr="00D60753">
          <w:fldChar w:fldCharType="begin"/>
        </w:r>
        <w:r w:rsidRPr="00D60753">
          <w:instrText xml:space="preserve"> PAGE   \* MERGEFORMAT </w:instrText>
        </w:r>
        <w:r w:rsidRPr="00D60753">
          <w:fldChar w:fldCharType="separate"/>
        </w:r>
        <w:r>
          <w:rPr>
            <w:noProof/>
          </w:rPr>
          <w:t>v</w:t>
        </w:r>
        <w:r w:rsidRPr="00D60753">
          <w:rPr>
            <w:noProof/>
          </w:rPr>
          <w:fldChar w:fldCharType="end"/>
        </w:r>
      </w:p>
    </w:sdtContent>
  </w:sdt>
  <w:p w14:paraId="515B4D01" w14:textId="77777777" w:rsidR="000A15D2" w:rsidRDefault="000A15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712482"/>
      <w:docPartObj>
        <w:docPartGallery w:val="Page Numbers (Bottom of Page)"/>
        <w:docPartUnique/>
      </w:docPartObj>
    </w:sdtPr>
    <w:sdtEndPr>
      <w:rPr>
        <w:noProof/>
      </w:rPr>
    </w:sdtEndPr>
    <w:sdtContent>
      <w:p w14:paraId="27EB56A4" w14:textId="77777777" w:rsidR="000A15D2" w:rsidRPr="00D60753" w:rsidRDefault="000A15D2" w:rsidP="00D25652">
        <w:pPr>
          <w:pStyle w:val="Footer"/>
          <w:jc w:val="center"/>
        </w:pPr>
        <w:r w:rsidRPr="00D60753">
          <w:fldChar w:fldCharType="begin"/>
        </w:r>
        <w:r w:rsidRPr="00D60753">
          <w:instrText xml:space="preserve"> PAGE   \* MERGEFORMAT </w:instrText>
        </w:r>
        <w:r w:rsidRPr="00D60753">
          <w:fldChar w:fldCharType="separate"/>
        </w:r>
        <w:r w:rsidR="00AC291A">
          <w:rPr>
            <w:noProof/>
          </w:rPr>
          <w:t>vi</w:t>
        </w:r>
        <w:r w:rsidRPr="00D60753">
          <w:rPr>
            <w:noProof/>
          </w:rPr>
          <w:fldChar w:fldCharType="end"/>
        </w:r>
      </w:p>
    </w:sdtContent>
  </w:sdt>
  <w:p w14:paraId="0A679158" w14:textId="77777777" w:rsidR="000A15D2" w:rsidRDefault="000A1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7D476" w14:textId="77777777" w:rsidR="007B3686" w:rsidRDefault="007B3686" w:rsidP="00372F1C">
      <w:pPr>
        <w:spacing w:line="240" w:lineRule="auto"/>
      </w:pPr>
      <w:r>
        <w:separator/>
      </w:r>
    </w:p>
  </w:footnote>
  <w:footnote w:type="continuationSeparator" w:id="0">
    <w:p w14:paraId="424DCEA6" w14:textId="77777777" w:rsidR="007B3686" w:rsidRDefault="007B3686" w:rsidP="00372F1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0644"/>
    <w:multiLevelType w:val="hybridMultilevel"/>
    <w:tmpl w:val="40543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06C56"/>
    <w:multiLevelType w:val="hybridMultilevel"/>
    <w:tmpl w:val="A4FE42A6"/>
    <w:lvl w:ilvl="0" w:tplc="33A230E6">
      <w:start w:val="1"/>
      <w:numFmt w:val="decimal"/>
      <w:pStyle w:val="Heading1"/>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D1CD1"/>
    <w:multiLevelType w:val="hybridMultilevel"/>
    <w:tmpl w:val="8A28ABDC"/>
    <w:lvl w:ilvl="0" w:tplc="81B69FC4">
      <w:start w:val="1"/>
      <w:numFmt w:val="lowerRoman"/>
      <w:pStyle w:val="Heading3"/>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7E3726"/>
    <w:multiLevelType w:val="hybridMultilevel"/>
    <w:tmpl w:val="B2142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3C453C"/>
    <w:multiLevelType w:val="hybridMultilevel"/>
    <w:tmpl w:val="694868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AA6A86"/>
    <w:multiLevelType w:val="hybridMultilevel"/>
    <w:tmpl w:val="D8524606"/>
    <w:lvl w:ilvl="0" w:tplc="EF54182E">
      <w:start w:val="1"/>
      <w:numFmt w:val="decimal"/>
      <w:lvlText w:val="[%1]"/>
      <w:lvlJc w:val="left"/>
      <w:pPr>
        <w:ind w:left="1440" w:hanging="576"/>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F22898"/>
    <w:multiLevelType w:val="hybridMultilevel"/>
    <w:tmpl w:val="B44A25A6"/>
    <w:lvl w:ilvl="0" w:tplc="95B836E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60D77"/>
    <w:multiLevelType w:val="hybridMultilevel"/>
    <w:tmpl w:val="673A7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7290E8A"/>
    <w:multiLevelType w:val="hybridMultilevel"/>
    <w:tmpl w:val="1FF21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11341"/>
    <w:multiLevelType w:val="hybridMultilevel"/>
    <w:tmpl w:val="9C3886B8"/>
    <w:lvl w:ilvl="0" w:tplc="45A89F0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2C5BAA"/>
    <w:multiLevelType w:val="hybridMultilevel"/>
    <w:tmpl w:val="D8524606"/>
    <w:lvl w:ilvl="0" w:tplc="EF54182E">
      <w:start w:val="1"/>
      <w:numFmt w:val="decimal"/>
      <w:lvlText w:val="[%1]"/>
      <w:lvlJc w:val="left"/>
      <w:pPr>
        <w:ind w:left="1440" w:hanging="576"/>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A61D7F"/>
    <w:multiLevelType w:val="hybridMultilevel"/>
    <w:tmpl w:val="B214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BC44FC"/>
    <w:multiLevelType w:val="hybridMultilevel"/>
    <w:tmpl w:val="E1587E98"/>
    <w:lvl w:ilvl="0" w:tplc="23FCD9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9132F"/>
    <w:multiLevelType w:val="hybridMultilevel"/>
    <w:tmpl w:val="176E57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12"/>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5"/>
  </w:num>
  <w:num w:numId="11">
    <w:abstractNumId w:val="1"/>
  </w:num>
  <w:num w:numId="12">
    <w:abstractNumId w:val="2"/>
    <w:lvlOverride w:ilvl="0">
      <w:startOverride w:val="1"/>
    </w:lvlOverride>
  </w:num>
  <w:num w:numId="13">
    <w:abstractNumId w:val="2"/>
  </w:num>
  <w:num w:numId="14">
    <w:abstractNumId w:val="2"/>
    <w:lvlOverride w:ilvl="0">
      <w:startOverride w:val="1"/>
    </w:lvlOverride>
  </w:num>
  <w:num w:numId="15">
    <w:abstractNumId w:val="10"/>
  </w:num>
  <w:num w:numId="16">
    <w:abstractNumId w:val="13"/>
  </w:num>
  <w:num w:numId="17">
    <w:abstractNumId w:val="9"/>
  </w:num>
  <w:num w:numId="18">
    <w:abstractNumId w:val="3"/>
  </w:num>
  <w:num w:numId="19">
    <w:abstractNumId w:val="11"/>
  </w:num>
  <w:num w:numId="20">
    <w:abstractNumId w:val="4"/>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6"/>
  </w:num>
  <w:num w:numId="29">
    <w:abstractNumId w:val="7"/>
  </w:num>
  <w:num w:numId="30">
    <w:abstractNumId w:val="8"/>
  </w:num>
  <w:num w:numId="31">
    <w:abstractNumId w:val="0"/>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E8A"/>
    <w:rsid w:val="00000FCB"/>
    <w:rsid w:val="00001C53"/>
    <w:rsid w:val="000047B3"/>
    <w:rsid w:val="000048D8"/>
    <w:rsid w:val="000058C6"/>
    <w:rsid w:val="00005CE4"/>
    <w:rsid w:val="0000656A"/>
    <w:rsid w:val="00006686"/>
    <w:rsid w:val="00006EB6"/>
    <w:rsid w:val="000106EB"/>
    <w:rsid w:val="00011A85"/>
    <w:rsid w:val="00011AEC"/>
    <w:rsid w:val="00012EB7"/>
    <w:rsid w:val="000130B1"/>
    <w:rsid w:val="0001587D"/>
    <w:rsid w:val="00020179"/>
    <w:rsid w:val="00020F42"/>
    <w:rsid w:val="00020FF1"/>
    <w:rsid w:val="00021651"/>
    <w:rsid w:val="00021A80"/>
    <w:rsid w:val="00021BC7"/>
    <w:rsid w:val="000220F7"/>
    <w:rsid w:val="00023822"/>
    <w:rsid w:val="00023A51"/>
    <w:rsid w:val="000252CE"/>
    <w:rsid w:val="00026170"/>
    <w:rsid w:val="00026621"/>
    <w:rsid w:val="00026EB1"/>
    <w:rsid w:val="000270C4"/>
    <w:rsid w:val="000303F0"/>
    <w:rsid w:val="000304B8"/>
    <w:rsid w:val="00031648"/>
    <w:rsid w:val="00031E7F"/>
    <w:rsid w:val="000332B2"/>
    <w:rsid w:val="000342FA"/>
    <w:rsid w:val="00036C0F"/>
    <w:rsid w:val="000377FE"/>
    <w:rsid w:val="00040925"/>
    <w:rsid w:val="000428E0"/>
    <w:rsid w:val="00043239"/>
    <w:rsid w:val="00044765"/>
    <w:rsid w:val="000454F3"/>
    <w:rsid w:val="0004681E"/>
    <w:rsid w:val="00052BB3"/>
    <w:rsid w:val="000537CD"/>
    <w:rsid w:val="0005441A"/>
    <w:rsid w:val="000572B8"/>
    <w:rsid w:val="000575D6"/>
    <w:rsid w:val="000576E2"/>
    <w:rsid w:val="000607FC"/>
    <w:rsid w:val="00061D55"/>
    <w:rsid w:val="00063F2A"/>
    <w:rsid w:val="000673E6"/>
    <w:rsid w:val="00067F37"/>
    <w:rsid w:val="00070427"/>
    <w:rsid w:val="000725CB"/>
    <w:rsid w:val="00072ACC"/>
    <w:rsid w:val="00074B4A"/>
    <w:rsid w:val="00075094"/>
    <w:rsid w:val="0008002E"/>
    <w:rsid w:val="000835C2"/>
    <w:rsid w:val="00083ABA"/>
    <w:rsid w:val="00083CD5"/>
    <w:rsid w:val="00086618"/>
    <w:rsid w:val="000866E7"/>
    <w:rsid w:val="00086FA8"/>
    <w:rsid w:val="00091A79"/>
    <w:rsid w:val="00091B9C"/>
    <w:rsid w:val="00092BCF"/>
    <w:rsid w:val="00093169"/>
    <w:rsid w:val="00095966"/>
    <w:rsid w:val="000A1146"/>
    <w:rsid w:val="000A15D2"/>
    <w:rsid w:val="000A529E"/>
    <w:rsid w:val="000A66DC"/>
    <w:rsid w:val="000A7ADF"/>
    <w:rsid w:val="000B07A7"/>
    <w:rsid w:val="000B329C"/>
    <w:rsid w:val="000B60B9"/>
    <w:rsid w:val="000C198F"/>
    <w:rsid w:val="000C2D31"/>
    <w:rsid w:val="000C3213"/>
    <w:rsid w:val="000C364A"/>
    <w:rsid w:val="000C49DD"/>
    <w:rsid w:val="000C4FE4"/>
    <w:rsid w:val="000C7BB9"/>
    <w:rsid w:val="000D117B"/>
    <w:rsid w:val="000D155F"/>
    <w:rsid w:val="000D156E"/>
    <w:rsid w:val="000D3DC0"/>
    <w:rsid w:val="000D4466"/>
    <w:rsid w:val="000D4EA4"/>
    <w:rsid w:val="000D57AC"/>
    <w:rsid w:val="000D5E61"/>
    <w:rsid w:val="000D5F7C"/>
    <w:rsid w:val="000D6F09"/>
    <w:rsid w:val="000D7894"/>
    <w:rsid w:val="000E08B0"/>
    <w:rsid w:val="000E1404"/>
    <w:rsid w:val="000E3083"/>
    <w:rsid w:val="000E4F70"/>
    <w:rsid w:val="000E7647"/>
    <w:rsid w:val="000F0089"/>
    <w:rsid w:val="000F042F"/>
    <w:rsid w:val="000F6B30"/>
    <w:rsid w:val="000F6BBF"/>
    <w:rsid w:val="00100B12"/>
    <w:rsid w:val="00101E22"/>
    <w:rsid w:val="00101F72"/>
    <w:rsid w:val="00102611"/>
    <w:rsid w:val="001027F0"/>
    <w:rsid w:val="00103ACD"/>
    <w:rsid w:val="001041AF"/>
    <w:rsid w:val="00105DFB"/>
    <w:rsid w:val="0010669B"/>
    <w:rsid w:val="00106F22"/>
    <w:rsid w:val="00110514"/>
    <w:rsid w:val="00110ED7"/>
    <w:rsid w:val="00110F69"/>
    <w:rsid w:val="00111DE3"/>
    <w:rsid w:val="00114053"/>
    <w:rsid w:val="00120326"/>
    <w:rsid w:val="00122BC3"/>
    <w:rsid w:val="001239BA"/>
    <w:rsid w:val="00123B5A"/>
    <w:rsid w:val="00123FF9"/>
    <w:rsid w:val="0012564F"/>
    <w:rsid w:val="0012727A"/>
    <w:rsid w:val="00127CD3"/>
    <w:rsid w:val="001306B9"/>
    <w:rsid w:val="00131A9B"/>
    <w:rsid w:val="0013238A"/>
    <w:rsid w:val="00135176"/>
    <w:rsid w:val="001358CC"/>
    <w:rsid w:val="00136A10"/>
    <w:rsid w:val="001422F3"/>
    <w:rsid w:val="00143D7B"/>
    <w:rsid w:val="0014408A"/>
    <w:rsid w:val="001512F8"/>
    <w:rsid w:val="001518D9"/>
    <w:rsid w:val="00153262"/>
    <w:rsid w:val="001570E7"/>
    <w:rsid w:val="001624EF"/>
    <w:rsid w:val="001636E2"/>
    <w:rsid w:val="001636FC"/>
    <w:rsid w:val="00164324"/>
    <w:rsid w:val="00165320"/>
    <w:rsid w:val="00166528"/>
    <w:rsid w:val="00166AFE"/>
    <w:rsid w:val="00171DD0"/>
    <w:rsid w:val="00172AE2"/>
    <w:rsid w:val="00173BB1"/>
    <w:rsid w:val="001745DA"/>
    <w:rsid w:val="00174C93"/>
    <w:rsid w:val="0017589C"/>
    <w:rsid w:val="00176D51"/>
    <w:rsid w:val="00177699"/>
    <w:rsid w:val="00177A33"/>
    <w:rsid w:val="00180708"/>
    <w:rsid w:val="00180A4A"/>
    <w:rsid w:val="00180B8C"/>
    <w:rsid w:val="00182778"/>
    <w:rsid w:val="001850EE"/>
    <w:rsid w:val="0019011A"/>
    <w:rsid w:val="00190290"/>
    <w:rsid w:val="00190429"/>
    <w:rsid w:val="001905D0"/>
    <w:rsid w:val="001911D8"/>
    <w:rsid w:val="00191FAC"/>
    <w:rsid w:val="00192013"/>
    <w:rsid w:val="00192140"/>
    <w:rsid w:val="001926AB"/>
    <w:rsid w:val="00193744"/>
    <w:rsid w:val="00194055"/>
    <w:rsid w:val="00194393"/>
    <w:rsid w:val="0019520B"/>
    <w:rsid w:val="00196B5E"/>
    <w:rsid w:val="00196C3C"/>
    <w:rsid w:val="001A1F44"/>
    <w:rsid w:val="001A3EF2"/>
    <w:rsid w:val="001A42B7"/>
    <w:rsid w:val="001A4569"/>
    <w:rsid w:val="001B0575"/>
    <w:rsid w:val="001B081D"/>
    <w:rsid w:val="001B1C27"/>
    <w:rsid w:val="001B1EF7"/>
    <w:rsid w:val="001B230B"/>
    <w:rsid w:val="001B2D5A"/>
    <w:rsid w:val="001B30C9"/>
    <w:rsid w:val="001B48C8"/>
    <w:rsid w:val="001B7D38"/>
    <w:rsid w:val="001B7DD3"/>
    <w:rsid w:val="001C06F6"/>
    <w:rsid w:val="001C08B2"/>
    <w:rsid w:val="001C0A1A"/>
    <w:rsid w:val="001C0E0C"/>
    <w:rsid w:val="001C1661"/>
    <w:rsid w:val="001C2A09"/>
    <w:rsid w:val="001C4E50"/>
    <w:rsid w:val="001C5474"/>
    <w:rsid w:val="001D2469"/>
    <w:rsid w:val="001D486D"/>
    <w:rsid w:val="001D4A72"/>
    <w:rsid w:val="001D6673"/>
    <w:rsid w:val="001E0611"/>
    <w:rsid w:val="001E3B75"/>
    <w:rsid w:val="001E42CE"/>
    <w:rsid w:val="001E5CF3"/>
    <w:rsid w:val="001F06D4"/>
    <w:rsid w:val="001F0F76"/>
    <w:rsid w:val="001F25D0"/>
    <w:rsid w:val="001F3C04"/>
    <w:rsid w:val="001F52DB"/>
    <w:rsid w:val="001F7E4F"/>
    <w:rsid w:val="00201B10"/>
    <w:rsid w:val="00205143"/>
    <w:rsid w:val="00210D99"/>
    <w:rsid w:val="002139B9"/>
    <w:rsid w:val="00213C6A"/>
    <w:rsid w:val="002158E3"/>
    <w:rsid w:val="00216C41"/>
    <w:rsid w:val="00216F2E"/>
    <w:rsid w:val="002244D7"/>
    <w:rsid w:val="00225D92"/>
    <w:rsid w:val="00225F3A"/>
    <w:rsid w:val="00226BD7"/>
    <w:rsid w:val="002275BC"/>
    <w:rsid w:val="00227905"/>
    <w:rsid w:val="0023077F"/>
    <w:rsid w:val="002318DD"/>
    <w:rsid w:val="00232C78"/>
    <w:rsid w:val="00233004"/>
    <w:rsid w:val="0023508C"/>
    <w:rsid w:val="00235D1E"/>
    <w:rsid w:val="00240E34"/>
    <w:rsid w:val="00242BEF"/>
    <w:rsid w:val="002430FD"/>
    <w:rsid w:val="002437F1"/>
    <w:rsid w:val="00243DA0"/>
    <w:rsid w:val="0024454B"/>
    <w:rsid w:val="00244777"/>
    <w:rsid w:val="002470F3"/>
    <w:rsid w:val="002474A5"/>
    <w:rsid w:val="002501D5"/>
    <w:rsid w:val="002507B4"/>
    <w:rsid w:val="00250F04"/>
    <w:rsid w:val="00252B13"/>
    <w:rsid w:val="00252B2A"/>
    <w:rsid w:val="00252F1F"/>
    <w:rsid w:val="002566CD"/>
    <w:rsid w:val="0025675B"/>
    <w:rsid w:val="002568CF"/>
    <w:rsid w:val="002603B5"/>
    <w:rsid w:val="002626D4"/>
    <w:rsid w:val="00262B1B"/>
    <w:rsid w:val="00263322"/>
    <w:rsid w:val="00263A3C"/>
    <w:rsid w:val="00264225"/>
    <w:rsid w:val="00264680"/>
    <w:rsid w:val="00264C67"/>
    <w:rsid w:val="00264C8A"/>
    <w:rsid w:val="00265AF5"/>
    <w:rsid w:val="00265F78"/>
    <w:rsid w:val="00270BC2"/>
    <w:rsid w:val="00272945"/>
    <w:rsid w:val="00272C79"/>
    <w:rsid w:val="0027372D"/>
    <w:rsid w:val="002743C4"/>
    <w:rsid w:val="00274703"/>
    <w:rsid w:val="002752BC"/>
    <w:rsid w:val="00281012"/>
    <w:rsid w:val="0028129E"/>
    <w:rsid w:val="002814EF"/>
    <w:rsid w:val="002817C4"/>
    <w:rsid w:val="00283DFE"/>
    <w:rsid w:val="002855CE"/>
    <w:rsid w:val="002872AB"/>
    <w:rsid w:val="00287CE0"/>
    <w:rsid w:val="00287D18"/>
    <w:rsid w:val="0029238F"/>
    <w:rsid w:val="0029315D"/>
    <w:rsid w:val="00295EB6"/>
    <w:rsid w:val="002A074A"/>
    <w:rsid w:val="002A094D"/>
    <w:rsid w:val="002A1BC9"/>
    <w:rsid w:val="002A55F7"/>
    <w:rsid w:val="002A5AF1"/>
    <w:rsid w:val="002A606D"/>
    <w:rsid w:val="002A630A"/>
    <w:rsid w:val="002B192B"/>
    <w:rsid w:val="002B3760"/>
    <w:rsid w:val="002B38A6"/>
    <w:rsid w:val="002B4C0E"/>
    <w:rsid w:val="002B4D30"/>
    <w:rsid w:val="002B557D"/>
    <w:rsid w:val="002B7248"/>
    <w:rsid w:val="002C012B"/>
    <w:rsid w:val="002C020A"/>
    <w:rsid w:val="002C1661"/>
    <w:rsid w:val="002C4B69"/>
    <w:rsid w:val="002C5890"/>
    <w:rsid w:val="002C6EEA"/>
    <w:rsid w:val="002D25DF"/>
    <w:rsid w:val="002D3A39"/>
    <w:rsid w:val="002D4A8D"/>
    <w:rsid w:val="002D4F89"/>
    <w:rsid w:val="002D5BA5"/>
    <w:rsid w:val="002E09EB"/>
    <w:rsid w:val="002E124A"/>
    <w:rsid w:val="002E1D44"/>
    <w:rsid w:val="002E240E"/>
    <w:rsid w:val="002E5288"/>
    <w:rsid w:val="002E5FC2"/>
    <w:rsid w:val="002E6337"/>
    <w:rsid w:val="002F0D11"/>
    <w:rsid w:val="002F4345"/>
    <w:rsid w:val="002F4C9A"/>
    <w:rsid w:val="002F5037"/>
    <w:rsid w:val="002F6182"/>
    <w:rsid w:val="002F7DC3"/>
    <w:rsid w:val="00300D12"/>
    <w:rsid w:val="00301053"/>
    <w:rsid w:val="00302375"/>
    <w:rsid w:val="00306822"/>
    <w:rsid w:val="00311AA3"/>
    <w:rsid w:val="003125B8"/>
    <w:rsid w:val="00312AF1"/>
    <w:rsid w:val="00312CCD"/>
    <w:rsid w:val="0031395F"/>
    <w:rsid w:val="00316E53"/>
    <w:rsid w:val="00320365"/>
    <w:rsid w:val="00320C1B"/>
    <w:rsid w:val="00321445"/>
    <w:rsid w:val="003228DD"/>
    <w:rsid w:val="00322F8D"/>
    <w:rsid w:val="00322FC1"/>
    <w:rsid w:val="0032339A"/>
    <w:rsid w:val="0033188C"/>
    <w:rsid w:val="0033491D"/>
    <w:rsid w:val="00335D7D"/>
    <w:rsid w:val="00335F25"/>
    <w:rsid w:val="0033711D"/>
    <w:rsid w:val="00337DA6"/>
    <w:rsid w:val="0034330E"/>
    <w:rsid w:val="00344993"/>
    <w:rsid w:val="00344ACD"/>
    <w:rsid w:val="0034739C"/>
    <w:rsid w:val="003474FF"/>
    <w:rsid w:val="00350668"/>
    <w:rsid w:val="003527EB"/>
    <w:rsid w:val="00354405"/>
    <w:rsid w:val="0035460C"/>
    <w:rsid w:val="0035488A"/>
    <w:rsid w:val="00355873"/>
    <w:rsid w:val="00356743"/>
    <w:rsid w:val="00360CAD"/>
    <w:rsid w:val="00364EBD"/>
    <w:rsid w:val="003652DC"/>
    <w:rsid w:val="00365492"/>
    <w:rsid w:val="00370455"/>
    <w:rsid w:val="00370860"/>
    <w:rsid w:val="003709AA"/>
    <w:rsid w:val="00372052"/>
    <w:rsid w:val="00372F1C"/>
    <w:rsid w:val="003732E4"/>
    <w:rsid w:val="00373729"/>
    <w:rsid w:val="0037654E"/>
    <w:rsid w:val="00376A05"/>
    <w:rsid w:val="00381B23"/>
    <w:rsid w:val="00383CDE"/>
    <w:rsid w:val="00385B57"/>
    <w:rsid w:val="00390AD4"/>
    <w:rsid w:val="00390B15"/>
    <w:rsid w:val="00390B88"/>
    <w:rsid w:val="00392873"/>
    <w:rsid w:val="00392DB3"/>
    <w:rsid w:val="00394D74"/>
    <w:rsid w:val="00394F10"/>
    <w:rsid w:val="0039516D"/>
    <w:rsid w:val="00396361"/>
    <w:rsid w:val="003970CD"/>
    <w:rsid w:val="0039781A"/>
    <w:rsid w:val="00397AF5"/>
    <w:rsid w:val="003A13DF"/>
    <w:rsid w:val="003A1ADC"/>
    <w:rsid w:val="003A3C9A"/>
    <w:rsid w:val="003A4224"/>
    <w:rsid w:val="003A4FE7"/>
    <w:rsid w:val="003A500E"/>
    <w:rsid w:val="003A527D"/>
    <w:rsid w:val="003A5BF9"/>
    <w:rsid w:val="003A742C"/>
    <w:rsid w:val="003B26C0"/>
    <w:rsid w:val="003B4047"/>
    <w:rsid w:val="003B42F0"/>
    <w:rsid w:val="003B4541"/>
    <w:rsid w:val="003B4D01"/>
    <w:rsid w:val="003B4F14"/>
    <w:rsid w:val="003B5201"/>
    <w:rsid w:val="003B52C8"/>
    <w:rsid w:val="003B6A78"/>
    <w:rsid w:val="003B7962"/>
    <w:rsid w:val="003C0251"/>
    <w:rsid w:val="003C12EA"/>
    <w:rsid w:val="003C15AD"/>
    <w:rsid w:val="003C1A21"/>
    <w:rsid w:val="003C6184"/>
    <w:rsid w:val="003C6971"/>
    <w:rsid w:val="003C69CA"/>
    <w:rsid w:val="003D02F3"/>
    <w:rsid w:val="003D0478"/>
    <w:rsid w:val="003D0577"/>
    <w:rsid w:val="003D1553"/>
    <w:rsid w:val="003D61AD"/>
    <w:rsid w:val="003D69ED"/>
    <w:rsid w:val="003D7CA0"/>
    <w:rsid w:val="003E03E5"/>
    <w:rsid w:val="003E11C0"/>
    <w:rsid w:val="003E2E0B"/>
    <w:rsid w:val="003E36BD"/>
    <w:rsid w:val="003E3E88"/>
    <w:rsid w:val="003E45D1"/>
    <w:rsid w:val="003E4DBD"/>
    <w:rsid w:val="003E74C2"/>
    <w:rsid w:val="003F2062"/>
    <w:rsid w:val="003F56CD"/>
    <w:rsid w:val="003F627D"/>
    <w:rsid w:val="00402E04"/>
    <w:rsid w:val="00402F93"/>
    <w:rsid w:val="00406661"/>
    <w:rsid w:val="00406E2D"/>
    <w:rsid w:val="00407B39"/>
    <w:rsid w:val="00407BB3"/>
    <w:rsid w:val="0041025A"/>
    <w:rsid w:val="00410B93"/>
    <w:rsid w:val="00410E88"/>
    <w:rsid w:val="00411D69"/>
    <w:rsid w:val="00412302"/>
    <w:rsid w:val="00412482"/>
    <w:rsid w:val="00413E7A"/>
    <w:rsid w:val="00414666"/>
    <w:rsid w:val="004146D2"/>
    <w:rsid w:val="00414F89"/>
    <w:rsid w:val="004152A5"/>
    <w:rsid w:val="004153B7"/>
    <w:rsid w:val="00415780"/>
    <w:rsid w:val="00415D50"/>
    <w:rsid w:val="00417282"/>
    <w:rsid w:val="0042068A"/>
    <w:rsid w:val="00420931"/>
    <w:rsid w:val="004213E5"/>
    <w:rsid w:val="00422B3E"/>
    <w:rsid w:val="00424358"/>
    <w:rsid w:val="00426D65"/>
    <w:rsid w:val="00427B07"/>
    <w:rsid w:val="00430285"/>
    <w:rsid w:val="00431E78"/>
    <w:rsid w:val="0043409B"/>
    <w:rsid w:val="00434619"/>
    <w:rsid w:val="00437D64"/>
    <w:rsid w:val="00437EC0"/>
    <w:rsid w:val="004447A4"/>
    <w:rsid w:val="00445DC9"/>
    <w:rsid w:val="00446130"/>
    <w:rsid w:val="00446948"/>
    <w:rsid w:val="00450442"/>
    <w:rsid w:val="004511BE"/>
    <w:rsid w:val="004512FE"/>
    <w:rsid w:val="00451344"/>
    <w:rsid w:val="00454A06"/>
    <w:rsid w:val="004565BE"/>
    <w:rsid w:val="00456971"/>
    <w:rsid w:val="00456E4C"/>
    <w:rsid w:val="00457C04"/>
    <w:rsid w:val="00460273"/>
    <w:rsid w:val="0046157F"/>
    <w:rsid w:val="00462CCC"/>
    <w:rsid w:val="004649B1"/>
    <w:rsid w:val="00465495"/>
    <w:rsid w:val="00465A6F"/>
    <w:rsid w:val="00472B92"/>
    <w:rsid w:val="00473964"/>
    <w:rsid w:val="00473C02"/>
    <w:rsid w:val="00473EA1"/>
    <w:rsid w:val="004745DC"/>
    <w:rsid w:val="004749FF"/>
    <w:rsid w:val="0047581C"/>
    <w:rsid w:val="00475AB7"/>
    <w:rsid w:val="00477FEB"/>
    <w:rsid w:val="004807EC"/>
    <w:rsid w:val="00480A1E"/>
    <w:rsid w:val="00480AA0"/>
    <w:rsid w:val="00481BBB"/>
    <w:rsid w:val="00482C49"/>
    <w:rsid w:val="00483E73"/>
    <w:rsid w:val="00485B74"/>
    <w:rsid w:val="00486236"/>
    <w:rsid w:val="00486963"/>
    <w:rsid w:val="004871AD"/>
    <w:rsid w:val="00487696"/>
    <w:rsid w:val="004902AA"/>
    <w:rsid w:val="00491C8C"/>
    <w:rsid w:val="00492541"/>
    <w:rsid w:val="0049336D"/>
    <w:rsid w:val="004955F4"/>
    <w:rsid w:val="00495A44"/>
    <w:rsid w:val="00495E56"/>
    <w:rsid w:val="00495FF8"/>
    <w:rsid w:val="004A1139"/>
    <w:rsid w:val="004A136B"/>
    <w:rsid w:val="004A1ACD"/>
    <w:rsid w:val="004A3043"/>
    <w:rsid w:val="004A44A8"/>
    <w:rsid w:val="004A46DC"/>
    <w:rsid w:val="004A4DD1"/>
    <w:rsid w:val="004A4EDE"/>
    <w:rsid w:val="004A6F8C"/>
    <w:rsid w:val="004A7C3A"/>
    <w:rsid w:val="004A7C67"/>
    <w:rsid w:val="004B0A15"/>
    <w:rsid w:val="004B1098"/>
    <w:rsid w:val="004B1E34"/>
    <w:rsid w:val="004B2559"/>
    <w:rsid w:val="004B3584"/>
    <w:rsid w:val="004B40BC"/>
    <w:rsid w:val="004B610B"/>
    <w:rsid w:val="004B7BEB"/>
    <w:rsid w:val="004C23CC"/>
    <w:rsid w:val="004D1FDA"/>
    <w:rsid w:val="004D331D"/>
    <w:rsid w:val="004D380F"/>
    <w:rsid w:val="004D4212"/>
    <w:rsid w:val="004D4D8F"/>
    <w:rsid w:val="004D5065"/>
    <w:rsid w:val="004D640F"/>
    <w:rsid w:val="004D6D68"/>
    <w:rsid w:val="004D7C3F"/>
    <w:rsid w:val="004E1418"/>
    <w:rsid w:val="004E15B0"/>
    <w:rsid w:val="004E22C2"/>
    <w:rsid w:val="004E2517"/>
    <w:rsid w:val="004E272F"/>
    <w:rsid w:val="004E29A1"/>
    <w:rsid w:val="004E351D"/>
    <w:rsid w:val="004E55DE"/>
    <w:rsid w:val="004E788A"/>
    <w:rsid w:val="004F0053"/>
    <w:rsid w:val="004F00AE"/>
    <w:rsid w:val="004F0357"/>
    <w:rsid w:val="004F080F"/>
    <w:rsid w:val="004F0A38"/>
    <w:rsid w:val="004F42A2"/>
    <w:rsid w:val="004F599C"/>
    <w:rsid w:val="004F6280"/>
    <w:rsid w:val="00505654"/>
    <w:rsid w:val="00505B71"/>
    <w:rsid w:val="00515025"/>
    <w:rsid w:val="00515829"/>
    <w:rsid w:val="00516B3A"/>
    <w:rsid w:val="00516DED"/>
    <w:rsid w:val="005228F2"/>
    <w:rsid w:val="00531C52"/>
    <w:rsid w:val="00533789"/>
    <w:rsid w:val="005343DA"/>
    <w:rsid w:val="005353AF"/>
    <w:rsid w:val="00543F94"/>
    <w:rsid w:val="00544633"/>
    <w:rsid w:val="005451E4"/>
    <w:rsid w:val="00545B90"/>
    <w:rsid w:val="005470DC"/>
    <w:rsid w:val="00551738"/>
    <w:rsid w:val="005531C8"/>
    <w:rsid w:val="005543A9"/>
    <w:rsid w:val="00554848"/>
    <w:rsid w:val="00555865"/>
    <w:rsid w:val="005605A0"/>
    <w:rsid w:val="00560E1E"/>
    <w:rsid w:val="00563427"/>
    <w:rsid w:val="00563F87"/>
    <w:rsid w:val="005673C8"/>
    <w:rsid w:val="0056752A"/>
    <w:rsid w:val="0057095D"/>
    <w:rsid w:val="00572664"/>
    <w:rsid w:val="005767BF"/>
    <w:rsid w:val="0058062A"/>
    <w:rsid w:val="00582A73"/>
    <w:rsid w:val="00584F2D"/>
    <w:rsid w:val="00590835"/>
    <w:rsid w:val="0059551D"/>
    <w:rsid w:val="00596E1D"/>
    <w:rsid w:val="005A0865"/>
    <w:rsid w:val="005A239F"/>
    <w:rsid w:val="005A3E52"/>
    <w:rsid w:val="005A6112"/>
    <w:rsid w:val="005A6B4E"/>
    <w:rsid w:val="005B1289"/>
    <w:rsid w:val="005B2CD2"/>
    <w:rsid w:val="005B2D76"/>
    <w:rsid w:val="005B3DBB"/>
    <w:rsid w:val="005B467E"/>
    <w:rsid w:val="005B5602"/>
    <w:rsid w:val="005B620C"/>
    <w:rsid w:val="005C0003"/>
    <w:rsid w:val="005C24B2"/>
    <w:rsid w:val="005C2BFD"/>
    <w:rsid w:val="005C3096"/>
    <w:rsid w:val="005C3775"/>
    <w:rsid w:val="005C38F9"/>
    <w:rsid w:val="005C4031"/>
    <w:rsid w:val="005C5FB6"/>
    <w:rsid w:val="005C6783"/>
    <w:rsid w:val="005C73ED"/>
    <w:rsid w:val="005C7865"/>
    <w:rsid w:val="005D06DD"/>
    <w:rsid w:val="005D0A07"/>
    <w:rsid w:val="005D1088"/>
    <w:rsid w:val="005D1850"/>
    <w:rsid w:val="005D3C75"/>
    <w:rsid w:val="005D3EB2"/>
    <w:rsid w:val="005D5A70"/>
    <w:rsid w:val="005D6BCD"/>
    <w:rsid w:val="005E0AF8"/>
    <w:rsid w:val="005E1E63"/>
    <w:rsid w:val="005E2633"/>
    <w:rsid w:val="005E2D77"/>
    <w:rsid w:val="005E38FC"/>
    <w:rsid w:val="005E5BAE"/>
    <w:rsid w:val="005E72DE"/>
    <w:rsid w:val="005F0486"/>
    <w:rsid w:val="005F09C1"/>
    <w:rsid w:val="005F0CBD"/>
    <w:rsid w:val="005F1D7A"/>
    <w:rsid w:val="005F375E"/>
    <w:rsid w:val="005F669A"/>
    <w:rsid w:val="005F69D6"/>
    <w:rsid w:val="005F7BDB"/>
    <w:rsid w:val="006003B3"/>
    <w:rsid w:val="00601817"/>
    <w:rsid w:val="0060480F"/>
    <w:rsid w:val="00611386"/>
    <w:rsid w:val="0061409E"/>
    <w:rsid w:val="0061415A"/>
    <w:rsid w:val="00615B1F"/>
    <w:rsid w:val="00616448"/>
    <w:rsid w:val="0061662A"/>
    <w:rsid w:val="00617E05"/>
    <w:rsid w:val="00623299"/>
    <w:rsid w:val="00624308"/>
    <w:rsid w:val="00625294"/>
    <w:rsid w:val="00625AAC"/>
    <w:rsid w:val="00625B98"/>
    <w:rsid w:val="00625FE5"/>
    <w:rsid w:val="00626900"/>
    <w:rsid w:val="00627E73"/>
    <w:rsid w:val="00630162"/>
    <w:rsid w:val="006308CB"/>
    <w:rsid w:val="00631CA4"/>
    <w:rsid w:val="00632228"/>
    <w:rsid w:val="00632D5F"/>
    <w:rsid w:val="006339A5"/>
    <w:rsid w:val="0063412E"/>
    <w:rsid w:val="0063478C"/>
    <w:rsid w:val="00634B97"/>
    <w:rsid w:val="00634E97"/>
    <w:rsid w:val="00641EF9"/>
    <w:rsid w:val="0064298E"/>
    <w:rsid w:val="00643630"/>
    <w:rsid w:val="0064668A"/>
    <w:rsid w:val="00647DA4"/>
    <w:rsid w:val="00654297"/>
    <w:rsid w:val="00654306"/>
    <w:rsid w:val="00655AB8"/>
    <w:rsid w:val="00661A62"/>
    <w:rsid w:val="00662D23"/>
    <w:rsid w:val="00662D93"/>
    <w:rsid w:val="006640D0"/>
    <w:rsid w:val="0066490A"/>
    <w:rsid w:val="006655A8"/>
    <w:rsid w:val="00666C0E"/>
    <w:rsid w:val="00666F5D"/>
    <w:rsid w:val="00667CB1"/>
    <w:rsid w:val="00674650"/>
    <w:rsid w:val="00675DCA"/>
    <w:rsid w:val="0067612C"/>
    <w:rsid w:val="00676AF2"/>
    <w:rsid w:val="00676DB2"/>
    <w:rsid w:val="00676DC3"/>
    <w:rsid w:val="006773F1"/>
    <w:rsid w:val="00677758"/>
    <w:rsid w:val="00677F12"/>
    <w:rsid w:val="00680782"/>
    <w:rsid w:val="006820F6"/>
    <w:rsid w:val="006824E2"/>
    <w:rsid w:val="00682F7B"/>
    <w:rsid w:val="0068443D"/>
    <w:rsid w:val="006916C8"/>
    <w:rsid w:val="006924B6"/>
    <w:rsid w:val="00693844"/>
    <w:rsid w:val="00694A33"/>
    <w:rsid w:val="0069611E"/>
    <w:rsid w:val="00696C68"/>
    <w:rsid w:val="0069708C"/>
    <w:rsid w:val="0069795E"/>
    <w:rsid w:val="00697F93"/>
    <w:rsid w:val="006A0274"/>
    <w:rsid w:val="006A4739"/>
    <w:rsid w:val="006A4A4A"/>
    <w:rsid w:val="006A61C2"/>
    <w:rsid w:val="006A657F"/>
    <w:rsid w:val="006A743A"/>
    <w:rsid w:val="006A7D9F"/>
    <w:rsid w:val="006B0D41"/>
    <w:rsid w:val="006B19BD"/>
    <w:rsid w:val="006B2F1C"/>
    <w:rsid w:val="006B36AA"/>
    <w:rsid w:val="006B3CD4"/>
    <w:rsid w:val="006B3EE8"/>
    <w:rsid w:val="006B5931"/>
    <w:rsid w:val="006B59D6"/>
    <w:rsid w:val="006B5F2E"/>
    <w:rsid w:val="006B7E68"/>
    <w:rsid w:val="006C0391"/>
    <w:rsid w:val="006C126D"/>
    <w:rsid w:val="006C198A"/>
    <w:rsid w:val="006C202C"/>
    <w:rsid w:val="006C305C"/>
    <w:rsid w:val="006C4A02"/>
    <w:rsid w:val="006C5254"/>
    <w:rsid w:val="006C579B"/>
    <w:rsid w:val="006C6364"/>
    <w:rsid w:val="006C7112"/>
    <w:rsid w:val="006C7B0C"/>
    <w:rsid w:val="006D09E9"/>
    <w:rsid w:val="006D2069"/>
    <w:rsid w:val="006D28D7"/>
    <w:rsid w:val="006D2C3E"/>
    <w:rsid w:val="006D2C83"/>
    <w:rsid w:val="006D2D63"/>
    <w:rsid w:val="006D52C2"/>
    <w:rsid w:val="006D5773"/>
    <w:rsid w:val="006D586B"/>
    <w:rsid w:val="006D5E67"/>
    <w:rsid w:val="006D6231"/>
    <w:rsid w:val="006D675D"/>
    <w:rsid w:val="006D6C29"/>
    <w:rsid w:val="006E0155"/>
    <w:rsid w:val="006E0612"/>
    <w:rsid w:val="006E06D1"/>
    <w:rsid w:val="006E2304"/>
    <w:rsid w:val="006E3809"/>
    <w:rsid w:val="006E3913"/>
    <w:rsid w:val="006F14DD"/>
    <w:rsid w:val="006F2880"/>
    <w:rsid w:val="006F4535"/>
    <w:rsid w:val="006F68D2"/>
    <w:rsid w:val="00700923"/>
    <w:rsid w:val="00700FE7"/>
    <w:rsid w:val="0070152D"/>
    <w:rsid w:val="007018E7"/>
    <w:rsid w:val="007021B3"/>
    <w:rsid w:val="007021F2"/>
    <w:rsid w:val="00702993"/>
    <w:rsid w:val="007031AC"/>
    <w:rsid w:val="007038F9"/>
    <w:rsid w:val="0070515F"/>
    <w:rsid w:val="0070611D"/>
    <w:rsid w:val="00706958"/>
    <w:rsid w:val="007118DD"/>
    <w:rsid w:val="00713464"/>
    <w:rsid w:val="00713C5D"/>
    <w:rsid w:val="00716982"/>
    <w:rsid w:val="00716B6B"/>
    <w:rsid w:val="00716EBE"/>
    <w:rsid w:val="00721D10"/>
    <w:rsid w:val="00723421"/>
    <w:rsid w:val="00723559"/>
    <w:rsid w:val="007237BB"/>
    <w:rsid w:val="0072423B"/>
    <w:rsid w:val="0072504B"/>
    <w:rsid w:val="00725128"/>
    <w:rsid w:val="00726365"/>
    <w:rsid w:val="007266D5"/>
    <w:rsid w:val="00731305"/>
    <w:rsid w:val="00731B13"/>
    <w:rsid w:val="00733E13"/>
    <w:rsid w:val="00734463"/>
    <w:rsid w:val="007347FB"/>
    <w:rsid w:val="007352FD"/>
    <w:rsid w:val="00736A24"/>
    <w:rsid w:val="00736BAE"/>
    <w:rsid w:val="00740C8F"/>
    <w:rsid w:val="00742148"/>
    <w:rsid w:val="007457B6"/>
    <w:rsid w:val="0074711D"/>
    <w:rsid w:val="00747E1C"/>
    <w:rsid w:val="007500BA"/>
    <w:rsid w:val="00750A09"/>
    <w:rsid w:val="007528E4"/>
    <w:rsid w:val="00753D27"/>
    <w:rsid w:val="007544F0"/>
    <w:rsid w:val="00754C53"/>
    <w:rsid w:val="00762B58"/>
    <w:rsid w:val="00763394"/>
    <w:rsid w:val="00763A17"/>
    <w:rsid w:val="00764325"/>
    <w:rsid w:val="0076629B"/>
    <w:rsid w:val="00767B90"/>
    <w:rsid w:val="0077120C"/>
    <w:rsid w:val="00772398"/>
    <w:rsid w:val="0077282F"/>
    <w:rsid w:val="00772FFD"/>
    <w:rsid w:val="0077309B"/>
    <w:rsid w:val="0077585E"/>
    <w:rsid w:val="00776D86"/>
    <w:rsid w:val="0077731F"/>
    <w:rsid w:val="007800BA"/>
    <w:rsid w:val="00780C17"/>
    <w:rsid w:val="00780CA9"/>
    <w:rsid w:val="00781320"/>
    <w:rsid w:val="007818E4"/>
    <w:rsid w:val="007826F8"/>
    <w:rsid w:val="007833A3"/>
    <w:rsid w:val="00783762"/>
    <w:rsid w:val="00786B8F"/>
    <w:rsid w:val="00787AC3"/>
    <w:rsid w:val="00790417"/>
    <w:rsid w:val="007918CF"/>
    <w:rsid w:val="007919C3"/>
    <w:rsid w:val="00794D36"/>
    <w:rsid w:val="00795462"/>
    <w:rsid w:val="0079607B"/>
    <w:rsid w:val="007961A0"/>
    <w:rsid w:val="00796AA6"/>
    <w:rsid w:val="00796C62"/>
    <w:rsid w:val="00797000"/>
    <w:rsid w:val="007973B3"/>
    <w:rsid w:val="007A0CD7"/>
    <w:rsid w:val="007A2640"/>
    <w:rsid w:val="007A35E4"/>
    <w:rsid w:val="007A39BD"/>
    <w:rsid w:val="007A69FA"/>
    <w:rsid w:val="007B0790"/>
    <w:rsid w:val="007B0D65"/>
    <w:rsid w:val="007B3686"/>
    <w:rsid w:val="007B6856"/>
    <w:rsid w:val="007B718F"/>
    <w:rsid w:val="007B7454"/>
    <w:rsid w:val="007C1261"/>
    <w:rsid w:val="007C1A45"/>
    <w:rsid w:val="007C63AD"/>
    <w:rsid w:val="007C6C65"/>
    <w:rsid w:val="007D139D"/>
    <w:rsid w:val="007D3A7E"/>
    <w:rsid w:val="007D3E5B"/>
    <w:rsid w:val="007D3F41"/>
    <w:rsid w:val="007D4338"/>
    <w:rsid w:val="007D44A7"/>
    <w:rsid w:val="007D5833"/>
    <w:rsid w:val="007D6642"/>
    <w:rsid w:val="007D6BD9"/>
    <w:rsid w:val="007D6FCB"/>
    <w:rsid w:val="007D7AB8"/>
    <w:rsid w:val="007E152C"/>
    <w:rsid w:val="007E79A4"/>
    <w:rsid w:val="007E7C4C"/>
    <w:rsid w:val="007F0232"/>
    <w:rsid w:val="007F08BB"/>
    <w:rsid w:val="007F299C"/>
    <w:rsid w:val="007F4CAF"/>
    <w:rsid w:val="00800A63"/>
    <w:rsid w:val="008046D2"/>
    <w:rsid w:val="00804C5C"/>
    <w:rsid w:val="00806214"/>
    <w:rsid w:val="00806B05"/>
    <w:rsid w:val="00806B53"/>
    <w:rsid w:val="008070B8"/>
    <w:rsid w:val="00810364"/>
    <w:rsid w:val="00810427"/>
    <w:rsid w:val="0081102F"/>
    <w:rsid w:val="0082104A"/>
    <w:rsid w:val="00822542"/>
    <w:rsid w:val="008226CB"/>
    <w:rsid w:val="00822721"/>
    <w:rsid w:val="00822CB2"/>
    <w:rsid w:val="0082323B"/>
    <w:rsid w:val="0082376D"/>
    <w:rsid w:val="00823908"/>
    <w:rsid w:val="00824DA7"/>
    <w:rsid w:val="00826E4C"/>
    <w:rsid w:val="00827268"/>
    <w:rsid w:val="00827742"/>
    <w:rsid w:val="008313B7"/>
    <w:rsid w:val="0083207E"/>
    <w:rsid w:val="008327C1"/>
    <w:rsid w:val="0083331F"/>
    <w:rsid w:val="008340A2"/>
    <w:rsid w:val="00834B9A"/>
    <w:rsid w:val="00835853"/>
    <w:rsid w:val="008362BC"/>
    <w:rsid w:val="008365E2"/>
    <w:rsid w:val="0083753A"/>
    <w:rsid w:val="00837C7A"/>
    <w:rsid w:val="00837C90"/>
    <w:rsid w:val="0084043A"/>
    <w:rsid w:val="008422B1"/>
    <w:rsid w:val="00842C39"/>
    <w:rsid w:val="0084343C"/>
    <w:rsid w:val="008439E6"/>
    <w:rsid w:val="00844176"/>
    <w:rsid w:val="0084545E"/>
    <w:rsid w:val="00845FFA"/>
    <w:rsid w:val="0084615F"/>
    <w:rsid w:val="0085051C"/>
    <w:rsid w:val="00852453"/>
    <w:rsid w:val="0085247E"/>
    <w:rsid w:val="008529AB"/>
    <w:rsid w:val="0085507D"/>
    <w:rsid w:val="0085686F"/>
    <w:rsid w:val="0085719E"/>
    <w:rsid w:val="00860CC5"/>
    <w:rsid w:val="008614ED"/>
    <w:rsid w:val="0086414A"/>
    <w:rsid w:val="0086455C"/>
    <w:rsid w:val="00867475"/>
    <w:rsid w:val="00867BFC"/>
    <w:rsid w:val="00872682"/>
    <w:rsid w:val="008729B1"/>
    <w:rsid w:val="00875885"/>
    <w:rsid w:val="008762EA"/>
    <w:rsid w:val="0087675F"/>
    <w:rsid w:val="008767E0"/>
    <w:rsid w:val="00883103"/>
    <w:rsid w:val="00883AA1"/>
    <w:rsid w:val="008847B1"/>
    <w:rsid w:val="008865F9"/>
    <w:rsid w:val="0089028A"/>
    <w:rsid w:val="00890941"/>
    <w:rsid w:val="00890FF6"/>
    <w:rsid w:val="00895F44"/>
    <w:rsid w:val="00896677"/>
    <w:rsid w:val="00896D74"/>
    <w:rsid w:val="00897B76"/>
    <w:rsid w:val="008A0A14"/>
    <w:rsid w:val="008A0ABD"/>
    <w:rsid w:val="008A1D6F"/>
    <w:rsid w:val="008A1E8A"/>
    <w:rsid w:val="008A207C"/>
    <w:rsid w:val="008A2484"/>
    <w:rsid w:val="008A5256"/>
    <w:rsid w:val="008A7B25"/>
    <w:rsid w:val="008B0DF4"/>
    <w:rsid w:val="008B1226"/>
    <w:rsid w:val="008B1A6D"/>
    <w:rsid w:val="008B4051"/>
    <w:rsid w:val="008B5DC3"/>
    <w:rsid w:val="008B5DF6"/>
    <w:rsid w:val="008B6C12"/>
    <w:rsid w:val="008B6FC4"/>
    <w:rsid w:val="008B75C8"/>
    <w:rsid w:val="008C231E"/>
    <w:rsid w:val="008C30AB"/>
    <w:rsid w:val="008C52C1"/>
    <w:rsid w:val="008C7930"/>
    <w:rsid w:val="008D1317"/>
    <w:rsid w:val="008D14C2"/>
    <w:rsid w:val="008D34B6"/>
    <w:rsid w:val="008D5666"/>
    <w:rsid w:val="008D74B8"/>
    <w:rsid w:val="008E0C4A"/>
    <w:rsid w:val="008E1336"/>
    <w:rsid w:val="008E2000"/>
    <w:rsid w:val="008E230D"/>
    <w:rsid w:val="008E2C45"/>
    <w:rsid w:val="008E5841"/>
    <w:rsid w:val="008E5A75"/>
    <w:rsid w:val="008E6927"/>
    <w:rsid w:val="008F1832"/>
    <w:rsid w:val="008F1B23"/>
    <w:rsid w:val="008F2CA5"/>
    <w:rsid w:val="008F2F10"/>
    <w:rsid w:val="008F56CB"/>
    <w:rsid w:val="009007A1"/>
    <w:rsid w:val="00904C82"/>
    <w:rsid w:val="00906E63"/>
    <w:rsid w:val="0090742E"/>
    <w:rsid w:val="00907874"/>
    <w:rsid w:val="0091168F"/>
    <w:rsid w:val="00911A10"/>
    <w:rsid w:val="0091408E"/>
    <w:rsid w:val="00920C99"/>
    <w:rsid w:val="009237B6"/>
    <w:rsid w:val="00924260"/>
    <w:rsid w:val="00924A7C"/>
    <w:rsid w:val="00927B07"/>
    <w:rsid w:val="00927E3E"/>
    <w:rsid w:val="00931B0A"/>
    <w:rsid w:val="00934212"/>
    <w:rsid w:val="0093584D"/>
    <w:rsid w:val="00936C79"/>
    <w:rsid w:val="00937AD6"/>
    <w:rsid w:val="0094012E"/>
    <w:rsid w:val="00941F24"/>
    <w:rsid w:val="009452E9"/>
    <w:rsid w:val="00945355"/>
    <w:rsid w:val="00945E28"/>
    <w:rsid w:val="00947E30"/>
    <w:rsid w:val="00950E30"/>
    <w:rsid w:val="00952FFC"/>
    <w:rsid w:val="0095320B"/>
    <w:rsid w:val="00953B66"/>
    <w:rsid w:val="00953EBC"/>
    <w:rsid w:val="00955887"/>
    <w:rsid w:val="00957A25"/>
    <w:rsid w:val="00957D34"/>
    <w:rsid w:val="00961431"/>
    <w:rsid w:val="00962115"/>
    <w:rsid w:val="00963395"/>
    <w:rsid w:val="0096341B"/>
    <w:rsid w:val="00963FDB"/>
    <w:rsid w:val="00965958"/>
    <w:rsid w:val="00966D3E"/>
    <w:rsid w:val="009725B5"/>
    <w:rsid w:val="009727BB"/>
    <w:rsid w:val="009761BF"/>
    <w:rsid w:val="00976B81"/>
    <w:rsid w:val="00977EA2"/>
    <w:rsid w:val="009800E7"/>
    <w:rsid w:val="0098026D"/>
    <w:rsid w:val="00980A92"/>
    <w:rsid w:val="00981343"/>
    <w:rsid w:val="00982120"/>
    <w:rsid w:val="0098248B"/>
    <w:rsid w:val="00982F8A"/>
    <w:rsid w:val="0098444D"/>
    <w:rsid w:val="00984565"/>
    <w:rsid w:val="00984899"/>
    <w:rsid w:val="00984B44"/>
    <w:rsid w:val="00984E35"/>
    <w:rsid w:val="009877BF"/>
    <w:rsid w:val="00992852"/>
    <w:rsid w:val="009933A8"/>
    <w:rsid w:val="009953D0"/>
    <w:rsid w:val="00995E0E"/>
    <w:rsid w:val="009A058D"/>
    <w:rsid w:val="009A0609"/>
    <w:rsid w:val="009A259D"/>
    <w:rsid w:val="009A325B"/>
    <w:rsid w:val="009A6168"/>
    <w:rsid w:val="009A6475"/>
    <w:rsid w:val="009A64D0"/>
    <w:rsid w:val="009B0533"/>
    <w:rsid w:val="009B05F7"/>
    <w:rsid w:val="009B1973"/>
    <w:rsid w:val="009B2725"/>
    <w:rsid w:val="009B425D"/>
    <w:rsid w:val="009B53DA"/>
    <w:rsid w:val="009C113A"/>
    <w:rsid w:val="009C1215"/>
    <w:rsid w:val="009C3C67"/>
    <w:rsid w:val="009C5D4A"/>
    <w:rsid w:val="009C7669"/>
    <w:rsid w:val="009D18B3"/>
    <w:rsid w:val="009D2A7F"/>
    <w:rsid w:val="009D2D37"/>
    <w:rsid w:val="009D38E6"/>
    <w:rsid w:val="009D4A42"/>
    <w:rsid w:val="009D4B3D"/>
    <w:rsid w:val="009D4E8C"/>
    <w:rsid w:val="009D7F01"/>
    <w:rsid w:val="009E35F3"/>
    <w:rsid w:val="009E4BDC"/>
    <w:rsid w:val="009E50E6"/>
    <w:rsid w:val="009E5228"/>
    <w:rsid w:val="009F24A4"/>
    <w:rsid w:val="009F2542"/>
    <w:rsid w:val="009F2B13"/>
    <w:rsid w:val="009F30D6"/>
    <w:rsid w:val="009F34B1"/>
    <w:rsid w:val="009F4A9B"/>
    <w:rsid w:val="009F4B57"/>
    <w:rsid w:val="009F7477"/>
    <w:rsid w:val="00A00068"/>
    <w:rsid w:val="00A01513"/>
    <w:rsid w:val="00A037B6"/>
    <w:rsid w:val="00A04F2B"/>
    <w:rsid w:val="00A06646"/>
    <w:rsid w:val="00A0693A"/>
    <w:rsid w:val="00A10638"/>
    <w:rsid w:val="00A10F9D"/>
    <w:rsid w:val="00A12D83"/>
    <w:rsid w:val="00A13215"/>
    <w:rsid w:val="00A16210"/>
    <w:rsid w:val="00A1769D"/>
    <w:rsid w:val="00A21B79"/>
    <w:rsid w:val="00A22896"/>
    <w:rsid w:val="00A230BA"/>
    <w:rsid w:val="00A24F81"/>
    <w:rsid w:val="00A256A6"/>
    <w:rsid w:val="00A25C93"/>
    <w:rsid w:val="00A2680B"/>
    <w:rsid w:val="00A26FFA"/>
    <w:rsid w:val="00A305A5"/>
    <w:rsid w:val="00A31BB4"/>
    <w:rsid w:val="00A32525"/>
    <w:rsid w:val="00A40291"/>
    <w:rsid w:val="00A4069F"/>
    <w:rsid w:val="00A4112E"/>
    <w:rsid w:val="00A43379"/>
    <w:rsid w:val="00A43AA7"/>
    <w:rsid w:val="00A43E16"/>
    <w:rsid w:val="00A43FFF"/>
    <w:rsid w:val="00A440CD"/>
    <w:rsid w:val="00A449DF"/>
    <w:rsid w:val="00A4620B"/>
    <w:rsid w:val="00A50C23"/>
    <w:rsid w:val="00A5133D"/>
    <w:rsid w:val="00A52E63"/>
    <w:rsid w:val="00A535C6"/>
    <w:rsid w:val="00A541AF"/>
    <w:rsid w:val="00A55E90"/>
    <w:rsid w:val="00A56CE2"/>
    <w:rsid w:val="00A57357"/>
    <w:rsid w:val="00A604FD"/>
    <w:rsid w:val="00A61B98"/>
    <w:rsid w:val="00A623C1"/>
    <w:rsid w:val="00A64AE3"/>
    <w:rsid w:val="00A66159"/>
    <w:rsid w:val="00A66B9A"/>
    <w:rsid w:val="00A67D80"/>
    <w:rsid w:val="00A72566"/>
    <w:rsid w:val="00A74240"/>
    <w:rsid w:val="00A746D9"/>
    <w:rsid w:val="00A77456"/>
    <w:rsid w:val="00A80727"/>
    <w:rsid w:val="00A82874"/>
    <w:rsid w:val="00A8346F"/>
    <w:rsid w:val="00A85490"/>
    <w:rsid w:val="00A8679F"/>
    <w:rsid w:val="00A87B37"/>
    <w:rsid w:val="00A9040F"/>
    <w:rsid w:val="00A9195F"/>
    <w:rsid w:val="00A927E4"/>
    <w:rsid w:val="00A93A96"/>
    <w:rsid w:val="00A97BDC"/>
    <w:rsid w:val="00AA0D0C"/>
    <w:rsid w:val="00AA0F73"/>
    <w:rsid w:val="00AA1FEB"/>
    <w:rsid w:val="00AA3F87"/>
    <w:rsid w:val="00AA4BCD"/>
    <w:rsid w:val="00AA63B2"/>
    <w:rsid w:val="00AA7126"/>
    <w:rsid w:val="00AA722C"/>
    <w:rsid w:val="00AB20E3"/>
    <w:rsid w:val="00AB2789"/>
    <w:rsid w:val="00AB3439"/>
    <w:rsid w:val="00AB3C04"/>
    <w:rsid w:val="00AB57D6"/>
    <w:rsid w:val="00AB6491"/>
    <w:rsid w:val="00AB6A73"/>
    <w:rsid w:val="00AC2097"/>
    <w:rsid w:val="00AC291A"/>
    <w:rsid w:val="00AC2B28"/>
    <w:rsid w:val="00AC540E"/>
    <w:rsid w:val="00AC5721"/>
    <w:rsid w:val="00AC5E16"/>
    <w:rsid w:val="00AC6003"/>
    <w:rsid w:val="00AC6F6D"/>
    <w:rsid w:val="00AC6FAC"/>
    <w:rsid w:val="00AD02B4"/>
    <w:rsid w:val="00AD2E2C"/>
    <w:rsid w:val="00AD3FCB"/>
    <w:rsid w:val="00AD442A"/>
    <w:rsid w:val="00AD5B93"/>
    <w:rsid w:val="00AD7965"/>
    <w:rsid w:val="00AE30ED"/>
    <w:rsid w:val="00AE7221"/>
    <w:rsid w:val="00AF0094"/>
    <w:rsid w:val="00AF25E4"/>
    <w:rsid w:val="00AF28DE"/>
    <w:rsid w:val="00AF29DD"/>
    <w:rsid w:val="00AF2EB2"/>
    <w:rsid w:val="00AF377F"/>
    <w:rsid w:val="00AF43EE"/>
    <w:rsid w:val="00AF4F1A"/>
    <w:rsid w:val="00AF5041"/>
    <w:rsid w:val="00AF60F1"/>
    <w:rsid w:val="00AF6C0D"/>
    <w:rsid w:val="00AF79B9"/>
    <w:rsid w:val="00B01FDE"/>
    <w:rsid w:val="00B02610"/>
    <w:rsid w:val="00B072F1"/>
    <w:rsid w:val="00B1171B"/>
    <w:rsid w:val="00B11961"/>
    <w:rsid w:val="00B128BF"/>
    <w:rsid w:val="00B12D2A"/>
    <w:rsid w:val="00B13C40"/>
    <w:rsid w:val="00B14DAA"/>
    <w:rsid w:val="00B1733E"/>
    <w:rsid w:val="00B174CF"/>
    <w:rsid w:val="00B17A1D"/>
    <w:rsid w:val="00B20B3D"/>
    <w:rsid w:val="00B20EC6"/>
    <w:rsid w:val="00B217B7"/>
    <w:rsid w:val="00B230E0"/>
    <w:rsid w:val="00B2514B"/>
    <w:rsid w:val="00B25776"/>
    <w:rsid w:val="00B263D2"/>
    <w:rsid w:val="00B274D5"/>
    <w:rsid w:val="00B331AF"/>
    <w:rsid w:val="00B33B0E"/>
    <w:rsid w:val="00B34092"/>
    <w:rsid w:val="00B34E43"/>
    <w:rsid w:val="00B40667"/>
    <w:rsid w:val="00B44603"/>
    <w:rsid w:val="00B44C75"/>
    <w:rsid w:val="00B45664"/>
    <w:rsid w:val="00B45B75"/>
    <w:rsid w:val="00B46920"/>
    <w:rsid w:val="00B472F7"/>
    <w:rsid w:val="00B473B5"/>
    <w:rsid w:val="00B5045F"/>
    <w:rsid w:val="00B51624"/>
    <w:rsid w:val="00B52BBD"/>
    <w:rsid w:val="00B53229"/>
    <w:rsid w:val="00B5562E"/>
    <w:rsid w:val="00B562ED"/>
    <w:rsid w:val="00B565CB"/>
    <w:rsid w:val="00B571C8"/>
    <w:rsid w:val="00B578C0"/>
    <w:rsid w:val="00B57E76"/>
    <w:rsid w:val="00B57F76"/>
    <w:rsid w:val="00B61EB0"/>
    <w:rsid w:val="00B6232B"/>
    <w:rsid w:val="00B63058"/>
    <w:rsid w:val="00B65DFE"/>
    <w:rsid w:val="00B71918"/>
    <w:rsid w:val="00B71A0B"/>
    <w:rsid w:val="00B741C8"/>
    <w:rsid w:val="00B76E59"/>
    <w:rsid w:val="00B820C0"/>
    <w:rsid w:val="00B823A8"/>
    <w:rsid w:val="00B828AB"/>
    <w:rsid w:val="00B82F7A"/>
    <w:rsid w:val="00B83E55"/>
    <w:rsid w:val="00B856F2"/>
    <w:rsid w:val="00B86411"/>
    <w:rsid w:val="00B867C2"/>
    <w:rsid w:val="00B874A8"/>
    <w:rsid w:val="00B874C2"/>
    <w:rsid w:val="00B87723"/>
    <w:rsid w:val="00B90C2C"/>
    <w:rsid w:val="00B934CE"/>
    <w:rsid w:val="00B93B63"/>
    <w:rsid w:val="00B93D2D"/>
    <w:rsid w:val="00B9577A"/>
    <w:rsid w:val="00B964E3"/>
    <w:rsid w:val="00BA0F08"/>
    <w:rsid w:val="00BA12C6"/>
    <w:rsid w:val="00BA19C0"/>
    <w:rsid w:val="00BA1AD9"/>
    <w:rsid w:val="00BA2D99"/>
    <w:rsid w:val="00BA2DBC"/>
    <w:rsid w:val="00BA4DB0"/>
    <w:rsid w:val="00BA5268"/>
    <w:rsid w:val="00BA67DD"/>
    <w:rsid w:val="00BA6F2A"/>
    <w:rsid w:val="00BB0BB7"/>
    <w:rsid w:val="00BB0F1F"/>
    <w:rsid w:val="00BB2904"/>
    <w:rsid w:val="00BB2C1B"/>
    <w:rsid w:val="00BB2CD1"/>
    <w:rsid w:val="00BB4871"/>
    <w:rsid w:val="00BB50FB"/>
    <w:rsid w:val="00BC0681"/>
    <w:rsid w:val="00BC1637"/>
    <w:rsid w:val="00BC2358"/>
    <w:rsid w:val="00BC283C"/>
    <w:rsid w:val="00BC3915"/>
    <w:rsid w:val="00BC7D81"/>
    <w:rsid w:val="00BD060B"/>
    <w:rsid w:val="00BD1D7B"/>
    <w:rsid w:val="00BD346E"/>
    <w:rsid w:val="00BD38BA"/>
    <w:rsid w:val="00BD401F"/>
    <w:rsid w:val="00BD40F1"/>
    <w:rsid w:val="00BD4C38"/>
    <w:rsid w:val="00BD517C"/>
    <w:rsid w:val="00BD723F"/>
    <w:rsid w:val="00BE02CA"/>
    <w:rsid w:val="00BE0B2B"/>
    <w:rsid w:val="00BE2761"/>
    <w:rsid w:val="00BE45C8"/>
    <w:rsid w:val="00BE4897"/>
    <w:rsid w:val="00BE7B68"/>
    <w:rsid w:val="00BF36FE"/>
    <w:rsid w:val="00BF378B"/>
    <w:rsid w:val="00BF3A39"/>
    <w:rsid w:val="00BF3B59"/>
    <w:rsid w:val="00BF4892"/>
    <w:rsid w:val="00BF5EED"/>
    <w:rsid w:val="00BF6023"/>
    <w:rsid w:val="00BF6D3F"/>
    <w:rsid w:val="00C0030E"/>
    <w:rsid w:val="00C05F6D"/>
    <w:rsid w:val="00C06109"/>
    <w:rsid w:val="00C062B9"/>
    <w:rsid w:val="00C06C55"/>
    <w:rsid w:val="00C07891"/>
    <w:rsid w:val="00C1252B"/>
    <w:rsid w:val="00C166FD"/>
    <w:rsid w:val="00C16D03"/>
    <w:rsid w:val="00C21A0E"/>
    <w:rsid w:val="00C23318"/>
    <w:rsid w:val="00C24B6E"/>
    <w:rsid w:val="00C261E4"/>
    <w:rsid w:val="00C2684A"/>
    <w:rsid w:val="00C26B41"/>
    <w:rsid w:val="00C312A3"/>
    <w:rsid w:val="00C32224"/>
    <w:rsid w:val="00C33F18"/>
    <w:rsid w:val="00C364FA"/>
    <w:rsid w:val="00C37624"/>
    <w:rsid w:val="00C42C09"/>
    <w:rsid w:val="00C46E11"/>
    <w:rsid w:val="00C524C3"/>
    <w:rsid w:val="00C52882"/>
    <w:rsid w:val="00C52FF5"/>
    <w:rsid w:val="00C546CE"/>
    <w:rsid w:val="00C56038"/>
    <w:rsid w:val="00C60C68"/>
    <w:rsid w:val="00C613A5"/>
    <w:rsid w:val="00C62852"/>
    <w:rsid w:val="00C63840"/>
    <w:rsid w:val="00C66B02"/>
    <w:rsid w:val="00C66E42"/>
    <w:rsid w:val="00C66F96"/>
    <w:rsid w:val="00C67C1C"/>
    <w:rsid w:val="00C715CC"/>
    <w:rsid w:val="00C730E9"/>
    <w:rsid w:val="00C737DB"/>
    <w:rsid w:val="00C74739"/>
    <w:rsid w:val="00C75422"/>
    <w:rsid w:val="00C75E53"/>
    <w:rsid w:val="00C760C8"/>
    <w:rsid w:val="00C7763A"/>
    <w:rsid w:val="00C80855"/>
    <w:rsid w:val="00C80EC9"/>
    <w:rsid w:val="00C83B4B"/>
    <w:rsid w:val="00C90CD3"/>
    <w:rsid w:val="00C93F5C"/>
    <w:rsid w:val="00C94070"/>
    <w:rsid w:val="00C94249"/>
    <w:rsid w:val="00C9466B"/>
    <w:rsid w:val="00C95215"/>
    <w:rsid w:val="00C95D61"/>
    <w:rsid w:val="00C96DE7"/>
    <w:rsid w:val="00C97505"/>
    <w:rsid w:val="00CA1482"/>
    <w:rsid w:val="00CA3515"/>
    <w:rsid w:val="00CA522A"/>
    <w:rsid w:val="00CA6F36"/>
    <w:rsid w:val="00CA72AB"/>
    <w:rsid w:val="00CB03ED"/>
    <w:rsid w:val="00CB2CBD"/>
    <w:rsid w:val="00CB4257"/>
    <w:rsid w:val="00CB4991"/>
    <w:rsid w:val="00CB58E9"/>
    <w:rsid w:val="00CB64A3"/>
    <w:rsid w:val="00CB77CC"/>
    <w:rsid w:val="00CB7EF4"/>
    <w:rsid w:val="00CC00B6"/>
    <w:rsid w:val="00CC2986"/>
    <w:rsid w:val="00CC482E"/>
    <w:rsid w:val="00CD2DCC"/>
    <w:rsid w:val="00CD597A"/>
    <w:rsid w:val="00CD5DAE"/>
    <w:rsid w:val="00CD7514"/>
    <w:rsid w:val="00CD7F12"/>
    <w:rsid w:val="00CE01FD"/>
    <w:rsid w:val="00CE28D8"/>
    <w:rsid w:val="00CE4C37"/>
    <w:rsid w:val="00CE7343"/>
    <w:rsid w:val="00CE7F96"/>
    <w:rsid w:val="00CF0126"/>
    <w:rsid w:val="00CF128C"/>
    <w:rsid w:val="00CF2075"/>
    <w:rsid w:val="00CF35F9"/>
    <w:rsid w:val="00CF4055"/>
    <w:rsid w:val="00CF4AD9"/>
    <w:rsid w:val="00CF4F05"/>
    <w:rsid w:val="00CF5BA4"/>
    <w:rsid w:val="00CF5FDD"/>
    <w:rsid w:val="00CF6392"/>
    <w:rsid w:val="00CF6917"/>
    <w:rsid w:val="00CF7940"/>
    <w:rsid w:val="00D01A16"/>
    <w:rsid w:val="00D02795"/>
    <w:rsid w:val="00D05E61"/>
    <w:rsid w:val="00D05E6D"/>
    <w:rsid w:val="00D066AC"/>
    <w:rsid w:val="00D0724A"/>
    <w:rsid w:val="00D120BE"/>
    <w:rsid w:val="00D12A77"/>
    <w:rsid w:val="00D13730"/>
    <w:rsid w:val="00D14EF2"/>
    <w:rsid w:val="00D15861"/>
    <w:rsid w:val="00D15E45"/>
    <w:rsid w:val="00D16B04"/>
    <w:rsid w:val="00D17CE4"/>
    <w:rsid w:val="00D20CB5"/>
    <w:rsid w:val="00D20D7A"/>
    <w:rsid w:val="00D21744"/>
    <w:rsid w:val="00D217B2"/>
    <w:rsid w:val="00D2198E"/>
    <w:rsid w:val="00D23D0F"/>
    <w:rsid w:val="00D25652"/>
    <w:rsid w:val="00D259FC"/>
    <w:rsid w:val="00D25EA6"/>
    <w:rsid w:val="00D26B0B"/>
    <w:rsid w:val="00D320BE"/>
    <w:rsid w:val="00D32C3D"/>
    <w:rsid w:val="00D350C2"/>
    <w:rsid w:val="00D37957"/>
    <w:rsid w:val="00D37FDA"/>
    <w:rsid w:val="00D401AB"/>
    <w:rsid w:val="00D41E8D"/>
    <w:rsid w:val="00D439C7"/>
    <w:rsid w:val="00D47DF6"/>
    <w:rsid w:val="00D52FBD"/>
    <w:rsid w:val="00D53A5F"/>
    <w:rsid w:val="00D53D78"/>
    <w:rsid w:val="00D5433E"/>
    <w:rsid w:val="00D55582"/>
    <w:rsid w:val="00D601EF"/>
    <w:rsid w:val="00D60753"/>
    <w:rsid w:val="00D62FF7"/>
    <w:rsid w:val="00D6356E"/>
    <w:rsid w:val="00D63DCB"/>
    <w:rsid w:val="00D66691"/>
    <w:rsid w:val="00D703D4"/>
    <w:rsid w:val="00D72D2A"/>
    <w:rsid w:val="00D7333F"/>
    <w:rsid w:val="00D737BB"/>
    <w:rsid w:val="00D74649"/>
    <w:rsid w:val="00D75110"/>
    <w:rsid w:val="00D75B60"/>
    <w:rsid w:val="00D81AB3"/>
    <w:rsid w:val="00D82935"/>
    <w:rsid w:val="00D82CF7"/>
    <w:rsid w:val="00D82D44"/>
    <w:rsid w:val="00D839F5"/>
    <w:rsid w:val="00D8513C"/>
    <w:rsid w:val="00D8658F"/>
    <w:rsid w:val="00D86876"/>
    <w:rsid w:val="00D86B33"/>
    <w:rsid w:val="00D86D2D"/>
    <w:rsid w:val="00D87660"/>
    <w:rsid w:val="00D90218"/>
    <w:rsid w:val="00D924BB"/>
    <w:rsid w:val="00D9460B"/>
    <w:rsid w:val="00D94AC5"/>
    <w:rsid w:val="00DA2C09"/>
    <w:rsid w:val="00DA3BF0"/>
    <w:rsid w:val="00DA48C9"/>
    <w:rsid w:val="00DA6690"/>
    <w:rsid w:val="00DA753C"/>
    <w:rsid w:val="00DB22C3"/>
    <w:rsid w:val="00DB3467"/>
    <w:rsid w:val="00DB3C1B"/>
    <w:rsid w:val="00DB5E3C"/>
    <w:rsid w:val="00DB620D"/>
    <w:rsid w:val="00DB6D6A"/>
    <w:rsid w:val="00DC0D5D"/>
    <w:rsid w:val="00DC0D84"/>
    <w:rsid w:val="00DC173E"/>
    <w:rsid w:val="00DC1F1E"/>
    <w:rsid w:val="00DC21D3"/>
    <w:rsid w:val="00DC5821"/>
    <w:rsid w:val="00DD11C4"/>
    <w:rsid w:val="00DD43CB"/>
    <w:rsid w:val="00DD4B8C"/>
    <w:rsid w:val="00DD7E5C"/>
    <w:rsid w:val="00DE06DE"/>
    <w:rsid w:val="00DE1194"/>
    <w:rsid w:val="00DE2137"/>
    <w:rsid w:val="00DE2DB6"/>
    <w:rsid w:val="00DE36EB"/>
    <w:rsid w:val="00DE7DB4"/>
    <w:rsid w:val="00DE7F4C"/>
    <w:rsid w:val="00DE7FAB"/>
    <w:rsid w:val="00DF1AA2"/>
    <w:rsid w:val="00DF20AA"/>
    <w:rsid w:val="00DF3388"/>
    <w:rsid w:val="00DF492D"/>
    <w:rsid w:val="00DF5935"/>
    <w:rsid w:val="00DF6228"/>
    <w:rsid w:val="00E03D3D"/>
    <w:rsid w:val="00E04F92"/>
    <w:rsid w:val="00E07934"/>
    <w:rsid w:val="00E16285"/>
    <w:rsid w:val="00E164F2"/>
    <w:rsid w:val="00E17598"/>
    <w:rsid w:val="00E201FA"/>
    <w:rsid w:val="00E21150"/>
    <w:rsid w:val="00E21293"/>
    <w:rsid w:val="00E224EF"/>
    <w:rsid w:val="00E2256E"/>
    <w:rsid w:val="00E229B7"/>
    <w:rsid w:val="00E22E2E"/>
    <w:rsid w:val="00E23638"/>
    <w:rsid w:val="00E24A79"/>
    <w:rsid w:val="00E24AE3"/>
    <w:rsid w:val="00E24CAB"/>
    <w:rsid w:val="00E257AD"/>
    <w:rsid w:val="00E26066"/>
    <w:rsid w:val="00E26C06"/>
    <w:rsid w:val="00E26D8C"/>
    <w:rsid w:val="00E32806"/>
    <w:rsid w:val="00E32D76"/>
    <w:rsid w:val="00E34DAA"/>
    <w:rsid w:val="00E40180"/>
    <w:rsid w:val="00E40F66"/>
    <w:rsid w:val="00E421BB"/>
    <w:rsid w:val="00E432F8"/>
    <w:rsid w:val="00E454F6"/>
    <w:rsid w:val="00E4576A"/>
    <w:rsid w:val="00E45E17"/>
    <w:rsid w:val="00E461FD"/>
    <w:rsid w:val="00E46CFD"/>
    <w:rsid w:val="00E50096"/>
    <w:rsid w:val="00E51FC0"/>
    <w:rsid w:val="00E538B5"/>
    <w:rsid w:val="00E53EFD"/>
    <w:rsid w:val="00E552B0"/>
    <w:rsid w:val="00E554E2"/>
    <w:rsid w:val="00E56273"/>
    <w:rsid w:val="00E6009A"/>
    <w:rsid w:val="00E60CF4"/>
    <w:rsid w:val="00E619A0"/>
    <w:rsid w:val="00E624A6"/>
    <w:rsid w:val="00E626F4"/>
    <w:rsid w:val="00E62996"/>
    <w:rsid w:val="00E631A1"/>
    <w:rsid w:val="00E63F0C"/>
    <w:rsid w:val="00E64224"/>
    <w:rsid w:val="00E64951"/>
    <w:rsid w:val="00E64DCA"/>
    <w:rsid w:val="00E6539F"/>
    <w:rsid w:val="00E66109"/>
    <w:rsid w:val="00E66CEB"/>
    <w:rsid w:val="00E70C16"/>
    <w:rsid w:val="00E72848"/>
    <w:rsid w:val="00E73B4A"/>
    <w:rsid w:val="00E73B89"/>
    <w:rsid w:val="00E8105E"/>
    <w:rsid w:val="00E8143B"/>
    <w:rsid w:val="00E83449"/>
    <w:rsid w:val="00E84207"/>
    <w:rsid w:val="00E8685E"/>
    <w:rsid w:val="00E91595"/>
    <w:rsid w:val="00E92047"/>
    <w:rsid w:val="00E9275C"/>
    <w:rsid w:val="00E92AAE"/>
    <w:rsid w:val="00E92CDC"/>
    <w:rsid w:val="00E94495"/>
    <w:rsid w:val="00E95B4D"/>
    <w:rsid w:val="00E96206"/>
    <w:rsid w:val="00EA19AB"/>
    <w:rsid w:val="00EA1DB5"/>
    <w:rsid w:val="00EA36FC"/>
    <w:rsid w:val="00EA454B"/>
    <w:rsid w:val="00EB20D8"/>
    <w:rsid w:val="00EB3D63"/>
    <w:rsid w:val="00EB3D6E"/>
    <w:rsid w:val="00EB58FF"/>
    <w:rsid w:val="00EB5AF2"/>
    <w:rsid w:val="00EB6001"/>
    <w:rsid w:val="00EB617C"/>
    <w:rsid w:val="00EB675A"/>
    <w:rsid w:val="00EB7282"/>
    <w:rsid w:val="00EC3FFE"/>
    <w:rsid w:val="00EC45D7"/>
    <w:rsid w:val="00EC4A53"/>
    <w:rsid w:val="00EC4FC6"/>
    <w:rsid w:val="00EC560B"/>
    <w:rsid w:val="00EC598B"/>
    <w:rsid w:val="00EC6109"/>
    <w:rsid w:val="00EC6E5C"/>
    <w:rsid w:val="00EC6F07"/>
    <w:rsid w:val="00EC7200"/>
    <w:rsid w:val="00EC7F0D"/>
    <w:rsid w:val="00ED0597"/>
    <w:rsid w:val="00ED27CA"/>
    <w:rsid w:val="00ED437B"/>
    <w:rsid w:val="00ED4DFD"/>
    <w:rsid w:val="00ED54C2"/>
    <w:rsid w:val="00ED670C"/>
    <w:rsid w:val="00ED6CBC"/>
    <w:rsid w:val="00ED7A0C"/>
    <w:rsid w:val="00EE29C6"/>
    <w:rsid w:val="00EE629A"/>
    <w:rsid w:val="00EE6F85"/>
    <w:rsid w:val="00EE792E"/>
    <w:rsid w:val="00EF238A"/>
    <w:rsid w:val="00EF2FC7"/>
    <w:rsid w:val="00EF3EF5"/>
    <w:rsid w:val="00EF6006"/>
    <w:rsid w:val="00EF7602"/>
    <w:rsid w:val="00EF78DC"/>
    <w:rsid w:val="00F014D2"/>
    <w:rsid w:val="00F02114"/>
    <w:rsid w:val="00F02CAF"/>
    <w:rsid w:val="00F032D0"/>
    <w:rsid w:val="00F05899"/>
    <w:rsid w:val="00F10CE9"/>
    <w:rsid w:val="00F13DAE"/>
    <w:rsid w:val="00F1424F"/>
    <w:rsid w:val="00F154C6"/>
    <w:rsid w:val="00F15C0B"/>
    <w:rsid w:val="00F15D3E"/>
    <w:rsid w:val="00F16182"/>
    <w:rsid w:val="00F1792E"/>
    <w:rsid w:val="00F218A6"/>
    <w:rsid w:val="00F21C11"/>
    <w:rsid w:val="00F22C4D"/>
    <w:rsid w:val="00F2326E"/>
    <w:rsid w:val="00F24CF7"/>
    <w:rsid w:val="00F25256"/>
    <w:rsid w:val="00F26A72"/>
    <w:rsid w:val="00F27679"/>
    <w:rsid w:val="00F27E8A"/>
    <w:rsid w:val="00F30B99"/>
    <w:rsid w:val="00F31F62"/>
    <w:rsid w:val="00F33189"/>
    <w:rsid w:val="00F3475E"/>
    <w:rsid w:val="00F34982"/>
    <w:rsid w:val="00F35724"/>
    <w:rsid w:val="00F357D8"/>
    <w:rsid w:val="00F3723D"/>
    <w:rsid w:val="00F378E2"/>
    <w:rsid w:val="00F37980"/>
    <w:rsid w:val="00F37D93"/>
    <w:rsid w:val="00F41DF6"/>
    <w:rsid w:val="00F42DF9"/>
    <w:rsid w:val="00F431FE"/>
    <w:rsid w:val="00F45887"/>
    <w:rsid w:val="00F45FBD"/>
    <w:rsid w:val="00F478B9"/>
    <w:rsid w:val="00F50295"/>
    <w:rsid w:val="00F53195"/>
    <w:rsid w:val="00F53449"/>
    <w:rsid w:val="00F5346F"/>
    <w:rsid w:val="00F55FD9"/>
    <w:rsid w:val="00F56105"/>
    <w:rsid w:val="00F5718E"/>
    <w:rsid w:val="00F60129"/>
    <w:rsid w:val="00F6043C"/>
    <w:rsid w:val="00F618AB"/>
    <w:rsid w:val="00F61F81"/>
    <w:rsid w:val="00F61F99"/>
    <w:rsid w:val="00F62B46"/>
    <w:rsid w:val="00F62D73"/>
    <w:rsid w:val="00F6549A"/>
    <w:rsid w:val="00F701C4"/>
    <w:rsid w:val="00F7045A"/>
    <w:rsid w:val="00F70E6E"/>
    <w:rsid w:val="00F7153E"/>
    <w:rsid w:val="00F7361D"/>
    <w:rsid w:val="00F73B65"/>
    <w:rsid w:val="00F77E87"/>
    <w:rsid w:val="00F831E9"/>
    <w:rsid w:val="00F836C9"/>
    <w:rsid w:val="00F91036"/>
    <w:rsid w:val="00F91CB7"/>
    <w:rsid w:val="00F92768"/>
    <w:rsid w:val="00F951C5"/>
    <w:rsid w:val="00F97704"/>
    <w:rsid w:val="00F97C97"/>
    <w:rsid w:val="00FA2F7F"/>
    <w:rsid w:val="00FA42CE"/>
    <w:rsid w:val="00FA5FE7"/>
    <w:rsid w:val="00FA654B"/>
    <w:rsid w:val="00FA7B3C"/>
    <w:rsid w:val="00FB04CF"/>
    <w:rsid w:val="00FB1DA8"/>
    <w:rsid w:val="00FB2481"/>
    <w:rsid w:val="00FB3EC6"/>
    <w:rsid w:val="00FB4A6D"/>
    <w:rsid w:val="00FB4BE3"/>
    <w:rsid w:val="00FC0402"/>
    <w:rsid w:val="00FC0630"/>
    <w:rsid w:val="00FC06D1"/>
    <w:rsid w:val="00FC1CD3"/>
    <w:rsid w:val="00FC2BA7"/>
    <w:rsid w:val="00FC41B5"/>
    <w:rsid w:val="00FC4543"/>
    <w:rsid w:val="00FC6235"/>
    <w:rsid w:val="00FC6A75"/>
    <w:rsid w:val="00FD0BC9"/>
    <w:rsid w:val="00FD0D0B"/>
    <w:rsid w:val="00FD2CA2"/>
    <w:rsid w:val="00FD2E97"/>
    <w:rsid w:val="00FD4A9A"/>
    <w:rsid w:val="00FD52D2"/>
    <w:rsid w:val="00FD52E7"/>
    <w:rsid w:val="00FD572A"/>
    <w:rsid w:val="00FE7A1E"/>
    <w:rsid w:val="00FE7D3D"/>
    <w:rsid w:val="00FF1946"/>
    <w:rsid w:val="00FF2519"/>
    <w:rsid w:val="00FF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EF029"/>
  <w15:chartTrackingRefBased/>
  <w15:docId w15:val="{99522ADF-9730-4E34-B611-282A2241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E87"/>
    <w:pPr>
      <w:spacing w:after="0" w:line="480" w:lineRule="auto"/>
      <w:ind w:firstLine="360"/>
      <w:jc w:val="both"/>
    </w:pPr>
    <w:rPr>
      <w:rFonts w:ascii="Times New Roman" w:eastAsiaTheme="minorEastAsia" w:hAnsi="Times New Roman"/>
      <w:sz w:val="24"/>
    </w:rPr>
  </w:style>
  <w:style w:type="paragraph" w:styleId="Heading1">
    <w:name w:val="heading 1"/>
    <w:basedOn w:val="Normal"/>
    <w:next w:val="Normal"/>
    <w:link w:val="Heading1Char"/>
    <w:autoRedefine/>
    <w:uiPriority w:val="9"/>
    <w:qFormat/>
    <w:rsid w:val="00C730E9"/>
    <w:pPr>
      <w:keepNext/>
      <w:keepLines/>
      <w:numPr>
        <w:numId w:val="11"/>
      </w:numPr>
      <w:spacing w:before="480" w:after="120"/>
      <w:ind w:left="36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BB2C1B"/>
    <w:pPr>
      <w:keepNext/>
      <w:keepLines/>
      <w:spacing w:before="240" w:after="80"/>
      <w:ind w:firstLine="0"/>
      <w:jc w:val="center"/>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B63058"/>
    <w:pPr>
      <w:keepNext/>
      <w:keepLines/>
      <w:numPr>
        <w:numId w:val="1"/>
      </w:numPr>
      <w:jc w:val="center"/>
      <w:outlineLvl w:val="2"/>
    </w:pPr>
    <w:rPr>
      <w:rFonts w:eastAsiaTheme="majorEastAsia" w:cstheme="majorBidi"/>
      <w:i/>
      <w:szCs w:val="24"/>
    </w:rPr>
  </w:style>
  <w:style w:type="paragraph" w:styleId="Heading4">
    <w:name w:val="heading 4"/>
    <w:basedOn w:val="Normal"/>
    <w:next w:val="Normal"/>
    <w:link w:val="Heading4Char"/>
    <w:uiPriority w:val="9"/>
    <w:unhideWhenUsed/>
    <w:qFormat/>
    <w:rsid w:val="0096341B"/>
    <w:pPr>
      <w:keepNext/>
      <w:keepLines/>
      <w:spacing w:before="20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2C012B"/>
    <w:pPr>
      <w:keepNext/>
      <w:keepLines/>
      <w:ind w:firstLine="0"/>
      <w:jc w:val="center"/>
      <w:outlineLvl w:val="4"/>
    </w:pPr>
    <w:rPr>
      <w:rFonts w:eastAsiaTheme="majorEastAsia" w:cstheme="majorBidi"/>
      <w:b/>
      <w:sz w:val="28"/>
    </w:rPr>
  </w:style>
  <w:style w:type="paragraph" w:styleId="Heading6">
    <w:name w:val="heading 6"/>
    <w:aliases w:val="Figure"/>
    <w:basedOn w:val="Normal"/>
    <w:next w:val="Normal"/>
    <w:link w:val="Heading6Char"/>
    <w:uiPriority w:val="9"/>
    <w:unhideWhenUsed/>
    <w:rsid w:val="003B7962"/>
    <w:pPr>
      <w:keepNext/>
      <w:keepLines/>
      <w:spacing w:line="240" w:lineRule="auto"/>
      <w:ind w:firstLine="0"/>
      <w:jc w:val="center"/>
      <w:outlineLvl w:val="5"/>
    </w:pPr>
    <w:rPr>
      <w:rFonts w:eastAsiaTheme="majorEastAsia" w:cstheme="majorBidi"/>
    </w:rPr>
  </w:style>
  <w:style w:type="paragraph" w:styleId="Heading9">
    <w:name w:val="heading 9"/>
    <w:basedOn w:val="Normal"/>
    <w:next w:val="Normal"/>
    <w:link w:val="Heading9Char"/>
    <w:uiPriority w:val="9"/>
    <w:semiHidden/>
    <w:unhideWhenUsed/>
    <w:qFormat/>
    <w:rsid w:val="004749F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0E9"/>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BB2C1B"/>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B63058"/>
    <w:rPr>
      <w:rFonts w:ascii="Times New Roman" w:eastAsiaTheme="majorEastAsia" w:hAnsi="Times New Roman" w:cstheme="majorBidi"/>
      <w:i/>
      <w:sz w:val="24"/>
      <w:szCs w:val="24"/>
    </w:rPr>
  </w:style>
  <w:style w:type="character" w:customStyle="1" w:styleId="Heading4Char">
    <w:name w:val="Heading 4 Char"/>
    <w:basedOn w:val="DefaultParagraphFont"/>
    <w:link w:val="Heading4"/>
    <w:uiPriority w:val="9"/>
    <w:rsid w:val="0096341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2C012B"/>
    <w:rPr>
      <w:rFonts w:ascii="Times New Roman" w:eastAsiaTheme="majorEastAsia" w:hAnsi="Times New Roman" w:cstheme="majorBidi"/>
      <w:b/>
      <w:sz w:val="28"/>
    </w:rPr>
  </w:style>
  <w:style w:type="character" w:customStyle="1" w:styleId="Heading9Char">
    <w:name w:val="Heading 9 Char"/>
    <w:basedOn w:val="DefaultParagraphFont"/>
    <w:link w:val="Heading9"/>
    <w:uiPriority w:val="9"/>
    <w:semiHidden/>
    <w:rsid w:val="004749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344ACD"/>
    <w:rPr>
      <w:sz w:val="16"/>
      <w:szCs w:val="16"/>
    </w:rPr>
  </w:style>
  <w:style w:type="paragraph" w:styleId="CommentText">
    <w:name w:val="annotation text"/>
    <w:basedOn w:val="Normal"/>
    <w:link w:val="CommentTextChar"/>
    <w:uiPriority w:val="99"/>
    <w:semiHidden/>
    <w:unhideWhenUsed/>
    <w:rsid w:val="00344ACD"/>
    <w:pPr>
      <w:spacing w:line="240" w:lineRule="auto"/>
    </w:pPr>
    <w:rPr>
      <w:sz w:val="20"/>
      <w:szCs w:val="20"/>
    </w:rPr>
  </w:style>
  <w:style w:type="character" w:customStyle="1" w:styleId="CommentTextChar">
    <w:name w:val="Comment Text Char"/>
    <w:basedOn w:val="DefaultParagraphFont"/>
    <w:link w:val="CommentText"/>
    <w:uiPriority w:val="99"/>
    <w:semiHidden/>
    <w:rsid w:val="00344ACD"/>
    <w:rPr>
      <w:rFonts w:eastAsiaTheme="minorEastAsia"/>
      <w:sz w:val="20"/>
      <w:szCs w:val="20"/>
    </w:rPr>
  </w:style>
  <w:style w:type="paragraph" w:styleId="BalloonText">
    <w:name w:val="Balloon Text"/>
    <w:basedOn w:val="Normal"/>
    <w:link w:val="BalloonTextChar"/>
    <w:uiPriority w:val="99"/>
    <w:semiHidden/>
    <w:unhideWhenUsed/>
    <w:rsid w:val="00344A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ACD"/>
    <w:rPr>
      <w:rFonts w:ascii="Segoe UI" w:eastAsiaTheme="minorEastAsia" w:hAnsi="Segoe UI" w:cs="Segoe UI"/>
      <w:sz w:val="18"/>
      <w:szCs w:val="18"/>
    </w:rPr>
  </w:style>
  <w:style w:type="paragraph" w:customStyle="1" w:styleId="Reference">
    <w:name w:val="Reference"/>
    <w:basedOn w:val="Normal"/>
    <w:rsid w:val="00E24AE3"/>
    <w:pPr>
      <w:spacing w:line="240" w:lineRule="auto"/>
      <w:ind w:left="274" w:hanging="274"/>
    </w:pPr>
    <w:rPr>
      <w:rFonts w:eastAsia="Times New Roman" w:cs="Times New Roman"/>
      <w:sz w:val="18"/>
      <w:szCs w:val="20"/>
    </w:rPr>
  </w:style>
  <w:style w:type="paragraph" w:customStyle="1" w:styleId="Paragraph">
    <w:name w:val="Paragraph"/>
    <w:basedOn w:val="Normal"/>
    <w:rsid w:val="00E24AE3"/>
    <w:pPr>
      <w:spacing w:line="240" w:lineRule="auto"/>
      <w:ind w:firstLine="274"/>
    </w:pPr>
    <w:rPr>
      <w:rFonts w:eastAsia="Times New Roman" w:cs="Times New Roman"/>
      <w:sz w:val="20"/>
      <w:szCs w:val="20"/>
    </w:rPr>
  </w:style>
  <w:style w:type="table" w:styleId="TableGrid">
    <w:name w:val="Table Grid"/>
    <w:basedOn w:val="TableNormal"/>
    <w:uiPriority w:val="39"/>
    <w:rsid w:val="00372F1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2F1C"/>
    <w:pPr>
      <w:tabs>
        <w:tab w:val="center" w:pos="4680"/>
        <w:tab w:val="right" w:pos="9360"/>
      </w:tabs>
      <w:spacing w:line="240" w:lineRule="auto"/>
    </w:pPr>
  </w:style>
  <w:style w:type="character" w:customStyle="1" w:styleId="HeaderChar">
    <w:name w:val="Header Char"/>
    <w:basedOn w:val="DefaultParagraphFont"/>
    <w:link w:val="Header"/>
    <w:uiPriority w:val="99"/>
    <w:rsid w:val="00372F1C"/>
    <w:rPr>
      <w:rFonts w:eastAsiaTheme="minorEastAsia"/>
    </w:rPr>
  </w:style>
  <w:style w:type="paragraph" w:styleId="Footer">
    <w:name w:val="footer"/>
    <w:basedOn w:val="Normal"/>
    <w:link w:val="FooterChar"/>
    <w:uiPriority w:val="99"/>
    <w:unhideWhenUsed/>
    <w:rsid w:val="00372F1C"/>
    <w:pPr>
      <w:tabs>
        <w:tab w:val="center" w:pos="4680"/>
        <w:tab w:val="right" w:pos="9360"/>
      </w:tabs>
      <w:spacing w:line="240" w:lineRule="auto"/>
    </w:pPr>
  </w:style>
  <w:style w:type="character" w:customStyle="1" w:styleId="FooterChar">
    <w:name w:val="Footer Char"/>
    <w:basedOn w:val="DefaultParagraphFont"/>
    <w:link w:val="Footer"/>
    <w:uiPriority w:val="99"/>
    <w:rsid w:val="00372F1C"/>
    <w:rPr>
      <w:rFonts w:eastAsiaTheme="minorEastAsia"/>
    </w:rPr>
  </w:style>
  <w:style w:type="paragraph" w:styleId="ListParagraph">
    <w:name w:val="List Paragraph"/>
    <w:basedOn w:val="Normal"/>
    <w:uiPriority w:val="34"/>
    <w:qFormat/>
    <w:rsid w:val="0096341B"/>
    <w:pPr>
      <w:spacing w:line="240" w:lineRule="auto"/>
      <w:ind w:left="720"/>
      <w:contextualSpacing/>
    </w:pPr>
    <w:rPr>
      <w:rFonts w:eastAsiaTheme="minorHAnsi"/>
    </w:rPr>
  </w:style>
  <w:style w:type="character" w:styleId="Hyperlink">
    <w:name w:val="Hyperlink"/>
    <w:basedOn w:val="DefaultParagraphFont"/>
    <w:uiPriority w:val="99"/>
    <w:unhideWhenUsed/>
    <w:rsid w:val="0096341B"/>
    <w:rPr>
      <w:color w:val="0563C1" w:themeColor="hyperlink"/>
      <w:u w:val="single"/>
    </w:rPr>
  </w:style>
  <w:style w:type="character" w:styleId="PlaceholderText">
    <w:name w:val="Placeholder Text"/>
    <w:basedOn w:val="DefaultParagraphFont"/>
    <w:uiPriority w:val="99"/>
    <w:semiHidden/>
    <w:rsid w:val="0096341B"/>
    <w:rPr>
      <w:color w:val="808080"/>
    </w:rPr>
  </w:style>
  <w:style w:type="paragraph" w:styleId="CommentSubject">
    <w:name w:val="annotation subject"/>
    <w:basedOn w:val="CommentText"/>
    <w:next w:val="CommentText"/>
    <w:link w:val="CommentSubjectChar"/>
    <w:uiPriority w:val="99"/>
    <w:semiHidden/>
    <w:unhideWhenUsed/>
    <w:rsid w:val="0096341B"/>
    <w:rPr>
      <w:b/>
      <w:bCs/>
    </w:rPr>
  </w:style>
  <w:style w:type="character" w:customStyle="1" w:styleId="CommentSubjectChar">
    <w:name w:val="Comment Subject Char"/>
    <w:basedOn w:val="CommentTextChar"/>
    <w:link w:val="CommentSubject"/>
    <w:uiPriority w:val="99"/>
    <w:semiHidden/>
    <w:rsid w:val="0096341B"/>
    <w:rPr>
      <w:rFonts w:eastAsiaTheme="minorEastAsia"/>
      <w:b/>
      <w:bCs/>
      <w:sz w:val="20"/>
      <w:szCs w:val="20"/>
    </w:rPr>
  </w:style>
  <w:style w:type="paragraph" w:styleId="Revision">
    <w:name w:val="Revision"/>
    <w:hidden/>
    <w:uiPriority w:val="99"/>
    <w:semiHidden/>
    <w:rsid w:val="0096341B"/>
    <w:pPr>
      <w:spacing w:after="0" w:line="240" w:lineRule="auto"/>
    </w:pPr>
    <w:rPr>
      <w:rFonts w:eastAsiaTheme="minorEastAsia"/>
    </w:rPr>
  </w:style>
  <w:style w:type="table" w:customStyle="1" w:styleId="PlainTable21">
    <w:name w:val="Plain Table 21"/>
    <w:basedOn w:val="TableNormal"/>
    <w:uiPriority w:val="42"/>
    <w:rsid w:val="009634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0C3213"/>
    <w:pPr>
      <w:spacing w:before="100" w:beforeAutospacing="1" w:after="100" w:afterAutospacing="1" w:line="240" w:lineRule="auto"/>
    </w:pPr>
    <w:rPr>
      <w:rFonts w:cs="Times New Roman"/>
      <w:szCs w:val="24"/>
    </w:rPr>
  </w:style>
  <w:style w:type="paragraph" w:styleId="TOCHeading">
    <w:name w:val="TOC Heading"/>
    <w:basedOn w:val="Heading1"/>
    <w:next w:val="Normal"/>
    <w:uiPriority w:val="39"/>
    <w:unhideWhenUsed/>
    <w:qFormat/>
    <w:rsid w:val="005A3E52"/>
    <w:pPr>
      <w:spacing w:before="240" w:line="259" w:lineRule="auto"/>
      <w:jc w:val="left"/>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5A3E52"/>
    <w:pPr>
      <w:spacing w:after="100"/>
    </w:pPr>
  </w:style>
  <w:style w:type="paragraph" w:styleId="TOC2">
    <w:name w:val="toc 2"/>
    <w:basedOn w:val="Normal"/>
    <w:next w:val="Normal"/>
    <w:autoRedefine/>
    <w:uiPriority w:val="39"/>
    <w:unhideWhenUsed/>
    <w:rsid w:val="005A3E52"/>
    <w:pPr>
      <w:spacing w:after="100"/>
      <w:ind w:left="220"/>
    </w:pPr>
  </w:style>
  <w:style w:type="paragraph" w:styleId="TOC3">
    <w:name w:val="toc 3"/>
    <w:basedOn w:val="Normal"/>
    <w:next w:val="Normal"/>
    <w:autoRedefine/>
    <w:uiPriority w:val="39"/>
    <w:unhideWhenUsed/>
    <w:rsid w:val="000A15D2"/>
    <w:pPr>
      <w:tabs>
        <w:tab w:val="left" w:pos="1320"/>
        <w:tab w:val="right" w:leader="dot" w:pos="8486"/>
      </w:tabs>
      <w:ind w:firstLine="0"/>
      <w:jc w:val="right"/>
    </w:pPr>
  </w:style>
  <w:style w:type="paragraph" w:styleId="NoSpacing">
    <w:name w:val="No Spacing"/>
    <w:basedOn w:val="Normal"/>
    <w:link w:val="NoSpacingChar"/>
    <w:uiPriority w:val="1"/>
    <w:qFormat/>
    <w:rsid w:val="00C46E11"/>
    <w:pPr>
      <w:spacing w:line="240" w:lineRule="auto"/>
      <w:ind w:firstLine="0"/>
      <w:jc w:val="center"/>
    </w:pPr>
    <w:rPr>
      <w:rFonts w:eastAsia="Times New Roman" w:cs="Times New Roman"/>
      <w:szCs w:val="32"/>
      <w:lang w:bidi="en-US"/>
    </w:rPr>
  </w:style>
  <w:style w:type="character" w:customStyle="1" w:styleId="NoSpacingChar">
    <w:name w:val="No Spacing Char"/>
    <w:basedOn w:val="DefaultParagraphFont"/>
    <w:link w:val="NoSpacing"/>
    <w:uiPriority w:val="1"/>
    <w:rsid w:val="00C46E11"/>
    <w:rPr>
      <w:rFonts w:ascii="Times New Roman" w:eastAsia="Times New Roman" w:hAnsi="Times New Roman" w:cs="Times New Roman"/>
      <w:sz w:val="24"/>
      <w:szCs w:val="32"/>
      <w:lang w:bidi="en-US"/>
    </w:rPr>
  </w:style>
  <w:style w:type="paragraph" w:styleId="Caption">
    <w:name w:val="caption"/>
    <w:basedOn w:val="Normal"/>
    <w:next w:val="Normal"/>
    <w:autoRedefine/>
    <w:uiPriority w:val="35"/>
    <w:unhideWhenUsed/>
    <w:qFormat/>
    <w:rsid w:val="00554848"/>
    <w:pPr>
      <w:keepNext/>
      <w:spacing w:line="240" w:lineRule="auto"/>
      <w:ind w:firstLine="0"/>
      <w:jc w:val="center"/>
    </w:pPr>
    <w:rPr>
      <w:rFonts w:cs="Times New Roman"/>
      <w:b/>
      <w:iCs/>
      <w:szCs w:val="24"/>
    </w:rPr>
  </w:style>
  <w:style w:type="paragraph" w:styleId="TableofFigures">
    <w:name w:val="table of figures"/>
    <w:basedOn w:val="Normal"/>
    <w:next w:val="Normal"/>
    <w:uiPriority w:val="99"/>
    <w:unhideWhenUsed/>
    <w:rsid w:val="0077282F"/>
  </w:style>
  <w:style w:type="table" w:styleId="PlainTable3">
    <w:name w:val="Plain Table 3"/>
    <w:basedOn w:val="TableNormal"/>
    <w:uiPriority w:val="43"/>
    <w:rsid w:val="00D60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ofcon">
    <w:name w:val="Table of con"/>
    <w:basedOn w:val="Heading9"/>
    <w:link w:val="TableofconChar"/>
    <w:qFormat/>
    <w:rsid w:val="004749FF"/>
    <w:pPr>
      <w:jc w:val="center"/>
    </w:pPr>
    <w:rPr>
      <w:rFonts w:ascii="Times New Roman" w:hAnsi="Times New Roman"/>
      <w:b/>
      <w:i w:val="0"/>
      <w:sz w:val="28"/>
    </w:rPr>
  </w:style>
  <w:style w:type="character" w:customStyle="1" w:styleId="TableofconChar">
    <w:name w:val="Table of con Char"/>
    <w:basedOn w:val="Heading1Char"/>
    <w:link w:val="Tableofcon"/>
    <w:rsid w:val="004749FF"/>
    <w:rPr>
      <w:rFonts w:ascii="Times New Roman" w:eastAsiaTheme="majorEastAsia" w:hAnsi="Times New Roman" w:cstheme="majorBidi"/>
      <w:b/>
      <w:bCs w:val="0"/>
      <w:iCs/>
      <w:color w:val="272727" w:themeColor="text1" w:themeTint="D8"/>
      <w:sz w:val="28"/>
      <w:szCs w:val="21"/>
    </w:rPr>
  </w:style>
  <w:style w:type="character" w:customStyle="1" w:styleId="FootnoteTextChar">
    <w:name w:val="Footnote Text Char"/>
    <w:basedOn w:val="DefaultParagraphFont"/>
    <w:link w:val="FootnoteText"/>
    <w:uiPriority w:val="99"/>
    <w:semiHidden/>
    <w:rsid w:val="000C2D31"/>
    <w:rPr>
      <w:rFonts w:ascii="Times New Roman" w:eastAsiaTheme="minorEastAsia" w:hAnsi="Times New Roman"/>
      <w:sz w:val="20"/>
      <w:szCs w:val="20"/>
    </w:rPr>
  </w:style>
  <w:style w:type="paragraph" w:styleId="FootnoteText">
    <w:name w:val="footnote text"/>
    <w:basedOn w:val="Normal"/>
    <w:link w:val="FootnoteTextChar"/>
    <w:uiPriority w:val="99"/>
    <w:semiHidden/>
    <w:unhideWhenUsed/>
    <w:rsid w:val="000C2D31"/>
    <w:pPr>
      <w:spacing w:line="240" w:lineRule="auto"/>
    </w:pPr>
    <w:rPr>
      <w:sz w:val="20"/>
      <w:szCs w:val="20"/>
    </w:rPr>
  </w:style>
  <w:style w:type="character" w:customStyle="1" w:styleId="Heading6Char">
    <w:name w:val="Heading 6 Char"/>
    <w:aliases w:val="Figure Char"/>
    <w:basedOn w:val="DefaultParagraphFont"/>
    <w:link w:val="Heading6"/>
    <w:uiPriority w:val="9"/>
    <w:rsid w:val="003B7962"/>
    <w:rPr>
      <w:rFonts w:ascii="Times New Roman" w:eastAsiaTheme="majorEastAsia" w:hAnsi="Times New Roman" w:cstheme="majorBidi"/>
      <w:sz w:val="24"/>
    </w:rPr>
  </w:style>
  <w:style w:type="character" w:customStyle="1" w:styleId="current-selection">
    <w:name w:val="current-selection"/>
    <w:basedOn w:val="DefaultParagraphFont"/>
    <w:rsid w:val="006C0391"/>
  </w:style>
  <w:style w:type="character" w:customStyle="1" w:styleId="a">
    <w:name w:val="_"/>
    <w:basedOn w:val="DefaultParagraphFont"/>
    <w:rsid w:val="006C0391"/>
  </w:style>
  <w:style w:type="paragraph" w:customStyle="1" w:styleId="Equations">
    <w:name w:val="Equations"/>
    <w:basedOn w:val="Normal"/>
    <w:link w:val="EquationsChar"/>
    <w:qFormat/>
    <w:rsid w:val="00682F7B"/>
    <w:pPr>
      <w:ind w:firstLine="0"/>
    </w:pPr>
    <w:rPr>
      <w:rFonts w:cs="Times New Roman"/>
      <w:szCs w:val="24"/>
    </w:rPr>
  </w:style>
  <w:style w:type="paragraph" w:customStyle="1" w:styleId="References">
    <w:name w:val="References"/>
    <w:basedOn w:val="Normal"/>
    <w:link w:val="ReferencesChar"/>
    <w:qFormat/>
    <w:rsid w:val="00797000"/>
    <w:pPr>
      <w:widowControl w:val="0"/>
      <w:autoSpaceDE w:val="0"/>
      <w:autoSpaceDN w:val="0"/>
      <w:adjustRightInd w:val="0"/>
      <w:spacing w:before="240" w:after="240" w:line="240" w:lineRule="auto"/>
      <w:ind w:left="720" w:hanging="720"/>
    </w:pPr>
    <w:rPr>
      <w:rFonts w:cs="Times New Roman"/>
      <w:noProof/>
      <w:szCs w:val="24"/>
    </w:rPr>
  </w:style>
  <w:style w:type="character" w:customStyle="1" w:styleId="EquationsChar">
    <w:name w:val="Equations Char"/>
    <w:basedOn w:val="DefaultParagraphFont"/>
    <w:link w:val="Equations"/>
    <w:rsid w:val="00682F7B"/>
    <w:rPr>
      <w:rFonts w:ascii="Times New Roman" w:eastAsiaTheme="minorEastAsia" w:hAnsi="Times New Roman" w:cs="Times New Roman"/>
      <w:sz w:val="24"/>
      <w:szCs w:val="24"/>
    </w:rPr>
  </w:style>
  <w:style w:type="character" w:customStyle="1" w:styleId="ReferencesChar">
    <w:name w:val="References Char"/>
    <w:basedOn w:val="DefaultParagraphFont"/>
    <w:link w:val="References"/>
    <w:rsid w:val="00797000"/>
    <w:rPr>
      <w:rFonts w:ascii="Times New Roman" w:eastAsiaTheme="minorEastAsia"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41858">
      <w:bodyDiv w:val="1"/>
      <w:marLeft w:val="0"/>
      <w:marRight w:val="0"/>
      <w:marTop w:val="0"/>
      <w:marBottom w:val="0"/>
      <w:divBdr>
        <w:top w:val="none" w:sz="0" w:space="0" w:color="auto"/>
        <w:left w:val="none" w:sz="0" w:space="0" w:color="auto"/>
        <w:bottom w:val="none" w:sz="0" w:space="0" w:color="auto"/>
        <w:right w:val="none" w:sz="0" w:space="0" w:color="auto"/>
      </w:divBdr>
    </w:div>
    <w:div w:id="258101912">
      <w:bodyDiv w:val="1"/>
      <w:marLeft w:val="0"/>
      <w:marRight w:val="0"/>
      <w:marTop w:val="0"/>
      <w:marBottom w:val="0"/>
      <w:divBdr>
        <w:top w:val="none" w:sz="0" w:space="0" w:color="auto"/>
        <w:left w:val="none" w:sz="0" w:space="0" w:color="auto"/>
        <w:bottom w:val="none" w:sz="0" w:space="0" w:color="auto"/>
        <w:right w:val="none" w:sz="0" w:space="0" w:color="auto"/>
      </w:divBdr>
    </w:div>
    <w:div w:id="423233392">
      <w:bodyDiv w:val="1"/>
      <w:marLeft w:val="0"/>
      <w:marRight w:val="0"/>
      <w:marTop w:val="0"/>
      <w:marBottom w:val="0"/>
      <w:divBdr>
        <w:top w:val="none" w:sz="0" w:space="0" w:color="auto"/>
        <w:left w:val="none" w:sz="0" w:space="0" w:color="auto"/>
        <w:bottom w:val="none" w:sz="0" w:space="0" w:color="auto"/>
        <w:right w:val="none" w:sz="0" w:space="0" w:color="auto"/>
      </w:divBdr>
    </w:div>
    <w:div w:id="518349100">
      <w:bodyDiv w:val="1"/>
      <w:marLeft w:val="0"/>
      <w:marRight w:val="0"/>
      <w:marTop w:val="0"/>
      <w:marBottom w:val="0"/>
      <w:divBdr>
        <w:top w:val="none" w:sz="0" w:space="0" w:color="auto"/>
        <w:left w:val="none" w:sz="0" w:space="0" w:color="auto"/>
        <w:bottom w:val="none" w:sz="0" w:space="0" w:color="auto"/>
        <w:right w:val="none" w:sz="0" w:space="0" w:color="auto"/>
      </w:divBdr>
    </w:div>
    <w:div w:id="631325080">
      <w:bodyDiv w:val="1"/>
      <w:marLeft w:val="0"/>
      <w:marRight w:val="0"/>
      <w:marTop w:val="0"/>
      <w:marBottom w:val="0"/>
      <w:divBdr>
        <w:top w:val="none" w:sz="0" w:space="0" w:color="auto"/>
        <w:left w:val="none" w:sz="0" w:space="0" w:color="auto"/>
        <w:bottom w:val="none" w:sz="0" w:space="0" w:color="auto"/>
        <w:right w:val="none" w:sz="0" w:space="0" w:color="auto"/>
      </w:divBdr>
      <w:divsChild>
        <w:div w:id="344134415">
          <w:marLeft w:val="0"/>
          <w:marRight w:val="0"/>
          <w:marTop w:val="0"/>
          <w:marBottom w:val="0"/>
          <w:divBdr>
            <w:top w:val="none" w:sz="0" w:space="0" w:color="auto"/>
            <w:left w:val="none" w:sz="0" w:space="0" w:color="auto"/>
            <w:bottom w:val="none" w:sz="0" w:space="0" w:color="auto"/>
            <w:right w:val="none" w:sz="0" w:space="0" w:color="auto"/>
          </w:divBdr>
        </w:div>
        <w:div w:id="822240175">
          <w:marLeft w:val="0"/>
          <w:marRight w:val="0"/>
          <w:marTop w:val="0"/>
          <w:marBottom w:val="0"/>
          <w:divBdr>
            <w:top w:val="none" w:sz="0" w:space="0" w:color="auto"/>
            <w:left w:val="none" w:sz="0" w:space="0" w:color="auto"/>
            <w:bottom w:val="none" w:sz="0" w:space="0" w:color="auto"/>
            <w:right w:val="none" w:sz="0" w:space="0" w:color="auto"/>
          </w:divBdr>
        </w:div>
        <w:div w:id="839269421">
          <w:marLeft w:val="0"/>
          <w:marRight w:val="0"/>
          <w:marTop w:val="0"/>
          <w:marBottom w:val="0"/>
          <w:divBdr>
            <w:top w:val="none" w:sz="0" w:space="0" w:color="auto"/>
            <w:left w:val="none" w:sz="0" w:space="0" w:color="auto"/>
            <w:bottom w:val="none" w:sz="0" w:space="0" w:color="auto"/>
            <w:right w:val="none" w:sz="0" w:space="0" w:color="auto"/>
          </w:divBdr>
        </w:div>
        <w:div w:id="1249076602">
          <w:marLeft w:val="0"/>
          <w:marRight w:val="0"/>
          <w:marTop w:val="0"/>
          <w:marBottom w:val="0"/>
          <w:divBdr>
            <w:top w:val="none" w:sz="0" w:space="0" w:color="auto"/>
            <w:left w:val="none" w:sz="0" w:space="0" w:color="auto"/>
            <w:bottom w:val="none" w:sz="0" w:space="0" w:color="auto"/>
            <w:right w:val="none" w:sz="0" w:space="0" w:color="auto"/>
          </w:divBdr>
        </w:div>
      </w:divsChild>
    </w:div>
    <w:div w:id="662049501">
      <w:bodyDiv w:val="1"/>
      <w:marLeft w:val="0"/>
      <w:marRight w:val="0"/>
      <w:marTop w:val="0"/>
      <w:marBottom w:val="0"/>
      <w:divBdr>
        <w:top w:val="none" w:sz="0" w:space="0" w:color="auto"/>
        <w:left w:val="none" w:sz="0" w:space="0" w:color="auto"/>
        <w:bottom w:val="none" w:sz="0" w:space="0" w:color="auto"/>
        <w:right w:val="none" w:sz="0" w:space="0" w:color="auto"/>
      </w:divBdr>
    </w:div>
    <w:div w:id="909461989">
      <w:bodyDiv w:val="1"/>
      <w:marLeft w:val="0"/>
      <w:marRight w:val="0"/>
      <w:marTop w:val="0"/>
      <w:marBottom w:val="0"/>
      <w:divBdr>
        <w:top w:val="none" w:sz="0" w:space="0" w:color="auto"/>
        <w:left w:val="none" w:sz="0" w:space="0" w:color="auto"/>
        <w:bottom w:val="none" w:sz="0" w:space="0" w:color="auto"/>
        <w:right w:val="none" w:sz="0" w:space="0" w:color="auto"/>
      </w:divBdr>
    </w:div>
    <w:div w:id="937524626">
      <w:bodyDiv w:val="1"/>
      <w:marLeft w:val="0"/>
      <w:marRight w:val="0"/>
      <w:marTop w:val="0"/>
      <w:marBottom w:val="0"/>
      <w:divBdr>
        <w:top w:val="none" w:sz="0" w:space="0" w:color="auto"/>
        <w:left w:val="none" w:sz="0" w:space="0" w:color="auto"/>
        <w:bottom w:val="none" w:sz="0" w:space="0" w:color="auto"/>
        <w:right w:val="none" w:sz="0" w:space="0" w:color="auto"/>
      </w:divBdr>
    </w:div>
    <w:div w:id="1211697155">
      <w:bodyDiv w:val="1"/>
      <w:marLeft w:val="0"/>
      <w:marRight w:val="0"/>
      <w:marTop w:val="0"/>
      <w:marBottom w:val="0"/>
      <w:divBdr>
        <w:top w:val="none" w:sz="0" w:space="0" w:color="auto"/>
        <w:left w:val="none" w:sz="0" w:space="0" w:color="auto"/>
        <w:bottom w:val="none" w:sz="0" w:space="0" w:color="auto"/>
        <w:right w:val="none" w:sz="0" w:space="0" w:color="auto"/>
      </w:divBdr>
      <w:divsChild>
        <w:div w:id="97988005">
          <w:marLeft w:val="0"/>
          <w:marRight w:val="0"/>
          <w:marTop w:val="0"/>
          <w:marBottom w:val="0"/>
          <w:divBdr>
            <w:top w:val="none" w:sz="0" w:space="0" w:color="auto"/>
            <w:left w:val="none" w:sz="0" w:space="0" w:color="auto"/>
            <w:bottom w:val="none" w:sz="0" w:space="0" w:color="auto"/>
            <w:right w:val="none" w:sz="0" w:space="0" w:color="auto"/>
          </w:divBdr>
        </w:div>
        <w:div w:id="336151513">
          <w:marLeft w:val="0"/>
          <w:marRight w:val="0"/>
          <w:marTop w:val="0"/>
          <w:marBottom w:val="0"/>
          <w:divBdr>
            <w:top w:val="none" w:sz="0" w:space="0" w:color="auto"/>
            <w:left w:val="none" w:sz="0" w:space="0" w:color="auto"/>
            <w:bottom w:val="none" w:sz="0" w:space="0" w:color="auto"/>
            <w:right w:val="none" w:sz="0" w:space="0" w:color="auto"/>
          </w:divBdr>
        </w:div>
        <w:div w:id="446317618">
          <w:marLeft w:val="0"/>
          <w:marRight w:val="0"/>
          <w:marTop w:val="0"/>
          <w:marBottom w:val="0"/>
          <w:divBdr>
            <w:top w:val="none" w:sz="0" w:space="0" w:color="auto"/>
            <w:left w:val="none" w:sz="0" w:space="0" w:color="auto"/>
            <w:bottom w:val="none" w:sz="0" w:space="0" w:color="auto"/>
            <w:right w:val="none" w:sz="0" w:space="0" w:color="auto"/>
          </w:divBdr>
        </w:div>
        <w:div w:id="721750451">
          <w:marLeft w:val="0"/>
          <w:marRight w:val="0"/>
          <w:marTop w:val="0"/>
          <w:marBottom w:val="0"/>
          <w:divBdr>
            <w:top w:val="none" w:sz="0" w:space="0" w:color="auto"/>
            <w:left w:val="none" w:sz="0" w:space="0" w:color="auto"/>
            <w:bottom w:val="none" w:sz="0" w:space="0" w:color="auto"/>
            <w:right w:val="none" w:sz="0" w:space="0" w:color="auto"/>
          </w:divBdr>
        </w:div>
        <w:div w:id="1171335658">
          <w:marLeft w:val="0"/>
          <w:marRight w:val="0"/>
          <w:marTop w:val="0"/>
          <w:marBottom w:val="0"/>
          <w:divBdr>
            <w:top w:val="none" w:sz="0" w:space="0" w:color="auto"/>
            <w:left w:val="none" w:sz="0" w:space="0" w:color="auto"/>
            <w:bottom w:val="none" w:sz="0" w:space="0" w:color="auto"/>
            <w:right w:val="none" w:sz="0" w:space="0" w:color="auto"/>
          </w:divBdr>
        </w:div>
        <w:div w:id="1926500171">
          <w:marLeft w:val="0"/>
          <w:marRight w:val="0"/>
          <w:marTop w:val="0"/>
          <w:marBottom w:val="0"/>
          <w:divBdr>
            <w:top w:val="none" w:sz="0" w:space="0" w:color="auto"/>
            <w:left w:val="none" w:sz="0" w:space="0" w:color="auto"/>
            <w:bottom w:val="none" w:sz="0" w:space="0" w:color="auto"/>
            <w:right w:val="none" w:sz="0" w:space="0" w:color="auto"/>
          </w:divBdr>
        </w:div>
        <w:div w:id="1964849376">
          <w:marLeft w:val="0"/>
          <w:marRight w:val="0"/>
          <w:marTop w:val="0"/>
          <w:marBottom w:val="0"/>
          <w:divBdr>
            <w:top w:val="none" w:sz="0" w:space="0" w:color="auto"/>
            <w:left w:val="none" w:sz="0" w:space="0" w:color="auto"/>
            <w:bottom w:val="none" w:sz="0" w:space="0" w:color="auto"/>
            <w:right w:val="none" w:sz="0" w:space="0" w:color="auto"/>
          </w:divBdr>
        </w:div>
      </w:divsChild>
    </w:div>
    <w:div w:id="1785810076">
      <w:bodyDiv w:val="1"/>
      <w:marLeft w:val="0"/>
      <w:marRight w:val="0"/>
      <w:marTop w:val="0"/>
      <w:marBottom w:val="0"/>
      <w:divBdr>
        <w:top w:val="none" w:sz="0" w:space="0" w:color="auto"/>
        <w:left w:val="none" w:sz="0" w:space="0" w:color="auto"/>
        <w:bottom w:val="none" w:sz="0" w:space="0" w:color="auto"/>
        <w:right w:val="none" w:sz="0" w:space="0" w:color="auto"/>
      </w:divBdr>
    </w:div>
    <w:div w:id="1816944693">
      <w:bodyDiv w:val="1"/>
      <w:marLeft w:val="0"/>
      <w:marRight w:val="0"/>
      <w:marTop w:val="0"/>
      <w:marBottom w:val="0"/>
      <w:divBdr>
        <w:top w:val="none" w:sz="0" w:space="0" w:color="auto"/>
        <w:left w:val="none" w:sz="0" w:space="0" w:color="auto"/>
        <w:bottom w:val="none" w:sz="0" w:space="0" w:color="auto"/>
        <w:right w:val="none" w:sz="0" w:space="0" w:color="auto"/>
      </w:divBdr>
      <w:divsChild>
        <w:div w:id="12996231">
          <w:marLeft w:val="0"/>
          <w:marRight w:val="0"/>
          <w:marTop w:val="0"/>
          <w:marBottom w:val="0"/>
          <w:divBdr>
            <w:top w:val="none" w:sz="0" w:space="0" w:color="auto"/>
            <w:left w:val="none" w:sz="0" w:space="0" w:color="auto"/>
            <w:bottom w:val="none" w:sz="0" w:space="0" w:color="auto"/>
            <w:right w:val="none" w:sz="0" w:space="0" w:color="auto"/>
          </w:divBdr>
        </w:div>
        <w:div w:id="489447540">
          <w:marLeft w:val="0"/>
          <w:marRight w:val="0"/>
          <w:marTop w:val="0"/>
          <w:marBottom w:val="0"/>
          <w:divBdr>
            <w:top w:val="none" w:sz="0" w:space="0" w:color="auto"/>
            <w:left w:val="none" w:sz="0" w:space="0" w:color="auto"/>
            <w:bottom w:val="none" w:sz="0" w:space="0" w:color="auto"/>
            <w:right w:val="none" w:sz="0" w:space="0" w:color="auto"/>
          </w:divBdr>
        </w:div>
        <w:div w:id="737480639">
          <w:marLeft w:val="0"/>
          <w:marRight w:val="0"/>
          <w:marTop w:val="0"/>
          <w:marBottom w:val="0"/>
          <w:divBdr>
            <w:top w:val="none" w:sz="0" w:space="0" w:color="auto"/>
            <w:left w:val="none" w:sz="0" w:space="0" w:color="auto"/>
            <w:bottom w:val="none" w:sz="0" w:space="0" w:color="auto"/>
            <w:right w:val="none" w:sz="0" w:space="0" w:color="auto"/>
          </w:divBdr>
        </w:div>
        <w:div w:id="1053188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tiff"/><Relationship Id="rId117" Type="http://schemas.openxmlformats.org/officeDocument/2006/relationships/image" Target="media/image82.tiff"/><Relationship Id="rId21" Type="http://schemas.openxmlformats.org/officeDocument/2006/relationships/image" Target="media/image10.tiff"/><Relationship Id="rId42" Type="http://schemas.openxmlformats.org/officeDocument/2006/relationships/chart" Target="charts/chart2.xml"/><Relationship Id="rId47" Type="http://schemas.openxmlformats.org/officeDocument/2006/relationships/chart" Target="charts/chart6.xml"/><Relationship Id="rId63" Type="http://schemas.openxmlformats.org/officeDocument/2006/relationships/image" Target="media/image37.png"/><Relationship Id="rId68" Type="http://schemas.openxmlformats.org/officeDocument/2006/relationships/image" Target="media/image41.tiff"/><Relationship Id="rId84" Type="http://schemas.openxmlformats.org/officeDocument/2006/relationships/image" Target="media/image55.png"/><Relationship Id="rId89" Type="http://schemas.openxmlformats.org/officeDocument/2006/relationships/image" Target="media/image59.png"/><Relationship Id="rId112" Type="http://schemas.openxmlformats.org/officeDocument/2006/relationships/image" Target="media/image77.tiff"/><Relationship Id="rId133" Type="http://schemas.openxmlformats.org/officeDocument/2006/relationships/image" Target="media/image91.tiff"/><Relationship Id="rId138" Type="http://schemas.openxmlformats.org/officeDocument/2006/relationships/image" Target="media/image96.png"/><Relationship Id="rId16" Type="http://schemas.openxmlformats.org/officeDocument/2006/relationships/image" Target="media/image5.tiff"/><Relationship Id="rId107" Type="http://schemas.openxmlformats.org/officeDocument/2006/relationships/image" Target="media/image72.tiff"/><Relationship Id="rId11" Type="http://schemas.openxmlformats.org/officeDocument/2006/relationships/footer" Target="footer4.xml"/><Relationship Id="rId32" Type="http://schemas.openxmlformats.org/officeDocument/2006/relationships/image" Target="media/image21.tiff"/><Relationship Id="rId37"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chart" Target="charts/chart12.xml"/><Relationship Id="rId74" Type="http://schemas.openxmlformats.org/officeDocument/2006/relationships/image" Target="media/image47.tiff"/><Relationship Id="rId79" Type="http://schemas.openxmlformats.org/officeDocument/2006/relationships/image" Target="media/image52.png"/><Relationship Id="rId102" Type="http://schemas.microsoft.com/office/2007/relationships/hdphoto" Target="media/hdphoto5.wdp"/><Relationship Id="rId123" Type="http://schemas.openxmlformats.org/officeDocument/2006/relationships/image" Target="media/image88.tiff"/><Relationship Id="rId128" Type="http://schemas.openxmlformats.org/officeDocument/2006/relationships/chart" Target="charts/chart21.xml"/><Relationship Id="rId144" Type="http://schemas.openxmlformats.org/officeDocument/2006/relationships/image" Target="media/image102.tiff"/><Relationship Id="rId149" Type="http://schemas.openxmlformats.org/officeDocument/2006/relationships/image" Target="media/image107.tiff"/><Relationship Id="rId5" Type="http://schemas.openxmlformats.org/officeDocument/2006/relationships/webSettings" Target="webSettings.xml"/><Relationship Id="rId90" Type="http://schemas.microsoft.com/office/2007/relationships/hdphoto" Target="media/hdphoto1.wdp"/><Relationship Id="rId95" Type="http://schemas.microsoft.com/office/2007/relationships/hdphoto" Target="media/hdphoto2.wdp"/><Relationship Id="rId22" Type="http://schemas.openxmlformats.org/officeDocument/2006/relationships/image" Target="media/image11.png"/><Relationship Id="rId27" Type="http://schemas.openxmlformats.org/officeDocument/2006/relationships/image" Target="media/image16.tiff"/><Relationship Id="rId43" Type="http://schemas.openxmlformats.org/officeDocument/2006/relationships/chart" Target="charts/chart3.xml"/><Relationship Id="rId48" Type="http://schemas.openxmlformats.org/officeDocument/2006/relationships/image" Target="media/image31.tiff"/><Relationship Id="rId64" Type="http://schemas.openxmlformats.org/officeDocument/2006/relationships/image" Target="media/image38.tiff"/><Relationship Id="rId69" Type="http://schemas.openxmlformats.org/officeDocument/2006/relationships/image" Target="media/image42.tiff"/><Relationship Id="rId113" Type="http://schemas.openxmlformats.org/officeDocument/2006/relationships/image" Target="media/image78.tiff"/><Relationship Id="rId118" Type="http://schemas.openxmlformats.org/officeDocument/2006/relationships/image" Target="media/image83.tiff"/><Relationship Id="rId134" Type="http://schemas.openxmlformats.org/officeDocument/2006/relationships/image" Target="media/image92.tiff"/><Relationship Id="rId139" Type="http://schemas.openxmlformats.org/officeDocument/2006/relationships/image" Target="media/image97.tiff"/><Relationship Id="rId80" Type="http://schemas.openxmlformats.org/officeDocument/2006/relationships/image" Target="media/image53.png"/><Relationship Id="rId85" Type="http://schemas.openxmlformats.org/officeDocument/2006/relationships/oleObject" Target="embeddings/oleObject3.bin"/><Relationship Id="rId150" Type="http://schemas.openxmlformats.org/officeDocument/2006/relationships/image" Target="media/image108.tiff"/><Relationship Id="rId12" Type="http://schemas.openxmlformats.org/officeDocument/2006/relationships/image" Target="media/image1.png"/><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chart" Target="charts/chart5.xml"/><Relationship Id="rId59" Type="http://schemas.openxmlformats.org/officeDocument/2006/relationships/chart" Target="charts/chart13.xml"/><Relationship Id="rId67" Type="http://schemas.openxmlformats.org/officeDocument/2006/relationships/image" Target="media/image40.tiff"/><Relationship Id="rId103" Type="http://schemas.openxmlformats.org/officeDocument/2006/relationships/image" Target="media/image68.png"/><Relationship Id="rId108" Type="http://schemas.openxmlformats.org/officeDocument/2006/relationships/image" Target="media/image73.tiff"/><Relationship Id="rId116" Type="http://schemas.openxmlformats.org/officeDocument/2006/relationships/image" Target="media/image81.tiff"/><Relationship Id="rId124" Type="http://schemas.openxmlformats.org/officeDocument/2006/relationships/chart" Target="charts/chart17.xml"/><Relationship Id="rId129" Type="http://schemas.openxmlformats.org/officeDocument/2006/relationships/chart" Target="charts/chart22.xml"/><Relationship Id="rId137" Type="http://schemas.openxmlformats.org/officeDocument/2006/relationships/image" Target="media/image95.tiff"/><Relationship Id="rId20" Type="http://schemas.openxmlformats.org/officeDocument/2006/relationships/image" Target="media/image9.tiff"/><Relationship Id="rId41" Type="http://schemas.openxmlformats.org/officeDocument/2006/relationships/image" Target="media/image29.png"/><Relationship Id="rId54" Type="http://schemas.openxmlformats.org/officeDocument/2006/relationships/image" Target="media/image33.png"/><Relationship Id="rId62" Type="http://schemas.openxmlformats.org/officeDocument/2006/relationships/image" Target="media/image36.png"/><Relationship Id="rId70" Type="http://schemas.openxmlformats.org/officeDocument/2006/relationships/image" Target="media/image43.tiff"/><Relationship Id="rId75" Type="http://schemas.openxmlformats.org/officeDocument/2006/relationships/image" Target="media/image48.tiff"/><Relationship Id="rId83" Type="http://schemas.openxmlformats.org/officeDocument/2006/relationships/oleObject" Target="embeddings/oleObject2.bin"/><Relationship Id="rId88" Type="http://schemas.openxmlformats.org/officeDocument/2006/relationships/image" Target="media/image58.png"/><Relationship Id="rId91" Type="http://schemas.openxmlformats.org/officeDocument/2006/relationships/image" Target="media/image60.tiff"/><Relationship Id="rId96" Type="http://schemas.openxmlformats.org/officeDocument/2006/relationships/image" Target="media/image64.png"/><Relationship Id="rId111" Type="http://schemas.openxmlformats.org/officeDocument/2006/relationships/image" Target="media/image76.tiff"/><Relationship Id="rId132" Type="http://schemas.openxmlformats.org/officeDocument/2006/relationships/image" Target="media/image90.tiff"/><Relationship Id="rId140" Type="http://schemas.openxmlformats.org/officeDocument/2006/relationships/image" Target="media/image98.tiff"/><Relationship Id="rId145" Type="http://schemas.openxmlformats.org/officeDocument/2006/relationships/image" Target="media/image103.pn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image" Target="media/image25.tiff"/><Relationship Id="rId49" Type="http://schemas.openxmlformats.org/officeDocument/2006/relationships/chart" Target="charts/chart7.xml"/><Relationship Id="rId57" Type="http://schemas.openxmlformats.org/officeDocument/2006/relationships/image" Target="media/image35.png"/><Relationship Id="rId106" Type="http://schemas.openxmlformats.org/officeDocument/2006/relationships/image" Target="media/image71.tiff"/><Relationship Id="rId114" Type="http://schemas.openxmlformats.org/officeDocument/2006/relationships/image" Target="media/image79.tiff"/><Relationship Id="rId119" Type="http://schemas.openxmlformats.org/officeDocument/2006/relationships/image" Target="media/image84.tiff"/><Relationship Id="rId127" Type="http://schemas.openxmlformats.org/officeDocument/2006/relationships/chart" Target="charts/chart20.xml"/><Relationship Id="rId10" Type="http://schemas.openxmlformats.org/officeDocument/2006/relationships/footer" Target="footer3.xml"/><Relationship Id="rId31" Type="http://schemas.openxmlformats.org/officeDocument/2006/relationships/image" Target="media/image20.tiff"/><Relationship Id="rId44" Type="http://schemas.openxmlformats.org/officeDocument/2006/relationships/image" Target="media/image30.tiff"/><Relationship Id="rId52" Type="http://schemas.openxmlformats.org/officeDocument/2006/relationships/chart" Target="charts/chart10.xml"/><Relationship Id="rId60" Type="http://schemas.openxmlformats.org/officeDocument/2006/relationships/chart" Target="charts/chart14.xml"/><Relationship Id="rId65" Type="http://schemas.openxmlformats.org/officeDocument/2006/relationships/image" Target="media/image39.tiff"/><Relationship Id="rId73" Type="http://schemas.openxmlformats.org/officeDocument/2006/relationships/image" Target="media/image46.tiff"/><Relationship Id="rId78" Type="http://schemas.openxmlformats.org/officeDocument/2006/relationships/image" Target="media/image51.tiff"/><Relationship Id="rId81" Type="http://schemas.openxmlformats.org/officeDocument/2006/relationships/oleObject" Target="embeddings/oleObject1.bin"/><Relationship Id="rId86" Type="http://schemas.openxmlformats.org/officeDocument/2006/relationships/image" Target="media/image56.png"/><Relationship Id="rId94" Type="http://schemas.openxmlformats.org/officeDocument/2006/relationships/image" Target="media/image63.png"/><Relationship Id="rId99" Type="http://schemas.openxmlformats.org/officeDocument/2006/relationships/image" Target="media/image66.png"/><Relationship Id="rId101" Type="http://schemas.openxmlformats.org/officeDocument/2006/relationships/image" Target="media/image67.png"/><Relationship Id="rId122" Type="http://schemas.openxmlformats.org/officeDocument/2006/relationships/image" Target="media/image87.tiff"/><Relationship Id="rId130" Type="http://schemas.openxmlformats.org/officeDocument/2006/relationships/chart" Target="charts/chart23.xml"/><Relationship Id="rId135" Type="http://schemas.openxmlformats.org/officeDocument/2006/relationships/image" Target="media/image93.tiff"/><Relationship Id="rId143" Type="http://schemas.openxmlformats.org/officeDocument/2006/relationships/image" Target="media/image101.tiff"/><Relationship Id="rId148" Type="http://schemas.openxmlformats.org/officeDocument/2006/relationships/image" Target="media/image106.tiff"/><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tiff"/><Relationship Id="rId39" Type="http://schemas.openxmlformats.org/officeDocument/2006/relationships/image" Target="media/image28.png"/><Relationship Id="rId109" Type="http://schemas.openxmlformats.org/officeDocument/2006/relationships/image" Target="media/image74.tiff"/><Relationship Id="rId34" Type="http://schemas.openxmlformats.org/officeDocument/2006/relationships/image" Target="media/image23.png"/><Relationship Id="rId50" Type="http://schemas.openxmlformats.org/officeDocument/2006/relationships/chart" Target="charts/chart8.xml"/><Relationship Id="rId55" Type="http://schemas.openxmlformats.org/officeDocument/2006/relationships/chart" Target="charts/chart11.xml"/><Relationship Id="rId76" Type="http://schemas.openxmlformats.org/officeDocument/2006/relationships/image" Target="media/image49.tiff"/><Relationship Id="rId97" Type="http://schemas.microsoft.com/office/2007/relationships/hdphoto" Target="media/hdphoto3.wdp"/><Relationship Id="rId104" Type="http://schemas.openxmlformats.org/officeDocument/2006/relationships/image" Target="media/image69.png"/><Relationship Id="rId120" Type="http://schemas.openxmlformats.org/officeDocument/2006/relationships/image" Target="media/image85.tiff"/><Relationship Id="rId125" Type="http://schemas.openxmlformats.org/officeDocument/2006/relationships/chart" Target="charts/chart18.xml"/><Relationship Id="rId141" Type="http://schemas.openxmlformats.org/officeDocument/2006/relationships/image" Target="media/image99.tiff"/><Relationship Id="rId146" Type="http://schemas.openxmlformats.org/officeDocument/2006/relationships/image" Target="media/image104.tiff"/><Relationship Id="rId7" Type="http://schemas.openxmlformats.org/officeDocument/2006/relationships/endnotes" Target="endnotes.xml"/><Relationship Id="rId71" Type="http://schemas.openxmlformats.org/officeDocument/2006/relationships/image" Target="media/image44.tiff"/><Relationship Id="rId92" Type="http://schemas.openxmlformats.org/officeDocument/2006/relationships/image" Target="media/image61.tiff"/><Relationship Id="rId2" Type="http://schemas.openxmlformats.org/officeDocument/2006/relationships/numbering" Target="numbering.xml"/><Relationship Id="rId29" Type="http://schemas.openxmlformats.org/officeDocument/2006/relationships/image" Target="media/image18.tiff"/><Relationship Id="rId24" Type="http://schemas.openxmlformats.org/officeDocument/2006/relationships/image" Target="media/image13.tiff"/><Relationship Id="rId40" Type="http://schemas.openxmlformats.org/officeDocument/2006/relationships/chart" Target="charts/chart1.xml"/><Relationship Id="rId45" Type="http://schemas.openxmlformats.org/officeDocument/2006/relationships/chart" Target="charts/chart4.xml"/><Relationship Id="rId66" Type="http://schemas.openxmlformats.org/officeDocument/2006/relationships/chart" Target="charts/chart16.xml"/><Relationship Id="rId87" Type="http://schemas.openxmlformats.org/officeDocument/2006/relationships/image" Target="media/image57.jpeg"/><Relationship Id="rId110" Type="http://schemas.openxmlformats.org/officeDocument/2006/relationships/image" Target="media/image75.tiff"/><Relationship Id="rId115" Type="http://schemas.openxmlformats.org/officeDocument/2006/relationships/image" Target="media/image80.tiff"/><Relationship Id="rId131" Type="http://schemas.openxmlformats.org/officeDocument/2006/relationships/image" Target="media/image89.tiff"/><Relationship Id="rId136" Type="http://schemas.openxmlformats.org/officeDocument/2006/relationships/image" Target="media/image94.tiff"/><Relationship Id="rId61" Type="http://schemas.openxmlformats.org/officeDocument/2006/relationships/chart" Target="charts/chart15.xml"/><Relationship Id="rId82" Type="http://schemas.openxmlformats.org/officeDocument/2006/relationships/image" Target="media/image54.png"/><Relationship Id="rId152" Type="http://schemas.openxmlformats.org/officeDocument/2006/relationships/glossaryDocument" Target="glossary/document.xml"/><Relationship Id="rId19" Type="http://schemas.openxmlformats.org/officeDocument/2006/relationships/image" Target="media/image8.tiff"/><Relationship Id="rId14" Type="http://schemas.openxmlformats.org/officeDocument/2006/relationships/image" Target="media/image3.tiff"/><Relationship Id="rId30" Type="http://schemas.openxmlformats.org/officeDocument/2006/relationships/image" Target="media/image19.tiff"/><Relationship Id="rId35" Type="http://schemas.openxmlformats.org/officeDocument/2006/relationships/image" Target="media/image24.tiff"/><Relationship Id="rId56" Type="http://schemas.openxmlformats.org/officeDocument/2006/relationships/image" Target="media/image34.png"/><Relationship Id="rId77" Type="http://schemas.openxmlformats.org/officeDocument/2006/relationships/image" Target="media/image50.tiff"/><Relationship Id="rId100" Type="http://schemas.microsoft.com/office/2007/relationships/hdphoto" Target="media/hdphoto4.wdp"/><Relationship Id="rId105" Type="http://schemas.openxmlformats.org/officeDocument/2006/relationships/image" Target="media/image70.png"/><Relationship Id="rId126" Type="http://schemas.openxmlformats.org/officeDocument/2006/relationships/chart" Target="charts/chart19.xml"/><Relationship Id="rId147" Type="http://schemas.openxmlformats.org/officeDocument/2006/relationships/image" Target="media/image105.tiff"/><Relationship Id="rId8" Type="http://schemas.openxmlformats.org/officeDocument/2006/relationships/footer" Target="footer1.xml"/><Relationship Id="rId51" Type="http://schemas.openxmlformats.org/officeDocument/2006/relationships/chart" Target="charts/chart9.xml"/><Relationship Id="rId72" Type="http://schemas.openxmlformats.org/officeDocument/2006/relationships/image" Target="media/image45.tiff"/><Relationship Id="rId93" Type="http://schemas.openxmlformats.org/officeDocument/2006/relationships/image" Target="media/image62.tiff"/><Relationship Id="rId98" Type="http://schemas.openxmlformats.org/officeDocument/2006/relationships/image" Target="media/image65.tiff"/><Relationship Id="rId121" Type="http://schemas.openxmlformats.org/officeDocument/2006/relationships/image" Target="media/image86.tiff"/><Relationship Id="rId142" Type="http://schemas.openxmlformats.org/officeDocument/2006/relationships/image" Target="media/image100.tif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istrator\Desktop\proje\Epon%20862\I30E\Al-Qadhi%20New%20Study\Tri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dministrator\Desktop\proje\Epon%20862\I30E\My%20ExPeriments\Origin\New%20Volume\Last%20DP%20added\Tri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dministrator\Desktop\proje\Glass%20New\Recovery\Coefficient%20analys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dministrator\Desktop\proje\Glass%20New\Recovery\Coefficient%20analysis%20formatte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dministrator\Desktop\proje\Glass%20New\Recovery\Coefficient%20analysis%20formatte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dministrator\Desktop\proje\Glass%20New\Recovery\Coefficient%20analysis%20formatte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dministrator\Desktop\proje\Glass%20New\Recovery\Coefficient%20analysis%20formatte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dministrator\Desktop\proje\Glass-Epoxy%20Laminates\SEM\Glass%20sp-sieve\Sphere%20Size%20Analysi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Relative%20Humidity%20Effect%20on%20Moisture%20Absorption.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Relative%20Humidity%20Effect%20on%20Moisture%20Absorptio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Relative%20Humidity%20Effect%20on%20Moisture%20Absorption.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istrator\Desktop\proje\Epon%20862\I30E\Al-Qadhi%20New%20Study\Tria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Relative%20Humidity%20Effect%20on%20Moisture%20Absorption.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Relative%20Humidity%20Effect%20on%20Moisture%20Absorption.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EPON%20862%20Flexure%20Resul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dministrator\Desktop\proje\EPON%20862%20Elastic%20Modulus%20Study\EPON%20862%20Flexure%20Results.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istrator\Desktop\proje\Epon%20862\I30E\Al-Qadhi%20New%20Study\Tri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istrator\Desktop\proje\Epon%20862\I30E\Al-Qadhi%20New%20Study\Tri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inistrator\Desktop\proje\Epon%20862\I30E\Al-Qadhi%20New%20Study\Tri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istrator\Desktop\proje\Epon%20862\I30E\My%20ExPeriments\Origin\New%20Volume\Last%20DP%20added\Tri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istrator\Desktop\proje\Epon%20862\I30E\My%20ExPeriments\Origin\New%20Volume\Last%20DP%20added\Tri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dministrator\Desktop\proje\Epon%20862\I30E\My%20ExPeriments\Origin\New%20Volume\Last%20DP%20added\Tri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dministrator\Desktop\proje\Epon%20862\I30E\My%20ExPeriments\Origin\New%20Volume\Last%20DP%20added\Tri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x"/>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267368062043092E-2"/>
                  <c:y val="-0.37616076499209528"/>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r>
                      <a:rPr lang="en-US"/>
                      <a:t>D = -7.55×10</a:t>
                    </a:r>
                    <a:r>
                      <a:rPr lang="en-US" baseline="30000"/>
                      <a:t>-6</a:t>
                    </a:r>
                    <a:r>
                      <a:rPr lang="en-US"/>
                      <a:t> %</a:t>
                    </a:r>
                    <a:r>
                      <a:rPr lang="el-GR"/>
                      <a:t>ν</a:t>
                    </a:r>
                    <a:r>
                      <a:rPr lang="en-US" baseline="-25000"/>
                      <a:t>NC</a:t>
                    </a:r>
                    <a:r>
                      <a:rPr lang="en-US"/>
                      <a:t> + 7.55×10</a:t>
                    </a:r>
                    <a:r>
                      <a:rPr lang="en-US" baseline="30000"/>
                      <a:t>-4</a:t>
                    </a:r>
                    <a:r>
                      <a:rPr lang="en-US"/>
                      <a:t/>
                    </a:r>
                    <a:br>
                      <a:rPr lang="en-US"/>
                    </a:br>
                    <a:r>
                      <a:rPr lang="en-US"/>
                      <a:t>R² = 1</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trendlineLbl>
          </c:trendline>
          <c:xVal>
            <c:numRef>
              <c:f>'Coeff Dlinear'!$B$1:$B$4</c:f>
              <c:numCache>
                <c:formatCode>General</c:formatCode>
                <c:ptCount val="4"/>
                <c:pt idx="0">
                  <c:v>0</c:v>
                </c:pt>
                <c:pt idx="1">
                  <c:v>0.668896321070234</c:v>
                </c:pt>
                <c:pt idx="2">
                  <c:v>1.3422818791946307</c:v>
                </c:pt>
                <c:pt idx="3">
                  <c:v>3.3898305084745761</c:v>
                </c:pt>
              </c:numCache>
            </c:numRef>
          </c:xVal>
          <c:yVal>
            <c:numRef>
              <c:f>'Coeff Dlinear'!$C$1:$C$4</c:f>
              <c:numCache>
                <c:formatCode>General</c:formatCode>
                <c:ptCount val="4"/>
                <c:pt idx="0">
                  <c:v>7.5485128600000001E-4</c:v>
                </c:pt>
                <c:pt idx="1">
                  <c:v>7.4980211400000002E-4</c:v>
                </c:pt>
                <c:pt idx="2">
                  <c:v>7.4471905400000002E-4</c:v>
                </c:pt>
                <c:pt idx="3">
                  <c:v>7.2926310699999997E-4</c:v>
                </c:pt>
              </c:numCache>
            </c:numRef>
          </c:yVal>
          <c:smooth val="0"/>
        </c:ser>
        <c:dLbls>
          <c:showLegendKey val="0"/>
          <c:showVal val="0"/>
          <c:showCatName val="0"/>
          <c:showSerName val="0"/>
          <c:showPercent val="0"/>
          <c:showBubbleSize val="0"/>
        </c:dLbls>
        <c:axId val="388514112"/>
        <c:axId val="388512936"/>
      </c:scatterChart>
      <c:valAx>
        <c:axId val="388514112"/>
        <c:scaling>
          <c:orientation val="minMax"/>
          <c:max val="3.5"/>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crossAx val="388512936"/>
        <c:crosses val="autoZero"/>
        <c:crossBetween val="midCat"/>
      </c:valAx>
      <c:valAx>
        <c:axId val="38851293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sz="1200" b="1"/>
                  <a:t>Diffusion Coefficient, D (mm</a:t>
                </a:r>
                <a:r>
                  <a:rPr lang="en-US" sz="1200" b="1" baseline="30000"/>
                  <a:t>2</a:t>
                </a:r>
                <a:r>
                  <a:rPr lang="en-US" sz="1200" b="1"/>
                  <a:t>/hr)</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0.00" sourceLinked="0"/>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crossAx val="388514112"/>
        <c:crosses val="autoZero"/>
        <c:crossBetween val="midCat"/>
        <c:dispUnits>
          <c:custUnit val="1.0000000000000003E-4"/>
          <c:dispUnitsLbl>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r>
                    <a:rPr lang="en-US" sz="1100" b="0" i="0" u="none" strike="noStrike" baseline="0">
                      <a:effectLst/>
                    </a:rPr>
                    <a:t>×10</a:t>
                  </a:r>
                  <a:r>
                    <a:rPr lang="en-US" sz="1100" b="0" i="0" u="none" strike="noStrike" baseline="30000">
                      <a:effectLst/>
                    </a:rPr>
                    <a:t>-4</a:t>
                  </a:r>
                  <a:endParaRPr lang="en-US" baseline="30000"/>
                </a:p>
              </c:rich>
            </c:tx>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dispUnitsLbl>
        </c:dispUnits>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4.9835216572504705E-2"/>
                  <c:y val="0.46783625730994149"/>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bound,∞ </a:t>
                    </a:r>
                    <a:r>
                      <a:rPr lang="en-US"/>
                      <a:t>= 1.54</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NC</a:t>
                    </a:r>
                    <a:r>
                      <a:rPr lang="en-US"/>
                      <a:t> + 0.26</a:t>
                    </a:r>
                    <a:br>
                      <a:rPr lang="en-US"/>
                    </a:br>
                    <a:r>
                      <a:rPr lang="en-US"/>
                      <a:t>R² = 0.986</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Dlinear'!$A$1:$A$6</c:f>
              <c:numCache>
                <c:formatCode>General</c:formatCode>
                <c:ptCount val="6"/>
                <c:pt idx="0">
                  <c:v>0</c:v>
                </c:pt>
                <c:pt idx="1">
                  <c:v>0.35096491228070176</c:v>
                </c:pt>
                <c:pt idx="2">
                  <c:v>0.70192982456140351</c:v>
                </c:pt>
                <c:pt idx="3">
                  <c:v>1.403859649122807</c:v>
                </c:pt>
                <c:pt idx="4">
                  <c:v>2.1057894736842107</c:v>
                </c:pt>
                <c:pt idx="5">
                  <c:v>3.5096491228070175</c:v>
                </c:pt>
              </c:numCache>
            </c:numRef>
          </c:xVal>
          <c:yVal>
            <c:numRef>
              <c:f>'Coeff Dlinear'!$G$1:$G$6</c:f>
              <c:numCache>
                <c:formatCode>0.00</c:formatCode>
                <c:ptCount val="6"/>
                <c:pt idx="0">
                  <c:v>0.26080011824097099</c:v>
                </c:pt>
                <c:pt idx="1">
                  <c:v>0.26533711199437388</c:v>
                </c:pt>
                <c:pt idx="2">
                  <c:v>0.27066771394401457</c:v>
                </c:pt>
                <c:pt idx="3">
                  <c:v>0.2856312897647284</c:v>
                </c:pt>
                <c:pt idx="4">
                  <c:v>0.2891621724431111</c:v>
                </c:pt>
                <c:pt idx="5">
                  <c:v>0.3156507759378438</c:v>
                </c:pt>
              </c:numCache>
            </c:numRef>
          </c:yVal>
          <c:smooth val="0"/>
        </c:ser>
        <c:dLbls>
          <c:showLegendKey val="0"/>
          <c:showVal val="0"/>
          <c:showCatName val="0"/>
          <c:showSerName val="0"/>
          <c:showPercent val="0"/>
          <c:showBubbleSize val="0"/>
        </c:dLbls>
        <c:axId val="171987808"/>
        <c:axId val="171988200"/>
      </c:scatterChart>
      <c:valAx>
        <c:axId val="171987808"/>
        <c:scaling>
          <c:orientation val="minMax"/>
          <c:max val="3.6"/>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1988200"/>
        <c:crosses val="autoZero"/>
        <c:crossBetween val="midCat"/>
      </c:valAx>
      <c:valAx>
        <c:axId val="171988200"/>
        <c:scaling>
          <c:orientation val="minMax"/>
          <c:min val="0.24000000000000002"/>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Bound Mass Content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1987808"/>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solidFill>
                  <a:schemeClr val="tx1"/>
                </a:solidFill>
              </a:ln>
              <a:effectLst/>
            </c:spPr>
          </c:marker>
          <c:trendline>
            <c:spPr>
              <a:ln w="19050" cap="rnd">
                <a:solidFill>
                  <a:schemeClr val="tx1"/>
                </a:solidFill>
                <a:prstDash val="solid"/>
              </a:ln>
              <a:effectLst/>
            </c:spPr>
            <c:trendlineType val="linear"/>
            <c:dispRSqr val="1"/>
            <c:dispEq val="1"/>
            <c:trendlineLbl>
              <c:layout>
                <c:manualLayout>
                  <c:x val="-3.6392630197541097E-2"/>
                  <c:y val="-0.51711468358121904"/>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 -5.82</a:t>
                    </a:r>
                    <a:r>
                      <a:rPr lang="en-US" sz="1100" b="0" i="0" u="none" strike="noStrike" baseline="0">
                        <a:effectLst/>
                      </a:rPr>
                      <a:t>×10</a:t>
                    </a:r>
                    <a:r>
                      <a:rPr lang="en-US" sz="1100" b="0" i="0" u="none" strike="noStrike" baseline="30000">
                        <a:effectLst/>
                      </a:rPr>
                      <a:t>-4</a:t>
                    </a:r>
                    <a:r>
                      <a:rPr lang="en-US"/>
                      <a:t> %</a:t>
                    </a:r>
                    <a:r>
                      <a:rPr lang="el-GR"/>
                      <a:t>ν</a:t>
                    </a:r>
                    <a:r>
                      <a:rPr lang="en-US" baseline="-25000"/>
                      <a:t>glass</a:t>
                    </a:r>
                    <a:r>
                      <a:rPr lang="en-US"/>
                      <a:t> + 5.82</a:t>
                    </a:r>
                    <a:r>
                      <a:rPr lang="en-US" sz="1100" b="0" i="0" u="none" strike="noStrike" baseline="0">
                        <a:effectLst/>
                      </a:rPr>
                      <a:t>×10</a:t>
                    </a:r>
                    <a:r>
                      <a:rPr lang="en-US" sz="1100" b="0" i="0" u="none" strike="noStrike" baseline="30000">
                        <a:effectLst/>
                      </a:rPr>
                      <a:t>-2</a:t>
                    </a:r>
                    <a:r>
                      <a:rPr lang="en-US"/>
                      <a:t> </a:t>
                    </a:r>
                  </a:p>
                  <a:p>
                    <a:pPr>
                      <a:defRPr/>
                    </a:pPr>
                    <a:r>
                      <a:rPr lang="en-US"/>
                      <a:t>R² = 1</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A!$A$1:$A$4</c:f>
              <c:numCache>
                <c:formatCode>General</c:formatCode>
                <c:ptCount val="4"/>
                <c:pt idx="0">
                  <c:v>0</c:v>
                </c:pt>
                <c:pt idx="1">
                  <c:v>10</c:v>
                </c:pt>
                <c:pt idx="2">
                  <c:v>20</c:v>
                </c:pt>
                <c:pt idx="3">
                  <c:v>30</c:v>
                </c:pt>
              </c:numCache>
            </c:numRef>
          </c:xVal>
          <c:yVal>
            <c:numRef>
              <c:f>A!$B$1:$B$4</c:f>
              <c:numCache>
                <c:formatCode>General</c:formatCode>
                <c:ptCount val="4"/>
                <c:pt idx="0">
                  <c:v>5.8224861500000002E-2</c:v>
                </c:pt>
                <c:pt idx="1">
                  <c:v>5.2402375399999999E-2</c:v>
                </c:pt>
                <c:pt idx="2">
                  <c:v>4.6579889200000002E-2</c:v>
                </c:pt>
                <c:pt idx="3">
                  <c:v>4.0757403099999999E-2</c:v>
                </c:pt>
              </c:numCache>
            </c:numRef>
          </c:yVal>
          <c:smooth val="0"/>
        </c:ser>
        <c:dLbls>
          <c:showLegendKey val="0"/>
          <c:showVal val="0"/>
          <c:showCatName val="0"/>
          <c:showSerName val="0"/>
          <c:showPercent val="0"/>
          <c:showBubbleSize val="0"/>
        </c:dLbls>
        <c:axId val="172310048"/>
        <c:axId val="172310440"/>
      </c:scatterChart>
      <c:valAx>
        <c:axId val="172310048"/>
        <c:scaling>
          <c:orientation val="minMax"/>
          <c:max val="3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Glass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2310440"/>
        <c:crosses val="autoZero"/>
        <c:crossBetween val="midCat"/>
      </c:valAx>
      <c:valAx>
        <c:axId val="172310440"/>
        <c:scaling>
          <c:orientation val="minMax"/>
          <c:min val="4.0000000000000008E-2"/>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Diffusion Coefficient, D (mm</a:t>
                </a:r>
                <a:r>
                  <a:rPr lang="en-US" sz="1200" b="1" baseline="30000"/>
                  <a:t>2</a:t>
                </a:r>
                <a:r>
                  <a:rPr lang="en-US" sz="1200" b="1"/>
                  <a:t>/hr)</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2310048"/>
        <c:crosses val="autoZero"/>
        <c:crossBetween val="midCat"/>
        <c:majorUnit val="5.000000000000001E-3"/>
        <c:dispUnits>
          <c:custUnit val="1.0000000000000002E-2"/>
          <c:dispUnitsLbl>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u="none" strike="noStrike" baseline="0">
                      <a:effectLst/>
                    </a:rPr>
                    <a:t>×10</a:t>
                  </a:r>
                  <a:r>
                    <a:rPr lang="en-US" sz="1100" b="0" i="0" u="none" strike="noStrike" baseline="30000">
                      <a:effectLst/>
                    </a:rPr>
                    <a:t>-2</a:t>
                  </a:r>
                  <a:endParaRPr lang="en-US"/>
                </a:p>
              </c:rich>
            </c:tx>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nBS</c:v>
          </c:tx>
          <c:spPr>
            <a:ln w="28575" cap="rnd">
              <a:noFill/>
              <a:round/>
            </a:ln>
            <a:effectLst/>
          </c:spPr>
          <c:marker>
            <c:symbol val="triangl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2.448210922787194E-3"/>
                  <c:y val="0.19059540395422739"/>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µ</a:t>
                    </a:r>
                    <a:r>
                      <a:rPr lang="en-US" baseline="-25000"/>
                      <a:t>nBS</a:t>
                    </a:r>
                    <a:r>
                      <a:rPr lang="en-US"/>
                      <a:t> = 9.043</a:t>
                    </a:r>
                    <a:r>
                      <a:rPr lang="en-US" sz="1100" b="0" i="0" u="none" strike="noStrike" baseline="0">
                        <a:effectLst/>
                      </a:rPr>
                      <a:t>×10</a:t>
                    </a:r>
                    <a:r>
                      <a:rPr lang="en-US" sz="1100" b="0" i="0" u="none" strike="noStrike" baseline="30000">
                        <a:effectLst/>
                      </a:rPr>
                      <a:t>-3</a:t>
                    </a:r>
                    <a:r>
                      <a:rPr lang="en-US" sz="1100" b="0" i="0" u="none" strike="noStrike" baseline="0">
                        <a:effectLst/>
                      </a:rPr>
                      <a:t> </a:t>
                    </a:r>
                    <a:r>
                      <a:rPr lang="en-US"/>
                      <a:t>%</a:t>
                    </a:r>
                    <a:r>
                      <a:rPr lang="el-GR"/>
                      <a:t>ν</a:t>
                    </a:r>
                    <a:r>
                      <a:rPr lang="en-US" baseline="-25000"/>
                      <a:t>glass</a:t>
                    </a:r>
                    <a:r>
                      <a:rPr lang="en-US"/>
                      <a:t> + 0.189</a:t>
                    </a:r>
                    <a:br>
                      <a:rPr lang="en-US"/>
                    </a:br>
                    <a:r>
                      <a:rPr lang="en-US"/>
                      <a:t>R² = 0.961</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B!$A$2:$A$5</c:f>
              <c:numCache>
                <c:formatCode>General</c:formatCode>
                <c:ptCount val="4"/>
                <c:pt idx="0">
                  <c:v>0</c:v>
                </c:pt>
                <c:pt idx="1">
                  <c:v>10</c:v>
                </c:pt>
                <c:pt idx="2">
                  <c:v>20</c:v>
                </c:pt>
                <c:pt idx="3">
                  <c:v>30</c:v>
                </c:pt>
              </c:numCache>
            </c:numRef>
          </c:xVal>
          <c:yVal>
            <c:numRef>
              <c:f>B!$E$2:$E$5</c:f>
              <c:numCache>
                <c:formatCode>0.00E+00</c:formatCode>
                <c:ptCount val="4"/>
                <c:pt idx="0">
                  <c:v>0.20766282077598008</c:v>
                </c:pt>
                <c:pt idx="1">
                  <c:v>0.26363637235198162</c:v>
                </c:pt>
                <c:pt idx="2">
                  <c:v>0.34545454072509779</c:v>
                </c:pt>
                <c:pt idx="3">
                  <c:v>0.48181819872642889</c:v>
                </c:pt>
              </c:numCache>
            </c:numRef>
          </c:yVal>
          <c:smooth val="0"/>
        </c:ser>
        <c:ser>
          <c:idx val="0"/>
          <c:order val="1"/>
          <c:tx>
            <c:v>APS</c:v>
          </c:tx>
          <c:spPr>
            <a:ln w="28575" cap="rnd">
              <a:noFill/>
              <a:round/>
            </a:ln>
            <a:effectLst/>
          </c:spPr>
          <c:marker>
            <c:symbol val="square"/>
            <c:size val="10"/>
            <c:spPr>
              <a:solidFill>
                <a:schemeClr val="tx1"/>
              </a:solidFill>
              <a:ln w="9525">
                <a:solidFill>
                  <a:schemeClr val="tx1"/>
                </a:solidFill>
              </a:ln>
              <a:effectLst/>
            </c:spPr>
          </c:marker>
          <c:trendline>
            <c:spPr>
              <a:ln w="19050" cap="rnd">
                <a:solidFill>
                  <a:schemeClr val="tx1"/>
                </a:solidFill>
                <a:prstDash val="solid"/>
              </a:ln>
              <a:effectLst/>
            </c:spPr>
            <c:trendlineType val="linear"/>
            <c:dispRSqr val="1"/>
            <c:dispEq val="1"/>
            <c:trendlineLbl>
              <c:layout>
                <c:manualLayout>
                  <c:x val="-0.42990828476948856"/>
                  <c:y val="-1.9839623675271208E-2"/>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µ</a:t>
                    </a:r>
                    <a:r>
                      <a:rPr lang="en-US" baseline="-25000"/>
                      <a:t>APS</a:t>
                    </a:r>
                    <a:r>
                      <a:rPr lang="en-US"/>
                      <a:t> = 1.877</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glass </a:t>
                    </a:r>
                    <a:r>
                      <a:rPr lang="en-US"/>
                      <a:t>+ 0.191</a:t>
                    </a:r>
                    <a:br>
                      <a:rPr lang="en-US"/>
                    </a:br>
                    <a:r>
                      <a:rPr lang="en-US"/>
                      <a:t>R² = 0.993</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A!$A$2:$A$5</c:f>
              <c:numCache>
                <c:formatCode>General</c:formatCode>
                <c:ptCount val="4"/>
                <c:pt idx="0">
                  <c:v>0</c:v>
                </c:pt>
                <c:pt idx="1">
                  <c:v>10</c:v>
                </c:pt>
                <c:pt idx="2">
                  <c:v>20</c:v>
                </c:pt>
                <c:pt idx="3">
                  <c:v>30</c:v>
                </c:pt>
              </c:numCache>
            </c:numRef>
          </c:xVal>
          <c:yVal>
            <c:numRef>
              <c:f>A!$E$2:$E$5</c:f>
              <c:numCache>
                <c:formatCode>0.00E+00</c:formatCode>
                <c:ptCount val="4"/>
                <c:pt idx="0">
                  <c:v>0.20766282077598008</c:v>
                </c:pt>
                <c:pt idx="1">
                  <c:v>0.36363636236754154</c:v>
                </c:pt>
                <c:pt idx="2">
                  <c:v>0.54545454590432441</c:v>
                </c:pt>
                <c:pt idx="3">
                  <c:v>0.77272727310396994</c:v>
                </c:pt>
              </c:numCache>
            </c:numRef>
          </c:yVal>
          <c:smooth val="0"/>
        </c:ser>
        <c:dLbls>
          <c:showLegendKey val="0"/>
          <c:showVal val="0"/>
          <c:showCatName val="0"/>
          <c:showSerName val="0"/>
          <c:showPercent val="0"/>
          <c:showBubbleSize val="0"/>
        </c:dLbls>
        <c:axId val="172311224"/>
        <c:axId val="445490880"/>
      </c:scatterChart>
      <c:valAx>
        <c:axId val="172311224"/>
        <c:scaling>
          <c:orientation val="minMax"/>
          <c:max val="3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Glass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490880"/>
        <c:crosses val="autoZero"/>
        <c:crossBetween val="midCat"/>
      </c:valAx>
      <c:valAx>
        <c:axId val="445490880"/>
        <c:scaling>
          <c:orientation val="minMax"/>
        </c:scaling>
        <c:delete val="0"/>
        <c:axPos val="l"/>
        <c:title>
          <c:tx>
            <c:rich>
              <a:bodyPr rot="-5400000" spcFirstLastPara="1" vertOverflow="ellipsis" vert="horz" wrap="square" anchor="ctr" anchorCtr="1"/>
              <a:lstStyle/>
              <a:p>
                <a:pPr algn="ctr" rtl="0">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Hindrance Coefficient, µ</a:t>
                </a:r>
              </a:p>
            </c:rich>
          </c:tx>
          <c:overlay val="0"/>
          <c:spPr>
            <a:noFill/>
            <a:ln>
              <a:noFill/>
            </a:ln>
            <a:effectLst/>
          </c:spPr>
          <c:txPr>
            <a:bodyPr rot="-5400000" spcFirstLastPara="1" vertOverflow="ellipsis" vert="horz" wrap="square" anchor="ctr" anchorCtr="1"/>
            <a:lstStyle/>
            <a:p>
              <a:pPr algn="ctr" rtl="0">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2311224"/>
        <c:crosses val="autoZero"/>
        <c:crossBetween val="midCat"/>
      </c:valAx>
      <c:spPr>
        <a:noFill/>
        <a:ln w="22225">
          <a:solidFill>
            <a:schemeClr val="tx1"/>
          </a:solid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85361151889912"/>
          <c:y val="7.0029821073558651E-2"/>
          <c:w val="0.80530458057149634"/>
          <c:h val="0.65177746336395448"/>
        </c:manualLayout>
      </c:layout>
      <c:scatterChart>
        <c:scatterStyle val="lineMarker"/>
        <c:varyColors val="0"/>
        <c:ser>
          <c:idx val="1"/>
          <c:order val="0"/>
          <c:tx>
            <c:v>nBS</c:v>
          </c:tx>
          <c:spPr>
            <a:ln w="28575" cap="rnd">
              <a:noFill/>
              <a:round/>
            </a:ln>
            <a:effectLst/>
          </c:spPr>
          <c:marker>
            <c:symbol val="triangl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0.37355216720791257"/>
                  <c:y val="4.0340633365163352E-2"/>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∞,nBS  </a:t>
                    </a:r>
                    <a:r>
                      <a:rPr lang="en-US"/>
                      <a:t>= -1.22</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glass</a:t>
                    </a:r>
                    <a:r>
                      <a:rPr lang="en-US"/>
                      <a:t>  + 1.33</a:t>
                    </a:r>
                    <a:br>
                      <a:rPr lang="en-US"/>
                    </a:br>
                    <a:r>
                      <a:rPr lang="en-US"/>
                      <a:t>R² = 0.967</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B!$A$1:$A$4</c:f>
              <c:numCache>
                <c:formatCode>General</c:formatCode>
                <c:ptCount val="4"/>
                <c:pt idx="0">
                  <c:v>0</c:v>
                </c:pt>
                <c:pt idx="1">
                  <c:v>10</c:v>
                </c:pt>
                <c:pt idx="2">
                  <c:v>20</c:v>
                </c:pt>
                <c:pt idx="3">
                  <c:v>30</c:v>
                </c:pt>
              </c:numCache>
            </c:numRef>
          </c:xVal>
          <c:yVal>
            <c:numRef>
              <c:f>B!$G$1:$G$4</c:f>
              <c:numCache>
                <c:formatCode>General</c:formatCode>
                <c:ptCount val="4"/>
                <c:pt idx="0">
                  <c:v>1.3600050799999999</c:v>
                </c:pt>
                <c:pt idx="1">
                  <c:v>1.17056585</c:v>
                </c:pt>
                <c:pt idx="2">
                  <c:v>1.0880130800000001</c:v>
                </c:pt>
                <c:pt idx="3">
                  <c:v>0.98054408999999998</c:v>
                </c:pt>
              </c:numCache>
            </c:numRef>
          </c:yVal>
          <c:smooth val="0"/>
        </c:ser>
        <c:ser>
          <c:idx val="0"/>
          <c:order val="1"/>
          <c:tx>
            <c:v>APS</c:v>
          </c:tx>
          <c:spPr>
            <a:ln w="28575" cap="rnd">
              <a:noFill/>
              <a:round/>
            </a:ln>
            <a:effectLst/>
          </c:spPr>
          <c:marker>
            <c:symbol val="square"/>
            <c:size val="10"/>
            <c:spPr>
              <a:solidFill>
                <a:schemeClr val="tx1"/>
              </a:solidFill>
              <a:ln w="9525">
                <a:solidFill>
                  <a:schemeClr val="tx1"/>
                </a:solidFill>
              </a:ln>
              <a:effectLst/>
            </c:spPr>
          </c:marker>
          <c:trendline>
            <c:spPr>
              <a:ln w="19050" cap="rnd">
                <a:solidFill>
                  <a:schemeClr val="tx1"/>
                </a:solidFill>
                <a:prstDash val="solid"/>
              </a:ln>
              <a:effectLst/>
            </c:spPr>
            <c:trendlineType val="linear"/>
            <c:dispRSqr val="1"/>
            <c:dispEq val="1"/>
            <c:trendlineLbl>
              <c:layout>
                <c:manualLayout>
                  <c:x val="1.4124293785310735E-4"/>
                  <c:y val="-0.15332219282728823"/>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∞,APS  </a:t>
                    </a:r>
                    <a:r>
                      <a:rPr lang="en-US"/>
                      <a:t>= -5.15</a:t>
                    </a:r>
                    <a:r>
                      <a:rPr lang="en-US" sz="1100" b="0" i="0" u="none" strike="noStrike" baseline="0">
                        <a:effectLst/>
                      </a:rPr>
                      <a:t>×10</a:t>
                    </a:r>
                    <a:r>
                      <a:rPr lang="en-US" sz="1100" b="0" i="0" u="none" strike="noStrike" baseline="30000">
                        <a:effectLst/>
                      </a:rPr>
                      <a:t>-3</a:t>
                    </a:r>
                    <a:r>
                      <a:rPr lang="en-US" sz="1100" b="0" i="0" u="none" strike="noStrike" baseline="0">
                        <a:effectLst/>
                      </a:rPr>
                      <a:t> </a:t>
                    </a:r>
                    <a:r>
                      <a:rPr lang="en-US"/>
                      <a:t>%</a:t>
                    </a:r>
                    <a:r>
                      <a:rPr lang="el-GR"/>
                      <a:t>ν</a:t>
                    </a:r>
                    <a:r>
                      <a:rPr lang="en-US" baseline="-25000"/>
                      <a:t>glass</a:t>
                    </a:r>
                    <a:r>
                      <a:rPr lang="en-US"/>
                      <a:t>  + 1.36</a:t>
                    </a:r>
                    <a:br>
                      <a:rPr lang="en-US"/>
                    </a:br>
                    <a:r>
                      <a:rPr lang="en-US"/>
                      <a:t>R² = 0.999</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A!$A$1:$A$4</c:f>
              <c:numCache>
                <c:formatCode>General</c:formatCode>
                <c:ptCount val="4"/>
                <c:pt idx="0">
                  <c:v>0</c:v>
                </c:pt>
                <c:pt idx="1">
                  <c:v>10</c:v>
                </c:pt>
                <c:pt idx="2">
                  <c:v>20</c:v>
                </c:pt>
                <c:pt idx="3">
                  <c:v>30</c:v>
                </c:pt>
              </c:numCache>
            </c:numRef>
          </c:xVal>
          <c:yVal>
            <c:numRef>
              <c:f>A!$G$1:$G$4</c:f>
              <c:numCache>
                <c:formatCode>General</c:formatCode>
                <c:ptCount val="4"/>
                <c:pt idx="0">
                  <c:v>1.3600050799999999</c:v>
                </c:pt>
                <c:pt idx="1">
                  <c:v>1.30505092</c:v>
                </c:pt>
                <c:pt idx="2">
                  <c:v>1.25505092</c:v>
                </c:pt>
                <c:pt idx="3">
                  <c:v>1.2050509199999999</c:v>
                </c:pt>
              </c:numCache>
            </c:numRef>
          </c:yVal>
          <c:smooth val="0"/>
        </c:ser>
        <c:dLbls>
          <c:showLegendKey val="0"/>
          <c:showVal val="0"/>
          <c:showCatName val="0"/>
          <c:showSerName val="0"/>
          <c:showPercent val="0"/>
          <c:showBubbleSize val="0"/>
        </c:dLbls>
        <c:axId val="445492056"/>
        <c:axId val="445492448"/>
      </c:scatterChart>
      <c:valAx>
        <c:axId val="445492056"/>
        <c:scaling>
          <c:orientation val="minMax"/>
          <c:max val="3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Glass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492448"/>
        <c:crosses val="autoZero"/>
        <c:crossBetween val="midCat"/>
      </c:valAx>
      <c:valAx>
        <c:axId val="445492448"/>
        <c:scaling>
          <c:orientation val="minMax"/>
          <c:max val="1.5"/>
          <c:min val="0.8"/>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Mass Content (wt.%)</a:t>
                </a:r>
              </a:p>
            </c:rich>
          </c:tx>
          <c:layout>
            <c:manualLayout>
              <c:xMode val="edge"/>
              <c:yMode val="edge"/>
              <c:x val="3.71939736346516E-2"/>
              <c:y val="3.5307647090988624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492056"/>
        <c:crosses val="autoZero"/>
        <c:crossBetween val="midCat"/>
      </c:valAx>
      <c:spPr>
        <a:noFill/>
        <a:ln w="22225">
          <a:solidFill>
            <a:schemeClr val="tx1"/>
          </a:solid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85361151889912"/>
          <c:y val="4.8133680555555558E-2"/>
          <c:w val="0.80530458057149634"/>
          <c:h val="0.67811919017935263"/>
        </c:manualLayout>
      </c:layout>
      <c:scatterChart>
        <c:scatterStyle val="lineMarker"/>
        <c:varyColors val="0"/>
        <c:ser>
          <c:idx val="1"/>
          <c:order val="0"/>
          <c:tx>
            <c:v>nBS</c:v>
          </c:tx>
          <c:spPr>
            <a:ln w="28575" cap="rnd">
              <a:noFill/>
              <a:round/>
            </a:ln>
            <a:effectLst/>
          </c:spPr>
          <c:marker>
            <c:symbol val="triangl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0.17574161810282191"/>
                  <c:y val="0.16231430315743337"/>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∞,unbound  </a:t>
                    </a:r>
                    <a:r>
                      <a:rPr lang="en-US"/>
                      <a:t>= -1.50</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glass</a:t>
                    </a:r>
                    <a:r>
                      <a:rPr lang="en-US"/>
                      <a:t> + 1.11</a:t>
                    </a:r>
                    <a:br>
                      <a:rPr lang="en-US"/>
                    </a:br>
                    <a:r>
                      <a:rPr lang="en-US"/>
                      <a:t>R² = 0.989</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B!$A$1:$A$4</c:f>
              <c:numCache>
                <c:formatCode>General</c:formatCode>
                <c:ptCount val="4"/>
                <c:pt idx="0">
                  <c:v>0</c:v>
                </c:pt>
                <c:pt idx="1">
                  <c:v>10</c:v>
                </c:pt>
                <c:pt idx="2">
                  <c:v>20</c:v>
                </c:pt>
                <c:pt idx="3">
                  <c:v>30</c:v>
                </c:pt>
              </c:numCache>
            </c:numRef>
          </c:xVal>
          <c:yVal>
            <c:numRef>
              <c:f>B!$H$1:$H$4</c:f>
              <c:numCache>
                <c:formatCode>0.00E+00</c:formatCode>
                <c:ptCount val="4"/>
                <c:pt idx="0">
                  <c:v>1.1261463519479158</c:v>
                </c:pt>
                <c:pt idx="1">
                  <c:v>0.92634706915031939</c:v>
                </c:pt>
                <c:pt idx="2">
                  <c:v>0.80865837311280964</c:v>
                </c:pt>
                <c:pt idx="3">
                  <c:v>0.66171686300164445</c:v>
                </c:pt>
              </c:numCache>
            </c:numRef>
          </c:yVal>
          <c:smooth val="0"/>
        </c:ser>
        <c:ser>
          <c:idx val="0"/>
          <c:order val="1"/>
          <c:tx>
            <c:v>APS</c:v>
          </c:tx>
          <c:spPr>
            <a:ln w="28575" cap="rnd">
              <a:noFill/>
              <a:round/>
            </a:ln>
            <a:effectLst/>
          </c:spPr>
          <c:marker>
            <c:symbol val="square"/>
            <c:size val="10"/>
            <c:spPr>
              <a:solidFill>
                <a:schemeClr val="tx1"/>
              </a:solidFill>
              <a:ln w="9525">
                <a:solidFill>
                  <a:schemeClr val="tx1"/>
                </a:solidFill>
              </a:ln>
              <a:effectLst/>
            </c:spPr>
          </c:marker>
          <c:xVal>
            <c:numRef>
              <c:f>A!$A$1:$A$4</c:f>
              <c:numCache>
                <c:formatCode>General</c:formatCode>
                <c:ptCount val="4"/>
                <c:pt idx="0">
                  <c:v>0</c:v>
                </c:pt>
                <c:pt idx="1">
                  <c:v>10</c:v>
                </c:pt>
                <c:pt idx="2">
                  <c:v>20</c:v>
                </c:pt>
                <c:pt idx="3">
                  <c:v>30</c:v>
                </c:pt>
              </c:numCache>
            </c:numRef>
          </c:xVal>
          <c:yVal>
            <c:numRef>
              <c:f>A!$H$1:$H$4</c:f>
              <c:numCache>
                <c:formatCode>0.00E+00</c:formatCode>
                <c:ptCount val="4"/>
                <c:pt idx="0">
                  <c:v>1.1261463519479158</c:v>
                </c:pt>
                <c:pt idx="1">
                  <c:v>0.95703734222382741</c:v>
                </c:pt>
                <c:pt idx="2">
                  <c:v>0.81209177152835998</c:v>
                </c:pt>
                <c:pt idx="3">
                  <c:v>0.67977231370170499</c:v>
                </c:pt>
              </c:numCache>
            </c:numRef>
          </c:yVal>
          <c:smooth val="0"/>
        </c:ser>
        <c:dLbls>
          <c:showLegendKey val="0"/>
          <c:showVal val="0"/>
          <c:showCatName val="0"/>
          <c:showSerName val="0"/>
          <c:showPercent val="0"/>
          <c:showBubbleSize val="0"/>
        </c:dLbls>
        <c:axId val="440184864"/>
        <c:axId val="440185256"/>
      </c:scatterChart>
      <c:valAx>
        <c:axId val="440184864"/>
        <c:scaling>
          <c:orientation val="minMax"/>
          <c:max val="3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Glass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0185256"/>
        <c:crosses val="autoZero"/>
        <c:crossBetween val="midCat"/>
      </c:valAx>
      <c:valAx>
        <c:axId val="440185256"/>
        <c:scaling>
          <c:orientation val="minMax"/>
        </c:scaling>
        <c:delete val="0"/>
        <c:axPos val="l"/>
        <c:title>
          <c:tx>
            <c:rich>
              <a:bodyPr rot="-5400000" spcFirstLastPara="1" vertOverflow="ellipsis" vert="horz" wrap="square" anchor="ctr" anchorCtr="1"/>
              <a:lstStyle/>
              <a:p>
                <a:pPr algn="ctr" rtl="0">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Unbound Mass Content (wt.%)</a:t>
                </a:r>
              </a:p>
            </c:rich>
          </c:tx>
          <c:overlay val="0"/>
          <c:spPr>
            <a:noFill/>
            <a:ln>
              <a:noFill/>
            </a:ln>
            <a:effectLst/>
          </c:spPr>
          <c:txPr>
            <a:bodyPr rot="-5400000" spcFirstLastPara="1" vertOverflow="ellipsis" vert="horz" wrap="square" anchor="ctr" anchorCtr="1"/>
            <a:lstStyle/>
            <a:p>
              <a:pPr algn="ctr" rtl="0">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0184864"/>
        <c:crosses val="autoZero"/>
        <c:crossBetween val="midCat"/>
      </c:valAx>
      <c:spPr>
        <a:noFill/>
        <a:ln w="22225">
          <a:solidFill>
            <a:schemeClr val="tx1"/>
          </a:solid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85361151889912"/>
          <c:y val="4.8133680555555558E-2"/>
          <c:w val="0.80530458057149634"/>
          <c:h val="0.67377891240157484"/>
        </c:manualLayout>
      </c:layout>
      <c:scatterChart>
        <c:scatterStyle val="lineMarker"/>
        <c:varyColors val="0"/>
        <c:ser>
          <c:idx val="1"/>
          <c:order val="0"/>
          <c:tx>
            <c:v>nBS</c:v>
          </c:tx>
          <c:spPr>
            <a:ln w="28575" cap="rnd">
              <a:noFill/>
              <a:round/>
            </a:ln>
            <a:effectLst/>
          </c:spPr>
          <c:marker>
            <c:symbol val="triangl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4088890371754379E-2"/>
                  <c:y val="0.19636550774095585"/>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∞,bound,nBS  </a:t>
                    </a:r>
                    <a:r>
                      <a:rPr lang="en-US"/>
                      <a:t>= 2.90</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glass</a:t>
                    </a:r>
                    <a:r>
                      <a:rPr lang="en-US"/>
                      <a:t> + 0.23</a:t>
                    </a:r>
                    <a:br>
                      <a:rPr lang="en-US"/>
                    </a:br>
                    <a:r>
                      <a:rPr lang="en-US"/>
                      <a:t>R² = 0.948</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B!$A$1:$A$4</c:f>
              <c:numCache>
                <c:formatCode>General</c:formatCode>
                <c:ptCount val="4"/>
                <c:pt idx="0">
                  <c:v>0</c:v>
                </c:pt>
                <c:pt idx="1">
                  <c:v>10</c:v>
                </c:pt>
                <c:pt idx="2">
                  <c:v>20</c:v>
                </c:pt>
                <c:pt idx="3">
                  <c:v>30</c:v>
                </c:pt>
              </c:numCache>
            </c:numRef>
          </c:xVal>
          <c:yVal>
            <c:numRef>
              <c:f>B!$I$1:$I$4</c:f>
              <c:numCache>
                <c:formatCode>General</c:formatCode>
                <c:ptCount val="4"/>
                <c:pt idx="0">
                  <c:v>0.23385872805208407</c:v>
                </c:pt>
                <c:pt idx="1">
                  <c:v>0.24421878084968063</c:v>
                </c:pt>
                <c:pt idx="2">
                  <c:v>0.27935470688719044</c:v>
                </c:pt>
                <c:pt idx="3">
                  <c:v>0.31882722699835553</c:v>
                </c:pt>
              </c:numCache>
            </c:numRef>
          </c:yVal>
          <c:smooth val="0"/>
        </c:ser>
        <c:ser>
          <c:idx val="0"/>
          <c:order val="1"/>
          <c:tx>
            <c:v>APS</c:v>
          </c:tx>
          <c:spPr>
            <a:ln w="28575" cap="rnd">
              <a:noFill/>
              <a:round/>
            </a:ln>
            <a:effectLst/>
          </c:spPr>
          <c:marker>
            <c:symbol val="square"/>
            <c:size val="10"/>
            <c:spPr>
              <a:solidFill>
                <a:schemeClr val="tx1"/>
              </a:solidFill>
              <a:ln w="9525">
                <a:solidFill>
                  <a:schemeClr val="tx1"/>
                </a:solidFill>
              </a:ln>
              <a:effectLst/>
            </c:spPr>
          </c:marker>
          <c:trendline>
            <c:spPr>
              <a:ln w="19050" cap="rnd">
                <a:solidFill>
                  <a:schemeClr val="tx1"/>
                </a:solidFill>
                <a:prstDash val="solid"/>
              </a:ln>
              <a:effectLst/>
            </c:spPr>
            <c:trendlineType val="linear"/>
            <c:dispRSqr val="1"/>
            <c:dispEq val="1"/>
            <c:trendlineLbl>
              <c:layout>
                <c:manualLayout>
                  <c:x val="-0.37940207156308853"/>
                  <c:y val="4.52286282306163E-3"/>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∞,bound,APS  </a:t>
                    </a:r>
                    <a:r>
                      <a:rPr lang="en-US"/>
                      <a:t>= 9.69</a:t>
                    </a:r>
                    <a:r>
                      <a:rPr lang="en-US" sz="1100" b="0" i="0" u="none" strike="noStrike" baseline="0">
                        <a:effectLst/>
                      </a:rPr>
                      <a:t>×10</a:t>
                    </a:r>
                    <a:r>
                      <a:rPr lang="en-US" sz="1100" b="0" i="0" u="none" strike="noStrike" baseline="30000">
                        <a:effectLst/>
                      </a:rPr>
                      <a:t>-3</a:t>
                    </a:r>
                    <a:r>
                      <a:rPr lang="en-US" sz="1100" b="0" i="0" u="none" strike="noStrike" baseline="0">
                        <a:effectLst/>
                      </a:rPr>
                      <a:t> </a:t>
                    </a:r>
                    <a:r>
                      <a:rPr lang="en-US"/>
                      <a:t>%</a:t>
                    </a:r>
                    <a:r>
                      <a:rPr lang="el-GR"/>
                      <a:t>ν</a:t>
                    </a:r>
                    <a:r>
                      <a:rPr lang="en-US" baseline="-25000"/>
                      <a:t>glass</a:t>
                    </a:r>
                    <a:r>
                      <a:rPr lang="en-US"/>
                      <a:t> + 0.24</a:t>
                    </a:r>
                    <a:br>
                      <a:rPr lang="en-US"/>
                    </a:br>
                    <a:r>
                      <a:rPr lang="en-US"/>
                      <a:t>R² = 0.995</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A!$A$1:$A$4</c:f>
              <c:numCache>
                <c:formatCode>General</c:formatCode>
                <c:ptCount val="4"/>
                <c:pt idx="0">
                  <c:v>0</c:v>
                </c:pt>
                <c:pt idx="1">
                  <c:v>10</c:v>
                </c:pt>
                <c:pt idx="2">
                  <c:v>20</c:v>
                </c:pt>
                <c:pt idx="3">
                  <c:v>30</c:v>
                </c:pt>
              </c:numCache>
            </c:numRef>
          </c:xVal>
          <c:yVal>
            <c:numRef>
              <c:f>A!$I$1:$I$4</c:f>
              <c:numCache>
                <c:formatCode>General</c:formatCode>
                <c:ptCount val="4"/>
                <c:pt idx="0">
                  <c:v>0.23385872805208407</c:v>
                </c:pt>
                <c:pt idx="1">
                  <c:v>0.34801357777617259</c:v>
                </c:pt>
                <c:pt idx="2">
                  <c:v>0.44295914847163997</c:v>
                </c:pt>
                <c:pt idx="3">
                  <c:v>0.52527860629829493</c:v>
                </c:pt>
              </c:numCache>
            </c:numRef>
          </c:yVal>
          <c:smooth val="0"/>
        </c:ser>
        <c:dLbls>
          <c:showLegendKey val="0"/>
          <c:showVal val="0"/>
          <c:showCatName val="0"/>
          <c:showSerName val="0"/>
          <c:showPercent val="0"/>
          <c:showBubbleSize val="0"/>
        </c:dLbls>
        <c:axId val="440186040"/>
        <c:axId val="440145584"/>
      </c:scatterChart>
      <c:valAx>
        <c:axId val="440186040"/>
        <c:scaling>
          <c:orientation val="minMax"/>
          <c:max val="3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Glass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0145584"/>
        <c:crosses val="autoZero"/>
        <c:crossBetween val="midCat"/>
      </c:valAx>
      <c:valAx>
        <c:axId val="44014558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Bound Mass Content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0186040"/>
        <c:crosses val="autoZero"/>
        <c:crossBetween val="midCat"/>
      </c:valAx>
      <c:spPr>
        <a:noFill/>
        <a:ln w="22225">
          <a:solidFill>
            <a:schemeClr val="tx1"/>
          </a:solid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368300">
              <a:solidFill>
                <a:schemeClr val="accent1"/>
              </a:solidFill>
              <a:miter lim="800000"/>
            </a:ln>
            <a:effectLst/>
          </c:spPr>
          <c:invertIfNegative val="0"/>
          <c:cat>
            <c:strRef>
              <c:f>Sheet1!$J$2:$J$14</c:f>
              <c:strCache>
                <c:ptCount val="13"/>
                <c:pt idx="0">
                  <c:v>6-9</c:v>
                </c:pt>
                <c:pt idx="1">
                  <c:v>9-12</c:v>
                </c:pt>
                <c:pt idx="2">
                  <c:v>12-15</c:v>
                </c:pt>
                <c:pt idx="3">
                  <c:v>15-18</c:v>
                </c:pt>
                <c:pt idx="4">
                  <c:v>18-21</c:v>
                </c:pt>
                <c:pt idx="5">
                  <c:v>21-24</c:v>
                </c:pt>
                <c:pt idx="6">
                  <c:v>24-27</c:v>
                </c:pt>
                <c:pt idx="7">
                  <c:v>27-30</c:v>
                </c:pt>
                <c:pt idx="8">
                  <c:v>30-33</c:v>
                </c:pt>
                <c:pt idx="9">
                  <c:v>33-36</c:v>
                </c:pt>
                <c:pt idx="10">
                  <c:v>36-39</c:v>
                </c:pt>
                <c:pt idx="11">
                  <c:v>39-42</c:v>
                </c:pt>
                <c:pt idx="12">
                  <c:v>42-45</c:v>
                </c:pt>
              </c:strCache>
            </c:strRef>
          </c:cat>
          <c:val>
            <c:numRef>
              <c:f>Sheet1!$K$2:$K$14</c:f>
              <c:numCache>
                <c:formatCode>General</c:formatCode>
                <c:ptCount val="13"/>
                <c:pt idx="0">
                  <c:v>1</c:v>
                </c:pt>
                <c:pt idx="1">
                  <c:v>1</c:v>
                </c:pt>
                <c:pt idx="2">
                  <c:v>0</c:v>
                </c:pt>
                <c:pt idx="3">
                  <c:v>4</c:v>
                </c:pt>
                <c:pt idx="4">
                  <c:v>2</c:v>
                </c:pt>
                <c:pt idx="5">
                  <c:v>130</c:v>
                </c:pt>
                <c:pt idx="6">
                  <c:v>113</c:v>
                </c:pt>
                <c:pt idx="7">
                  <c:v>35</c:v>
                </c:pt>
                <c:pt idx="8">
                  <c:v>14</c:v>
                </c:pt>
                <c:pt idx="9">
                  <c:v>3</c:v>
                </c:pt>
                <c:pt idx="10">
                  <c:v>3</c:v>
                </c:pt>
                <c:pt idx="11">
                  <c:v>3</c:v>
                </c:pt>
                <c:pt idx="12">
                  <c:v>3</c:v>
                </c:pt>
              </c:numCache>
            </c:numRef>
          </c:val>
        </c:ser>
        <c:dLbls>
          <c:showLegendKey val="0"/>
          <c:showVal val="0"/>
          <c:showCatName val="0"/>
          <c:showSerName val="0"/>
          <c:showPercent val="0"/>
          <c:showBubbleSize val="0"/>
        </c:dLbls>
        <c:gapWidth val="150"/>
        <c:axId val="440146368"/>
        <c:axId val="440146760"/>
      </c:barChart>
      <c:catAx>
        <c:axId val="440146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Sphere Size (µm)</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0146760"/>
        <c:crosses val="autoZero"/>
        <c:auto val="1"/>
        <c:lblAlgn val="ctr"/>
        <c:lblOffset val="100"/>
        <c:noMultiLvlLbl val="0"/>
      </c:catAx>
      <c:valAx>
        <c:axId val="440146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Frequency</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0146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9.0657493570879391E-2"/>
                  <c:y val="-0.46067141945094703"/>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D = -7.62</a:t>
                    </a:r>
                    <a:r>
                      <a:rPr lang="en-US" sz="1100" b="0" i="0" baseline="0">
                        <a:effectLst/>
                      </a:rPr>
                      <a:t>×10</a:t>
                    </a:r>
                    <a:r>
                      <a:rPr lang="en-US" sz="1100" b="0" i="0" baseline="30000">
                        <a:effectLst/>
                      </a:rPr>
                      <a:t>-7</a:t>
                    </a:r>
                    <a:r>
                      <a:rPr lang="en-US" baseline="0"/>
                      <a:t> %RH + 1.64</a:t>
                    </a:r>
                    <a:r>
                      <a:rPr lang="en-US" sz="1100" b="0" i="0" u="none" strike="noStrike" baseline="0">
                        <a:effectLst/>
                      </a:rPr>
                      <a:t>×10</a:t>
                    </a:r>
                    <a:r>
                      <a:rPr lang="en-US" sz="1100" b="0" i="0" u="none" strike="noStrike" baseline="30000">
                        <a:effectLst/>
                      </a:rPr>
                      <a:t>-3</a:t>
                    </a:r>
                    <a:r>
                      <a:rPr lang="en-US" baseline="0"/>
                      <a:t/>
                    </a:r>
                    <a:br>
                      <a:rPr lang="en-US" baseline="0"/>
                    </a:br>
                    <a:r>
                      <a:rPr lang="en-US" baseline="0"/>
                      <a:t>R² = 0.9992</a:t>
                    </a:r>
                    <a:endParaRPr lang="en-US"/>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coefficients!$K$3:$K$6</c:f>
              <c:numCache>
                <c:formatCode>General</c:formatCode>
                <c:ptCount val="4"/>
                <c:pt idx="0">
                  <c:v>20</c:v>
                </c:pt>
                <c:pt idx="1">
                  <c:v>50</c:v>
                </c:pt>
                <c:pt idx="2">
                  <c:v>80</c:v>
                </c:pt>
                <c:pt idx="3">
                  <c:v>100</c:v>
                </c:pt>
              </c:numCache>
            </c:numRef>
          </c:xVal>
          <c:yVal>
            <c:numRef>
              <c:f>coefficients!$B$3:$B$6</c:f>
              <c:numCache>
                <c:formatCode>General</c:formatCode>
                <c:ptCount val="4"/>
                <c:pt idx="0">
                  <c:v>1.6312275E-3</c:v>
                </c:pt>
                <c:pt idx="1">
                  <c:v>1.6096172000000001E-3</c:v>
                </c:pt>
                <c:pt idx="2">
                  <c:v>1.5850200499999999E-3</c:v>
                </c:pt>
                <c:pt idx="3">
                  <c:v>1.57087283E-3</c:v>
                </c:pt>
              </c:numCache>
            </c:numRef>
          </c:yVal>
          <c:smooth val="0"/>
        </c:ser>
        <c:dLbls>
          <c:showLegendKey val="0"/>
          <c:showVal val="0"/>
          <c:showCatName val="0"/>
          <c:showSerName val="0"/>
          <c:showPercent val="0"/>
          <c:showBubbleSize val="0"/>
        </c:dLbls>
        <c:axId val="444855928"/>
        <c:axId val="444856320"/>
      </c:scatterChart>
      <c:valAx>
        <c:axId val="44485592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Relative Humidity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6320"/>
        <c:crosses val="autoZero"/>
        <c:crossBetween val="midCat"/>
      </c:valAx>
      <c:valAx>
        <c:axId val="44485632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Diffusion Ceofficient,</a:t>
                </a:r>
                <a:r>
                  <a:rPr lang="en-US" sz="1200" b="1" baseline="0"/>
                  <a:t> </a:t>
                </a:r>
                <a:r>
                  <a:rPr lang="en-US" sz="1200" b="1"/>
                  <a:t>D</a:t>
                </a:r>
              </a:p>
              <a:p>
                <a:pPr>
                  <a:defRPr sz="1200" b="1"/>
                </a:pPr>
                <a:r>
                  <a:rPr lang="en-US" sz="1200" b="1"/>
                  <a:t>(mm</a:t>
                </a:r>
                <a:r>
                  <a:rPr lang="en-US" sz="1200" b="1" baseline="30000"/>
                  <a:t>2</a:t>
                </a:r>
                <a:r>
                  <a:rPr lang="en-US" sz="1200" b="1"/>
                  <a:t>/hr)</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5928"/>
        <c:crosses val="autoZero"/>
        <c:crossBetween val="midCat"/>
        <c:majorUnit val="2.0000000000000008E-5"/>
        <c:dispUnits>
          <c:custUnit val="1.0000000000000002E-3"/>
          <c:dispUnitsLbl>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10</a:t>
                  </a:r>
                  <a:r>
                    <a:rPr lang="en-US" baseline="30000"/>
                    <a:t>-3</a:t>
                  </a:r>
                </a:p>
              </c:rich>
            </c:tx>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0.11351743108382639"/>
                  <c:y val="0.4514965234608832"/>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M</a:t>
                    </a:r>
                    <a:r>
                      <a:rPr lang="en-US" baseline="-25000"/>
                      <a:t>∞</a:t>
                    </a:r>
                    <a:r>
                      <a:rPr lang="en-US" baseline="0"/>
                      <a:t> = 2.20</a:t>
                    </a:r>
                    <a:r>
                      <a:rPr lang="en-US" sz="1100" b="0" i="0" u="none" strike="noStrike" baseline="0">
                        <a:effectLst/>
                      </a:rPr>
                      <a:t>×10</a:t>
                    </a:r>
                    <a:r>
                      <a:rPr lang="en-US" sz="1100" b="0" i="0" u="none" strike="noStrike" baseline="30000">
                        <a:effectLst/>
                      </a:rPr>
                      <a:t>-2</a:t>
                    </a:r>
                    <a:r>
                      <a:rPr lang="en-US" baseline="0"/>
                      <a:t> %RH - 9.82</a:t>
                    </a:r>
                    <a:r>
                      <a:rPr lang="en-US" sz="1100" b="0" i="0" u="none" strike="noStrike" baseline="0">
                        <a:effectLst/>
                      </a:rPr>
                      <a:t>×10</a:t>
                    </a:r>
                    <a:r>
                      <a:rPr lang="en-US" sz="1100" b="0" i="0" u="none" strike="noStrike" baseline="30000">
                        <a:effectLst/>
                      </a:rPr>
                      <a:t>-2</a:t>
                    </a:r>
                    <a:r>
                      <a:rPr lang="en-US" baseline="0"/>
                      <a:t/>
                    </a:r>
                    <a:br>
                      <a:rPr lang="en-US" baseline="0"/>
                    </a:br>
                    <a:r>
                      <a:rPr lang="en-US" baseline="0"/>
                      <a:t>R² = 0.9771</a:t>
                    </a:r>
                    <a:endParaRPr lang="en-US"/>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coefficients!$K$3:$K$6</c:f>
              <c:numCache>
                <c:formatCode>General</c:formatCode>
                <c:ptCount val="4"/>
                <c:pt idx="0">
                  <c:v>20</c:v>
                </c:pt>
                <c:pt idx="1">
                  <c:v>50</c:v>
                </c:pt>
                <c:pt idx="2">
                  <c:v>80</c:v>
                </c:pt>
                <c:pt idx="3">
                  <c:v>100</c:v>
                </c:pt>
              </c:numCache>
            </c:numRef>
          </c:xVal>
          <c:yVal>
            <c:numRef>
              <c:f>coefficients!$E$3:$E$6</c:f>
              <c:numCache>
                <c:formatCode>General</c:formatCode>
                <c:ptCount val="4"/>
                <c:pt idx="0">
                  <c:v>0.444372824</c:v>
                </c:pt>
                <c:pt idx="1">
                  <c:v>0.85106610699999996</c:v>
                </c:pt>
                <c:pt idx="2">
                  <c:v>1.6214130600000001</c:v>
                </c:pt>
                <c:pt idx="3">
                  <c:v>2.1843911500000002</c:v>
                </c:pt>
              </c:numCache>
            </c:numRef>
          </c:yVal>
          <c:smooth val="0"/>
        </c:ser>
        <c:dLbls>
          <c:showLegendKey val="0"/>
          <c:showVal val="0"/>
          <c:showCatName val="0"/>
          <c:showSerName val="0"/>
          <c:showPercent val="0"/>
          <c:showBubbleSize val="0"/>
        </c:dLbls>
        <c:axId val="444857104"/>
        <c:axId val="444857496"/>
      </c:scatterChart>
      <c:valAx>
        <c:axId val="4448571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Relative Humidity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7496"/>
        <c:crosses val="autoZero"/>
        <c:crossBetween val="midCat"/>
      </c:valAx>
      <c:valAx>
        <c:axId val="44485749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Maximum Moisture Content, M</a:t>
                </a:r>
                <a:r>
                  <a:rPr lang="en-US" baseline="-25000"/>
                  <a:t>∞</a:t>
                </a:r>
                <a:r>
                  <a:rPr lang="en-US" baseline="0"/>
                  <a:t> (wt.%)</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7104"/>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6603941456474"/>
          <c:y val="6.161111111111111E-2"/>
          <c:w val="0.76011851802423014"/>
          <c:h val="0.67164873140857395"/>
        </c:manualLayout>
      </c:layout>
      <c:scatterChart>
        <c:scatterStyle val="lineMarker"/>
        <c:varyColors val="0"/>
        <c:ser>
          <c:idx val="0"/>
          <c:order val="0"/>
          <c:spPr>
            <a:ln w="19050"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6.0207604257801105E-2"/>
                  <c:y val="-0.36181699802235157"/>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baseline="0">
                        <a:latin typeface="Times New Roman" panose="02020603050405020304" pitchFamily="18" charset="0"/>
                        <a:cs typeface="Times New Roman" panose="02020603050405020304" pitchFamily="18" charset="0"/>
                      </a:rPr>
                      <a:t>β</a:t>
                    </a:r>
                    <a:r>
                      <a:rPr lang="en-US" baseline="0"/>
                      <a:t> = </a:t>
                    </a:r>
                    <a:r>
                      <a:rPr lang="en-US" sz="1100" baseline="0"/>
                      <a:t>-</a:t>
                    </a:r>
                    <a:r>
                      <a:rPr lang="en-US" sz="1100" b="0" i="0" u="none" strike="noStrike" baseline="0">
                        <a:effectLst/>
                      </a:rPr>
                      <a:t>1.31×</a:t>
                    </a:r>
                    <a:r>
                      <a:rPr lang="en-US" sz="1100" b="0" i="0" baseline="0">
                        <a:effectLst/>
                      </a:rPr>
                      <a:t>10</a:t>
                    </a:r>
                    <a:r>
                      <a:rPr lang="en-US" sz="1100" b="0" i="0" baseline="30000">
                        <a:effectLst/>
                      </a:rPr>
                      <a:t>-6</a:t>
                    </a:r>
                    <a:r>
                      <a:rPr lang="en-US" sz="1100" b="0" i="0" baseline="0">
                        <a:effectLst/>
                      </a:rPr>
                      <a:t> %</a:t>
                    </a:r>
                    <a:r>
                      <a:rPr lang="en-US" baseline="0"/>
                      <a:t>RH + 8.29</a:t>
                    </a:r>
                    <a:r>
                      <a:rPr lang="en-US" sz="1100" b="0" i="0" u="none" strike="noStrike" baseline="0">
                        <a:effectLst/>
                      </a:rPr>
                      <a:t>×10</a:t>
                    </a:r>
                    <a:r>
                      <a:rPr lang="en-US" sz="1100" b="0" i="0" u="none" strike="noStrike" baseline="30000">
                        <a:effectLst/>
                      </a:rPr>
                      <a:t>-4</a:t>
                    </a:r>
                    <a:r>
                      <a:rPr lang="en-US" baseline="0"/>
                      <a:t/>
                    </a:r>
                    <a:br>
                      <a:rPr lang="en-US" baseline="0"/>
                    </a:br>
                    <a:r>
                      <a:rPr lang="en-US" baseline="0"/>
                      <a:t>R² = 0.9983</a:t>
                    </a:r>
                    <a:endParaRPr lang="en-US"/>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coefficients!$K$3:$K$6</c:f>
              <c:numCache>
                <c:formatCode>General</c:formatCode>
                <c:ptCount val="4"/>
                <c:pt idx="0">
                  <c:v>20</c:v>
                </c:pt>
                <c:pt idx="1">
                  <c:v>50</c:v>
                </c:pt>
                <c:pt idx="2">
                  <c:v>80</c:v>
                </c:pt>
                <c:pt idx="3">
                  <c:v>100</c:v>
                </c:pt>
              </c:numCache>
            </c:numRef>
          </c:xVal>
          <c:yVal>
            <c:numRef>
              <c:f>coefficients!$C$3:$C$6</c:f>
              <c:numCache>
                <c:formatCode>General</c:formatCode>
                <c:ptCount val="4"/>
                <c:pt idx="0">
                  <c:v>8.0486017699999996E-4</c:v>
                </c:pt>
                <c:pt idx="1">
                  <c:v>7.6132592599999997E-4</c:v>
                </c:pt>
                <c:pt idx="2">
                  <c:v>7.2519913800000004E-4</c:v>
                </c:pt>
                <c:pt idx="3">
                  <c:v>6.9930964399999998E-4</c:v>
                </c:pt>
              </c:numCache>
            </c:numRef>
          </c:yVal>
          <c:smooth val="0"/>
        </c:ser>
        <c:dLbls>
          <c:showLegendKey val="0"/>
          <c:showVal val="0"/>
          <c:showCatName val="0"/>
          <c:showSerName val="0"/>
          <c:showPercent val="0"/>
          <c:showBubbleSize val="0"/>
        </c:dLbls>
        <c:axId val="444858280"/>
        <c:axId val="444858672"/>
      </c:scatterChart>
      <c:valAx>
        <c:axId val="44485828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Relative Humidity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8672"/>
        <c:crosses val="autoZero"/>
        <c:crossBetween val="midCat"/>
      </c:valAx>
      <c:valAx>
        <c:axId val="44485867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Rate of Transformation from Bound to Unbound, </a:t>
                </a:r>
                <a:r>
                  <a:rPr lang="el-GR"/>
                  <a:t>β</a:t>
                </a:r>
                <a:r>
                  <a:rPr lang="en-US"/>
                  <a:t> (hr</a:t>
                </a:r>
                <a:r>
                  <a:rPr lang="en-US" baseline="30000"/>
                  <a:t>-1</a:t>
                </a:r>
                <a:r>
                  <a:rPr lang="en-US"/>
                  <a: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8280"/>
        <c:crosses val="autoZero"/>
        <c:crossBetween val="midCat"/>
        <c:majorUnit val="5.0000000000000023E-5"/>
        <c:dispUnits>
          <c:custUnit val="1.0000000000000003E-4"/>
          <c:dispUnitsLbl>
            <c:layout>
              <c:manualLayout>
                <c:xMode val="edge"/>
                <c:yMode val="edge"/>
                <c:x val="9.9811676082862524E-2"/>
                <c:y val="6.161111111111111E-2"/>
              </c:manualLayout>
            </c:layout>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 10</a:t>
                  </a:r>
                  <a:r>
                    <a:rPr lang="en-US" sz="1100" b="0" i="0" baseline="30000">
                      <a:effectLst/>
                    </a:rPr>
                    <a:t>-4</a:t>
                  </a:r>
                  <a:endParaRPr lang="en-US" sz="1100">
                    <a:effectLst/>
                  </a:endParaRPr>
                </a:p>
              </c:rich>
            </c:tx>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325088601212984E-2"/>
                  <c:y val="0.15291975564457952"/>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µ = -2.274</a:t>
                    </a:r>
                    <a:r>
                      <a:rPr lang="en-US" sz="1100" b="0" i="0" u="none" strike="noStrike" baseline="0">
                        <a:effectLst/>
                      </a:rPr>
                      <a:t>×10</a:t>
                    </a:r>
                    <a:r>
                      <a:rPr lang="en-US" sz="1100" b="0" i="0" u="none" strike="noStrike" baseline="30000">
                        <a:effectLst/>
                      </a:rPr>
                      <a:t>-2</a:t>
                    </a:r>
                    <a:r>
                      <a:rPr lang="en-US"/>
                      <a:t> %</a:t>
                    </a:r>
                    <a:r>
                      <a:rPr lang="el-GR"/>
                      <a:t>ν</a:t>
                    </a:r>
                    <a:r>
                      <a:rPr lang="en-US" baseline="-25000"/>
                      <a:t>NC</a:t>
                    </a:r>
                    <a:r>
                      <a:rPr lang="en-US"/>
                      <a:t> + 0.203</a:t>
                    </a:r>
                    <a:br>
                      <a:rPr lang="en-US"/>
                    </a:br>
                    <a:r>
                      <a:rPr lang="en-US"/>
                      <a:t>R² = 0.982</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Dlinear'!$B$1:$B$4</c:f>
              <c:numCache>
                <c:formatCode>General</c:formatCode>
                <c:ptCount val="4"/>
                <c:pt idx="0">
                  <c:v>0</c:v>
                </c:pt>
                <c:pt idx="1">
                  <c:v>0.668896321070234</c:v>
                </c:pt>
                <c:pt idx="2">
                  <c:v>1.3422818791946307</c:v>
                </c:pt>
                <c:pt idx="3">
                  <c:v>3.3898305084745761</c:v>
                </c:pt>
              </c:numCache>
            </c:numRef>
          </c:xVal>
          <c:yVal>
            <c:numRef>
              <c:f>'Coeff Dlinear'!$F$1:$F$4</c:f>
              <c:numCache>
                <c:formatCode>General</c:formatCode>
                <c:ptCount val="4"/>
                <c:pt idx="0">
                  <c:v>0.20527946483946888</c:v>
                </c:pt>
                <c:pt idx="1">
                  <c:v>0.18128873764088035</c:v>
                </c:pt>
                <c:pt idx="2">
                  <c:v>0.17623855491005164</c:v>
                </c:pt>
                <c:pt idx="3">
                  <c:v>0.12526631190905183</c:v>
                </c:pt>
              </c:numCache>
            </c:numRef>
          </c:yVal>
          <c:smooth val="0"/>
        </c:ser>
        <c:dLbls>
          <c:showLegendKey val="0"/>
          <c:showVal val="0"/>
          <c:showCatName val="0"/>
          <c:showSerName val="0"/>
          <c:showPercent val="0"/>
          <c:showBubbleSize val="0"/>
        </c:dLbls>
        <c:axId val="447550960"/>
        <c:axId val="396947424"/>
      </c:scatterChart>
      <c:valAx>
        <c:axId val="447550960"/>
        <c:scaling>
          <c:orientation val="minMax"/>
          <c:max val="3.5"/>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6947424"/>
        <c:crosses val="autoZero"/>
        <c:crossBetween val="midCat"/>
      </c:valAx>
      <c:valAx>
        <c:axId val="39694742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Hindrance Coefficient, µ</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7550960"/>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92008837878316"/>
          <c:y val="6.161111111111111E-2"/>
          <c:w val="0.7577644690600116"/>
          <c:h val="0.67164873140857395"/>
        </c:manualLayout>
      </c:layout>
      <c:scatterChart>
        <c:scatterStyle val="lineMarker"/>
        <c:varyColors val="0"/>
        <c:ser>
          <c:idx val="0"/>
          <c:order val="0"/>
          <c:spPr>
            <a:ln w="19050"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3.3191348962735588E-2"/>
                  <c:y val="0.14709789565777961"/>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γ</a:t>
                    </a:r>
                    <a:r>
                      <a:rPr lang="en-US" baseline="0"/>
                      <a:t> = </a:t>
                    </a:r>
                    <a:r>
                      <a:rPr lang="en-US" sz="1100" b="0" i="0" u="none" strike="noStrike" baseline="0">
                        <a:effectLst/>
                      </a:rPr>
                      <a:t>-1.59×10</a:t>
                    </a:r>
                    <a:r>
                      <a:rPr lang="en-US" sz="1100" b="0" i="0" u="none" strike="noStrike" baseline="30000">
                        <a:effectLst/>
                      </a:rPr>
                      <a:t>-6</a:t>
                    </a:r>
                    <a:r>
                      <a:rPr lang="en-US" sz="1100" b="0" i="0" u="none" strike="noStrike" baseline="0">
                        <a:effectLst/>
                      </a:rPr>
                      <a:t> %RH </a:t>
                    </a:r>
                    <a:r>
                      <a:rPr lang="en-US" baseline="0"/>
                      <a:t>+ 2.71</a:t>
                    </a:r>
                    <a:r>
                      <a:rPr lang="en-US" sz="1100" b="0" i="0" u="none" strike="noStrike" baseline="0">
                        <a:effectLst/>
                      </a:rPr>
                      <a:t>×10</a:t>
                    </a:r>
                    <a:r>
                      <a:rPr lang="en-US" sz="1100" b="0" i="0" u="none" strike="noStrike" baseline="30000">
                        <a:effectLst/>
                      </a:rPr>
                      <a:t>-4</a:t>
                    </a:r>
                    <a:r>
                      <a:rPr lang="en-US" baseline="0"/>
                      <a:t/>
                    </a:r>
                    <a:br>
                      <a:rPr lang="en-US" baseline="0"/>
                    </a:br>
                    <a:r>
                      <a:rPr lang="en-US" baseline="0"/>
                      <a:t>R² = 0.9918</a:t>
                    </a:r>
                    <a:endParaRPr lang="en-US"/>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coefficients!$K$3:$K$6</c:f>
              <c:numCache>
                <c:formatCode>General</c:formatCode>
                <c:ptCount val="4"/>
                <c:pt idx="0">
                  <c:v>20</c:v>
                </c:pt>
                <c:pt idx="1">
                  <c:v>50</c:v>
                </c:pt>
                <c:pt idx="2">
                  <c:v>80</c:v>
                </c:pt>
                <c:pt idx="3">
                  <c:v>100</c:v>
                </c:pt>
              </c:numCache>
            </c:numRef>
          </c:xVal>
          <c:yVal>
            <c:numRef>
              <c:f>coefficients!$D$3:$D$6</c:f>
              <c:numCache>
                <c:formatCode>General</c:formatCode>
                <c:ptCount val="4"/>
                <c:pt idx="0">
                  <c:v>2.34984323E-4</c:v>
                </c:pt>
                <c:pt idx="1">
                  <c:v>1.9843827399999999E-4</c:v>
                </c:pt>
                <c:pt idx="2">
                  <c:v>1.4053805900000001E-4</c:v>
                </c:pt>
                <c:pt idx="3">
                  <c:v>1.10615563E-4</c:v>
                </c:pt>
              </c:numCache>
            </c:numRef>
          </c:yVal>
          <c:smooth val="0"/>
        </c:ser>
        <c:dLbls>
          <c:showLegendKey val="0"/>
          <c:showVal val="0"/>
          <c:showCatName val="0"/>
          <c:showSerName val="0"/>
          <c:showPercent val="0"/>
          <c:showBubbleSize val="0"/>
        </c:dLbls>
        <c:axId val="444859456"/>
        <c:axId val="444931312"/>
      </c:scatterChart>
      <c:valAx>
        <c:axId val="44485945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Relative Humidity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931312"/>
        <c:crosses val="autoZero"/>
        <c:crossBetween val="midCat"/>
      </c:valAx>
      <c:valAx>
        <c:axId val="44493131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Rate of Transformation from Unound to Bound, </a:t>
                </a:r>
                <a:r>
                  <a:rPr lang="el-GR"/>
                  <a:t>γ</a:t>
                </a:r>
                <a:r>
                  <a:rPr lang="en-US"/>
                  <a:t> (hr</a:t>
                </a:r>
                <a:r>
                  <a:rPr lang="en-US" baseline="30000"/>
                  <a:t>-1</a:t>
                </a:r>
                <a:r>
                  <a:rPr lang="en-US"/>
                  <a: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859456"/>
        <c:crosses val="autoZero"/>
        <c:crossBetween val="midCat"/>
        <c:dispUnits>
          <c:custUnit val="1.0000000000000003E-4"/>
          <c:dispUnitsLbl>
            <c:layout>
              <c:manualLayout>
                <c:xMode val="edge"/>
                <c:yMode val="edge"/>
                <c:x val="9.9811676082862524E-2"/>
                <c:y val="6.161111111111111E-2"/>
              </c:manualLayout>
            </c:layout>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 10</a:t>
                  </a:r>
                  <a:r>
                    <a:rPr lang="en-US" sz="1100" b="0" i="0" baseline="30000">
                      <a:effectLst/>
                    </a:rPr>
                    <a:t>-4</a:t>
                  </a:r>
                  <a:endParaRPr lang="en-US" sz="1100">
                    <a:effectLst/>
                  </a:endParaRPr>
                </a:p>
              </c:rich>
            </c:tx>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93459080326823"/>
          <c:y val="7.0012626262626262E-2"/>
          <c:w val="0.75174996663552662"/>
          <c:h val="0.62687355841883396"/>
        </c:manualLayout>
      </c:layout>
      <c:scatterChart>
        <c:scatterStyle val="lineMarker"/>
        <c:varyColors val="0"/>
        <c:ser>
          <c:idx val="0"/>
          <c:order val="0"/>
          <c:spPr>
            <a:ln w="19050"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8239879106020838E-2"/>
                  <c:y val="0.14993190040434135"/>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µ = -1.73</a:t>
                    </a:r>
                    <a:r>
                      <a:rPr lang="en-US" sz="1100" b="0" i="0" u="none" strike="noStrike" baseline="0">
                        <a:effectLst/>
                      </a:rPr>
                      <a:t>×10</a:t>
                    </a:r>
                    <a:r>
                      <a:rPr lang="en-US" sz="1100" b="0" i="0" u="none" strike="noStrike" baseline="30000">
                        <a:effectLst/>
                      </a:rPr>
                      <a:t>-3 </a:t>
                    </a:r>
                    <a:r>
                      <a:rPr lang="en-US" sz="1100" b="0" i="0" u="none" strike="noStrike" baseline="0">
                        <a:effectLst/>
                      </a:rPr>
                      <a:t>%RH </a:t>
                    </a:r>
                    <a:r>
                      <a:rPr lang="en-US" baseline="0"/>
                      <a:t> + 0.33</a:t>
                    </a:r>
                    <a:br>
                      <a:rPr lang="en-US" baseline="0"/>
                    </a:br>
                    <a:r>
                      <a:rPr lang="en-US" baseline="0"/>
                      <a:t>R² = 0.9786</a:t>
                    </a:r>
                    <a:endParaRPr lang="en-US"/>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coefficients!$K$3:$K$6</c:f>
              <c:numCache>
                <c:formatCode>General</c:formatCode>
                <c:ptCount val="4"/>
                <c:pt idx="0">
                  <c:v>20</c:v>
                </c:pt>
                <c:pt idx="1">
                  <c:v>50</c:v>
                </c:pt>
                <c:pt idx="2">
                  <c:v>80</c:v>
                </c:pt>
                <c:pt idx="3">
                  <c:v>100</c:v>
                </c:pt>
              </c:numCache>
            </c:numRef>
          </c:xVal>
          <c:yVal>
            <c:numRef>
              <c:f>coefficients!$F$3:$F$6</c:f>
              <c:numCache>
                <c:formatCode>General</c:formatCode>
                <c:ptCount val="4"/>
                <c:pt idx="0">
                  <c:v>0.29195670218878278</c:v>
                </c:pt>
                <c:pt idx="1">
                  <c:v>0.26064825487106819</c:v>
                </c:pt>
                <c:pt idx="2">
                  <c:v>0.19379236906925282</c:v>
                </c:pt>
                <c:pt idx="3">
                  <c:v>0.15817823184489074</c:v>
                </c:pt>
              </c:numCache>
            </c:numRef>
          </c:yVal>
          <c:smooth val="0"/>
        </c:ser>
        <c:dLbls>
          <c:showLegendKey val="0"/>
          <c:showVal val="0"/>
          <c:showCatName val="0"/>
          <c:showSerName val="0"/>
          <c:showPercent val="0"/>
          <c:showBubbleSize val="0"/>
        </c:dLbls>
        <c:axId val="444932096"/>
        <c:axId val="444932488"/>
      </c:scatterChart>
      <c:valAx>
        <c:axId val="44493209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Relative Humidity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932488"/>
        <c:crosses val="autoZero"/>
        <c:crossBetween val="midCat"/>
      </c:valAx>
      <c:valAx>
        <c:axId val="44493248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Hindrance Coefficient, µ</a:t>
                </a:r>
              </a:p>
              <a:p>
                <a:pPr>
                  <a:defRPr sz="1200" b="1"/>
                </a:pPr>
                <a:endParaRPr lang="en-US"/>
              </a:p>
              <a:p>
                <a:pPr>
                  <a:defRPr sz="1200" b="1"/>
                </a:pP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932096"/>
        <c:crosses val="autoZero"/>
        <c:crossBetween val="midCat"/>
        <c:majorUnit val="0.1"/>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c:f>
              <c:strCache>
                <c:ptCount val="1"/>
                <c:pt idx="0">
                  <c:v>Dry</c:v>
                </c:pt>
              </c:strCache>
            </c:strRef>
          </c:tx>
          <c:spPr>
            <a:solidFill>
              <a:schemeClr val="accent1"/>
            </a:solidFill>
            <a:ln>
              <a:noFill/>
            </a:ln>
            <a:effectLst/>
          </c:spPr>
          <c:invertIfNegative val="0"/>
          <c:errBars>
            <c:errBarType val="both"/>
            <c:errValType val="cust"/>
            <c:noEndCap val="0"/>
            <c:plus>
              <c:numRef>
                <c:f>Sheet1!$B$9</c:f>
                <c:numCache>
                  <c:formatCode>General</c:formatCode>
                  <c:ptCount val="1"/>
                  <c:pt idx="0">
                    <c:v>0.13813289504636778</c:v>
                  </c:pt>
                </c:numCache>
              </c:numRef>
            </c:plus>
            <c:minus>
              <c:numRef>
                <c:f>Sheet1!$B$9</c:f>
                <c:numCache>
                  <c:formatCode>General</c:formatCode>
                  <c:ptCount val="1"/>
                  <c:pt idx="0">
                    <c:v>0.13813289504636778</c:v>
                  </c:pt>
                </c:numCache>
              </c:numRef>
            </c:minus>
            <c:spPr>
              <a:noFill/>
              <a:ln w="9525" cap="flat" cmpd="sng" algn="ctr">
                <a:solidFill>
                  <a:schemeClr val="tx1">
                    <a:lumMod val="65000"/>
                    <a:lumOff val="35000"/>
                  </a:schemeClr>
                </a:solidFill>
                <a:round/>
              </a:ln>
              <a:effectLst/>
            </c:spPr>
          </c:errBars>
          <c:val>
            <c:numRef>
              <c:f>Sheet1!$B$8</c:f>
              <c:numCache>
                <c:formatCode>0.000</c:formatCode>
                <c:ptCount val="1"/>
                <c:pt idx="0">
                  <c:v>3.2403333333333335</c:v>
                </c:pt>
              </c:numCache>
            </c:numRef>
          </c:val>
        </c:ser>
        <c:ser>
          <c:idx val="1"/>
          <c:order val="1"/>
          <c:tx>
            <c:strRef>
              <c:f>Sheet1!$C$1</c:f>
              <c:strCache>
                <c:ptCount val="1"/>
                <c:pt idx="0">
                  <c:v>20%RH</c:v>
                </c:pt>
              </c:strCache>
            </c:strRef>
          </c:tx>
          <c:spPr>
            <a:solidFill>
              <a:schemeClr val="accent2"/>
            </a:solidFill>
            <a:ln>
              <a:noFill/>
            </a:ln>
            <a:effectLst/>
          </c:spPr>
          <c:invertIfNegative val="0"/>
          <c:errBars>
            <c:errBarType val="both"/>
            <c:errValType val="cust"/>
            <c:noEndCap val="0"/>
            <c:plus>
              <c:numRef>
                <c:f>Sheet1!$D$9</c:f>
                <c:numCache>
                  <c:formatCode>General</c:formatCode>
                  <c:ptCount val="1"/>
                  <c:pt idx="0">
                    <c:v>3.2422449109882977E-2</c:v>
                  </c:pt>
                </c:numCache>
              </c:numRef>
            </c:plus>
            <c:minus>
              <c:numRef>
                <c:f>Sheet1!$D$9</c:f>
                <c:numCache>
                  <c:formatCode>General</c:formatCode>
                  <c:ptCount val="1"/>
                  <c:pt idx="0">
                    <c:v>3.2422449109882977E-2</c:v>
                  </c:pt>
                </c:numCache>
              </c:numRef>
            </c:minus>
            <c:spPr>
              <a:noFill/>
              <a:ln w="9525" cap="flat" cmpd="sng" algn="ctr">
                <a:solidFill>
                  <a:schemeClr val="tx1">
                    <a:lumMod val="65000"/>
                    <a:lumOff val="35000"/>
                  </a:schemeClr>
                </a:solidFill>
                <a:round/>
              </a:ln>
              <a:effectLst/>
            </c:spPr>
          </c:errBars>
          <c:val>
            <c:numRef>
              <c:f>Sheet1!$D$8</c:f>
              <c:numCache>
                <c:formatCode>0.000</c:formatCode>
                <c:ptCount val="1"/>
                <c:pt idx="0">
                  <c:v>3.2025000000000001</c:v>
                </c:pt>
              </c:numCache>
            </c:numRef>
          </c:val>
        </c:ser>
        <c:ser>
          <c:idx val="4"/>
          <c:order val="2"/>
          <c:tx>
            <c:strRef>
              <c:f>Sheet1!$E$1</c:f>
              <c:strCache>
                <c:ptCount val="1"/>
                <c:pt idx="0">
                  <c:v>50%RH</c:v>
                </c:pt>
              </c:strCache>
            </c:strRef>
          </c:tx>
          <c:spPr>
            <a:solidFill>
              <a:schemeClr val="accent5"/>
            </a:solidFill>
            <a:ln>
              <a:noFill/>
            </a:ln>
            <a:effectLst/>
          </c:spPr>
          <c:invertIfNegative val="0"/>
          <c:errBars>
            <c:errBarType val="both"/>
            <c:errValType val="cust"/>
            <c:noEndCap val="0"/>
            <c:plus>
              <c:numRef>
                <c:f>Sheet1!$F$9</c:f>
                <c:numCache>
                  <c:formatCode>General</c:formatCode>
                  <c:ptCount val="1"/>
                  <c:pt idx="0">
                    <c:v>3.5744498930085244E-2</c:v>
                  </c:pt>
                </c:numCache>
              </c:numRef>
            </c:plus>
            <c:minus>
              <c:numRef>
                <c:f>Sheet1!$F$9</c:f>
                <c:numCache>
                  <c:formatCode>General</c:formatCode>
                  <c:ptCount val="1"/>
                  <c:pt idx="0">
                    <c:v>3.5744498930085244E-2</c:v>
                  </c:pt>
                </c:numCache>
              </c:numRef>
            </c:minus>
            <c:spPr>
              <a:noFill/>
              <a:ln w="9525" cap="flat" cmpd="sng" algn="ctr">
                <a:solidFill>
                  <a:schemeClr val="tx1">
                    <a:lumMod val="65000"/>
                    <a:lumOff val="35000"/>
                  </a:schemeClr>
                </a:solidFill>
                <a:round/>
              </a:ln>
              <a:effectLst/>
            </c:spPr>
          </c:errBars>
          <c:val>
            <c:numRef>
              <c:f>Sheet1!$F$8</c:f>
              <c:numCache>
                <c:formatCode>0.000</c:formatCode>
                <c:ptCount val="1"/>
                <c:pt idx="0">
                  <c:v>3.1539999999999999</c:v>
                </c:pt>
              </c:numCache>
            </c:numRef>
          </c:val>
        </c:ser>
        <c:ser>
          <c:idx val="2"/>
          <c:order val="3"/>
          <c:tx>
            <c:strRef>
              <c:f>Sheet1!$G$1</c:f>
              <c:strCache>
                <c:ptCount val="1"/>
                <c:pt idx="0">
                  <c:v>80%RH</c:v>
                </c:pt>
              </c:strCache>
            </c:strRef>
          </c:tx>
          <c:spPr>
            <a:solidFill>
              <a:schemeClr val="accent3"/>
            </a:solidFill>
            <a:ln>
              <a:noFill/>
            </a:ln>
            <a:effectLst/>
          </c:spPr>
          <c:invertIfNegative val="0"/>
          <c:errBars>
            <c:errBarType val="both"/>
            <c:errValType val="cust"/>
            <c:noEndCap val="0"/>
            <c:plus>
              <c:numRef>
                <c:f>Sheet1!$H$9</c:f>
                <c:numCache>
                  <c:formatCode>General</c:formatCode>
                  <c:ptCount val="1"/>
                  <c:pt idx="0">
                    <c:v>4.3871147424671096E-2</c:v>
                  </c:pt>
                </c:numCache>
              </c:numRef>
            </c:plus>
            <c:minus>
              <c:numRef>
                <c:f>Sheet1!$H$9</c:f>
                <c:numCache>
                  <c:formatCode>General</c:formatCode>
                  <c:ptCount val="1"/>
                  <c:pt idx="0">
                    <c:v>4.3871147424671096E-2</c:v>
                  </c:pt>
                </c:numCache>
              </c:numRef>
            </c:minus>
            <c:spPr>
              <a:noFill/>
              <a:ln w="9525" cap="flat" cmpd="sng" algn="ctr">
                <a:solidFill>
                  <a:schemeClr val="tx1">
                    <a:lumMod val="65000"/>
                    <a:lumOff val="35000"/>
                  </a:schemeClr>
                </a:solidFill>
                <a:round/>
              </a:ln>
              <a:effectLst/>
            </c:spPr>
          </c:errBars>
          <c:val>
            <c:numRef>
              <c:f>Sheet1!$H$8</c:f>
              <c:numCache>
                <c:formatCode>0.000</c:formatCode>
                <c:ptCount val="1"/>
                <c:pt idx="0">
                  <c:v>3.1028333333333333</c:v>
                </c:pt>
              </c:numCache>
            </c:numRef>
          </c:val>
        </c:ser>
        <c:ser>
          <c:idx val="3"/>
          <c:order val="4"/>
          <c:tx>
            <c:strRef>
              <c:f>Sheet1!$I$1</c:f>
              <c:strCache>
                <c:ptCount val="1"/>
                <c:pt idx="0">
                  <c:v>Immersion</c:v>
                </c:pt>
              </c:strCache>
            </c:strRef>
          </c:tx>
          <c:spPr>
            <a:solidFill>
              <a:schemeClr val="accent4"/>
            </a:solidFill>
            <a:ln>
              <a:noFill/>
            </a:ln>
            <a:effectLst/>
          </c:spPr>
          <c:invertIfNegative val="0"/>
          <c:errBars>
            <c:errBarType val="both"/>
            <c:errValType val="cust"/>
            <c:noEndCap val="0"/>
            <c:plus>
              <c:numRef>
                <c:f>Sheet1!$J$9</c:f>
                <c:numCache>
                  <c:formatCode>General</c:formatCode>
                  <c:ptCount val="1"/>
                  <c:pt idx="0">
                    <c:v>5.3490421916848295E-2</c:v>
                  </c:pt>
                </c:numCache>
              </c:numRef>
            </c:plus>
            <c:minus>
              <c:numRef>
                <c:f>Sheet1!$J$9</c:f>
                <c:numCache>
                  <c:formatCode>General</c:formatCode>
                  <c:ptCount val="1"/>
                  <c:pt idx="0">
                    <c:v>5.3490421916848295E-2</c:v>
                  </c:pt>
                </c:numCache>
              </c:numRef>
            </c:minus>
            <c:spPr>
              <a:noFill/>
              <a:ln w="9525" cap="flat" cmpd="sng" algn="ctr">
                <a:solidFill>
                  <a:schemeClr val="tx1">
                    <a:lumMod val="65000"/>
                    <a:lumOff val="35000"/>
                  </a:schemeClr>
                </a:solidFill>
                <a:round/>
              </a:ln>
              <a:effectLst/>
            </c:spPr>
          </c:errBars>
          <c:val>
            <c:numRef>
              <c:f>Sheet1!$J$8</c:f>
              <c:numCache>
                <c:formatCode>0.000</c:formatCode>
                <c:ptCount val="1"/>
                <c:pt idx="0">
                  <c:v>2.9998333333333331</c:v>
                </c:pt>
              </c:numCache>
            </c:numRef>
          </c:val>
        </c:ser>
        <c:dLbls>
          <c:showLegendKey val="0"/>
          <c:showVal val="0"/>
          <c:showCatName val="0"/>
          <c:showSerName val="0"/>
          <c:showPercent val="0"/>
          <c:showBubbleSize val="0"/>
        </c:dLbls>
        <c:gapWidth val="219"/>
        <c:overlap val="-27"/>
        <c:axId val="444933272"/>
        <c:axId val="444933664"/>
      </c:barChart>
      <c:catAx>
        <c:axId val="444933272"/>
        <c:scaling>
          <c:orientation val="minMax"/>
        </c:scaling>
        <c:delete val="1"/>
        <c:axPos val="b"/>
        <c:majorTickMark val="none"/>
        <c:minorTickMark val="none"/>
        <c:tickLblPos val="nextTo"/>
        <c:crossAx val="444933664"/>
        <c:crosses val="autoZero"/>
        <c:auto val="1"/>
        <c:lblAlgn val="ctr"/>
        <c:lblOffset val="100"/>
        <c:noMultiLvlLbl val="0"/>
      </c:catAx>
      <c:valAx>
        <c:axId val="444933664"/>
        <c:scaling>
          <c:orientation val="minMax"/>
          <c:max val="3.4"/>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Flexural Modulus (GPa)</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933272"/>
        <c:crosses val="autoZero"/>
        <c:crossBetween val="between"/>
      </c:valAx>
      <c:spPr>
        <a:noFill/>
        <a:ln w="15875">
          <a:solidFill>
            <a:schemeClr val="tx1"/>
          </a:solidFill>
        </a:ln>
        <a:effectLst/>
      </c:spPr>
    </c:plotArea>
    <c:legend>
      <c:legendPos val="b"/>
      <c:layout>
        <c:manualLayout>
          <c:xMode val="edge"/>
          <c:yMode val="edge"/>
          <c:x val="0.23197014435695537"/>
          <c:y val="0.88010933866427321"/>
          <c:w val="0.68652267424905222"/>
          <c:h val="8.8444015252810385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60197283031931"/>
          <c:y val="4.6296296296296294E-2"/>
          <c:w val="0.79868385682558907"/>
          <c:h val="0.74350320793234181"/>
        </c:manualLayout>
      </c:layout>
      <c:scatterChart>
        <c:scatterStyle val="lineMarker"/>
        <c:varyColors val="0"/>
        <c:ser>
          <c:idx val="0"/>
          <c:order val="0"/>
          <c:spPr>
            <a:ln w="28575" cap="rnd">
              <a:noFill/>
              <a:round/>
            </a:ln>
            <a:effectLst/>
          </c:spPr>
          <c:marker>
            <c:symbol val="square"/>
            <c:size val="10"/>
            <c:spPr>
              <a:solidFill>
                <a:schemeClr val="tx1"/>
              </a:solidFill>
              <a:ln w="9525">
                <a:solidFill>
                  <a:schemeClr val="tx1"/>
                </a:solidFill>
              </a:ln>
              <a:effectLst/>
            </c:spPr>
          </c:marker>
          <c:trendline>
            <c:spPr>
              <a:ln w="19050" cap="rnd">
                <a:solidFill>
                  <a:schemeClr val="tx1"/>
                </a:solidFill>
                <a:prstDash val="solid"/>
              </a:ln>
              <a:effectLst/>
            </c:spPr>
            <c:trendlineType val="linear"/>
            <c:dispRSqr val="1"/>
            <c:dispEq val="1"/>
            <c:trendlineLbl>
              <c:layout>
                <c:manualLayout>
                  <c:x val="6.8637722368037335E-2"/>
                  <c:y val="-0.35100557355586254"/>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M</a:t>
                    </a:r>
                    <a:r>
                      <a:rPr lang="en-US" baseline="-25000"/>
                      <a:t>∞</a:t>
                    </a:r>
                    <a:r>
                      <a:rPr lang="en-US" baseline="0"/>
                      <a:t> = -0.106 E + 3.25</a:t>
                    </a:r>
                    <a:br>
                      <a:rPr lang="en-US" baseline="0"/>
                    </a:br>
                    <a:r>
                      <a:rPr lang="en-US" baseline="0"/>
                      <a:t>R² = 0.9757</a:t>
                    </a:r>
                    <a:endParaRPr lang="en-US"/>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Sheet1!$L$12:$L$16</c:f>
              <c:numCache>
                <c:formatCode>General</c:formatCode>
                <c:ptCount val="5"/>
                <c:pt idx="0">
                  <c:v>0</c:v>
                </c:pt>
                <c:pt idx="1">
                  <c:v>0.44</c:v>
                </c:pt>
                <c:pt idx="2">
                  <c:v>0.82</c:v>
                </c:pt>
                <c:pt idx="3">
                  <c:v>1.56</c:v>
                </c:pt>
                <c:pt idx="4">
                  <c:v>2.1800000000000002</c:v>
                </c:pt>
              </c:numCache>
            </c:numRef>
          </c:xVal>
          <c:yVal>
            <c:numRef>
              <c:f>Sheet1!$M$12:$M$16</c:f>
              <c:numCache>
                <c:formatCode>General</c:formatCode>
                <c:ptCount val="5"/>
                <c:pt idx="0">
                  <c:v>3.24</c:v>
                </c:pt>
                <c:pt idx="1">
                  <c:v>3.2029999999999998</c:v>
                </c:pt>
                <c:pt idx="2">
                  <c:v>3.15</c:v>
                </c:pt>
                <c:pt idx="3">
                  <c:v>3.1030000000000002</c:v>
                </c:pt>
                <c:pt idx="4">
                  <c:v>3</c:v>
                </c:pt>
              </c:numCache>
            </c:numRef>
          </c:yVal>
          <c:smooth val="0"/>
        </c:ser>
        <c:dLbls>
          <c:showLegendKey val="0"/>
          <c:showVal val="0"/>
          <c:showCatName val="0"/>
          <c:showSerName val="0"/>
          <c:showPercent val="0"/>
          <c:showBubbleSize val="0"/>
        </c:dLbls>
        <c:axId val="444934448"/>
        <c:axId val="444934840"/>
      </c:scatterChart>
      <c:valAx>
        <c:axId val="444934448"/>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Moisture Content (wt.%)</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934840"/>
        <c:crosses val="autoZero"/>
        <c:crossBetween val="midCat"/>
      </c:valAx>
      <c:valAx>
        <c:axId val="44493484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baseline="0">
                    <a:effectLst/>
                  </a:rPr>
                  <a:t>Flexural Modulus (GPa)</a:t>
                </a:r>
                <a:endParaRPr lang="en-US" sz="1200">
                  <a:effectLst/>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4934448"/>
        <c:crosses val="autoZero"/>
        <c:crossBetween val="midCat"/>
        <c:minorUnit val="0.1"/>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5421059655678634E-2"/>
                  <c:y val="-0.39440300225629693"/>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a:t>
                    </a:r>
                    <a:r>
                      <a:rPr lang="en-US"/>
                      <a:t> = -0.11</a:t>
                    </a:r>
                    <a:r>
                      <a:rPr lang="en-US" sz="1100" b="0" i="0" u="none" strike="noStrike" baseline="0">
                        <a:effectLst/>
                      </a:rPr>
                      <a:t>%</a:t>
                    </a:r>
                    <a:r>
                      <a:rPr lang="el-GR" sz="1100" b="0" i="0" u="none" strike="noStrike" baseline="0">
                        <a:effectLst/>
                      </a:rPr>
                      <a:t>ν</a:t>
                    </a:r>
                    <a:r>
                      <a:rPr lang="en-US" sz="1100" b="0" i="0" u="none" strike="noStrike" baseline="-25000">
                        <a:effectLst/>
                      </a:rPr>
                      <a:t>NC</a:t>
                    </a:r>
                    <a:r>
                      <a:rPr lang="en-US" sz="1100" b="0" i="0" u="none" strike="noStrike" baseline="0">
                        <a:effectLst/>
                      </a:rPr>
                      <a:t> </a:t>
                    </a:r>
                    <a:r>
                      <a:rPr lang="en-US"/>
                      <a:t>+ 2.15</a:t>
                    </a:r>
                    <a:br>
                      <a:rPr lang="en-US"/>
                    </a:br>
                    <a:r>
                      <a:rPr lang="en-US"/>
                      <a:t>R² = 0.969</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Dlinear'!$B$1:$B$4</c:f>
              <c:numCache>
                <c:formatCode>General</c:formatCode>
                <c:ptCount val="4"/>
                <c:pt idx="0">
                  <c:v>0</c:v>
                </c:pt>
                <c:pt idx="1">
                  <c:v>0.668896321070234</c:v>
                </c:pt>
                <c:pt idx="2">
                  <c:v>1.3422818791946307</c:v>
                </c:pt>
                <c:pt idx="3">
                  <c:v>3.3898305084745761</c:v>
                </c:pt>
              </c:numCache>
            </c:numRef>
          </c:xVal>
          <c:yVal>
            <c:numRef>
              <c:f>'Coeff Dlinear'!$I$1:$I$4</c:f>
              <c:numCache>
                <c:formatCode>General</c:formatCode>
                <c:ptCount val="4"/>
                <c:pt idx="0">
                  <c:v>2.1808678799999996</c:v>
                </c:pt>
                <c:pt idx="1">
                  <c:v>2.0498488699999999</c:v>
                </c:pt>
                <c:pt idx="2">
                  <c:v>1.9880196199999998</c:v>
                </c:pt>
                <c:pt idx="3">
                  <c:v>1.8021253300000002</c:v>
                </c:pt>
              </c:numCache>
            </c:numRef>
          </c:yVal>
          <c:smooth val="0"/>
        </c:ser>
        <c:dLbls>
          <c:showLegendKey val="0"/>
          <c:showVal val="0"/>
          <c:showCatName val="0"/>
          <c:showSerName val="0"/>
          <c:showPercent val="0"/>
          <c:showBubbleSize val="0"/>
        </c:dLbls>
        <c:axId val="396948208"/>
        <c:axId val="396948600"/>
      </c:scatterChart>
      <c:valAx>
        <c:axId val="396948208"/>
        <c:scaling>
          <c:orientation val="minMax"/>
          <c:max val="3.5"/>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6948600"/>
        <c:crosses val="autoZero"/>
        <c:crossBetween val="midCat"/>
      </c:valAx>
      <c:valAx>
        <c:axId val="396948600"/>
        <c:scaling>
          <c:orientation val="minMax"/>
          <c:min val="1.7000000000000002"/>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Moisture Content, M</a:t>
                </a:r>
                <a:r>
                  <a:rPr lang="en-US" sz="1200" b="1" baseline="-25000"/>
                  <a:t>∞</a:t>
                </a:r>
                <a:r>
                  <a:rPr lang="en-US" sz="1200" b="1"/>
                  <a: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6948208"/>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2536144846300992E-2"/>
                  <c:y val="-0.45266995134380134"/>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unbound,∞ </a:t>
                    </a:r>
                    <a:r>
                      <a:rPr lang="en-US"/>
                      <a:t>= -5.78</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l-GR" sz="1100" b="0" i="0" u="none" strike="noStrike" baseline="0">
                        <a:effectLst/>
                      </a:rPr>
                      <a:t>ν</a:t>
                    </a:r>
                    <a:r>
                      <a:rPr lang="en-US" sz="1100" b="0" i="0" u="none" strike="noStrike" baseline="-25000">
                        <a:effectLst/>
                      </a:rPr>
                      <a:t>NC</a:t>
                    </a:r>
                    <a:r>
                      <a:rPr lang="en-US" sz="1100" b="0" i="0" u="none" strike="noStrike" baseline="0">
                        <a:effectLst/>
                      </a:rPr>
                      <a:t> </a:t>
                    </a:r>
                    <a:r>
                      <a:rPr lang="en-US"/>
                      <a:t>+ 1.79</a:t>
                    </a:r>
                    <a:br>
                      <a:rPr lang="en-US"/>
                    </a:br>
                    <a:r>
                      <a:rPr lang="en-US"/>
                      <a:t>R² = 0.949</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Dlinear'!$B$1:$B$4</c:f>
              <c:numCache>
                <c:formatCode>General</c:formatCode>
                <c:ptCount val="4"/>
                <c:pt idx="0">
                  <c:v>0</c:v>
                </c:pt>
                <c:pt idx="1">
                  <c:v>0.668896321070234</c:v>
                </c:pt>
                <c:pt idx="2">
                  <c:v>1.3422818791946307</c:v>
                </c:pt>
                <c:pt idx="3">
                  <c:v>3.3898305084745761</c:v>
                </c:pt>
              </c:numCache>
            </c:numRef>
          </c:xVal>
          <c:yVal>
            <c:numRef>
              <c:f>'Coeff Dlinear'!$H$1:$H$4</c:f>
              <c:numCache>
                <c:formatCode>General</c:formatCode>
                <c:ptCount val="4"/>
                <c:pt idx="0">
                  <c:v>1.8094292183850234</c:v>
                </c:pt>
                <c:pt idx="1">
                  <c:v>1.7352648888312416</c:v>
                </c:pt>
                <c:pt idx="2">
                  <c:v>1.6901500224603896</c:v>
                </c:pt>
                <c:pt idx="3">
                  <c:v>1.6015100700407838</c:v>
                </c:pt>
              </c:numCache>
            </c:numRef>
          </c:yVal>
          <c:smooth val="0"/>
        </c:ser>
        <c:dLbls>
          <c:showLegendKey val="0"/>
          <c:showVal val="0"/>
          <c:showCatName val="0"/>
          <c:showSerName val="0"/>
          <c:showPercent val="0"/>
          <c:showBubbleSize val="0"/>
        </c:dLbls>
        <c:axId val="389554944"/>
        <c:axId val="389555336"/>
      </c:scatterChart>
      <c:valAx>
        <c:axId val="389554944"/>
        <c:scaling>
          <c:orientation val="minMax"/>
          <c:max val="3.5"/>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9555336"/>
        <c:crosses val="autoZero"/>
        <c:crossBetween val="midCat"/>
      </c:valAx>
      <c:valAx>
        <c:axId val="38955533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Unbound Moisture Content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9554944"/>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solidFill>
                  <a:schemeClr val="tx1"/>
                </a:solidFill>
              </a:ln>
              <a:effectLst/>
            </c:spPr>
          </c:marker>
          <c:trendline>
            <c:spPr>
              <a:ln w="19050" cap="rnd">
                <a:solidFill>
                  <a:schemeClr val="tx1"/>
                </a:solidFill>
                <a:prstDash val="solid"/>
              </a:ln>
              <a:effectLst/>
            </c:spPr>
            <c:trendlineType val="linear"/>
            <c:dispRSqr val="1"/>
            <c:dispEq val="1"/>
            <c:trendlineLbl>
              <c:layout>
                <c:manualLayout>
                  <c:x val="-2.6448388866645908E-2"/>
                  <c:y val="0.13675845343893417"/>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bound,∞ </a:t>
                    </a:r>
                    <a:r>
                      <a:rPr lang="en-US"/>
                      <a:t>= -4.79</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l-GR" sz="1100" b="0" i="0" u="none" strike="noStrike" baseline="0">
                        <a:effectLst/>
                      </a:rPr>
                      <a:t>ν</a:t>
                    </a:r>
                    <a:r>
                      <a:rPr lang="en-US" sz="1100" b="0" i="0" u="none" strike="noStrike" baseline="-25000">
                        <a:effectLst/>
                      </a:rPr>
                      <a:t>NC</a:t>
                    </a:r>
                    <a:r>
                      <a:rPr lang="en-US" sz="1100" b="0" i="0" u="none" strike="noStrike" baseline="0">
                        <a:effectLst/>
                      </a:rPr>
                      <a:t> </a:t>
                    </a:r>
                    <a:r>
                      <a:rPr lang="en-US"/>
                      <a:t>+ 0.36</a:t>
                    </a:r>
                    <a:br>
                      <a:rPr lang="en-US"/>
                    </a:br>
                    <a:r>
                      <a:rPr lang="en-US"/>
                      <a:t>R² = 0.979</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Dlinear'!$B$1:$B$4</c:f>
              <c:numCache>
                <c:formatCode>General</c:formatCode>
                <c:ptCount val="4"/>
                <c:pt idx="0">
                  <c:v>0</c:v>
                </c:pt>
                <c:pt idx="1">
                  <c:v>0.668896321070234</c:v>
                </c:pt>
                <c:pt idx="2">
                  <c:v>1.3422818791946307</c:v>
                </c:pt>
                <c:pt idx="3">
                  <c:v>3.3898305084745761</c:v>
                </c:pt>
              </c:numCache>
            </c:numRef>
          </c:xVal>
          <c:yVal>
            <c:numRef>
              <c:f>'Coeff Dlinear'!$G$1:$G$4</c:f>
              <c:numCache>
                <c:formatCode>General</c:formatCode>
                <c:ptCount val="4"/>
                <c:pt idx="0">
                  <c:v>0.37143866161497624</c:v>
                </c:pt>
                <c:pt idx="1">
                  <c:v>0.31458398116875841</c:v>
                </c:pt>
                <c:pt idx="2">
                  <c:v>0.29786959753961018</c:v>
                </c:pt>
                <c:pt idx="3">
                  <c:v>0.20061525995921625</c:v>
                </c:pt>
              </c:numCache>
            </c:numRef>
          </c:yVal>
          <c:smooth val="0"/>
        </c:ser>
        <c:dLbls>
          <c:showLegendKey val="0"/>
          <c:showVal val="0"/>
          <c:showCatName val="0"/>
          <c:showSerName val="0"/>
          <c:showPercent val="0"/>
          <c:showBubbleSize val="0"/>
        </c:dLbls>
        <c:axId val="389556120"/>
        <c:axId val="389556512"/>
      </c:scatterChart>
      <c:valAx>
        <c:axId val="389556120"/>
        <c:scaling>
          <c:orientation val="minMax"/>
          <c:max val="3.5"/>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9556512"/>
        <c:crosses val="autoZero"/>
        <c:crossBetween val="midCat"/>
      </c:valAx>
      <c:valAx>
        <c:axId val="38955651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Bound Moisture Content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9556120"/>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736324273025194E-2"/>
                  <c:y val="-0.48582178324200703"/>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 = -7.50</a:t>
                    </a:r>
                    <a:r>
                      <a:rPr lang="en-US" sz="1100" b="0" i="0" u="none" strike="noStrike" baseline="0">
                        <a:effectLst/>
                      </a:rPr>
                      <a:t>×10</a:t>
                    </a:r>
                    <a:r>
                      <a:rPr lang="en-US" sz="1100" b="0" i="0" u="none" strike="noStrike" baseline="30000">
                        <a:effectLst/>
                      </a:rPr>
                      <a:t>-6</a:t>
                    </a:r>
                    <a:r>
                      <a:rPr lang="en-US" sz="1100" b="0" i="0" u="none" strike="noStrike" baseline="0">
                        <a:effectLst/>
                      </a:rPr>
                      <a:t> %</a:t>
                    </a:r>
                    <a:r>
                      <a:rPr lang="el-GR" sz="1100" b="0" i="0" u="none" strike="noStrike" baseline="0">
                        <a:effectLst/>
                      </a:rPr>
                      <a:t>ν</a:t>
                    </a:r>
                    <a:r>
                      <a:rPr lang="en-US" sz="1100" b="0" i="0" u="none" strike="noStrike" baseline="-25000">
                        <a:effectLst/>
                      </a:rPr>
                      <a:t>NC</a:t>
                    </a:r>
                    <a:r>
                      <a:rPr lang="en-US" sz="1100" b="0" i="0" u="none" strike="noStrike" baseline="0">
                        <a:effectLst/>
                      </a:rPr>
                      <a:t> </a:t>
                    </a:r>
                    <a:r>
                      <a:rPr lang="en-US"/>
                      <a:t>+ 7.50</a:t>
                    </a:r>
                    <a:r>
                      <a:rPr lang="en-US" sz="1100" b="0" i="0" u="none" strike="noStrike" baseline="0">
                        <a:effectLst/>
                      </a:rPr>
                      <a:t>×10</a:t>
                    </a:r>
                    <a:r>
                      <a:rPr lang="en-US" sz="1100" b="0" i="0" u="none" strike="noStrike" baseline="30000">
                        <a:effectLst/>
                      </a:rPr>
                      <a:t>-4</a:t>
                    </a:r>
                    <a:r>
                      <a:rPr lang="en-US"/>
                      <a:t/>
                    </a:r>
                    <a:br>
                      <a:rPr lang="en-US"/>
                    </a:br>
                    <a:r>
                      <a:rPr lang="en-US"/>
                      <a:t>R² = 1</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Dlinear'!$A$1:$A$6</c:f>
              <c:numCache>
                <c:formatCode>General</c:formatCode>
                <c:ptCount val="6"/>
                <c:pt idx="0">
                  <c:v>0</c:v>
                </c:pt>
                <c:pt idx="1">
                  <c:v>0.35096491228070176</c:v>
                </c:pt>
                <c:pt idx="2">
                  <c:v>0.70192982456140351</c:v>
                </c:pt>
                <c:pt idx="3">
                  <c:v>1.403859649122807</c:v>
                </c:pt>
                <c:pt idx="4">
                  <c:v>2.1057894736842107</c:v>
                </c:pt>
                <c:pt idx="5">
                  <c:v>3.5096491228070175</c:v>
                </c:pt>
              </c:numCache>
            </c:numRef>
          </c:xVal>
          <c:yVal>
            <c:numRef>
              <c:f>'Coeff Dlinear'!$B$1:$B$6</c:f>
              <c:numCache>
                <c:formatCode>General</c:formatCode>
                <c:ptCount val="6"/>
                <c:pt idx="0">
                  <c:v>7.5000000000000002E-4</c:v>
                </c:pt>
                <c:pt idx="1">
                  <c:v>7.4736776299999996E-4</c:v>
                </c:pt>
                <c:pt idx="2">
                  <c:v>7.4473552600000002E-4</c:v>
                </c:pt>
                <c:pt idx="3">
                  <c:v>7.3947105300000001E-4</c:v>
                </c:pt>
                <c:pt idx="4">
                  <c:v>7.3420657900000001E-4</c:v>
                </c:pt>
                <c:pt idx="5">
                  <c:v>7.2367763200000001E-4</c:v>
                </c:pt>
              </c:numCache>
            </c:numRef>
          </c:yVal>
          <c:smooth val="0"/>
        </c:ser>
        <c:dLbls>
          <c:showLegendKey val="0"/>
          <c:showVal val="0"/>
          <c:showCatName val="0"/>
          <c:showSerName val="0"/>
          <c:showPercent val="0"/>
          <c:showBubbleSize val="0"/>
        </c:dLbls>
        <c:axId val="495994888"/>
        <c:axId val="495995280"/>
      </c:scatterChart>
      <c:valAx>
        <c:axId val="49599488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5995280"/>
        <c:crosses val="autoZero"/>
        <c:crossBetween val="midCat"/>
      </c:valAx>
      <c:valAx>
        <c:axId val="49599528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Diffusion Coefficient, D (mm</a:t>
                </a:r>
                <a:r>
                  <a:rPr lang="en-US" sz="1200" b="1" baseline="30000"/>
                  <a:t>2</a:t>
                </a:r>
                <a:r>
                  <a:rPr lang="en-US" sz="1200" b="1"/>
                  <a:t>/hr)</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5994888"/>
        <c:crosses val="autoZero"/>
        <c:crossBetween val="midCat"/>
        <c:dispUnits>
          <c:custUnit val="1.0000000000000003E-4"/>
          <c:dispUnitsLbl>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u="none" strike="noStrike" baseline="0">
                      <a:effectLst/>
                    </a:rPr>
                    <a:t>×10</a:t>
                  </a:r>
                  <a:r>
                    <a:rPr lang="en-US" sz="1100" b="0" i="0" u="none" strike="noStrike" baseline="30000">
                      <a:effectLst/>
                    </a:rPr>
                    <a:t>-4</a:t>
                  </a:r>
                  <a:endParaRPr lang="en-US"/>
                </a:p>
              </c:rich>
            </c:tx>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w="22225">
          <a:solidFill>
            <a:schemeClr val="tx1"/>
          </a:solidFill>
        </a:ln>
        <a:effectLst/>
      </c:spPr>
    </c:plotArea>
    <c:plotVisOnly val="1"/>
    <c:dispBlanksAs val="gap"/>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1.1284606373355873E-3"/>
                  <c:y val="0.42841130604288497"/>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µ = 1.206</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NC</a:t>
                    </a:r>
                    <a:r>
                      <a:rPr lang="en-US"/>
                      <a:t> + 0.131</a:t>
                    </a:r>
                    <a:br>
                      <a:rPr lang="en-US"/>
                    </a:br>
                    <a:r>
                      <a:rPr lang="en-US"/>
                      <a:t>R² = 0.987</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Dlinear'!$A$1:$A$6</c:f>
              <c:numCache>
                <c:formatCode>General</c:formatCode>
                <c:ptCount val="6"/>
                <c:pt idx="0">
                  <c:v>0</c:v>
                </c:pt>
                <c:pt idx="1">
                  <c:v>0.35096491228070176</c:v>
                </c:pt>
                <c:pt idx="2">
                  <c:v>0.70192982456140351</c:v>
                </c:pt>
                <c:pt idx="3">
                  <c:v>1.403859649122807</c:v>
                </c:pt>
                <c:pt idx="4">
                  <c:v>2.1057894736842107</c:v>
                </c:pt>
                <c:pt idx="5">
                  <c:v>3.5096491228070175</c:v>
                </c:pt>
              </c:numCache>
            </c:numRef>
          </c:xVal>
          <c:yVal>
            <c:numRef>
              <c:f>'Coeff Dlinear'!$E$1:$E$6</c:f>
              <c:numCache>
                <c:formatCode>General</c:formatCode>
                <c:ptCount val="6"/>
                <c:pt idx="0">
                  <c:v>0.13165304587010265</c:v>
                </c:pt>
                <c:pt idx="1">
                  <c:v>0.13449267694640851</c:v>
                </c:pt>
                <c:pt idx="2">
                  <c:v>0.13878310957412038</c:v>
                </c:pt>
                <c:pt idx="3">
                  <c:v>0.14937856000634836</c:v>
                </c:pt>
                <c:pt idx="4">
                  <c:v>0.15288048563552817</c:v>
                </c:pt>
                <c:pt idx="5">
                  <c:v>0.17436646531253816</c:v>
                </c:pt>
              </c:numCache>
            </c:numRef>
          </c:yVal>
          <c:smooth val="0"/>
        </c:ser>
        <c:dLbls>
          <c:showLegendKey val="0"/>
          <c:showVal val="0"/>
          <c:showCatName val="0"/>
          <c:showSerName val="0"/>
          <c:showPercent val="0"/>
          <c:showBubbleSize val="0"/>
        </c:dLbls>
        <c:axId val="495996064"/>
        <c:axId val="447251416"/>
      </c:scatterChart>
      <c:valAx>
        <c:axId val="495996064"/>
        <c:scaling>
          <c:orientation val="minMax"/>
          <c:max val="3.6"/>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7251416"/>
        <c:crosses val="autoZero"/>
        <c:crossBetween val="midCat"/>
      </c:valAx>
      <c:valAx>
        <c:axId val="447251416"/>
        <c:scaling>
          <c:orientation val="minMax"/>
          <c:max val="0.18000000000000002"/>
          <c:min val="0.1200000000000000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Hindrance Coefficient, µ</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5996064"/>
        <c:crosses val="autoZero"/>
        <c:crossBetween val="midCat"/>
        <c:majorUnit val="2.0000000000000004E-2"/>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5.413144861129647E-2"/>
                  <c:y val="-0.45638862028211385"/>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a:t>
                    </a:r>
                    <a:r>
                      <a:rPr lang="en-US"/>
                      <a:t>= -3.34</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NC</a:t>
                    </a:r>
                    <a:r>
                      <a:rPr lang="en-US"/>
                      <a:t> + 2.25</a:t>
                    </a:r>
                    <a:br>
                      <a:rPr lang="en-US"/>
                    </a:br>
                    <a:r>
                      <a:rPr lang="en-US"/>
                      <a:t>R² = 0.993</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Dlinear'!$A$1:$A$6</c:f>
              <c:numCache>
                <c:formatCode>General</c:formatCode>
                <c:ptCount val="6"/>
                <c:pt idx="0">
                  <c:v>0</c:v>
                </c:pt>
                <c:pt idx="1">
                  <c:v>0.35096491228070176</c:v>
                </c:pt>
                <c:pt idx="2">
                  <c:v>0.70192982456140351</c:v>
                </c:pt>
                <c:pt idx="3">
                  <c:v>1.403859649122807</c:v>
                </c:pt>
                <c:pt idx="4">
                  <c:v>2.1057894736842107</c:v>
                </c:pt>
                <c:pt idx="5">
                  <c:v>3.5096491228070175</c:v>
                </c:pt>
              </c:numCache>
            </c:numRef>
          </c:xVal>
          <c:yVal>
            <c:numRef>
              <c:f>'Coeff Dlinear'!$H$1:$H$6</c:f>
              <c:numCache>
                <c:formatCode>0.00</c:formatCode>
                <c:ptCount val="6"/>
                <c:pt idx="0">
                  <c:v>2.2417654389999999</c:v>
                </c:pt>
                <c:pt idx="1">
                  <c:v>2.2382111600000001</c:v>
                </c:pt>
                <c:pt idx="2">
                  <c:v>2.220960619</c:v>
                </c:pt>
                <c:pt idx="3">
                  <c:v>2.1977617170000001</c:v>
                </c:pt>
                <c:pt idx="4">
                  <c:v>2.1805884799999999</c:v>
                </c:pt>
                <c:pt idx="5">
                  <c:v>2.12592304</c:v>
                </c:pt>
              </c:numCache>
            </c:numRef>
          </c:yVal>
          <c:smooth val="0"/>
        </c:ser>
        <c:dLbls>
          <c:showLegendKey val="0"/>
          <c:showVal val="0"/>
          <c:showCatName val="0"/>
          <c:showSerName val="0"/>
          <c:showPercent val="0"/>
          <c:showBubbleSize val="0"/>
        </c:dLbls>
        <c:axId val="447252200"/>
        <c:axId val="447252592"/>
      </c:scatterChart>
      <c:valAx>
        <c:axId val="447252200"/>
        <c:scaling>
          <c:orientation val="minMax"/>
          <c:max val="3.6"/>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7252592"/>
        <c:crosses val="autoZero"/>
        <c:crossBetween val="midCat"/>
      </c:valAx>
      <c:valAx>
        <c:axId val="44725259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Mass Content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7252200"/>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square"/>
            <c:size val="10"/>
            <c:spPr>
              <a:solidFill>
                <a:schemeClr val="tx1"/>
              </a:solidFill>
              <a:ln w="9525">
                <a:noFill/>
              </a:ln>
              <a:effectLst/>
            </c:spPr>
          </c:marker>
          <c:trendline>
            <c:spPr>
              <a:ln w="19050" cap="rnd">
                <a:solidFill>
                  <a:schemeClr val="tx1"/>
                </a:solidFill>
                <a:prstDash val="solid"/>
              </a:ln>
              <a:effectLst/>
            </c:spPr>
            <c:trendlineType val="linear"/>
            <c:dispRSqr val="1"/>
            <c:dispEq val="1"/>
            <c:trendlineLbl>
              <c:layout>
                <c:manualLayout>
                  <c:x val="-3.3345196257247502E-2"/>
                  <c:y val="-0.51802313088056973"/>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t>
                    </a:r>
                    <a:r>
                      <a:rPr lang="en-US" baseline="-25000"/>
                      <a:t>unbound,∞ </a:t>
                    </a:r>
                    <a:r>
                      <a:rPr lang="en-US"/>
                      <a:t>= -4.88</a:t>
                    </a:r>
                    <a:r>
                      <a:rPr lang="en-US" sz="1100" b="0" i="0" u="none" strike="noStrike" baseline="0">
                        <a:effectLst/>
                      </a:rPr>
                      <a:t>×10</a:t>
                    </a:r>
                    <a:r>
                      <a:rPr lang="en-US" sz="1100" b="0" i="0" u="none" strike="noStrike" baseline="30000">
                        <a:effectLst/>
                      </a:rPr>
                      <a:t>-2</a:t>
                    </a:r>
                    <a:r>
                      <a:rPr lang="en-US" sz="1100" b="0" i="0" u="none" strike="noStrike" baseline="0">
                        <a:effectLst/>
                      </a:rPr>
                      <a:t> </a:t>
                    </a:r>
                    <a:r>
                      <a:rPr lang="en-US"/>
                      <a:t>%</a:t>
                    </a:r>
                    <a:r>
                      <a:rPr lang="el-GR"/>
                      <a:t>ν</a:t>
                    </a:r>
                    <a:r>
                      <a:rPr lang="en-US" baseline="-25000"/>
                      <a:t>NC </a:t>
                    </a:r>
                    <a:r>
                      <a:rPr lang="en-US"/>
                      <a:t>+ 1.99</a:t>
                    </a:r>
                    <a:br>
                      <a:rPr lang="en-US"/>
                    </a:br>
                    <a:r>
                      <a:rPr lang="en-US"/>
                      <a:t>R² = 0.992</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'Coeff Dlinear'!$A$1:$A$6</c:f>
              <c:numCache>
                <c:formatCode>General</c:formatCode>
                <c:ptCount val="6"/>
                <c:pt idx="0">
                  <c:v>0</c:v>
                </c:pt>
                <c:pt idx="1">
                  <c:v>0.35096491228070176</c:v>
                </c:pt>
                <c:pt idx="2">
                  <c:v>0.70192982456140351</c:v>
                </c:pt>
                <c:pt idx="3">
                  <c:v>1.403859649122807</c:v>
                </c:pt>
                <c:pt idx="4">
                  <c:v>2.1057894736842107</c:v>
                </c:pt>
                <c:pt idx="5">
                  <c:v>3.5096491228070175</c:v>
                </c:pt>
              </c:numCache>
            </c:numRef>
          </c:xVal>
          <c:yVal>
            <c:numRef>
              <c:f>'Coeff Dlinear'!$F$1:$F$6</c:f>
              <c:numCache>
                <c:formatCode>0.00</c:formatCode>
                <c:ptCount val="6"/>
                <c:pt idx="0">
                  <c:v>1.980965320759029</c:v>
                </c:pt>
                <c:pt idx="1">
                  <c:v>1.9728740480056262</c:v>
                </c:pt>
                <c:pt idx="2">
                  <c:v>1.9502929050559854</c:v>
                </c:pt>
                <c:pt idx="3">
                  <c:v>1.9121304272352717</c:v>
                </c:pt>
                <c:pt idx="4">
                  <c:v>1.8914263075568889</c:v>
                </c:pt>
                <c:pt idx="5">
                  <c:v>1.8102722640621562</c:v>
                </c:pt>
              </c:numCache>
            </c:numRef>
          </c:yVal>
          <c:smooth val="0"/>
        </c:ser>
        <c:dLbls>
          <c:showLegendKey val="0"/>
          <c:showVal val="0"/>
          <c:showCatName val="0"/>
          <c:showSerName val="0"/>
          <c:showPercent val="0"/>
          <c:showBubbleSize val="0"/>
        </c:dLbls>
        <c:axId val="171986632"/>
        <c:axId val="171987024"/>
      </c:scatterChart>
      <c:valAx>
        <c:axId val="171986632"/>
        <c:scaling>
          <c:orientation val="minMax"/>
          <c:max val="3.6"/>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Nanoclay Content (Volume%)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1987024"/>
        <c:crosses val="autoZero"/>
        <c:crossBetween val="midCat"/>
      </c:valAx>
      <c:valAx>
        <c:axId val="17198702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Maximum Unbound Mass Content (wt.%)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1986632"/>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16F48A682043299CE5AC8238BC8DE1"/>
        <w:category>
          <w:name w:val="General"/>
          <w:gallery w:val="placeholder"/>
        </w:category>
        <w:types>
          <w:type w:val="bbPlcHdr"/>
        </w:types>
        <w:behaviors>
          <w:behavior w:val="content"/>
        </w:behaviors>
        <w:guid w:val="{3D32BB44-544D-46B8-A2A7-AC74B1B938AA}"/>
      </w:docPartPr>
      <w:docPartBody>
        <w:p w:rsidR="001D268B" w:rsidRDefault="001D268B" w:rsidP="001D268B">
          <w:pPr>
            <w:pStyle w:val="E616F48A682043299CE5AC8238BC8DE1"/>
          </w:pPr>
          <w:r w:rsidRPr="001F1C68">
            <w:rPr>
              <w:rStyle w:val="PlaceholderText"/>
            </w:rPr>
            <w:t>Click here to enter text.</w:t>
          </w:r>
        </w:p>
      </w:docPartBody>
    </w:docPart>
    <w:docPart>
      <w:docPartPr>
        <w:name w:val="F74EC93BB6734FA0BBCB9E5914650453"/>
        <w:category>
          <w:name w:val="General"/>
          <w:gallery w:val="placeholder"/>
        </w:category>
        <w:types>
          <w:type w:val="bbPlcHdr"/>
        </w:types>
        <w:behaviors>
          <w:behavior w:val="content"/>
        </w:behaviors>
        <w:guid w:val="{6FCF9129-D183-4ADC-899F-2493F1538434}"/>
      </w:docPartPr>
      <w:docPartBody>
        <w:p w:rsidR="001D268B" w:rsidRDefault="001D268B" w:rsidP="001D268B">
          <w:pPr>
            <w:pStyle w:val="F74EC93BB6734FA0BBCB9E5914650453"/>
          </w:pPr>
          <w:r w:rsidRPr="00BB1A19">
            <w:rPr>
              <w:rStyle w:val="PlaceholderText"/>
            </w:rPr>
            <w:t>Click here to enter text.</w:t>
          </w:r>
        </w:p>
      </w:docPartBody>
    </w:docPart>
    <w:docPart>
      <w:docPartPr>
        <w:name w:val="6989DCF1E1B0435E920C73673223E677"/>
        <w:category>
          <w:name w:val="General"/>
          <w:gallery w:val="placeholder"/>
        </w:category>
        <w:types>
          <w:type w:val="bbPlcHdr"/>
        </w:types>
        <w:behaviors>
          <w:behavior w:val="content"/>
        </w:behaviors>
        <w:guid w:val="{FA19BCFE-3B75-47D2-9EA9-08C74AD7604C}"/>
      </w:docPartPr>
      <w:docPartBody>
        <w:p w:rsidR="003D4783" w:rsidRDefault="003D4783" w:rsidP="003D4783">
          <w:pPr>
            <w:pStyle w:val="6989DCF1E1B0435E920C73673223E677"/>
          </w:pPr>
          <w:r w:rsidRPr="001F1C68">
            <w:rPr>
              <w:rStyle w:val="PlaceholderText"/>
            </w:rPr>
            <w:t>Click here to enter text.</w:t>
          </w:r>
        </w:p>
      </w:docPartBody>
    </w:docPart>
    <w:docPart>
      <w:docPartPr>
        <w:name w:val="A3E4F75DD96D4B72A425A8FFDC8B4080"/>
        <w:category>
          <w:name w:val="General"/>
          <w:gallery w:val="placeholder"/>
        </w:category>
        <w:types>
          <w:type w:val="bbPlcHdr"/>
        </w:types>
        <w:behaviors>
          <w:behavior w:val="content"/>
        </w:behaviors>
        <w:guid w:val="{F73D7FE7-7E3B-4BBF-AF04-F781AF9A3E4D}"/>
      </w:docPartPr>
      <w:docPartBody>
        <w:p w:rsidR="003D4783" w:rsidRDefault="003D4783" w:rsidP="003D4783">
          <w:pPr>
            <w:pStyle w:val="A3E4F75DD96D4B72A425A8FFDC8B4080"/>
          </w:pPr>
          <w:r w:rsidRPr="00DB664C">
            <w:rPr>
              <w:rStyle w:val="PlaceholderText"/>
            </w:rPr>
            <w:t>[EXACT NAME OF YOUR ACADEMIC UNIT IN ALL CAPS]</w:t>
          </w:r>
        </w:p>
      </w:docPartBody>
    </w:docPart>
    <w:docPart>
      <w:docPartPr>
        <w:name w:val="47AB6FB09DB04DDA9459D8F89D532BBA"/>
        <w:category>
          <w:name w:val="General"/>
          <w:gallery w:val="placeholder"/>
        </w:category>
        <w:types>
          <w:type w:val="bbPlcHdr"/>
        </w:types>
        <w:behaviors>
          <w:behavior w:val="content"/>
        </w:behaviors>
        <w:guid w:val="{955D9A5C-7106-4B60-92F7-770256E9CA5E}"/>
      </w:docPartPr>
      <w:docPartBody>
        <w:p w:rsidR="003D4783" w:rsidRDefault="003D4783" w:rsidP="003D4783">
          <w:pPr>
            <w:pStyle w:val="47AB6FB09DB04DDA9459D8F89D532BBA"/>
          </w:pPr>
          <w:r w:rsidRPr="00AC7F25">
            <w:rPr>
              <w:rStyle w:val="PlaceholderText"/>
            </w:rPr>
            <w:t>Choose an item.</w:t>
          </w:r>
        </w:p>
      </w:docPartBody>
    </w:docPart>
    <w:docPart>
      <w:docPartPr>
        <w:name w:val="14621F33134B40278B0391B4FC0FBCAF"/>
        <w:category>
          <w:name w:val="General"/>
          <w:gallery w:val="placeholder"/>
        </w:category>
        <w:types>
          <w:type w:val="bbPlcHdr"/>
        </w:types>
        <w:behaviors>
          <w:behavior w:val="content"/>
        </w:behaviors>
        <w:guid w:val="{EC313085-974A-4929-9D9D-BC9F6B89426C}"/>
      </w:docPartPr>
      <w:docPartBody>
        <w:p w:rsidR="003D4783" w:rsidRDefault="003D4783" w:rsidP="003D4783">
          <w:pPr>
            <w:pStyle w:val="14621F33134B40278B0391B4FC0FBCAF"/>
          </w:pPr>
          <w:r w:rsidRPr="00AC7F25">
            <w:rPr>
              <w:rStyle w:val="PlaceholderText"/>
            </w:rPr>
            <w:t>Choose an item.</w:t>
          </w:r>
        </w:p>
      </w:docPartBody>
    </w:docPart>
    <w:docPart>
      <w:docPartPr>
        <w:name w:val="7494FC4762CB433FA6D1125CC5FF5ABA"/>
        <w:category>
          <w:name w:val="General"/>
          <w:gallery w:val="placeholder"/>
        </w:category>
        <w:types>
          <w:type w:val="bbPlcHdr"/>
        </w:types>
        <w:behaviors>
          <w:behavior w:val="content"/>
        </w:behaviors>
        <w:guid w:val="{78B070F1-F985-4B22-ACB5-D84EFDAAD26E}"/>
      </w:docPartPr>
      <w:docPartBody>
        <w:p w:rsidR="003D4783" w:rsidRDefault="003D4783" w:rsidP="003D4783">
          <w:pPr>
            <w:pStyle w:val="7494FC4762CB433FA6D1125CC5FF5ABA"/>
          </w:pPr>
          <w:r w:rsidRPr="001F1C68">
            <w:rPr>
              <w:rStyle w:val="PlaceholderText"/>
            </w:rPr>
            <w:t>Click here to enter text.</w:t>
          </w:r>
        </w:p>
      </w:docPartBody>
    </w:docPart>
    <w:docPart>
      <w:docPartPr>
        <w:name w:val="1C9154B54D56409FA383CCCD5F4EDD01"/>
        <w:category>
          <w:name w:val="General"/>
          <w:gallery w:val="placeholder"/>
        </w:category>
        <w:types>
          <w:type w:val="bbPlcHdr"/>
        </w:types>
        <w:behaviors>
          <w:behavior w:val="content"/>
        </w:behaviors>
        <w:guid w:val="{5FD3B376-C0AB-427F-9AAD-0ED4A2E29CAF}"/>
      </w:docPartPr>
      <w:docPartBody>
        <w:p w:rsidR="003D4783" w:rsidRDefault="003D4783" w:rsidP="003D4783">
          <w:pPr>
            <w:pStyle w:val="1C9154B54D56409FA383CCCD5F4EDD01"/>
          </w:pPr>
          <w:r w:rsidRPr="00AC7F25">
            <w:rPr>
              <w:rStyle w:val="PlaceholderText"/>
            </w:rPr>
            <w:t>Choose an item.</w:t>
          </w:r>
        </w:p>
      </w:docPartBody>
    </w:docPart>
    <w:docPart>
      <w:docPartPr>
        <w:name w:val="29E7E76C3AF44F3285A24C9B2D79E9BE"/>
        <w:category>
          <w:name w:val="General"/>
          <w:gallery w:val="placeholder"/>
        </w:category>
        <w:types>
          <w:type w:val="bbPlcHdr"/>
        </w:types>
        <w:behaviors>
          <w:behavior w:val="content"/>
        </w:behaviors>
        <w:guid w:val="{85E791B4-7912-4D47-B8A7-B47AD9BE0D4C}"/>
      </w:docPartPr>
      <w:docPartBody>
        <w:p w:rsidR="003D4783" w:rsidRDefault="003D4783" w:rsidP="003D4783">
          <w:pPr>
            <w:pStyle w:val="29E7E76C3AF44F3285A24C9B2D79E9BE"/>
          </w:pPr>
          <w:r w:rsidRPr="001F1C68">
            <w:rPr>
              <w:rStyle w:val="PlaceholderText"/>
            </w:rPr>
            <w:t>Click here to enter text.</w:t>
          </w:r>
        </w:p>
      </w:docPartBody>
    </w:docPart>
    <w:docPart>
      <w:docPartPr>
        <w:name w:val="BD6F33114AE34A14A10FB21276D2AD67"/>
        <w:category>
          <w:name w:val="General"/>
          <w:gallery w:val="placeholder"/>
        </w:category>
        <w:types>
          <w:type w:val="bbPlcHdr"/>
        </w:types>
        <w:behaviors>
          <w:behavior w:val="content"/>
        </w:behaviors>
        <w:guid w:val="{93544B08-F0BB-4857-B639-15392EC514F3}"/>
      </w:docPartPr>
      <w:docPartBody>
        <w:p w:rsidR="00D20BC4" w:rsidRDefault="003D4783" w:rsidP="003D4783">
          <w:pPr>
            <w:pStyle w:val="BD6F33114AE34A14A10FB21276D2AD67"/>
          </w:pPr>
          <w:r w:rsidRPr="001F1C68">
            <w:rPr>
              <w:rStyle w:val="PlaceholderText"/>
            </w:rPr>
            <w:t>Click here to enter text.</w:t>
          </w:r>
        </w:p>
      </w:docPartBody>
    </w:docPart>
    <w:docPart>
      <w:docPartPr>
        <w:name w:val="A3080C5DD9C64442841650E5F0BE2A61"/>
        <w:category>
          <w:name w:val="General"/>
          <w:gallery w:val="placeholder"/>
        </w:category>
        <w:types>
          <w:type w:val="bbPlcHdr"/>
        </w:types>
        <w:behaviors>
          <w:behavior w:val="content"/>
        </w:behaviors>
        <w:guid w:val="{D7541B44-3696-46EE-AFAF-0C174EE3A9CE}"/>
      </w:docPartPr>
      <w:docPartBody>
        <w:p w:rsidR="00D20BC4" w:rsidRDefault="003D4783" w:rsidP="003D4783">
          <w:pPr>
            <w:pStyle w:val="A3080C5DD9C64442841650E5F0BE2A61"/>
          </w:pPr>
          <w:r w:rsidRPr="001F1C68">
            <w:rPr>
              <w:rStyle w:val="PlaceholderText"/>
            </w:rPr>
            <w:t>Click here to enter text.</w:t>
          </w:r>
        </w:p>
      </w:docPartBody>
    </w:docPart>
    <w:docPart>
      <w:docPartPr>
        <w:name w:val="5041D6E1BB4A47A49FEE9A3BD57A91BE"/>
        <w:category>
          <w:name w:val="General"/>
          <w:gallery w:val="placeholder"/>
        </w:category>
        <w:types>
          <w:type w:val="bbPlcHdr"/>
        </w:types>
        <w:behaviors>
          <w:behavior w:val="content"/>
        </w:behaviors>
        <w:guid w:val="{106EB6EA-4647-4387-8D99-82410377EEAB}"/>
      </w:docPartPr>
      <w:docPartBody>
        <w:p w:rsidR="00CC1BA7" w:rsidRDefault="00CC1BA7" w:rsidP="00CC1BA7">
          <w:pPr>
            <w:pStyle w:val="5041D6E1BB4A47A49FEE9A3BD57A91BE"/>
          </w:pPr>
          <w:r w:rsidRPr="001F1C68">
            <w:rPr>
              <w:rStyle w:val="PlaceholderText"/>
            </w:rPr>
            <w:t>Click here to enter text.</w:t>
          </w:r>
        </w:p>
      </w:docPartBody>
    </w:docPart>
    <w:docPart>
      <w:docPartPr>
        <w:name w:val="8017358F4DAE42B2892167DBC2D51627"/>
        <w:category>
          <w:name w:val="General"/>
          <w:gallery w:val="placeholder"/>
        </w:category>
        <w:types>
          <w:type w:val="bbPlcHdr"/>
        </w:types>
        <w:behaviors>
          <w:behavior w:val="content"/>
        </w:behaviors>
        <w:guid w:val="{066FD7D7-E400-4773-804A-655ED4EE66E0}"/>
      </w:docPartPr>
      <w:docPartBody>
        <w:p w:rsidR="00F151C3" w:rsidRDefault="00A7231F" w:rsidP="00A7231F">
          <w:pPr>
            <w:pStyle w:val="8017358F4DAE42B2892167DBC2D51627"/>
          </w:pPr>
          <w:r w:rsidRPr="00AC7F25">
            <w:rPr>
              <w:rStyle w:val="PlaceholderText"/>
            </w:rPr>
            <w:t>Choose an item.</w:t>
          </w:r>
        </w:p>
      </w:docPartBody>
    </w:docPart>
    <w:docPart>
      <w:docPartPr>
        <w:name w:val="18B62862A95E4D529A73D4C2F5244E9F"/>
        <w:category>
          <w:name w:val="General"/>
          <w:gallery w:val="placeholder"/>
        </w:category>
        <w:types>
          <w:type w:val="bbPlcHdr"/>
        </w:types>
        <w:behaviors>
          <w:behavior w:val="content"/>
        </w:behaviors>
        <w:guid w:val="{7F446526-E5D8-4748-8F29-59C30B462EDC}"/>
      </w:docPartPr>
      <w:docPartBody>
        <w:p w:rsidR="00F151C3" w:rsidRDefault="00A7231F" w:rsidP="00A7231F">
          <w:pPr>
            <w:pStyle w:val="18B62862A95E4D529A73D4C2F5244E9F"/>
          </w:pPr>
          <w:r w:rsidRPr="001F1C68">
            <w:rPr>
              <w:rStyle w:val="PlaceholderText"/>
            </w:rPr>
            <w:t>Click here to enter text.</w:t>
          </w:r>
        </w:p>
      </w:docPartBody>
    </w:docPart>
    <w:docPart>
      <w:docPartPr>
        <w:name w:val="D2AD18CEEC544ECEBC1C95FC1FF6BC6C"/>
        <w:category>
          <w:name w:val="General"/>
          <w:gallery w:val="placeholder"/>
        </w:category>
        <w:types>
          <w:type w:val="bbPlcHdr"/>
        </w:types>
        <w:behaviors>
          <w:behavior w:val="content"/>
        </w:behaviors>
        <w:guid w:val="{9EA68B75-49C9-4329-8A8B-788254710443}"/>
      </w:docPartPr>
      <w:docPartBody>
        <w:p w:rsidR="00F151C3" w:rsidRDefault="00A7231F" w:rsidP="00A7231F">
          <w:pPr>
            <w:pStyle w:val="D2AD18CEEC544ECEBC1C95FC1FF6BC6C"/>
          </w:pPr>
          <w:r w:rsidRPr="00AC7F25">
            <w:rPr>
              <w:rStyle w:val="PlaceholderText"/>
            </w:rPr>
            <w:t>Choose an item.</w:t>
          </w:r>
        </w:p>
      </w:docPartBody>
    </w:docPart>
    <w:docPart>
      <w:docPartPr>
        <w:name w:val="BECE47003863453498DE2F5DF3F27D12"/>
        <w:category>
          <w:name w:val="General"/>
          <w:gallery w:val="placeholder"/>
        </w:category>
        <w:types>
          <w:type w:val="bbPlcHdr"/>
        </w:types>
        <w:behaviors>
          <w:behavior w:val="content"/>
        </w:behaviors>
        <w:guid w:val="{E45D9269-D2FE-4A51-8993-FEEA4522DAF9}"/>
      </w:docPartPr>
      <w:docPartBody>
        <w:p w:rsidR="00F151C3" w:rsidRDefault="00A7231F" w:rsidP="00A7231F">
          <w:pPr>
            <w:pStyle w:val="BECE47003863453498DE2F5DF3F27D12"/>
          </w:pPr>
          <w:r w:rsidRPr="001F1C68">
            <w:rPr>
              <w:rStyle w:val="PlaceholderText"/>
            </w:rPr>
            <w:t>Click here to enter text.</w:t>
          </w:r>
        </w:p>
      </w:docPartBody>
    </w:docPart>
    <w:docPart>
      <w:docPartPr>
        <w:name w:val="1A05D11A822A43E5A994CA9C04D12216"/>
        <w:category>
          <w:name w:val="General"/>
          <w:gallery w:val="placeholder"/>
        </w:category>
        <w:types>
          <w:type w:val="bbPlcHdr"/>
        </w:types>
        <w:behaviors>
          <w:behavior w:val="content"/>
        </w:behaviors>
        <w:guid w:val="{E25BE43A-370B-43EE-BC5A-8D9672CA9270}"/>
      </w:docPartPr>
      <w:docPartBody>
        <w:p w:rsidR="005F797F" w:rsidRDefault="007D01E8" w:rsidP="007D01E8">
          <w:pPr>
            <w:pStyle w:val="1A05D11A822A43E5A994CA9C04D12216"/>
          </w:pPr>
          <w:r w:rsidRPr="001F1C68">
            <w:rPr>
              <w:rStyle w:val="PlaceholderText"/>
            </w:rPr>
            <w:t>Click here to enter text.</w:t>
          </w:r>
        </w:p>
      </w:docPartBody>
    </w:docPart>
    <w:docPart>
      <w:docPartPr>
        <w:name w:val="8D154548A59C4272BDF4FAAEC8955C26"/>
        <w:category>
          <w:name w:val="General"/>
          <w:gallery w:val="placeholder"/>
        </w:category>
        <w:types>
          <w:type w:val="bbPlcHdr"/>
        </w:types>
        <w:behaviors>
          <w:behavior w:val="content"/>
        </w:behaviors>
        <w:guid w:val="{C143AC59-8FB3-4B69-A3B6-487F38A60A22}"/>
      </w:docPartPr>
      <w:docPartBody>
        <w:p w:rsidR="00147054" w:rsidRDefault="00147054" w:rsidP="00147054">
          <w:pPr>
            <w:pStyle w:val="8D154548A59C4272BDF4FAAEC8955C2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ff5">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68B"/>
    <w:rsid w:val="000076B1"/>
    <w:rsid w:val="00013B9D"/>
    <w:rsid w:val="0001437F"/>
    <w:rsid w:val="000155E0"/>
    <w:rsid w:val="00025861"/>
    <w:rsid w:val="00032423"/>
    <w:rsid w:val="000379C9"/>
    <w:rsid w:val="00047BA8"/>
    <w:rsid w:val="00060A6E"/>
    <w:rsid w:val="00073F22"/>
    <w:rsid w:val="0008134C"/>
    <w:rsid w:val="00081D79"/>
    <w:rsid w:val="000A1A0F"/>
    <w:rsid w:val="000B10A0"/>
    <w:rsid w:val="000D3333"/>
    <w:rsid w:val="000E09AD"/>
    <w:rsid w:val="00101DFD"/>
    <w:rsid w:val="00113B20"/>
    <w:rsid w:val="0011502C"/>
    <w:rsid w:val="0013763A"/>
    <w:rsid w:val="00147054"/>
    <w:rsid w:val="001606E6"/>
    <w:rsid w:val="001772DB"/>
    <w:rsid w:val="001869E9"/>
    <w:rsid w:val="001A6333"/>
    <w:rsid w:val="001A76DA"/>
    <w:rsid w:val="001B5180"/>
    <w:rsid w:val="001B6A9D"/>
    <w:rsid w:val="001D268B"/>
    <w:rsid w:val="001D40DF"/>
    <w:rsid w:val="001E12AF"/>
    <w:rsid w:val="00223FE4"/>
    <w:rsid w:val="00234249"/>
    <w:rsid w:val="0028449F"/>
    <w:rsid w:val="002E45ED"/>
    <w:rsid w:val="002E5A18"/>
    <w:rsid w:val="002F04F1"/>
    <w:rsid w:val="00304588"/>
    <w:rsid w:val="00312A16"/>
    <w:rsid w:val="003279C0"/>
    <w:rsid w:val="003300C4"/>
    <w:rsid w:val="00332D23"/>
    <w:rsid w:val="00340337"/>
    <w:rsid w:val="00341E11"/>
    <w:rsid w:val="00360EA1"/>
    <w:rsid w:val="00361689"/>
    <w:rsid w:val="00362BF3"/>
    <w:rsid w:val="00370946"/>
    <w:rsid w:val="00386E5A"/>
    <w:rsid w:val="003B2986"/>
    <w:rsid w:val="003B5410"/>
    <w:rsid w:val="003D4783"/>
    <w:rsid w:val="003E171D"/>
    <w:rsid w:val="003F46B6"/>
    <w:rsid w:val="004027A6"/>
    <w:rsid w:val="00414039"/>
    <w:rsid w:val="00416B37"/>
    <w:rsid w:val="004340AA"/>
    <w:rsid w:val="00450AF2"/>
    <w:rsid w:val="0047151B"/>
    <w:rsid w:val="00472E17"/>
    <w:rsid w:val="004739E8"/>
    <w:rsid w:val="00486B79"/>
    <w:rsid w:val="00494C2C"/>
    <w:rsid w:val="004B7373"/>
    <w:rsid w:val="004E24DA"/>
    <w:rsid w:val="004F15F5"/>
    <w:rsid w:val="0053595A"/>
    <w:rsid w:val="005451C7"/>
    <w:rsid w:val="00562EDB"/>
    <w:rsid w:val="00585DA2"/>
    <w:rsid w:val="005B06EB"/>
    <w:rsid w:val="005B4C44"/>
    <w:rsid w:val="005B6FC4"/>
    <w:rsid w:val="005C7F11"/>
    <w:rsid w:val="005D4A8B"/>
    <w:rsid w:val="005D6D58"/>
    <w:rsid w:val="005E5AEC"/>
    <w:rsid w:val="005F797F"/>
    <w:rsid w:val="0060156F"/>
    <w:rsid w:val="00611357"/>
    <w:rsid w:val="00635FD5"/>
    <w:rsid w:val="00651260"/>
    <w:rsid w:val="00666F0D"/>
    <w:rsid w:val="006675BB"/>
    <w:rsid w:val="00691563"/>
    <w:rsid w:val="006923FA"/>
    <w:rsid w:val="006940B7"/>
    <w:rsid w:val="006A740F"/>
    <w:rsid w:val="006B2AE3"/>
    <w:rsid w:val="006D3B54"/>
    <w:rsid w:val="006E62FE"/>
    <w:rsid w:val="007034C2"/>
    <w:rsid w:val="00704542"/>
    <w:rsid w:val="007135D5"/>
    <w:rsid w:val="00757307"/>
    <w:rsid w:val="00760F44"/>
    <w:rsid w:val="007713E0"/>
    <w:rsid w:val="00790D97"/>
    <w:rsid w:val="00793174"/>
    <w:rsid w:val="007A6684"/>
    <w:rsid w:val="007D01E8"/>
    <w:rsid w:val="007F1270"/>
    <w:rsid w:val="008030E9"/>
    <w:rsid w:val="008201D3"/>
    <w:rsid w:val="00833002"/>
    <w:rsid w:val="00837B61"/>
    <w:rsid w:val="00846990"/>
    <w:rsid w:val="00851B76"/>
    <w:rsid w:val="00856CDC"/>
    <w:rsid w:val="00870000"/>
    <w:rsid w:val="00873BAB"/>
    <w:rsid w:val="00882B6E"/>
    <w:rsid w:val="00886E79"/>
    <w:rsid w:val="008971DA"/>
    <w:rsid w:val="008A18D5"/>
    <w:rsid w:val="008C7389"/>
    <w:rsid w:val="008D3D7B"/>
    <w:rsid w:val="009273A4"/>
    <w:rsid w:val="00931373"/>
    <w:rsid w:val="009314DB"/>
    <w:rsid w:val="00932EFB"/>
    <w:rsid w:val="009474CF"/>
    <w:rsid w:val="00953C3B"/>
    <w:rsid w:val="009571DA"/>
    <w:rsid w:val="00963850"/>
    <w:rsid w:val="00976B09"/>
    <w:rsid w:val="00983F8D"/>
    <w:rsid w:val="009B3D52"/>
    <w:rsid w:val="009D61C0"/>
    <w:rsid w:val="009E218D"/>
    <w:rsid w:val="009F2A10"/>
    <w:rsid w:val="00A0118E"/>
    <w:rsid w:val="00A05B71"/>
    <w:rsid w:val="00A25843"/>
    <w:rsid w:val="00A25ABE"/>
    <w:rsid w:val="00A25E0F"/>
    <w:rsid w:val="00A328D0"/>
    <w:rsid w:val="00A557F6"/>
    <w:rsid w:val="00A7231F"/>
    <w:rsid w:val="00A82C6A"/>
    <w:rsid w:val="00AB7EFB"/>
    <w:rsid w:val="00AC47DB"/>
    <w:rsid w:val="00AD5EF5"/>
    <w:rsid w:val="00AD6878"/>
    <w:rsid w:val="00B01F09"/>
    <w:rsid w:val="00B2453E"/>
    <w:rsid w:val="00B2738E"/>
    <w:rsid w:val="00B376E4"/>
    <w:rsid w:val="00B3779D"/>
    <w:rsid w:val="00B40536"/>
    <w:rsid w:val="00B704E6"/>
    <w:rsid w:val="00B80502"/>
    <w:rsid w:val="00B914A3"/>
    <w:rsid w:val="00B95D90"/>
    <w:rsid w:val="00BA19F1"/>
    <w:rsid w:val="00BA4EE1"/>
    <w:rsid w:val="00BB343C"/>
    <w:rsid w:val="00BC6187"/>
    <w:rsid w:val="00BD0A07"/>
    <w:rsid w:val="00BD153C"/>
    <w:rsid w:val="00BD79D6"/>
    <w:rsid w:val="00BE0113"/>
    <w:rsid w:val="00C12E22"/>
    <w:rsid w:val="00C55A33"/>
    <w:rsid w:val="00C61230"/>
    <w:rsid w:val="00CC1BA7"/>
    <w:rsid w:val="00CC1EB1"/>
    <w:rsid w:val="00CE5524"/>
    <w:rsid w:val="00CF067D"/>
    <w:rsid w:val="00CF40A6"/>
    <w:rsid w:val="00D20BC4"/>
    <w:rsid w:val="00D23107"/>
    <w:rsid w:val="00D50FB5"/>
    <w:rsid w:val="00D5799F"/>
    <w:rsid w:val="00DB0AC2"/>
    <w:rsid w:val="00DC3B59"/>
    <w:rsid w:val="00DD0A02"/>
    <w:rsid w:val="00DD2539"/>
    <w:rsid w:val="00DE510D"/>
    <w:rsid w:val="00E00017"/>
    <w:rsid w:val="00E235FF"/>
    <w:rsid w:val="00E31513"/>
    <w:rsid w:val="00E50725"/>
    <w:rsid w:val="00E80269"/>
    <w:rsid w:val="00E9057A"/>
    <w:rsid w:val="00E931BF"/>
    <w:rsid w:val="00E93BF3"/>
    <w:rsid w:val="00E95E0F"/>
    <w:rsid w:val="00EC51FF"/>
    <w:rsid w:val="00EC5DE3"/>
    <w:rsid w:val="00EE6377"/>
    <w:rsid w:val="00EF5833"/>
    <w:rsid w:val="00F01FC9"/>
    <w:rsid w:val="00F02600"/>
    <w:rsid w:val="00F10047"/>
    <w:rsid w:val="00F151C3"/>
    <w:rsid w:val="00F15903"/>
    <w:rsid w:val="00F277B8"/>
    <w:rsid w:val="00F473BB"/>
    <w:rsid w:val="00F80B84"/>
    <w:rsid w:val="00F80F36"/>
    <w:rsid w:val="00F818F0"/>
    <w:rsid w:val="00F92A60"/>
    <w:rsid w:val="00F93B48"/>
    <w:rsid w:val="00FA40E6"/>
    <w:rsid w:val="00FA4858"/>
    <w:rsid w:val="00FB75BD"/>
    <w:rsid w:val="00FC177A"/>
    <w:rsid w:val="00FF2EEE"/>
    <w:rsid w:val="00FF4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1BF"/>
    <w:rPr>
      <w:color w:val="808080"/>
    </w:rPr>
  </w:style>
  <w:style w:type="paragraph" w:customStyle="1" w:styleId="E616F48A682043299CE5AC8238BC8DE1">
    <w:name w:val="E616F48A682043299CE5AC8238BC8DE1"/>
    <w:rsid w:val="001D268B"/>
  </w:style>
  <w:style w:type="paragraph" w:customStyle="1" w:styleId="190CFDC1FA3C4FBEA1F74930A5862095">
    <w:name w:val="190CFDC1FA3C4FBEA1F74930A5862095"/>
    <w:rsid w:val="001D268B"/>
  </w:style>
  <w:style w:type="paragraph" w:customStyle="1" w:styleId="F74EC93BB6734FA0BBCB9E5914650453">
    <w:name w:val="F74EC93BB6734FA0BBCB9E5914650453"/>
    <w:rsid w:val="001D268B"/>
  </w:style>
  <w:style w:type="paragraph" w:customStyle="1" w:styleId="6989DCF1E1B0435E920C73673223E677">
    <w:name w:val="6989DCF1E1B0435E920C73673223E677"/>
    <w:rsid w:val="003D4783"/>
  </w:style>
  <w:style w:type="paragraph" w:customStyle="1" w:styleId="A3E4F75DD96D4B72A425A8FFDC8B4080">
    <w:name w:val="A3E4F75DD96D4B72A425A8FFDC8B4080"/>
    <w:rsid w:val="003D4783"/>
  </w:style>
  <w:style w:type="paragraph" w:customStyle="1" w:styleId="47AB6FB09DB04DDA9459D8F89D532BBA">
    <w:name w:val="47AB6FB09DB04DDA9459D8F89D532BBA"/>
    <w:rsid w:val="003D4783"/>
  </w:style>
  <w:style w:type="paragraph" w:customStyle="1" w:styleId="14621F33134B40278B0391B4FC0FBCAF">
    <w:name w:val="14621F33134B40278B0391B4FC0FBCAF"/>
    <w:rsid w:val="003D4783"/>
  </w:style>
  <w:style w:type="paragraph" w:customStyle="1" w:styleId="7494FC4762CB433FA6D1125CC5FF5ABA">
    <w:name w:val="7494FC4762CB433FA6D1125CC5FF5ABA"/>
    <w:rsid w:val="003D4783"/>
  </w:style>
  <w:style w:type="paragraph" w:customStyle="1" w:styleId="1C9154B54D56409FA383CCCD5F4EDD01">
    <w:name w:val="1C9154B54D56409FA383CCCD5F4EDD01"/>
    <w:rsid w:val="003D4783"/>
  </w:style>
  <w:style w:type="paragraph" w:customStyle="1" w:styleId="29E7E76C3AF44F3285A24C9B2D79E9BE">
    <w:name w:val="29E7E76C3AF44F3285A24C9B2D79E9BE"/>
    <w:rsid w:val="003D4783"/>
  </w:style>
  <w:style w:type="paragraph" w:customStyle="1" w:styleId="5B42A2A06810447F8B0A4D238EBB6EC6">
    <w:name w:val="5B42A2A06810447F8B0A4D238EBB6EC6"/>
    <w:rsid w:val="003D4783"/>
  </w:style>
  <w:style w:type="paragraph" w:customStyle="1" w:styleId="98B8EE9AC55E414BB1047E548CA667DC">
    <w:name w:val="98B8EE9AC55E414BB1047E548CA667DC"/>
    <w:rsid w:val="003D4783"/>
  </w:style>
  <w:style w:type="paragraph" w:customStyle="1" w:styleId="04E881A1E4EB4228A4F5403EC6215F4F">
    <w:name w:val="04E881A1E4EB4228A4F5403EC6215F4F"/>
    <w:rsid w:val="003D4783"/>
  </w:style>
  <w:style w:type="paragraph" w:customStyle="1" w:styleId="38D997FA128648B49BEFE37860932FA7">
    <w:name w:val="38D997FA128648B49BEFE37860932FA7"/>
    <w:rsid w:val="003D4783"/>
  </w:style>
  <w:style w:type="paragraph" w:customStyle="1" w:styleId="BD6F33114AE34A14A10FB21276D2AD67">
    <w:name w:val="BD6F33114AE34A14A10FB21276D2AD67"/>
    <w:rsid w:val="003D4783"/>
  </w:style>
  <w:style w:type="paragraph" w:customStyle="1" w:styleId="A3080C5DD9C64442841650E5F0BE2A61">
    <w:name w:val="A3080C5DD9C64442841650E5F0BE2A61"/>
    <w:rsid w:val="003D4783"/>
  </w:style>
  <w:style w:type="paragraph" w:customStyle="1" w:styleId="5041D6E1BB4A47A49FEE9A3BD57A91BE">
    <w:name w:val="5041D6E1BB4A47A49FEE9A3BD57A91BE"/>
    <w:rsid w:val="00CC1BA7"/>
  </w:style>
  <w:style w:type="paragraph" w:customStyle="1" w:styleId="4A0D93ECD13F4DB48715F8F4B055A818">
    <w:name w:val="4A0D93ECD13F4DB48715F8F4B055A818"/>
    <w:rsid w:val="00A05B71"/>
  </w:style>
  <w:style w:type="paragraph" w:customStyle="1" w:styleId="FD0130C0A7484296A7A44BF936966847">
    <w:name w:val="FD0130C0A7484296A7A44BF936966847"/>
    <w:rsid w:val="00A05B71"/>
  </w:style>
  <w:style w:type="paragraph" w:customStyle="1" w:styleId="4290F0BA6C6145C18C8FD7F4317ED921">
    <w:name w:val="4290F0BA6C6145C18C8FD7F4317ED921"/>
    <w:rsid w:val="00A05B71"/>
  </w:style>
  <w:style w:type="paragraph" w:customStyle="1" w:styleId="8017358F4DAE42B2892167DBC2D51627">
    <w:name w:val="8017358F4DAE42B2892167DBC2D51627"/>
    <w:rsid w:val="00A7231F"/>
  </w:style>
  <w:style w:type="paragraph" w:customStyle="1" w:styleId="18B62862A95E4D529A73D4C2F5244E9F">
    <w:name w:val="18B62862A95E4D529A73D4C2F5244E9F"/>
    <w:rsid w:val="00A7231F"/>
  </w:style>
  <w:style w:type="paragraph" w:customStyle="1" w:styleId="D2AD18CEEC544ECEBC1C95FC1FF6BC6C">
    <w:name w:val="D2AD18CEEC544ECEBC1C95FC1FF6BC6C"/>
    <w:rsid w:val="00A7231F"/>
  </w:style>
  <w:style w:type="paragraph" w:customStyle="1" w:styleId="BECE47003863453498DE2F5DF3F27D12">
    <w:name w:val="BECE47003863453498DE2F5DF3F27D12"/>
    <w:rsid w:val="00A7231F"/>
  </w:style>
  <w:style w:type="paragraph" w:customStyle="1" w:styleId="BB5DA2E289FE407A940866E7CF2C263E">
    <w:name w:val="BB5DA2E289FE407A940866E7CF2C263E"/>
    <w:rsid w:val="004E24DA"/>
  </w:style>
  <w:style w:type="paragraph" w:customStyle="1" w:styleId="1A05D11A822A43E5A994CA9C04D12216">
    <w:name w:val="1A05D11A822A43E5A994CA9C04D12216"/>
    <w:rsid w:val="007D01E8"/>
  </w:style>
  <w:style w:type="paragraph" w:customStyle="1" w:styleId="4AAAD690C0FA4A00BDE2943ACA0D6B27">
    <w:name w:val="4AAAD690C0FA4A00BDE2943ACA0D6B27"/>
    <w:rsid w:val="00147054"/>
  </w:style>
  <w:style w:type="paragraph" w:customStyle="1" w:styleId="8D154548A59C4272BDF4FAAEC8955C26">
    <w:name w:val="8D154548A59C4272BDF4FAAEC8955C26"/>
    <w:rsid w:val="00147054"/>
  </w:style>
  <w:style w:type="paragraph" w:customStyle="1" w:styleId="D54AC00B96104C639BFBEEE7D395556D">
    <w:name w:val="D54AC00B96104C639BFBEEE7D395556D"/>
    <w:rsid w:val="004739E8"/>
  </w:style>
  <w:style w:type="paragraph" w:customStyle="1" w:styleId="1DE53C2A30814463AC2A9822E29C8BAC">
    <w:name w:val="1DE53C2A30814463AC2A9822E29C8BAC"/>
    <w:rsid w:val="00473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4B2ED-30A8-4529-93BF-4523907B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224</Pages>
  <Words>162431</Words>
  <Characters>925860</Characters>
  <Application>Microsoft Office Word</Application>
  <DocSecurity>0</DocSecurity>
  <Lines>7715</Lines>
  <Paragraphs>2172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Gorkem Guloglu</dc:creator>
  <cp:keywords/>
  <dc:description/>
  <cp:lastModifiedBy>Gorkem</cp:lastModifiedBy>
  <cp:revision>6</cp:revision>
  <cp:lastPrinted>2018-12-07T17:19:00Z</cp:lastPrinted>
  <dcterms:created xsi:type="dcterms:W3CDTF">2018-12-07T17:15:00Z</dcterms:created>
  <dcterms:modified xsi:type="dcterms:W3CDTF">2018-12-11T15:55:00Z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http://csl.mendeley.com/styles/514238791/elsevier-vancouver-disertation</vt:lpwstr>
  </property>
  <property fmtid="{D5CDD505-2E9C-101B-9397-08002B2CF9AE}" pid="4" name="Mendeley Unique User Id_1">
    <vt:lpwstr>3cae6025-4dad-3879-982a-57adc2a94426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http://www.zotero.org/styles/composites-part-a</vt:lpwstr>
  </property>
  <property fmtid="{D5CDD505-2E9C-101B-9397-08002B2CF9AE}" pid="12" name="Mendeley Recent Style Name 3_1">
    <vt:lpwstr>Composites Part A</vt:lpwstr>
  </property>
  <property fmtid="{D5CDD505-2E9C-101B-9397-08002B2CF9AE}" pid="13" name="Mendeley Recent Style Id 4_1">
    <vt:lpwstr>http://www.zotero.org/styles/composites-science-and-technology</vt:lpwstr>
  </property>
  <property fmtid="{D5CDD505-2E9C-101B-9397-08002B2CF9AE}" pid="14" name="Mendeley Recent Style Name 4_1">
    <vt:lpwstr>Composites Science and Technology</vt:lpwstr>
  </property>
  <property fmtid="{D5CDD505-2E9C-101B-9397-08002B2CF9AE}" pid="15" name="Mendeley Recent Style Id 5_1">
    <vt:lpwstr>http://csl.mendeley.com/styles/514238791/elsevier-vancouver-disertation</vt:lpwstr>
  </property>
  <property fmtid="{D5CDD505-2E9C-101B-9397-08002B2CF9AE}" pid="16" name="Mendeley Recent Style Name 5_1">
    <vt:lpwstr>Elsevier - Vancouver - Gorkem Guloglu</vt:lpwstr>
  </property>
  <property fmtid="{D5CDD505-2E9C-101B-9397-08002B2CF9AE}" pid="17" name="Mendeley Recent Style Id 6_1">
    <vt:lpwstr>http://www.zotero.org/styles/journal-of-polymer-science-part-b-polymer-physics</vt:lpwstr>
  </property>
  <property fmtid="{D5CDD505-2E9C-101B-9397-08002B2CF9AE}" pid="18" name="Mendeley Recent Style Name 6_1">
    <vt:lpwstr>Journal of Polymer Science Part B: Polymer Physics</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http://csl.mendeley.com/styles/514238791/PolymerProcessingSociety</vt:lpwstr>
  </property>
  <property fmtid="{D5CDD505-2E9C-101B-9397-08002B2CF9AE}" pid="24" name="Mendeley Recent Style Name 9_1">
    <vt:lpwstr>Polymer Processing Society - Gorkem Guloglu</vt:lpwstr>
  </property>
</Properties>
</file>