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5.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6.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EF8C4" w14:textId="0A23E1E4" w:rsidR="00D91CF0" w:rsidRPr="00AD04DA" w:rsidRDefault="001C1A5D"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UNIVERSITY OF OKLAHOMA</w:t>
      </w:r>
    </w:p>
    <w:p w14:paraId="1D9DA499" w14:textId="5727F4FB" w:rsidR="001C1A5D" w:rsidRPr="00AD04DA" w:rsidRDefault="001C1A5D"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GRADUATE COLLEGE</w:t>
      </w:r>
    </w:p>
    <w:p w14:paraId="32EE19E6" w14:textId="736468CA" w:rsidR="001C1A5D" w:rsidRPr="00AD04DA" w:rsidRDefault="001C1A5D" w:rsidP="00FC0029">
      <w:pPr>
        <w:spacing w:after="0" w:line="480" w:lineRule="auto"/>
        <w:jc w:val="center"/>
        <w:rPr>
          <w:rFonts w:ascii="Times New Roman" w:hAnsi="Times New Roman" w:cs="Times New Roman"/>
          <w:sz w:val="24"/>
          <w:szCs w:val="24"/>
        </w:rPr>
      </w:pPr>
    </w:p>
    <w:p w14:paraId="6E14FE39" w14:textId="3669BFD4" w:rsidR="001C1A5D" w:rsidRPr="00AD04DA" w:rsidRDefault="001C1A5D" w:rsidP="00FC0029">
      <w:pPr>
        <w:spacing w:after="0" w:line="480" w:lineRule="auto"/>
        <w:jc w:val="center"/>
        <w:rPr>
          <w:rFonts w:ascii="Times New Roman" w:hAnsi="Times New Roman" w:cs="Times New Roman"/>
          <w:sz w:val="24"/>
          <w:szCs w:val="24"/>
        </w:rPr>
      </w:pPr>
    </w:p>
    <w:p w14:paraId="11F0E9E1" w14:textId="7A1926C0" w:rsidR="001C1A5D" w:rsidRPr="00AD04DA" w:rsidRDefault="001C1A5D" w:rsidP="00FC0029">
      <w:pPr>
        <w:spacing w:after="0" w:line="480" w:lineRule="auto"/>
        <w:jc w:val="center"/>
        <w:rPr>
          <w:rFonts w:ascii="Times New Roman" w:hAnsi="Times New Roman" w:cs="Times New Roman"/>
          <w:sz w:val="24"/>
          <w:szCs w:val="24"/>
        </w:rPr>
      </w:pPr>
    </w:p>
    <w:p w14:paraId="31F07C6D" w14:textId="77777777" w:rsidR="004C643E" w:rsidRPr="00AD04DA" w:rsidRDefault="004C643E" w:rsidP="00FC0029">
      <w:pPr>
        <w:spacing w:after="0" w:line="480" w:lineRule="auto"/>
        <w:jc w:val="center"/>
        <w:rPr>
          <w:rFonts w:ascii="Times New Roman" w:hAnsi="Times New Roman" w:cs="Times New Roman"/>
          <w:sz w:val="24"/>
          <w:szCs w:val="24"/>
        </w:rPr>
      </w:pPr>
    </w:p>
    <w:p w14:paraId="7C1E8BA0" w14:textId="27383136" w:rsidR="001C1A5D" w:rsidRPr="00AD04DA" w:rsidRDefault="00CA03D5"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 xml:space="preserve">TEMPERATURE SWING SOLVENT EXTRACTION FOR </w:t>
      </w:r>
      <w:r w:rsidR="00211630" w:rsidRPr="00AD04DA">
        <w:rPr>
          <w:rFonts w:ascii="Times New Roman" w:hAnsi="Times New Roman" w:cs="Times New Roman"/>
          <w:sz w:val="24"/>
          <w:szCs w:val="24"/>
        </w:rPr>
        <w:t>SELENATE AND SELENITE REMOVAL FROM INDUSTRIAL WASTEWATER</w:t>
      </w:r>
    </w:p>
    <w:p w14:paraId="294A0855" w14:textId="182E6ADD" w:rsidR="001C1A5D" w:rsidRPr="00AD04DA" w:rsidRDefault="001C1A5D" w:rsidP="00FC0029">
      <w:pPr>
        <w:spacing w:after="0" w:line="480" w:lineRule="auto"/>
        <w:jc w:val="center"/>
        <w:rPr>
          <w:rFonts w:ascii="Times New Roman" w:hAnsi="Times New Roman" w:cs="Times New Roman"/>
          <w:sz w:val="24"/>
          <w:szCs w:val="24"/>
        </w:rPr>
      </w:pPr>
    </w:p>
    <w:p w14:paraId="47C66CC9" w14:textId="22484652" w:rsidR="001C1A5D" w:rsidRPr="00AD04DA" w:rsidRDefault="001C1A5D" w:rsidP="00FC0029">
      <w:pPr>
        <w:spacing w:after="0" w:line="480" w:lineRule="auto"/>
        <w:jc w:val="center"/>
        <w:rPr>
          <w:rFonts w:ascii="Times New Roman" w:hAnsi="Times New Roman" w:cs="Times New Roman"/>
          <w:sz w:val="24"/>
          <w:szCs w:val="24"/>
        </w:rPr>
      </w:pPr>
    </w:p>
    <w:p w14:paraId="49BE6F76" w14:textId="29C6DA22" w:rsidR="001C1A5D" w:rsidRPr="00AD04DA" w:rsidRDefault="001C1A5D" w:rsidP="00FC0029">
      <w:pPr>
        <w:spacing w:after="0" w:line="480" w:lineRule="auto"/>
        <w:jc w:val="center"/>
        <w:rPr>
          <w:rFonts w:ascii="Times New Roman" w:hAnsi="Times New Roman" w:cs="Times New Roman"/>
          <w:sz w:val="24"/>
          <w:szCs w:val="24"/>
        </w:rPr>
      </w:pPr>
    </w:p>
    <w:p w14:paraId="4CAB2324" w14:textId="6AEF1184" w:rsidR="001C1A5D" w:rsidRPr="00AD04DA" w:rsidRDefault="001C1A5D"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A THESIS</w:t>
      </w:r>
    </w:p>
    <w:p w14:paraId="707FE21F" w14:textId="2A083CC9" w:rsidR="001C1A5D" w:rsidRPr="00AD04DA" w:rsidRDefault="001C1A5D"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SUBMITTED TO THE GRADUATE FACULTY</w:t>
      </w:r>
    </w:p>
    <w:p w14:paraId="1910BFD7" w14:textId="55D9A427" w:rsidR="001C1A5D" w:rsidRPr="00AD04DA" w:rsidRDefault="001C1A5D"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in partial fulfillment of the requirements for the</w:t>
      </w:r>
    </w:p>
    <w:p w14:paraId="197B4376" w14:textId="74814FB4" w:rsidR="001C1A5D" w:rsidRPr="00AD04DA" w:rsidRDefault="001C1A5D"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Degree of</w:t>
      </w:r>
    </w:p>
    <w:p w14:paraId="07988BB0" w14:textId="334F995B" w:rsidR="004C643E" w:rsidRPr="00AD04DA" w:rsidRDefault="004C643E"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MASTER OF SCIENCE</w:t>
      </w:r>
    </w:p>
    <w:p w14:paraId="0EB007C1" w14:textId="12262832" w:rsidR="004C643E" w:rsidRPr="00AD04DA" w:rsidRDefault="004C643E" w:rsidP="00FC0029">
      <w:pPr>
        <w:spacing w:after="0" w:line="480" w:lineRule="auto"/>
        <w:jc w:val="center"/>
        <w:rPr>
          <w:rFonts w:ascii="Times New Roman" w:hAnsi="Times New Roman" w:cs="Times New Roman"/>
          <w:sz w:val="24"/>
          <w:szCs w:val="24"/>
        </w:rPr>
      </w:pPr>
    </w:p>
    <w:p w14:paraId="5CE0CFAB" w14:textId="378BB43B" w:rsidR="004C643E" w:rsidRPr="00AD04DA" w:rsidRDefault="004C643E" w:rsidP="00FC0029">
      <w:pPr>
        <w:spacing w:after="0" w:line="480" w:lineRule="auto"/>
        <w:jc w:val="center"/>
        <w:rPr>
          <w:rFonts w:ascii="Times New Roman" w:hAnsi="Times New Roman" w:cs="Times New Roman"/>
          <w:sz w:val="24"/>
          <w:szCs w:val="24"/>
        </w:rPr>
      </w:pPr>
    </w:p>
    <w:p w14:paraId="50A316AC" w14:textId="5D8B2D86" w:rsidR="004C643E" w:rsidRPr="00AD04DA" w:rsidRDefault="004C643E"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By</w:t>
      </w:r>
    </w:p>
    <w:p w14:paraId="3F5E52E8" w14:textId="261ADB02" w:rsidR="004C643E" w:rsidRPr="00AD04DA" w:rsidRDefault="004C643E"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 xml:space="preserve">MICHAEL </w:t>
      </w:r>
      <w:r w:rsidR="006E05FD" w:rsidRPr="00AD04DA">
        <w:rPr>
          <w:rFonts w:ascii="Times New Roman" w:hAnsi="Times New Roman" w:cs="Times New Roman"/>
          <w:sz w:val="24"/>
          <w:szCs w:val="24"/>
        </w:rPr>
        <w:t xml:space="preserve">S </w:t>
      </w:r>
      <w:r w:rsidRPr="00AD04DA">
        <w:rPr>
          <w:rFonts w:ascii="Times New Roman" w:hAnsi="Times New Roman" w:cs="Times New Roman"/>
          <w:sz w:val="24"/>
          <w:szCs w:val="24"/>
        </w:rPr>
        <w:t>MEISSNER</w:t>
      </w:r>
    </w:p>
    <w:p w14:paraId="6B13CB0B" w14:textId="07BB5F0D" w:rsidR="004C643E" w:rsidRPr="00AD04DA" w:rsidRDefault="004C643E"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Norman, Oklahoma</w:t>
      </w:r>
    </w:p>
    <w:p w14:paraId="3A3A2C45" w14:textId="4C85D4C5" w:rsidR="00F77616" w:rsidRPr="00AD04DA" w:rsidRDefault="004C643E"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2022</w:t>
      </w:r>
    </w:p>
    <w:p w14:paraId="45405C5D" w14:textId="77777777" w:rsidR="00F77616" w:rsidRPr="00AD04DA" w:rsidRDefault="00F77616" w:rsidP="00FC0029">
      <w:pPr>
        <w:spacing w:after="0" w:line="480" w:lineRule="auto"/>
        <w:rPr>
          <w:rFonts w:ascii="Times New Roman" w:hAnsi="Times New Roman" w:cs="Times New Roman"/>
          <w:sz w:val="24"/>
          <w:szCs w:val="24"/>
        </w:rPr>
      </w:pPr>
      <w:r w:rsidRPr="00AD04DA">
        <w:rPr>
          <w:rFonts w:ascii="Times New Roman" w:hAnsi="Times New Roman" w:cs="Times New Roman"/>
          <w:sz w:val="24"/>
          <w:szCs w:val="24"/>
        </w:rPr>
        <w:br w:type="page"/>
      </w:r>
    </w:p>
    <w:p w14:paraId="6AE0C8D7" w14:textId="3BA6A824" w:rsidR="004C643E" w:rsidRPr="00AD04DA" w:rsidRDefault="004C643E" w:rsidP="00FC0029">
      <w:pPr>
        <w:spacing w:after="0" w:line="480" w:lineRule="auto"/>
        <w:jc w:val="center"/>
        <w:rPr>
          <w:rFonts w:ascii="Times New Roman" w:hAnsi="Times New Roman" w:cs="Times New Roman"/>
          <w:sz w:val="24"/>
          <w:szCs w:val="24"/>
        </w:rPr>
      </w:pPr>
    </w:p>
    <w:p w14:paraId="40789961" w14:textId="77777777" w:rsidR="00211630" w:rsidRPr="00AD04DA" w:rsidRDefault="00211630" w:rsidP="00211630">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TEMPERATURE SWING SOLVENT EXTRACTION FOR SELENATE AND SELENITE REMOVAL FROM INDUSTRIAL WASTEWATER</w:t>
      </w:r>
    </w:p>
    <w:p w14:paraId="6C6E4614" w14:textId="5D835796" w:rsidR="00E70523" w:rsidRPr="00AD04DA" w:rsidRDefault="00E70523" w:rsidP="00FC0029">
      <w:pPr>
        <w:spacing w:after="0" w:line="480" w:lineRule="auto"/>
        <w:rPr>
          <w:rFonts w:ascii="Times New Roman" w:hAnsi="Times New Roman" w:cs="Times New Roman"/>
          <w:sz w:val="24"/>
          <w:szCs w:val="24"/>
        </w:rPr>
      </w:pPr>
    </w:p>
    <w:p w14:paraId="12C40C1B" w14:textId="77777777" w:rsidR="00E70523" w:rsidRPr="00AD04DA" w:rsidRDefault="00E70523" w:rsidP="00FC0029">
      <w:pPr>
        <w:spacing w:after="0" w:line="480" w:lineRule="auto"/>
        <w:jc w:val="center"/>
        <w:rPr>
          <w:rFonts w:ascii="Times New Roman" w:hAnsi="Times New Roman" w:cs="Times New Roman"/>
          <w:sz w:val="24"/>
          <w:szCs w:val="24"/>
        </w:rPr>
      </w:pPr>
    </w:p>
    <w:p w14:paraId="7401D031" w14:textId="049CEE9A" w:rsidR="00E70523" w:rsidRPr="00AD04DA" w:rsidRDefault="00E70523" w:rsidP="00FC0029">
      <w:pPr>
        <w:spacing w:after="0" w:line="480" w:lineRule="auto"/>
        <w:jc w:val="center"/>
        <w:rPr>
          <w:rFonts w:ascii="Times New Roman" w:hAnsi="Times New Roman" w:cs="Times New Roman"/>
          <w:sz w:val="24"/>
          <w:szCs w:val="24"/>
        </w:rPr>
      </w:pPr>
    </w:p>
    <w:p w14:paraId="137A34BB" w14:textId="681E4D27" w:rsidR="00E70523" w:rsidRPr="00AD04DA" w:rsidRDefault="00E70523"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A THESIS APPROVED FOR THE</w:t>
      </w:r>
    </w:p>
    <w:p w14:paraId="45F8F3C9" w14:textId="189F3DBE" w:rsidR="00E70523" w:rsidRPr="00AD04DA" w:rsidRDefault="00791386" w:rsidP="00FC002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SCHOOL</w:t>
      </w:r>
      <w:r w:rsidR="00E70523" w:rsidRPr="00AD04DA">
        <w:rPr>
          <w:rFonts w:ascii="Times New Roman" w:hAnsi="Times New Roman" w:cs="Times New Roman"/>
          <w:sz w:val="24"/>
          <w:szCs w:val="24"/>
        </w:rPr>
        <w:t xml:space="preserve"> OF CHEMICAL, BIOLOGICAL AND MATERIALS ENGINEERING</w:t>
      </w:r>
    </w:p>
    <w:p w14:paraId="34D79E06" w14:textId="4ED624D2" w:rsidR="00E70523" w:rsidRPr="00AD04DA" w:rsidRDefault="00E70523" w:rsidP="00FC0029">
      <w:pPr>
        <w:spacing w:after="0" w:line="480" w:lineRule="auto"/>
        <w:jc w:val="center"/>
        <w:rPr>
          <w:rFonts w:ascii="Times New Roman" w:hAnsi="Times New Roman" w:cs="Times New Roman"/>
          <w:sz w:val="24"/>
          <w:szCs w:val="24"/>
        </w:rPr>
      </w:pPr>
    </w:p>
    <w:p w14:paraId="084F6190" w14:textId="685E798C" w:rsidR="00E70523" w:rsidRPr="00AD04DA" w:rsidRDefault="00E70523" w:rsidP="00FC0029">
      <w:pPr>
        <w:spacing w:after="0" w:line="480" w:lineRule="auto"/>
        <w:jc w:val="center"/>
        <w:rPr>
          <w:rFonts w:ascii="Times New Roman" w:hAnsi="Times New Roman" w:cs="Times New Roman"/>
          <w:sz w:val="24"/>
          <w:szCs w:val="24"/>
        </w:rPr>
      </w:pPr>
    </w:p>
    <w:p w14:paraId="0B69DE75" w14:textId="7787E5DF" w:rsidR="00E70523" w:rsidRPr="00AD04DA" w:rsidRDefault="00E70523" w:rsidP="00FC0029">
      <w:pPr>
        <w:spacing w:after="0" w:line="480" w:lineRule="auto"/>
        <w:jc w:val="center"/>
        <w:rPr>
          <w:rFonts w:ascii="Times New Roman" w:hAnsi="Times New Roman" w:cs="Times New Roman"/>
          <w:sz w:val="24"/>
          <w:szCs w:val="24"/>
        </w:rPr>
      </w:pPr>
    </w:p>
    <w:p w14:paraId="338AA522" w14:textId="364C11E8" w:rsidR="00E70523" w:rsidRPr="00AD04DA" w:rsidRDefault="00E70523"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BY THE COMMITTEE CONSISTING OF</w:t>
      </w:r>
    </w:p>
    <w:p w14:paraId="1F57BEAF" w14:textId="043B0B68" w:rsidR="00E70523" w:rsidRPr="00AD04DA" w:rsidRDefault="00E70523" w:rsidP="00FC0029">
      <w:pPr>
        <w:spacing w:after="0" w:line="480" w:lineRule="auto"/>
        <w:jc w:val="right"/>
        <w:rPr>
          <w:rFonts w:ascii="Times New Roman" w:hAnsi="Times New Roman" w:cs="Times New Roman"/>
          <w:sz w:val="24"/>
          <w:szCs w:val="24"/>
        </w:rPr>
      </w:pPr>
    </w:p>
    <w:p w14:paraId="4A2DA8A1" w14:textId="7AAD4ED7" w:rsidR="00E70523" w:rsidRPr="00AD04DA" w:rsidRDefault="00E70523" w:rsidP="00FC0029">
      <w:pPr>
        <w:spacing w:after="0" w:line="480" w:lineRule="auto"/>
        <w:jc w:val="right"/>
        <w:rPr>
          <w:rFonts w:ascii="Times New Roman" w:hAnsi="Times New Roman" w:cs="Times New Roman"/>
          <w:sz w:val="24"/>
          <w:szCs w:val="24"/>
        </w:rPr>
      </w:pPr>
    </w:p>
    <w:p w14:paraId="65B692BA" w14:textId="5059E7B7" w:rsidR="00E70523" w:rsidRPr="00AD04DA" w:rsidRDefault="00E70523" w:rsidP="00FC0029">
      <w:pPr>
        <w:spacing w:after="0" w:line="480" w:lineRule="auto"/>
        <w:jc w:val="right"/>
        <w:rPr>
          <w:rFonts w:ascii="Times New Roman" w:hAnsi="Times New Roman" w:cs="Times New Roman"/>
          <w:sz w:val="24"/>
          <w:szCs w:val="24"/>
        </w:rPr>
      </w:pPr>
      <w:r w:rsidRPr="00AD04DA">
        <w:rPr>
          <w:rFonts w:ascii="Times New Roman" w:hAnsi="Times New Roman" w:cs="Times New Roman"/>
          <w:sz w:val="24"/>
          <w:szCs w:val="24"/>
        </w:rPr>
        <w:t>Dr. Ngoc T. Bui, Chair</w:t>
      </w:r>
    </w:p>
    <w:p w14:paraId="51566517" w14:textId="09F10E08" w:rsidR="00E70523" w:rsidRPr="00AD04DA" w:rsidRDefault="00E70523" w:rsidP="00FC0029">
      <w:pPr>
        <w:spacing w:after="0" w:line="480" w:lineRule="auto"/>
        <w:jc w:val="right"/>
        <w:rPr>
          <w:rFonts w:ascii="Times New Roman" w:hAnsi="Times New Roman" w:cs="Times New Roman"/>
          <w:sz w:val="24"/>
          <w:szCs w:val="24"/>
        </w:rPr>
      </w:pPr>
      <w:r w:rsidRPr="00AD04DA">
        <w:rPr>
          <w:rFonts w:ascii="Times New Roman" w:hAnsi="Times New Roman" w:cs="Times New Roman"/>
          <w:sz w:val="24"/>
          <w:szCs w:val="24"/>
        </w:rPr>
        <w:t>Dr. Michele Galizia</w:t>
      </w:r>
    </w:p>
    <w:p w14:paraId="7FB3ECA5" w14:textId="4E3F361E" w:rsidR="00E70523" w:rsidRPr="00AD04DA" w:rsidRDefault="00E70523" w:rsidP="00FC0029">
      <w:pPr>
        <w:spacing w:after="0" w:line="480" w:lineRule="auto"/>
        <w:jc w:val="right"/>
        <w:rPr>
          <w:rFonts w:ascii="Times New Roman" w:hAnsi="Times New Roman" w:cs="Times New Roman"/>
          <w:sz w:val="24"/>
          <w:szCs w:val="24"/>
        </w:rPr>
      </w:pPr>
      <w:r w:rsidRPr="00AD04DA">
        <w:rPr>
          <w:rFonts w:ascii="Times New Roman" w:hAnsi="Times New Roman" w:cs="Times New Roman"/>
          <w:sz w:val="24"/>
          <w:szCs w:val="24"/>
        </w:rPr>
        <w:t>Dr. Dimitrios V. Papavassiliou</w:t>
      </w:r>
    </w:p>
    <w:p w14:paraId="6A0BFE14" w14:textId="691F35A8" w:rsidR="001D072C" w:rsidRPr="00AD04DA" w:rsidRDefault="001D072C" w:rsidP="00FC0029">
      <w:pPr>
        <w:spacing w:after="0" w:line="480" w:lineRule="auto"/>
        <w:rPr>
          <w:rFonts w:ascii="Times New Roman" w:hAnsi="Times New Roman" w:cs="Times New Roman"/>
          <w:sz w:val="24"/>
          <w:szCs w:val="24"/>
        </w:rPr>
      </w:pPr>
      <w:r w:rsidRPr="00AD04DA">
        <w:rPr>
          <w:rFonts w:ascii="Times New Roman" w:hAnsi="Times New Roman" w:cs="Times New Roman"/>
          <w:sz w:val="24"/>
          <w:szCs w:val="24"/>
        </w:rPr>
        <w:br w:type="page"/>
      </w:r>
    </w:p>
    <w:p w14:paraId="6D5A598D" w14:textId="3E2A692A" w:rsidR="001D072C" w:rsidRPr="00AD04DA" w:rsidRDefault="001D072C" w:rsidP="00FC0029">
      <w:pPr>
        <w:spacing w:after="0" w:line="480" w:lineRule="auto"/>
        <w:jc w:val="center"/>
        <w:rPr>
          <w:rFonts w:ascii="Times New Roman" w:hAnsi="Times New Roman" w:cs="Times New Roman"/>
          <w:sz w:val="24"/>
          <w:szCs w:val="24"/>
        </w:rPr>
      </w:pPr>
    </w:p>
    <w:p w14:paraId="0ABA3C8F" w14:textId="25B1FA8A" w:rsidR="001D072C" w:rsidRPr="00AD04DA" w:rsidRDefault="001D072C" w:rsidP="00FC0029">
      <w:pPr>
        <w:spacing w:after="0" w:line="480" w:lineRule="auto"/>
        <w:jc w:val="center"/>
        <w:rPr>
          <w:rFonts w:ascii="Times New Roman" w:hAnsi="Times New Roman" w:cs="Times New Roman"/>
          <w:sz w:val="24"/>
          <w:szCs w:val="24"/>
        </w:rPr>
      </w:pPr>
    </w:p>
    <w:p w14:paraId="37E549A3" w14:textId="7246D352" w:rsidR="001D072C" w:rsidRPr="00AD04DA" w:rsidRDefault="001D072C" w:rsidP="00FC0029">
      <w:pPr>
        <w:spacing w:after="0" w:line="480" w:lineRule="auto"/>
        <w:jc w:val="center"/>
        <w:rPr>
          <w:rFonts w:ascii="Times New Roman" w:hAnsi="Times New Roman" w:cs="Times New Roman"/>
          <w:sz w:val="24"/>
          <w:szCs w:val="24"/>
        </w:rPr>
      </w:pPr>
    </w:p>
    <w:p w14:paraId="2225DA37" w14:textId="21313956" w:rsidR="001D072C" w:rsidRPr="00AD04DA" w:rsidRDefault="001D072C" w:rsidP="00FC0029">
      <w:pPr>
        <w:spacing w:after="0" w:line="480" w:lineRule="auto"/>
        <w:jc w:val="center"/>
        <w:rPr>
          <w:rFonts w:ascii="Times New Roman" w:hAnsi="Times New Roman" w:cs="Times New Roman"/>
          <w:sz w:val="24"/>
          <w:szCs w:val="24"/>
        </w:rPr>
      </w:pPr>
    </w:p>
    <w:p w14:paraId="78716B69" w14:textId="32328CD0" w:rsidR="001D072C" w:rsidRPr="00AD04DA" w:rsidRDefault="001D072C" w:rsidP="00FC0029">
      <w:pPr>
        <w:spacing w:after="0" w:line="480" w:lineRule="auto"/>
        <w:jc w:val="center"/>
        <w:rPr>
          <w:rFonts w:ascii="Times New Roman" w:hAnsi="Times New Roman" w:cs="Times New Roman"/>
          <w:sz w:val="24"/>
          <w:szCs w:val="24"/>
        </w:rPr>
      </w:pPr>
    </w:p>
    <w:p w14:paraId="5850D02B" w14:textId="2F4EDBD6" w:rsidR="001D072C" w:rsidRPr="00AD04DA" w:rsidRDefault="001D072C" w:rsidP="00FC0029">
      <w:pPr>
        <w:spacing w:after="0" w:line="480" w:lineRule="auto"/>
        <w:jc w:val="center"/>
        <w:rPr>
          <w:rFonts w:ascii="Times New Roman" w:hAnsi="Times New Roman" w:cs="Times New Roman"/>
          <w:sz w:val="24"/>
          <w:szCs w:val="24"/>
        </w:rPr>
      </w:pPr>
    </w:p>
    <w:p w14:paraId="7F546EE4" w14:textId="652F0BF9" w:rsidR="001D072C" w:rsidRPr="00AD04DA" w:rsidRDefault="001D072C" w:rsidP="00FC0029">
      <w:pPr>
        <w:spacing w:after="0" w:line="480" w:lineRule="auto"/>
        <w:jc w:val="center"/>
        <w:rPr>
          <w:rFonts w:ascii="Times New Roman" w:hAnsi="Times New Roman" w:cs="Times New Roman"/>
          <w:sz w:val="24"/>
          <w:szCs w:val="24"/>
        </w:rPr>
      </w:pPr>
    </w:p>
    <w:p w14:paraId="58EB4611" w14:textId="54EBE89E" w:rsidR="001D072C" w:rsidRPr="00AD04DA" w:rsidRDefault="001D072C" w:rsidP="00FC0029">
      <w:pPr>
        <w:spacing w:after="0" w:line="480" w:lineRule="auto"/>
        <w:jc w:val="center"/>
        <w:rPr>
          <w:rFonts w:ascii="Times New Roman" w:hAnsi="Times New Roman" w:cs="Times New Roman"/>
          <w:sz w:val="24"/>
          <w:szCs w:val="24"/>
        </w:rPr>
      </w:pPr>
    </w:p>
    <w:p w14:paraId="7947EB8F" w14:textId="5724B7F2" w:rsidR="001D072C" w:rsidRPr="00AD04DA" w:rsidRDefault="001D072C" w:rsidP="00FC0029">
      <w:pPr>
        <w:spacing w:after="0" w:line="480" w:lineRule="auto"/>
        <w:jc w:val="center"/>
        <w:rPr>
          <w:rFonts w:ascii="Times New Roman" w:hAnsi="Times New Roman" w:cs="Times New Roman"/>
          <w:sz w:val="24"/>
          <w:szCs w:val="24"/>
        </w:rPr>
      </w:pPr>
    </w:p>
    <w:p w14:paraId="36B1A771" w14:textId="58715C70" w:rsidR="001D072C" w:rsidRPr="00AD04DA" w:rsidRDefault="001D072C" w:rsidP="00FC0029">
      <w:pPr>
        <w:spacing w:after="0" w:line="480" w:lineRule="auto"/>
        <w:jc w:val="center"/>
        <w:rPr>
          <w:rFonts w:ascii="Times New Roman" w:hAnsi="Times New Roman" w:cs="Times New Roman"/>
          <w:sz w:val="24"/>
          <w:szCs w:val="24"/>
        </w:rPr>
      </w:pPr>
    </w:p>
    <w:p w14:paraId="0FF40BFB" w14:textId="207C671D" w:rsidR="001D072C" w:rsidRPr="00AD04DA" w:rsidRDefault="001D072C" w:rsidP="00FC0029">
      <w:pPr>
        <w:spacing w:after="0" w:line="480" w:lineRule="auto"/>
        <w:jc w:val="center"/>
        <w:rPr>
          <w:rFonts w:ascii="Times New Roman" w:hAnsi="Times New Roman" w:cs="Times New Roman"/>
          <w:sz w:val="24"/>
          <w:szCs w:val="24"/>
        </w:rPr>
      </w:pPr>
    </w:p>
    <w:p w14:paraId="5F8C8F96" w14:textId="2E6D5558" w:rsidR="001D072C" w:rsidRPr="00AD04DA" w:rsidRDefault="001D072C" w:rsidP="00FC0029">
      <w:pPr>
        <w:spacing w:after="0" w:line="480" w:lineRule="auto"/>
        <w:jc w:val="center"/>
        <w:rPr>
          <w:rFonts w:ascii="Times New Roman" w:hAnsi="Times New Roman" w:cs="Times New Roman"/>
          <w:sz w:val="24"/>
          <w:szCs w:val="24"/>
        </w:rPr>
      </w:pPr>
    </w:p>
    <w:p w14:paraId="336FE15E" w14:textId="6625A92A" w:rsidR="001D072C" w:rsidRPr="00AD04DA" w:rsidRDefault="001D072C" w:rsidP="00FC0029">
      <w:pPr>
        <w:spacing w:after="0" w:line="480" w:lineRule="auto"/>
        <w:jc w:val="center"/>
        <w:rPr>
          <w:rFonts w:ascii="Times New Roman" w:hAnsi="Times New Roman" w:cs="Times New Roman"/>
          <w:sz w:val="24"/>
          <w:szCs w:val="24"/>
        </w:rPr>
      </w:pPr>
    </w:p>
    <w:p w14:paraId="4DD79E2D" w14:textId="63DC1018" w:rsidR="001D072C" w:rsidRPr="00AD04DA" w:rsidRDefault="001D072C" w:rsidP="00FC0029">
      <w:pPr>
        <w:spacing w:after="0" w:line="480" w:lineRule="auto"/>
        <w:jc w:val="center"/>
        <w:rPr>
          <w:rFonts w:ascii="Times New Roman" w:hAnsi="Times New Roman" w:cs="Times New Roman"/>
          <w:sz w:val="24"/>
          <w:szCs w:val="24"/>
        </w:rPr>
      </w:pPr>
    </w:p>
    <w:p w14:paraId="0C624A34" w14:textId="31C56C6E" w:rsidR="001D072C" w:rsidRPr="00AD04DA" w:rsidRDefault="001D072C" w:rsidP="00FC0029">
      <w:pPr>
        <w:spacing w:after="0" w:line="480" w:lineRule="auto"/>
        <w:jc w:val="center"/>
        <w:rPr>
          <w:rFonts w:ascii="Times New Roman" w:hAnsi="Times New Roman" w:cs="Times New Roman"/>
          <w:sz w:val="24"/>
          <w:szCs w:val="24"/>
        </w:rPr>
      </w:pPr>
    </w:p>
    <w:p w14:paraId="7DDD92FF" w14:textId="385D3513" w:rsidR="001D072C" w:rsidRPr="00AD04DA" w:rsidRDefault="001D072C" w:rsidP="00FC0029">
      <w:pPr>
        <w:spacing w:after="0" w:line="480" w:lineRule="auto"/>
        <w:jc w:val="center"/>
        <w:rPr>
          <w:rFonts w:ascii="Times New Roman" w:hAnsi="Times New Roman" w:cs="Times New Roman"/>
          <w:sz w:val="24"/>
          <w:szCs w:val="24"/>
        </w:rPr>
      </w:pPr>
    </w:p>
    <w:p w14:paraId="6AC9FE3B" w14:textId="622AFF97" w:rsidR="001D072C" w:rsidRPr="00AD04DA" w:rsidRDefault="001D072C" w:rsidP="00FC0029">
      <w:pPr>
        <w:spacing w:after="0" w:line="480" w:lineRule="auto"/>
        <w:jc w:val="center"/>
        <w:rPr>
          <w:rFonts w:ascii="Times New Roman" w:hAnsi="Times New Roman" w:cs="Times New Roman"/>
          <w:sz w:val="24"/>
          <w:szCs w:val="24"/>
        </w:rPr>
      </w:pPr>
    </w:p>
    <w:p w14:paraId="269C1BE6" w14:textId="4DE70A70" w:rsidR="001D072C" w:rsidRPr="00AD04DA" w:rsidRDefault="001D072C" w:rsidP="00FC0029">
      <w:pPr>
        <w:spacing w:after="0" w:line="480" w:lineRule="auto"/>
        <w:jc w:val="center"/>
        <w:rPr>
          <w:rFonts w:ascii="Times New Roman" w:hAnsi="Times New Roman" w:cs="Times New Roman"/>
          <w:sz w:val="24"/>
          <w:szCs w:val="24"/>
        </w:rPr>
      </w:pPr>
    </w:p>
    <w:p w14:paraId="33885A42" w14:textId="10FB5B37" w:rsidR="001D072C" w:rsidRPr="00AD04DA" w:rsidRDefault="001D072C" w:rsidP="00FC0029">
      <w:pPr>
        <w:spacing w:after="0" w:line="480" w:lineRule="auto"/>
        <w:jc w:val="center"/>
        <w:rPr>
          <w:rFonts w:ascii="Times New Roman" w:hAnsi="Times New Roman" w:cs="Times New Roman"/>
          <w:sz w:val="24"/>
          <w:szCs w:val="24"/>
        </w:rPr>
      </w:pPr>
    </w:p>
    <w:p w14:paraId="15E6FA2A" w14:textId="5917E50A" w:rsidR="001D072C" w:rsidRPr="00AD04DA" w:rsidRDefault="001D072C" w:rsidP="00FC0029">
      <w:pPr>
        <w:spacing w:after="0" w:line="480" w:lineRule="auto"/>
        <w:jc w:val="center"/>
        <w:rPr>
          <w:rFonts w:ascii="Times New Roman" w:hAnsi="Times New Roman" w:cs="Times New Roman"/>
          <w:sz w:val="24"/>
          <w:szCs w:val="24"/>
        </w:rPr>
      </w:pPr>
    </w:p>
    <w:p w14:paraId="04BA8AED" w14:textId="037054DB" w:rsidR="001D072C" w:rsidRPr="00AD04DA" w:rsidRDefault="001D072C" w:rsidP="00FC0029">
      <w:pPr>
        <w:spacing w:after="0" w:line="480" w:lineRule="auto"/>
        <w:rPr>
          <w:rFonts w:ascii="Times New Roman" w:hAnsi="Times New Roman" w:cs="Times New Roman"/>
          <w:sz w:val="24"/>
          <w:szCs w:val="24"/>
        </w:rPr>
      </w:pPr>
    </w:p>
    <w:p w14:paraId="29705576" w14:textId="0B4B4CF2" w:rsidR="001D072C" w:rsidRPr="00AD04DA" w:rsidRDefault="001D072C"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 xml:space="preserve">© Copyright by </w:t>
      </w:r>
      <w:r w:rsidR="00EA5A46" w:rsidRPr="00AD04DA">
        <w:rPr>
          <w:rFonts w:ascii="Times New Roman" w:hAnsi="Times New Roman" w:cs="Times New Roman"/>
          <w:sz w:val="24"/>
          <w:szCs w:val="24"/>
        </w:rPr>
        <w:t>MICHAEL S MEISSNER</w:t>
      </w:r>
      <w:r w:rsidRPr="00AD04DA">
        <w:rPr>
          <w:rFonts w:ascii="Times New Roman" w:hAnsi="Times New Roman" w:cs="Times New Roman"/>
          <w:sz w:val="24"/>
          <w:szCs w:val="24"/>
        </w:rPr>
        <w:t xml:space="preserve"> 2022</w:t>
      </w:r>
    </w:p>
    <w:p w14:paraId="3905FA3E" w14:textId="355DE069" w:rsidR="001D072C" w:rsidRPr="00AD04DA" w:rsidRDefault="001D072C" w:rsidP="00FC0029">
      <w:pPr>
        <w:spacing w:after="0" w:line="480" w:lineRule="auto"/>
        <w:jc w:val="center"/>
        <w:rPr>
          <w:rFonts w:ascii="Times New Roman" w:hAnsi="Times New Roman" w:cs="Times New Roman"/>
          <w:sz w:val="24"/>
          <w:szCs w:val="24"/>
        </w:rPr>
      </w:pPr>
      <w:r w:rsidRPr="00AD04DA">
        <w:rPr>
          <w:rFonts w:ascii="Times New Roman" w:hAnsi="Times New Roman" w:cs="Times New Roman"/>
          <w:sz w:val="24"/>
          <w:szCs w:val="24"/>
        </w:rPr>
        <w:t>All Rights Reserved.</w:t>
      </w:r>
      <w:r w:rsidRPr="00AD04DA">
        <w:rPr>
          <w:rFonts w:ascii="Times New Roman" w:hAnsi="Times New Roman" w:cs="Times New Roman"/>
          <w:sz w:val="24"/>
          <w:szCs w:val="24"/>
        </w:rPr>
        <w:br w:type="page"/>
      </w:r>
    </w:p>
    <w:p w14:paraId="1E526C6F" w14:textId="77777777" w:rsidR="00B1672C" w:rsidRPr="00AD04DA" w:rsidRDefault="00B1672C" w:rsidP="00FC0029">
      <w:pPr>
        <w:pStyle w:val="Heading1"/>
        <w:spacing w:before="0" w:line="480" w:lineRule="auto"/>
        <w:rPr>
          <w:rFonts w:ascii="Times New Roman" w:hAnsi="Times New Roman" w:cs="Times New Roman"/>
          <w:color w:val="000000" w:themeColor="text1"/>
          <w:sz w:val="24"/>
          <w:szCs w:val="24"/>
        </w:rPr>
        <w:sectPr w:rsidR="00B1672C" w:rsidRPr="00AD04DA" w:rsidSect="00B1672C">
          <w:pgSz w:w="12240" w:h="15840"/>
          <w:pgMar w:top="1440" w:right="1440" w:bottom="1440" w:left="1440" w:header="720" w:footer="720" w:gutter="0"/>
          <w:pgNumType w:fmt="lowerRoman" w:start="1"/>
          <w:cols w:space="720"/>
          <w:docGrid w:linePitch="360"/>
        </w:sectPr>
      </w:pPr>
    </w:p>
    <w:p w14:paraId="6F6AFAAF" w14:textId="6FEAD0A0" w:rsidR="00FA7A66" w:rsidRPr="00821EF2" w:rsidRDefault="00FA7A66" w:rsidP="00FC0029">
      <w:pPr>
        <w:pStyle w:val="Heading1"/>
        <w:spacing w:before="0" w:line="480" w:lineRule="auto"/>
        <w:rPr>
          <w:rFonts w:ascii="Times New Roman" w:hAnsi="Times New Roman" w:cs="Times New Roman"/>
          <w:color w:val="000000" w:themeColor="text1"/>
        </w:rPr>
      </w:pPr>
      <w:bookmarkStart w:id="0" w:name="_Toc100753452"/>
      <w:r w:rsidRPr="00821EF2">
        <w:rPr>
          <w:rFonts w:ascii="Times New Roman" w:hAnsi="Times New Roman" w:cs="Times New Roman"/>
          <w:color w:val="000000" w:themeColor="text1"/>
        </w:rPr>
        <w:lastRenderedPageBreak/>
        <w:t>Acknowledgements</w:t>
      </w:r>
      <w:bookmarkEnd w:id="0"/>
    </w:p>
    <w:p w14:paraId="3969C4BD" w14:textId="736E1AD6" w:rsidR="00FB00D2" w:rsidRPr="00AD04DA" w:rsidRDefault="00E63952" w:rsidP="00C225A3">
      <w:pPr>
        <w:spacing w:after="0" w:line="480" w:lineRule="auto"/>
        <w:jc w:val="both"/>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 xml:space="preserve">I am grateful to my advisor and committee chair, Dr. Bui, for her unwavering support and guidance. </w:t>
      </w:r>
      <w:r w:rsidR="000D78B2" w:rsidRPr="00AD04DA">
        <w:rPr>
          <w:rFonts w:ascii="Times New Roman" w:hAnsi="Times New Roman" w:cs="Times New Roman"/>
          <w:color w:val="000000" w:themeColor="text1"/>
          <w:sz w:val="24"/>
          <w:szCs w:val="24"/>
        </w:rPr>
        <w:t>Her insightful comments and patience have encouraged me to think critically about my interests and gain a better understanding of global climate, energy, and water challenges.</w:t>
      </w:r>
      <w:r w:rsidR="00275FA6" w:rsidRPr="00AD04DA">
        <w:rPr>
          <w:rFonts w:ascii="Times New Roman" w:hAnsi="Times New Roman" w:cs="Times New Roman"/>
          <w:color w:val="000000" w:themeColor="text1"/>
          <w:sz w:val="24"/>
          <w:szCs w:val="24"/>
        </w:rPr>
        <w:t xml:space="preserve"> She has encouraged me to develop new skills and</w:t>
      </w:r>
      <w:r w:rsidR="00231543" w:rsidRPr="00AD04DA">
        <w:rPr>
          <w:rFonts w:ascii="Times New Roman" w:hAnsi="Times New Roman" w:cs="Times New Roman"/>
          <w:color w:val="000000" w:themeColor="text1"/>
          <w:sz w:val="24"/>
          <w:szCs w:val="24"/>
        </w:rPr>
        <w:t xml:space="preserve"> to</w:t>
      </w:r>
      <w:r w:rsidR="00275FA6" w:rsidRPr="00AD04DA">
        <w:rPr>
          <w:rFonts w:ascii="Times New Roman" w:hAnsi="Times New Roman" w:cs="Times New Roman"/>
          <w:color w:val="000000" w:themeColor="text1"/>
          <w:sz w:val="24"/>
          <w:szCs w:val="24"/>
        </w:rPr>
        <w:t xml:space="preserve"> grow my passion for the act of learning.</w:t>
      </w:r>
      <w:r w:rsidR="006F2A4D" w:rsidRPr="00AD04DA">
        <w:rPr>
          <w:rFonts w:ascii="Times New Roman" w:hAnsi="Times New Roman" w:cs="Times New Roman"/>
          <w:color w:val="000000" w:themeColor="text1"/>
          <w:sz w:val="24"/>
          <w:szCs w:val="24"/>
        </w:rPr>
        <w:t xml:space="preserve"> I am grateful to Dr. Papavassiliou and Dr. Galizia for serving on my committee and the support and knowledge they have provided throughout my time as a graduate student.</w:t>
      </w:r>
      <w:r w:rsidR="00C225A3" w:rsidRPr="00AD04DA">
        <w:rPr>
          <w:rFonts w:ascii="Times New Roman" w:hAnsi="Times New Roman" w:cs="Times New Roman"/>
          <w:color w:val="000000" w:themeColor="text1"/>
          <w:sz w:val="24"/>
          <w:szCs w:val="24"/>
        </w:rPr>
        <w:t xml:space="preserve"> I am grateful to Andrew D’Amico for </w:t>
      </w:r>
      <w:r w:rsidR="00915D4C" w:rsidRPr="00AD04DA">
        <w:rPr>
          <w:rFonts w:ascii="Times New Roman" w:hAnsi="Times New Roman" w:cs="Times New Roman"/>
          <w:color w:val="000000" w:themeColor="text1"/>
          <w:sz w:val="24"/>
          <w:szCs w:val="24"/>
        </w:rPr>
        <w:t xml:space="preserve">his </w:t>
      </w:r>
      <w:r w:rsidR="00394DBB" w:rsidRPr="00AD04DA">
        <w:rPr>
          <w:rFonts w:ascii="Times New Roman" w:hAnsi="Times New Roman" w:cs="Times New Roman"/>
          <w:color w:val="000000" w:themeColor="text1"/>
          <w:sz w:val="24"/>
          <w:szCs w:val="24"/>
        </w:rPr>
        <w:t>support</w:t>
      </w:r>
      <w:r w:rsidR="00915D4C" w:rsidRPr="00AD04DA">
        <w:rPr>
          <w:rFonts w:ascii="Times New Roman" w:hAnsi="Times New Roman" w:cs="Times New Roman"/>
          <w:color w:val="000000" w:themeColor="text1"/>
          <w:sz w:val="24"/>
          <w:szCs w:val="24"/>
        </w:rPr>
        <w:t xml:space="preserve"> in </w:t>
      </w:r>
      <w:r w:rsidR="00C225A3" w:rsidRPr="00AD04DA">
        <w:rPr>
          <w:rFonts w:ascii="Times New Roman" w:hAnsi="Times New Roman" w:cs="Times New Roman"/>
          <w:color w:val="000000" w:themeColor="text1"/>
          <w:sz w:val="24"/>
          <w:szCs w:val="24"/>
        </w:rPr>
        <w:t>build</w:t>
      </w:r>
      <w:r w:rsidR="00915D4C" w:rsidRPr="00AD04DA">
        <w:rPr>
          <w:rFonts w:ascii="Times New Roman" w:hAnsi="Times New Roman" w:cs="Times New Roman"/>
          <w:color w:val="000000" w:themeColor="text1"/>
          <w:sz w:val="24"/>
          <w:szCs w:val="24"/>
        </w:rPr>
        <w:t>ing</w:t>
      </w:r>
      <w:r w:rsidR="00C225A3" w:rsidRPr="00AD04DA">
        <w:rPr>
          <w:rFonts w:ascii="Times New Roman" w:hAnsi="Times New Roman" w:cs="Times New Roman"/>
          <w:color w:val="000000" w:themeColor="text1"/>
          <w:sz w:val="24"/>
          <w:szCs w:val="24"/>
        </w:rPr>
        <w:t xml:space="preserve"> experimental apparatus for research.</w:t>
      </w:r>
      <w:r w:rsidR="00904023" w:rsidRPr="00AD04DA">
        <w:rPr>
          <w:rFonts w:ascii="Times New Roman" w:hAnsi="Times New Roman" w:cs="Times New Roman"/>
          <w:color w:val="000000" w:themeColor="text1"/>
          <w:sz w:val="24"/>
          <w:szCs w:val="24"/>
        </w:rPr>
        <w:t xml:space="preserve"> I am grateful to Dr. Nollert for the support he provided</w:t>
      </w:r>
      <w:r w:rsidR="00BD4B27" w:rsidRPr="00AD04DA">
        <w:rPr>
          <w:rFonts w:ascii="Times New Roman" w:hAnsi="Times New Roman" w:cs="Times New Roman"/>
          <w:color w:val="000000" w:themeColor="text1"/>
          <w:sz w:val="24"/>
          <w:szCs w:val="24"/>
        </w:rPr>
        <w:t xml:space="preserve"> as graduate liaison</w:t>
      </w:r>
      <w:r w:rsidR="007D39C6" w:rsidRPr="00AD04DA">
        <w:rPr>
          <w:rFonts w:ascii="Times New Roman" w:hAnsi="Times New Roman" w:cs="Times New Roman"/>
          <w:color w:val="000000" w:themeColor="text1"/>
          <w:sz w:val="24"/>
          <w:szCs w:val="24"/>
        </w:rPr>
        <w:t xml:space="preserve"> during my time as a student. I am grateful</w:t>
      </w:r>
      <w:r w:rsidR="002E0151" w:rsidRPr="00AD04DA">
        <w:rPr>
          <w:rFonts w:ascii="Times New Roman" w:hAnsi="Times New Roman" w:cs="Times New Roman"/>
          <w:color w:val="000000" w:themeColor="text1"/>
          <w:sz w:val="24"/>
          <w:szCs w:val="24"/>
        </w:rPr>
        <w:t xml:space="preserve"> to</w:t>
      </w:r>
      <w:r w:rsidR="007D39C6" w:rsidRPr="00AD04DA">
        <w:rPr>
          <w:rFonts w:ascii="Times New Roman" w:hAnsi="Times New Roman" w:cs="Times New Roman"/>
          <w:color w:val="000000" w:themeColor="text1"/>
          <w:sz w:val="24"/>
          <w:szCs w:val="24"/>
        </w:rPr>
        <w:t xml:space="preserve"> all the wonderful people of Dr. Bui’s research group</w:t>
      </w:r>
      <w:r w:rsidR="005F3E33" w:rsidRPr="00AD04DA">
        <w:rPr>
          <w:rFonts w:ascii="Times New Roman" w:hAnsi="Times New Roman" w:cs="Times New Roman"/>
          <w:color w:val="000000" w:themeColor="text1"/>
          <w:sz w:val="24"/>
          <w:szCs w:val="24"/>
        </w:rPr>
        <w:t>.</w:t>
      </w:r>
    </w:p>
    <w:p w14:paraId="3BF45A17" w14:textId="1FA15B0B" w:rsidR="00FB00D2" w:rsidRPr="00AD04DA" w:rsidRDefault="002E0151" w:rsidP="00C225A3">
      <w:pPr>
        <w:spacing w:after="0" w:line="480" w:lineRule="auto"/>
        <w:ind w:firstLine="720"/>
        <w:jc w:val="both"/>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I would also like to thank Dr. Foster and Alex Frickenstein at the University of Oklahoma Mass Spectrometry, Proteomics, &amp; Metabolomics Core.</w:t>
      </w:r>
      <w:r w:rsidR="009D4D3B" w:rsidRPr="00AD04DA">
        <w:rPr>
          <w:rFonts w:ascii="Times New Roman" w:hAnsi="Times New Roman" w:cs="Times New Roman"/>
          <w:color w:val="000000" w:themeColor="text1"/>
          <w:sz w:val="24"/>
          <w:szCs w:val="24"/>
        </w:rPr>
        <w:t xml:space="preserve"> This work would not have been possible without their assistance in developing an approach to measuring selenium content with inductively coupled plasma mass spectrometry. </w:t>
      </w:r>
      <w:r w:rsidR="004A1DA1" w:rsidRPr="00AD04DA">
        <w:rPr>
          <w:rFonts w:ascii="Times New Roman" w:hAnsi="Times New Roman" w:cs="Times New Roman"/>
          <w:color w:val="000000" w:themeColor="text1"/>
          <w:sz w:val="24"/>
          <w:szCs w:val="24"/>
        </w:rPr>
        <w:t xml:space="preserve">I am especially grateful to Alex for </w:t>
      </w:r>
      <w:r w:rsidR="001B133D" w:rsidRPr="00AD04DA">
        <w:rPr>
          <w:rFonts w:ascii="Times New Roman" w:hAnsi="Times New Roman" w:cs="Times New Roman"/>
          <w:color w:val="000000" w:themeColor="text1"/>
          <w:sz w:val="24"/>
          <w:szCs w:val="24"/>
        </w:rPr>
        <w:t>his time and efforts spent collecting results for my samples</w:t>
      </w:r>
      <w:r w:rsidR="0022283D" w:rsidRPr="00AD04DA">
        <w:rPr>
          <w:rFonts w:ascii="Times New Roman" w:hAnsi="Times New Roman" w:cs="Times New Roman"/>
          <w:color w:val="000000" w:themeColor="text1"/>
          <w:sz w:val="24"/>
          <w:szCs w:val="24"/>
        </w:rPr>
        <w:t xml:space="preserve"> with me</w:t>
      </w:r>
      <w:r w:rsidR="001B133D" w:rsidRPr="00AD04DA">
        <w:rPr>
          <w:rFonts w:ascii="Times New Roman" w:hAnsi="Times New Roman" w:cs="Times New Roman"/>
          <w:color w:val="000000" w:themeColor="text1"/>
          <w:sz w:val="24"/>
          <w:szCs w:val="24"/>
        </w:rPr>
        <w:t>.</w:t>
      </w:r>
      <w:r w:rsidR="004A1DA1" w:rsidRPr="00AD04DA">
        <w:rPr>
          <w:rFonts w:ascii="Times New Roman" w:hAnsi="Times New Roman" w:cs="Times New Roman"/>
          <w:color w:val="000000" w:themeColor="text1"/>
          <w:sz w:val="24"/>
          <w:szCs w:val="24"/>
        </w:rPr>
        <w:t xml:space="preserve"> </w:t>
      </w:r>
    </w:p>
    <w:p w14:paraId="3E9DF652" w14:textId="15D0C0DD" w:rsidR="00FA7A66" w:rsidRPr="00AD04DA" w:rsidRDefault="00CA1C33" w:rsidP="00FC0029">
      <w:pPr>
        <w:spacing w:after="0" w:line="480" w:lineRule="auto"/>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br w:type="page"/>
      </w:r>
    </w:p>
    <w:sdt>
      <w:sdtPr>
        <w:rPr>
          <w:rFonts w:ascii="Times New Roman" w:eastAsiaTheme="minorHAnsi" w:hAnsi="Times New Roman" w:cs="Times New Roman"/>
          <w:color w:val="000000" w:themeColor="text1"/>
          <w:sz w:val="24"/>
          <w:szCs w:val="24"/>
        </w:rPr>
        <w:id w:val="814456202"/>
        <w:docPartObj>
          <w:docPartGallery w:val="Table of Contents"/>
          <w:docPartUnique/>
        </w:docPartObj>
      </w:sdtPr>
      <w:sdtEndPr>
        <w:rPr>
          <w:b/>
          <w:bCs/>
          <w:noProof/>
        </w:rPr>
      </w:sdtEndPr>
      <w:sdtContent>
        <w:p w14:paraId="15BC5C75" w14:textId="0FFED467" w:rsidR="00FA7A66" w:rsidRPr="00821EF2" w:rsidRDefault="00FA7A66" w:rsidP="00FC0029">
          <w:pPr>
            <w:pStyle w:val="TOCHeading"/>
            <w:spacing w:before="0" w:line="480" w:lineRule="auto"/>
            <w:rPr>
              <w:rFonts w:ascii="Times New Roman" w:hAnsi="Times New Roman" w:cs="Times New Roman"/>
              <w:color w:val="000000" w:themeColor="text1"/>
            </w:rPr>
          </w:pPr>
          <w:r w:rsidRPr="00821EF2">
            <w:rPr>
              <w:rFonts w:ascii="Times New Roman" w:hAnsi="Times New Roman" w:cs="Times New Roman"/>
              <w:color w:val="000000" w:themeColor="text1"/>
            </w:rPr>
            <w:t>Table of Contents</w:t>
          </w:r>
        </w:p>
        <w:p w14:paraId="3F394F26" w14:textId="6A3D750F" w:rsidR="004A26A4" w:rsidRPr="00AD04DA" w:rsidRDefault="00FA7A66">
          <w:pPr>
            <w:pStyle w:val="TOC1"/>
            <w:tabs>
              <w:tab w:val="right" w:leader="dot" w:pos="9350"/>
            </w:tabs>
            <w:rPr>
              <w:rFonts w:ascii="Times New Roman" w:eastAsiaTheme="minorEastAsia" w:hAnsi="Times New Roman" w:cs="Times New Roman"/>
              <w:noProof/>
              <w:sz w:val="24"/>
              <w:szCs w:val="24"/>
            </w:rPr>
          </w:pPr>
          <w:r w:rsidRPr="00AD04DA">
            <w:rPr>
              <w:rFonts w:ascii="Times New Roman" w:hAnsi="Times New Roman" w:cs="Times New Roman"/>
              <w:color w:val="000000" w:themeColor="text1"/>
              <w:sz w:val="24"/>
              <w:szCs w:val="24"/>
            </w:rPr>
            <w:fldChar w:fldCharType="begin"/>
          </w:r>
          <w:r w:rsidRPr="00AD04DA">
            <w:rPr>
              <w:rFonts w:ascii="Times New Roman" w:hAnsi="Times New Roman" w:cs="Times New Roman"/>
              <w:color w:val="000000" w:themeColor="text1"/>
              <w:sz w:val="24"/>
              <w:szCs w:val="24"/>
            </w:rPr>
            <w:instrText xml:space="preserve"> TOC \o "1-3" \h \z \u </w:instrText>
          </w:r>
          <w:r w:rsidRPr="00AD04DA">
            <w:rPr>
              <w:rFonts w:ascii="Times New Roman" w:hAnsi="Times New Roman" w:cs="Times New Roman"/>
              <w:color w:val="000000" w:themeColor="text1"/>
              <w:sz w:val="24"/>
              <w:szCs w:val="24"/>
            </w:rPr>
            <w:fldChar w:fldCharType="separate"/>
          </w:r>
          <w:hyperlink w:anchor="_Toc100753452" w:history="1">
            <w:r w:rsidR="004A26A4" w:rsidRPr="00AD04DA">
              <w:rPr>
                <w:rStyle w:val="Hyperlink"/>
                <w:rFonts w:ascii="Times New Roman" w:hAnsi="Times New Roman" w:cs="Times New Roman"/>
                <w:noProof/>
                <w:sz w:val="24"/>
                <w:szCs w:val="24"/>
              </w:rPr>
              <w:t>Acknowledgements</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_Toc100753452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iv</w:t>
            </w:r>
            <w:r w:rsidR="004A26A4" w:rsidRPr="00AD04DA">
              <w:rPr>
                <w:rFonts w:ascii="Times New Roman" w:hAnsi="Times New Roman" w:cs="Times New Roman"/>
                <w:noProof/>
                <w:webHidden/>
                <w:sz w:val="24"/>
                <w:szCs w:val="24"/>
              </w:rPr>
              <w:fldChar w:fldCharType="end"/>
            </w:r>
          </w:hyperlink>
        </w:p>
        <w:p w14:paraId="149E30B6" w14:textId="3B2D8580" w:rsidR="004A26A4" w:rsidRPr="00AD04DA" w:rsidRDefault="004878EE">
          <w:pPr>
            <w:pStyle w:val="TOC1"/>
            <w:tabs>
              <w:tab w:val="right" w:leader="dot" w:pos="9350"/>
            </w:tabs>
            <w:rPr>
              <w:rFonts w:ascii="Times New Roman" w:eastAsiaTheme="minorEastAsia" w:hAnsi="Times New Roman" w:cs="Times New Roman"/>
              <w:noProof/>
              <w:sz w:val="24"/>
              <w:szCs w:val="24"/>
            </w:rPr>
          </w:pPr>
          <w:hyperlink w:anchor="_Toc100753453" w:history="1">
            <w:r w:rsidR="004A26A4" w:rsidRPr="00AD04DA">
              <w:rPr>
                <w:rStyle w:val="Hyperlink"/>
                <w:rFonts w:ascii="Times New Roman" w:hAnsi="Times New Roman" w:cs="Times New Roman"/>
                <w:noProof/>
                <w:sz w:val="24"/>
                <w:szCs w:val="24"/>
              </w:rPr>
              <w:t>Abstract</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_Toc100753453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vi</w:t>
            </w:r>
            <w:r w:rsidR="004A26A4" w:rsidRPr="00AD04DA">
              <w:rPr>
                <w:rFonts w:ascii="Times New Roman" w:hAnsi="Times New Roman" w:cs="Times New Roman"/>
                <w:noProof/>
                <w:webHidden/>
                <w:sz w:val="24"/>
                <w:szCs w:val="24"/>
              </w:rPr>
              <w:fldChar w:fldCharType="end"/>
            </w:r>
          </w:hyperlink>
        </w:p>
        <w:p w14:paraId="13BF69AC" w14:textId="7F0EE4C8" w:rsidR="004A26A4" w:rsidRPr="00AD04DA" w:rsidRDefault="004878EE">
          <w:pPr>
            <w:pStyle w:val="TOC1"/>
            <w:tabs>
              <w:tab w:val="right" w:leader="dot" w:pos="9350"/>
            </w:tabs>
            <w:rPr>
              <w:rFonts w:ascii="Times New Roman" w:eastAsiaTheme="minorEastAsia" w:hAnsi="Times New Roman" w:cs="Times New Roman"/>
              <w:noProof/>
              <w:sz w:val="24"/>
              <w:szCs w:val="24"/>
            </w:rPr>
          </w:pPr>
          <w:hyperlink w:anchor="_Toc100753454" w:history="1">
            <w:r w:rsidR="004A26A4" w:rsidRPr="00AD04DA">
              <w:rPr>
                <w:rStyle w:val="Hyperlink"/>
                <w:rFonts w:ascii="Times New Roman" w:hAnsi="Times New Roman" w:cs="Times New Roman"/>
                <w:noProof/>
                <w:sz w:val="24"/>
                <w:szCs w:val="24"/>
              </w:rPr>
              <w:t>1. Introduction</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_Toc100753454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1</w:t>
            </w:r>
            <w:r w:rsidR="004A26A4" w:rsidRPr="00AD04DA">
              <w:rPr>
                <w:rFonts w:ascii="Times New Roman" w:hAnsi="Times New Roman" w:cs="Times New Roman"/>
                <w:noProof/>
                <w:webHidden/>
                <w:sz w:val="24"/>
                <w:szCs w:val="24"/>
              </w:rPr>
              <w:fldChar w:fldCharType="end"/>
            </w:r>
          </w:hyperlink>
        </w:p>
        <w:p w14:paraId="31459DC3" w14:textId="32597062"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55" w:history="1">
            <w:r w:rsidR="004A26A4" w:rsidRPr="00AD04DA">
              <w:rPr>
                <w:rStyle w:val="Hyperlink"/>
                <w:rFonts w:ascii="Times New Roman" w:hAnsi="Times New Roman" w:cs="Times New Roman"/>
                <w:noProof/>
                <w:sz w:val="24"/>
                <w:szCs w:val="24"/>
              </w:rPr>
              <w:t>1.1 Motivation and Significance</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_Toc100753455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1</w:t>
            </w:r>
            <w:r w:rsidR="004A26A4" w:rsidRPr="00AD04DA">
              <w:rPr>
                <w:rFonts w:ascii="Times New Roman" w:hAnsi="Times New Roman" w:cs="Times New Roman"/>
                <w:noProof/>
                <w:webHidden/>
                <w:sz w:val="24"/>
                <w:szCs w:val="24"/>
              </w:rPr>
              <w:fldChar w:fldCharType="end"/>
            </w:r>
          </w:hyperlink>
        </w:p>
        <w:p w14:paraId="56C2171B" w14:textId="3FA4B5EF"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56" w:history="1">
            <w:r w:rsidR="004A26A4" w:rsidRPr="00AD04DA">
              <w:rPr>
                <w:rStyle w:val="Hyperlink"/>
                <w:rFonts w:ascii="Times New Roman" w:hAnsi="Times New Roman" w:cs="Times New Roman"/>
                <w:noProof/>
                <w:sz w:val="24"/>
                <w:szCs w:val="24"/>
              </w:rPr>
              <w:t>1.2 Working Principles of TSSE</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_Toc100753456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4</w:t>
            </w:r>
            <w:r w:rsidR="004A26A4" w:rsidRPr="00AD04DA">
              <w:rPr>
                <w:rFonts w:ascii="Times New Roman" w:hAnsi="Times New Roman" w:cs="Times New Roman"/>
                <w:noProof/>
                <w:webHidden/>
                <w:sz w:val="24"/>
                <w:szCs w:val="24"/>
              </w:rPr>
              <w:fldChar w:fldCharType="end"/>
            </w:r>
          </w:hyperlink>
        </w:p>
        <w:p w14:paraId="6EFD5BC5" w14:textId="2D77A9F4"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57" w:history="1">
            <w:r w:rsidR="004A26A4" w:rsidRPr="00AD04DA">
              <w:rPr>
                <w:rStyle w:val="Hyperlink"/>
                <w:rFonts w:ascii="Times New Roman" w:hAnsi="Times New Roman" w:cs="Times New Roman"/>
                <w:noProof/>
                <w:sz w:val="24"/>
                <w:szCs w:val="24"/>
              </w:rPr>
              <w:t>1.3 Commercial Advantage</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_Toc100753457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7</w:t>
            </w:r>
            <w:r w:rsidR="004A26A4" w:rsidRPr="00AD04DA">
              <w:rPr>
                <w:rFonts w:ascii="Times New Roman" w:hAnsi="Times New Roman" w:cs="Times New Roman"/>
                <w:noProof/>
                <w:webHidden/>
                <w:sz w:val="24"/>
                <w:szCs w:val="24"/>
              </w:rPr>
              <w:fldChar w:fldCharType="end"/>
            </w:r>
          </w:hyperlink>
        </w:p>
        <w:p w14:paraId="08B6832A" w14:textId="27F83E65"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58" w:history="1">
            <w:r w:rsidR="004A26A4" w:rsidRPr="00AD04DA">
              <w:rPr>
                <w:rStyle w:val="Hyperlink"/>
                <w:rFonts w:ascii="Times New Roman" w:hAnsi="Times New Roman" w:cs="Times New Roman"/>
                <w:noProof/>
                <w:sz w:val="24"/>
                <w:szCs w:val="24"/>
              </w:rPr>
              <w:t>1.4 Scope of this Paper</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_Toc100753458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10</w:t>
            </w:r>
            <w:r w:rsidR="004A26A4" w:rsidRPr="00AD04DA">
              <w:rPr>
                <w:rFonts w:ascii="Times New Roman" w:hAnsi="Times New Roman" w:cs="Times New Roman"/>
                <w:noProof/>
                <w:webHidden/>
                <w:sz w:val="24"/>
                <w:szCs w:val="24"/>
              </w:rPr>
              <w:fldChar w:fldCharType="end"/>
            </w:r>
          </w:hyperlink>
        </w:p>
        <w:p w14:paraId="5CD299A1" w14:textId="1B4F6C71" w:rsidR="004A26A4" w:rsidRPr="00AD04DA" w:rsidRDefault="004878EE">
          <w:pPr>
            <w:pStyle w:val="TOC1"/>
            <w:tabs>
              <w:tab w:val="right" w:leader="dot" w:pos="9350"/>
            </w:tabs>
            <w:rPr>
              <w:rFonts w:ascii="Times New Roman" w:eastAsiaTheme="minorEastAsia" w:hAnsi="Times New Roman" w:cs="Times New Roman"/>
              <w:noProof/>
              <w:sz w:val="24"/>
              <w:szCs w:val="24"/>
            </w:rPr>
          </w:pPr>
          <w:hyperlink w:anchor="_Toc100753459" w:history="1">
            <w:r w:rsidR="004A26A4" w:rsidRPr="00AD04DA">
              <w:rPr>
                <w:rStyle w:val="Hyperlink"/>
                <w:rFonts w:ascii="Times New Roman" w:hAnsi="Times New Roman" w:cs="Times New Roman"/>
                <w:noProof/>
                <w:sz w:val="24"/>
                <w:szCs w:val="24"/>
              </w:rPr>
              <w:t>2. Experimental</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_Toc100753459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11</w:t>
            </w:r>
            <w:r w:rsidR="004A26A4" w:rsidRPr="00AD04DA">
              <w:rPr>
                <w:rFonts w:ascii="Times New Roman" w:hAnsi="Times New Roman" w:cs="Times New Roman"/>
                <w:noProof/>
                <w:webHidden/>
                <w:sz w:val="24"/>
                <w:szCs w:val="24"/>
              </w:rPr>
              <w:fldChar w:fldCharType="end"/>
            </w:r>
          </w:hyperlink>
        </w:p>
        <w:p w14:paraId="165C983F" w14:textId="10F8AA61"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60" w:history="1">
            <w:r w:rsidR="004A26A4" w:rsidRPr="00AD04DA">
              <w:rPr>
                <w:rStyle w:val="Hyperlink"/>
                <w:rFonts w:ascii="Times New Roman" w:hAnsi="Times New Roman" w:cs="Times New Roman"/>
                <w:noProof/>
                <w:sz w:val="24"/>
                <w:szCs w:val="24"/>
              </w:rPr>
              <w:t>2.1 Chemicals</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_Toc100753460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11</w:t>
            </w:r>
            <w:r w:rsidR="004A26A4" w:rsidRPr="00AD04DA">
              <w:rPr>
                <w:rFonts w:ascii="Times New Roman" w:hAnsi="Times New Roman" w:cs="Times New Roman"/>
                <w:noProof/>
                <w:webHidden/>
                <w:sz w:val="24"/>
                <w:szCs w:val="24"/>
              </w:rPr>
              <w:fldChar w:fldCharType="end"/>
            </w:r>
          </w:hyperlink>
        </w:p>
        <w:p w14:paraId="79496BCB" w14:textId="07079E4D"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61" w:history="1">
            <w:r w:rsidR="004A26A4" w:rsidRPr="00AD04DA">
              <w:rPr>
                <w:rStyle w:val="Hyperlink"/>
                <w:rFonts w:ascii="Times New Roman" w:hAnsi="Times New Roman" w:cs="Times New Roman"/>
                <w:noProof/>
                <w:sz w:val="24"/>
                <w:szCs w:val="24"/>
              </w:rPr>
              <w:t>2.2 Preparation of Stock Solutions</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_Toc100753461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11</w:t>
            </w:r>
            <w:r w:rsidR="004A26A4" w:rsidRPr="00AD04DA">
              <w:rPr>
                <w:rFonts w:ascii="Times New Roman" w:hAnsi="Times New Roman" w:cs="Times New Roman"/>
                <w:noProof/>
                <w:webHidden/>
                <w:sz w:val="24"/>
                <w:szCs w:val="24"/>
              </w:rPr>
              <w:fldChar w:fldCharType="end"/>
            </w:r>
          </w:hyperlink>
        </w:p>
        <w:p w14:paraId="10B952D2" w14:textId="5BE611C9"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62" w:history="1">
            <w:r w:rsidR="004A26A4" w:rsidRPr="00AD04DA">
              <w:rPr>
                <w:rStyle w:val="Hyperlink"/>
                <w:rFonts w:ascii="Times New Roman" w:hAnsi="Times New Roman" w:cs="Times New Roman"/>
                <w:noProof/>
                <w:sz w:val="24"/>
                <w:szCs w:val="24"/>
              </w:rPr>
              <w:t>2.3 Experimental Procedure for Decanoic Acid</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_Toc100753462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12</w:t>
            </w:r>
            <w:r w:rsidR="004A26A4" w:rsidRPr="00AD04DA">
              <w:rPr>
                <w:rFonts w:ascii="Times New Roman" w:hAnsi="Times New Roman" w:cs="Times New Roman"/>
                <w:noProof/>
                <w:webHidden/>
                <w:sz w:val="24"/>
                <w:szCs w:val="24"/>
              </w:rPr>
              <w:fldChar w:fldCharType="end"/>
            </w:r>
          </w:hyperlink>
        </w:p>
        <w:p w14:paraId="30AAF05F" w14:textId="333F7E7C"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63" w:history="1">
            <w:r w:rsidR="004A26A4" w:rsidRPr="00AD04DA">
              <w:rPr>
                <w:rStyle w:val="Hyperlink"/>
                <w:rFonts w:ascii="Times New Roman" w:hAnsi="Times New Roman" w:cs="Times New Roman"/>
                <w:noProof/>
                <w:sz w:val="24"/>
                <w:szCs w:val="24"/>
              </w:rPr>
              <w:t>2.4 Experimental Procedure for Diisopropylamine</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_Toc100753463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13</w:t>
            </w:r>
            <w:r w:rsidR="004A26A4" w:rsidRPr="00AD04DA">
              <w:rPr>
                <w:rFonts w:ascii="Times New Roman" w:hAnsi="Times New Roman" w:cs="Times New Roman"/>
                <w:noProof/>
                <w:webHidden/>
                <w:sz w:val="24"/>
                <w:szCs w:val="24"/>
              </w:rPr>
              <w:fldChar w:fldCharType="end"/>
            </w:r>
          </w:hyperlink>
        </w:p>
        <w:p w14:paraId="28D43B30" w14:textId="07A9FB0A"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64" w:history="1">
            <w:r w:rsidR="004A26A4" w:rsidRPr="00AD04DA">
              <w:rPr>
                <w:rStyle w:val="Hyperlink"/>
                <w:rFonts w:ascii="Times New Roman" w:hAnsi="Times New Roman" w:cs="Times New Roman"/>
                <w:noProof/>
                <w:sz w:val="24"/>
                <w:szCs w:val="24"/>
              </w:rPr>
              <w:t>2.5 Conductivity Measurements</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_Toc100753464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14</w:t>
            </w:r>
            <w:r w:rsidR="004A26A4" w:rsidRPr="00AD04DA">
              <w:rPr>
                <w:rFonts w:ascii="Times New Roman" w:hAnsi="Times New Roman" w:cs="Times New Roman"/>
                <w:noProof/>
                <w:webHidden/>
                <w:sz w:val="24"/>
                <w:szCs w:val="24"/>
              </w:rPr>
              <w:fldChar w:fldCharType="end"/>
            </w:r>
          </w:hyperlink>
        </w:p>
        <w:p w14:paraId="70EF6FA2" w14:textId="36945E88"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65" w:history="1">
            <w:r w:rsidR="004A26A4" w:rsidRPr="00AD04DA">
              <w:rPr>
                <w:rStyle w:val="Hyperlink"/>
                <w:rFonts w:ascii="Times New Roman" w:hAnsi="Times New Roman" w:cs="Times New Roman"/>
                <w:noProof/>
                <w:sz w:val="24"/>
                <w:szCs w:val="24"/>
              </w:rPr>
              <w:t>2.6 ICP-MS Measurements</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_Toc100753465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16</w:t>
            </w:r>
            <w:r w:rsidR="004A26A4" w:rsidRPr="00AD04DA">
              <w:rPr>
                <w:rFonts w:ascii="Times New Roman" w:hAnsi="Times New Roman" w:cs="Times New Roman"/>
                <w:noProof/>
                <w:webHidden/>
                <w:sz w:val="24"/>
                <w:szCs w:val="24"/>
              </w:rPr>
              <w:fldChar w:fldCharType="end"/>
            </w:r>
          </w:hyperlink>
        </w:p>
        <w:p w14:paraId="2C9A99D5" w14:textId="5E229C65"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66" w:history="1">
            <w:r w:rsidR="004A26A4" w:rsidRPr="00AD04DA">
              <w:rPr>
                <w:rStyle w:val="Hyperlink"/>
                <w:rFonts w:ascii="Times New Roman" w:hAnsi="Times New Roman" w:cs="Times New Roman"/>
                <w:noProof/>
                <w:sz w:val="24"/>
                <w:szCs w:val="24"/>
              </w:rPr>
              <w:t>2.7 Simulation Details</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_Toc100753466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19</w:t>
            </w:r>
            <w:r w:rsidR="004A26A4" w:rsidRPr="00AD04DA">
              <w:rPr>
                <w:rFonts w:ascii="Times New Roman" w:hAnsi="Times New Roman" w:cs="Times New Roman"/>
                <w:noProof/>
                <w:webHidden/>
                <w:sz w:val="24"/>
                <w:szCs w:val="24"/>
              </w:rPr>
              <w:fldChar w:fldCharType="end"/>
            </w:r>
          </w:hyperlink>
        </w:p>
        <w:p w14:paraId="420C3D25" w14:textId="181F0128" w:rsidR="004A26A4" w:rsidRPr="00AD04DA" w:rsidRDefault="004878EE">
          <w:pPr>
            <w:pStyle w:val="TOC1"/>
            <w:tabs>
              <w:tab w:val="right" w:leader="dot" w:pos="9350"/>
            </w:tabs>
            <w:rPr>
              <w:rFonts w:ascii="Times New Roman" w:eastAsiaTheme="minorEastAsia" w:hAnsi="Times New Roman" w:cs="Times New Roman"/>
              <w:noProof/>
              <w:sz w:val="24"/>
              <w:szCs w:val="24"/>
            </w:rPr>
          </w:pPr>
          <w:hyperlink w:anchor="_Toc100753467" w:history="1">
            <w:r w:rsidR="004A26A4" w:rsidRPr="00AD04DA">
              <w:rPr>
                <w:rStyle w:val="Hyperlink"/>
                <w:rFonts w:ascii="Times New Roman" w:hAnsi="Times New Roman" w:cs="Times New Roman"/>
                <w:noProof/>
                <w:sz w:val="24"/>
                <w:szCs w:val="24"/>
              </w:rPr>
              <w:t>3. Results</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_Toc100753467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21</w:t>
            </w:r>
            <w:r w:rsidR="004A26A4" w:rsidRPr="00AD04DA">
              <w:rPr>
                <w:rFonts w:ascii="Times New Roman" w:hAnsi="Times New Roman" w:cs="Times New Roman"/>
                <w:noProof/>
                <w:webHidden/>
                <w:sz w:val="24"/>
                <w:szCs w:val="24"/>
              </w:rPr>
              <w:fldChar w:fldCharType="end"/>
            </w:r>
          </w:hyperlink>
        </w:p>
        <w:p w14:paraId="6A929A31" w14:textId="174ACF67"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68" w:history="1">
            <w:r w:rsidR="004A26A4" w:rsidRPr="00AD04DA">
              <w:rPr>
                <w:rStyle w:val="Hyperlink"/>
                <w:rFonts w:ascii="Times New Roman" w:hAnsi="Times New Roman" w:cs="Times New Roman"/>
                <w:noProof/>
                <w:sz w:val="24"/>
                <w:szCs w:val="24"/>
              </w:rPr>
              <w:t>3.1 Simulation Results</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_Toc100753468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21</w:t>
            </w:r>
            <w:r w:rsidR="004A26A4" w:rsidRPr="00AD04DA">
              <w:rPr>
                <w:rFonts w:ascii="Times New Roman" w:hAnsi="Times New Roman" w:cs="Times New Roman"/>
                <w:noProof/>
                <w:webHidden/>
                <w:sz w:val="24"/>
                <w:szCs w:val="24"/>
              </w:rPr>
              <w:fldChar w:fldCharType="end"/>
            </w:r>
          </w:hyperlink>
        </w:p>
        <w:p w14:paraId="15323D45" w14:textId="67BAB30C"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69" w:history="1">
            <w:r w:rsidR="004A26A4" w:rsidRPr="00AD04DA">
              <w:rPr>
                <w:rStyle w:val="Hyperlink"/>
                <w:rFonts w:ascii="Times New Roman" w:hAnsi="Times New Roman" w:cs="Times New Roman"/>
                <w:noProof/>
                <w:sz w:val="24"/>
                <w:szCs w:val="24"/>
              </w:rPr>
              <w:t>3.2 Solvent Recycling</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_Toc100753469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22</w:t>
            </w:r>
            <w:r w:rsidR="004A26A4" w:rsidRPr="00AD04DA">
              <w:rPr>
                <w:rFonts w:ascii="Times New Roman" w:hAnsi="Times New Roman" w:cs="Times New Roman"/>
                <w:noProof/>
                <w:webHidden/>
                <w:sz w:val="24"/>
                <w:szCs w:val="24"/>
              </w:rPr>
              <w:fldChar w:fldCharType="end"/>
            </w:r>
          </w:hyperlink>
        </w:p>
        <w:p w14:paraId="43653005" w14:textId="6A1B6D04"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70" w:history="1">
            <w:r w:rsidR="004A26A4" w:rsidRPr="00AD04DA">
              <w:rPr>
                <w:rStyle w:val="Hyperlink"/>
                <w:rFonts w:ascii="Times New Roman" w:hAnsi="Times New Roman" w:cs="Times New Roman"/>
                <w:noProof/>
                <w:sz w:val="24"/>
                <w:szCs w:val="24"/>
              </w:rPr>
              <w:t>3.3 Salinity Reduction</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_Toc100753470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26</w:t>
            </w:r>
            <w:r w:rsidR="004A26A4" w:rsidRPr="00AD04DA">
              <w:rPr>
                <w:rFonts w:ascii="Times New Roman" w:hAnsi="Times New Roman" w:cs="Times New Roman"/>
                <w:noProof/>
                <w:webHidden/>
                <w:sz w:val="24"/>
                <w:szCs w:val="24"/>
              </w:rPr>
              <w:fldChar w:fldCharType="end"/>
            </w:r>
          </w:hyperlink>
        </w:p>
        <w:p w14:paraId="1BF01340" w14:textId="641ECFB1"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71" w:history="1">
            <w:r w:rsidR="004A26A4" w:rsidRPr="00AD04DA">
              <w:rPr>
                <w:rStyle w:val="Hyperlink"/>
                <w:rFonts w:ascii="Times New Roman" w:hAnsi="Times New Roman" w:cs="Times New Roman"/>
                <w:noProof/>
                <w:sz w:val="24"/>
                <w:szCs w:val="24"/>
              </w:rPr>
              <w:t>3.4 Selenium Rejection</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_Toc100753471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29</w:t>
            </w:r>
            <w:r w:rsidR="004A26A4" w:rsidRPr="00AD04DA">
              <w:rPr>
                <w:rFonts w:ascii="Times New Roman" w:hAnsi="Times New Roman" w:cs="Times New Roman"/>
                <w:noProof/>
                <w:webHidden/>
                <w:sz w:val="24"/>
                <w:szCs w:val="24"/>
              </w:rPr>
              <w:fldChar w:fldCharType="end"/>
            </w:r>
          </w:hyperlink>
        </w:p>
        <w:p w14:paraId="641F3326" w14:textId="42C88A1E"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72" w:history="1">
            <w:r w:rsidR="004A26A4" w:rsidRPr="00AD04DA">
              <w:rPr>
                <w:rStyle w:val="Hyperlink"/>
                <w:rFonts w:ascii="Times New Roman" w:hAnsi="Times New Roman" w:cs="Times New Roman"/>
                <w:noProof/>
                <w:sz w:val="24"/>
                <w:szCs w:val="24"/>
              </w:rPr>
              <w:t>3.5 Synthetic FGD Wastewater</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_Toc100753472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33</w:t>
            </w:r>
            <w:r w:rsidR="004A26A4" w:rsidRPr="00AD04DA">
              <w:rPr>
                <w:rFonts w:ascii="Times New Roman" w:hAnsi="Times New Roman" w:cs="Times New Roman"/>
                <w:noProof/>
                <w:webHidden/>
                <w:sz w:val="24"/>
                <w:szCs w:val="24"/>
              </w:rPr>
              <w:fldChar w:fldCharType="end"/>
            </w:r>
          </w:hyperlink>
        </w:p>
        <w:p w14:paraId="1BFA1BCA" w14:textId="092C0C29" w:rsidR="004A26A4" w:rsidRPr="00AD04DA" w:rsidRDefault="004878EE">
          <w:pPr>
            <w:pStyle w:val="TOC2"/>
            <w:tabs>
              <w:tab w:val="right" w:leader="dot" w:pos="9350"/>
            </w:tabs>
            <w:rPr>
              <w:rFonts w:ascii="Times New Roman" w:eastAsiaTheme="minorEastAsia" w:hAnsi="Times New Roman" w:cs="Times New Roman"/>
              <w:noProof/>
              <w:sz w:val="24"/>
              <w:szCs w:val="24"/>
            </w:rPr>
          </w:pPr>
          <w:hyperlink w:anchor="_Toc100753473" w:history="1">
            <w:r w:rsidR="004A26A4" w:rsidRPr="00AD04DA">
              <w:rPr>
                <w:rStyle w:val="Hyperlink"/>
                <w:rFonts w:ascii="Times New Roman" w:hAnsi="Times New Roman" w:cs="Times New Roman"/>
                <w:noProof/>
                <w:sz w:val="24"/>
                <w:szCs w:val="24"/>
              </w:rPr>
              <w:t>3.6 Water Recovery</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_Toc100753473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36</w:t>
            </w:r>
            <w:r w:rsidR="004A26A4" w:rsidRPr="00AD04DA">
              <w:rPr>
                <w:rFonts w:ascii="Times New Roman" w:hAnsi="Times New Roman" w:cs="Times New Roman"/>
                <w:noProof/>
                <w:webHidden/>
                <w:sz w:val="24"/>
                <w:szCs w:val="24"/>
              </w:rPr>
              <w:fldChar w:fldCharType="end"/>
            </w:r>
          </w:hyperlink>
        </w:p>
        <w:p w14:paraId="6508C5D5" w14:textId="72D297F2" w:rsidR="004A26A4" w:rsidRPr="00AD04DA" w:rsidRDefault="004878EE">
          <w:pPr>
            <w:pStyle w:val="TOC1"/>
            <w:tabs>
              <w:tab w:val="right" w:leader="dot" w:pos="9350"/>
            </w:tabs>
            <w:rPr>
              <w:rFonts w:ascii="Times New Roman" w:eastAsiaTheme="minorEastAsia" w:hAnsi="Times New Roman" w:cs="Times New Roman"/>
              <w:noProof/>
              <w:sz w:val="24"/>
              <w:szCs w:val="24"/>
            </w:rPr>
          </w:pPr>
          <w:hyperlink w:anchor="_Toc100753474" w:history="1">
            <w:r w:rsidR="004A26A4" w:rsidRPr="00AD04DA">
              <w:rPr>
                <w:rStyle w:val="Hyperlink"/>
                <w:rFonts w:ascii="Times New Roman" w:hAnsi="Times New Roman" w:cs="Times New Roman"/>
                <w:noProof/>
                <w:sz w:val="24"/>
                <w:szCs w:val="24"/>
              </w:rPr>
              <w:t>4. Discussion</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_Toc100753474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39</w:t>
            </w:r>
            <w:r w:rsidR="004A26A4" w:rsidRPr="00AD04DA">
              <w:rPr>
                <w:rFonts w:ascii="Times New Roman" w:hAnsi="Times New Roman" w:cs="Times New Roman"/>
                <w:noProof/>
                <w:webHidden/>
                <w:sz w:val="24"/>
                <w:szCs w:val="24"/>
              </w:rPr>
              <w:fldChar w:fldCharType="end"/>
            </w:r>
          </w:hyperlink>
        </w:p>
        <w:p w14:paraId="1C9A7817" w14:textId="01748556" w:rsidR="004A26A4" w:rsidRPr="00AD04DA" w:rsidRDefault="004878EE">
          <w:pPr>
            <w:pStyle w:val="TOC1"/>
            <w:tabs>
              <w:tab w:val="right" w:leader="dot" w:pos="9350"/>
            </w:tabs>
            <w:rPr>
              <w:rFonts w:ascii="Times New Roman" w:eastAsiaTheme="minorEastAsia" w:hAnsi="Times New Roman" w:cs="Times New Roman"/>
              <w:noProof/>
              <w:sz w:val="24"/>
              <w:szCs w:val="24"/>
            </w:rPr>
          </w:pPr>
          <w:hyperlink w:anchor="_Toc100753475" w:history="1">
            <w:r w:rsidR="004A26A4" w:rsidRPr="00AD04DA">
              <w:rPr>
                <w:rStyle w:val="Hyperlink"/>
                <w:rFonts w:ascii="Times New Roman" w:hAnsi="Times New Roman" w:cs="Times New Roman"/>
                <w:noProof/>
                <w:sz w:val="24"/>
                <w:szCs w:val="24"/>
              </w:rPr>
              <w:t>5. Conclusions</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_Toc100753475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42</w:t>
            </w:r>
            <w:r w:rsidR="004A26A4" w:rsidRPr="00AD04DA">
              <w:rPr>
                <w:rFonts w:ascii="Times New Roman" w:hAnsi="Times New Roman" w:cs="Times New Roman"/>
                <w:noProof/>
                <w:webHidden/>
                <w:sz w:val="24"/>
                <w:szCs w:val="24"/>
              </w:rPr>
              <w:fldChar w:fldCharType="end"/>
            </w:r>
          </w:hyperlink>
        </w:p>
        <w:p w14:paraId="6CFDB98F" w14:textId="3FD5C927" w:rsidR="004A26A4" w:rsidRPr="00AD04DA" w:rsidRDefault="004878EE">
          <w:pPr>
            <w:pStyle w:val="TOC1"/>
            <w:tabs>
              <w:tab w:val="right" w:leader="dot" w:pos="9350"/>
            </w:tabs>
            <w:rPr>
              <w:rFonts w:ascii="Times New Roman" w:eastAsiaTheme="minorEastAsia" w:hAnsi="Times New Roman" w:cs="Times New Roman"/>
              <w:noProof/>
              <w:sz w:val="24"/>
              <w:szCs w:val="24"/>
            </w:rPr>
          </w:pPr>
          <w:hyperlink w:anchor="_Toc100753476" w:history="1">
            <w:r w:rsidR="004A26A4" w:rsidRPr="00AD04DA">
              <w:rPr>
                <w:rStyle w:val="Hyperlink"/>
                <w:rFonts w:ascii="Times New Roman" w:hAnsi="Times New Roman" w:cs="Times New Roman"/>
                <w:noProof/>
                <w:sz w:val="24"/>
                <w:szCs w:val="24"/>
              </w:rPr>
              <w:t>5. References</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_Toc100753476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45</w:t>
            </w:r>
            <w:r w:rsidR="004A26A4" w:rsidRPr="00AD04DA">
              <w:rPr>
                <w:rFonts w:ascii="Times New Roman" w:hAnsi="Times New Roman" w:cs="Times New Roman"/>
                <w:noProof/>
                <w:webHidden/>
                <w:sz w:val="24"/>
                <w:szCs w:val="24"/>
              </w:rPr>
              <w:fldChar w:fldCharType="end"/>
            </w:r>
          </w:hyperlink>
        </w:p>
        <w:p w14:paraId="5CC48D6C" w14:textId="591C9E14" w:rsidR="004A26A4" w:rsidRPr="00AD04DA" w:rsidRDefault="004878EE">
          <w:pPr>
            <w:pStyle w:val="TOC1"/>
            <w:tabs>
              <w:tab w:val="right" w:leader="dot" w:pos="9350"/>
            </w:tabs>
            <w:rPr>
              <w:rFonts w:ascii="Times New Roman" w:eastAsiaTheme="minorEastAsia" w:hAnsi="Times New Roman" w:cs="Times New Roman"/>
              <w:noProof/>
              <w:sz w:val="24"/>
              <w:szCs w:val="24"/>
            </w:rPr>
          </w:pPr>
          <w:hyperlink w:anchor="_Toc100753477" w:history="1">
            <w:r w:rsidR="004A26A4" w:rsidRPr="00AD04DA">
              <w:rPr>
                <w:rStyle w:val="Hyperlink"/>
                <w:rFonts w:ascii="Times New Roman" w:hAnsi="Times New Roman" w:cs="Times New Roman"/>
                <w:noProof/>
                <w:sz w:val="24"/>
                <w:szCs w:val="24"/>
              </w:rPr>
              <w:t>Appendix A: Tabulated Data</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_Toc100753477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54</w:t>
            </w:r>
            <w:r w:rsidR="004A26A4" w:rsidRPr="00AD04DA">
              <w:rPr>
                <w:rFonts w:ascii="Times New Roman" w:hAnsi="Times New Roman" w:cs="Times New Roman"/>
                <w:noProof/>
                <w:webHidden/>
                <w:sz w:val="24"/>
                <w:szCs w:val="24"/>
              </w:rPr>
              <w:fldChar w:fldCharType="end"/>
            </w:r>
          </w:hyperlink>
        </w:p>
        <w:p w14:paraId="7B72466A" w14:textId="5067FA3D" w:rsidR="004A26A4" w:rsidRPr="00AD04DA" w:rsidRDefault="004878EE">
          <w:pPr>
            <w:pStyle w:val="TOC1"/>
            <w:tabs>
              <w:tab w:val="right" w:leader="dot" w:pos="9350"/>
            </w:tabs>
            <w:rPr>
              <w:rFonts w:ascii="Times New Roman" w:eastAsiaTheme="minorEastAsia" w:hAnsi="Times New Roman" w:cs="Times New Roman"/>
              <w:noProof/>
              <w:sz w:val="24"/>
              <w:szCs w:val="24"/>
            </w:rPr>
          </w:pPr>
          <w:hyperlink w:anchor="_Toc100753478" w:history="1">
            <w:r w:rsidR="004A26A4" w:rsidRPr="00AD04DA">
              <w:rPr>
                <w:rStyle w:val="Hyperlink"/>
                <w:rFonts w:ascii="Times New Roman" w:hAnsi="Times New Roman" w:cs="Times New Roman"/>
                <w:noProof/>
                <w:sz w:val="24"/>
                <w:szCs w:val="24"/>
              </w:rPr>
              <w:t>Appendix B: Additional Figures</w:t>
            </w:r>
            <w:r w:rsidR="004A26A4" w:rsidRPr="00AD04DA">
              <w:rPr>
                <w:rFonts w:ascii="Times New Roman" w:hAnsi="Times New Roman" w:cs="Times New Roman"/>
                <w:noProof/>
                <w:webHidden/>
                <w:sz w:val="24"/>
                <w:szCs w:val="24"/>
              </w:rPr>
              <w:tab/>
            </w:r>
            <w:r w:rsidR="004A26A4" w:rsidRPr="00AD04DA">
              <w:rPr>
                <w:rFonts w:ascii="Times New Roman" w:hAnsi="Times New Roman" w:cs="Times New Roman"/>
                <w:noProof/>
                <w:webHidden/>
                <w:sz w:val="24"/>
                <w:szCs w:val="24"/>
              </w:rPr>
              <w:fldChar w:fldCharType="begin"/>
            </w:r>
            <w:r w:rsidR="004A26A4" w:rsidRPr="00AD04DA">
              <w:rPr>
                <w:rFonts w:ascii="Times New Roman" w:hAnsi="Times New Roman" w:cs="Times New Roman"/>
                <w:noProof/>
                <w:webHidden/>
                <w:sz w:val="24"/>
                <w:szCs w:val="24"/>
              </w:rPr>
              <w:instrText xml:space="preserve"> PAGEREF _Toc100753478 \h </w:instrText>
            </w:r>
            <w:r w:rsidR="004A26A4" w:rsidRPr="00AD04DA">
              <w:rPr>
                <w:rFonts w:ascii="Times New Roman" w:hAnsi="Times New Roman" w:cs="Times New Roman"/>
                <w:noProof/>
                <w:webHidden/>
                <w:sz w:val="24"/>
                <w:szCs w:val="24"/>
              </w:rPr>
            </w:r>
            <w:r w:rsidR="004A26A4" w:rsidRPr="00AD04DA">
              <w:rPr>
                <w:rFonts w:ascii="Times New Roman" w:hAnsi="Times New Roman" w:cs="Times New Roman"/>
                <w:noProof/>
                <w:webHidden/>
                <w:sz w:val="24"/>
                <w:szCs w:val="24"/>
              </w:rPr>
              <w:fldChar w:fldCharType="separate"/>
            </w:r>
            <w:r w:rsidR="004A26A4" w:rsidRPr="00AD04DA">
              <w:rPr>
                <w:rFonts w:ascii="Times New Roman" w:hAnsi="Times New Roman" w:cs="Times New Roman"/>
                <w:noProof/>
                <w:webHidden/>
                <w:sz w:val="24"/>
                <w:szCs w:val="24"/>
              </w:rPr>
              <w:t>60</w:t>
            </w:r>
            <w:r w:rsidR="004A26A4" w:rsidRPr="00AD04DA">
              <w:rPr>
                <w:rFonts w:ascii="Times New Roman" w:hAnsi="Times New Roman" w:cs="Times New Roman"/>
                <w:noProof/>
                <w:webHidden/>
                <w:sz w:val="24"/>
                <w:szCs w:val="24"/>
              </w:rPr>
              <w:fldChar w:fldCharType="end"/>
            </w:r>
          </w:hyperlink>
        </w:p>
        <w:p w14:paraId="7633ABDF" w14:textId="6A045D12" w:rsidR="00FA7A66" w:rsidRPr="00AD04DA" w:rsidRDefault="00FA7A66" w:rsidP="00FC0029">
          <w:pPr>
            <w:spacing w:after="0" w:line="480" w:lineRule="auto"/>
            <w:rPr>
              <w:rFonts w:ascii="Times New Roman" w:hAnsi="Times New Roman" w:cs="Times New Roman"/>
              <w:color w:val="000000" w:themeColor="text1"/>
              <w:sz w:val="24"/>
              <w:szCs w:val="24"/>
            </w:rPr>
          </w:pPr>
          <w:r w:rsidRPr="00AD04DA">
            <w:rPr>
              <w:rFonts w:ascii="Times New Roman" w:hAnsi="Times New Roman" w:cs="Times New Roman"/>
              <w:b/>
              <w:bCs/>
              <w:noProof/>
              <w:color w:val="000000" w:themeColor="text1"/>
              <w:sz w:val="24"/>
              <w:szCs w:val="24"/>
            </w:rPr>
            <w:fldChar w:fldCharType="end"/>
          </w:r>
        </w:p>
      </w:sdtContent>
    </w:sdt>
    <w:p w14:paraId="1E80F5E2" w14:textId="184C351A" w:rsidR="00CA1C33" w:rsidRPr="00AD04DA" w:rsidRDefault="00CA1C33" w:rsidP="00FC0029">
      <w:pPr>
        <w:spacing w:after="0" w:line="480" w:lineRule="auto"/>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br w:type="page"/>
      </w:r>
    </w:p>
    <w:p w14:paraId="029881AB" w14:textId="4EC5691A" w:rsidR="00FA7A66" w:rsidRPr="00C26566" w:rsidRDefault="00FA7A66" w:rsidP="00FC0029">
      <w:pPr>
        <w:pStyle w:val="Heading1"/>
        <w:spacing w:before="0" w:line="480" w:lineRule="auto"/>
        <w:rPr>
          <w:rFonts w:ascii="Times New Roman" w:hAnsi="Times New Roman" w:cs="Times New Roman"/>
          <w:color w:val="000000" w:themeColor="text1"/>
        </w:rPr>
      </w:pPr>
      <w:bookmarkStart w:id="1" w:name="_Toc100753453"/>
      <w:r w:rsidRPr="00137C09">
        <w:rPr>
          <w:rFonts w:ascii="Times New Roman" w:hAnsi="Times New Roman" w:cs="Times New Roman"/>
          <w:color w:val="000000" w:themeColor="text1"/>
        </w:rPr>
        <w:lastRenderedPageBreak/>
        <w:t>Abstract</w:t>
      </w:r>
      <w:bookmarkEnd w:id="1"/>
    </w:p>
    <w:p w14:paraId="3F8399FC" w14:textId="0072DEF5" w:rsidR="009C1EAB" w:rsidRDefault="006967D4" w:rsidP="0086418F">
      <w:pPr>
        <w:spacing w:after="0" w:line="480" w:lineRule="auto"/>
        <w:jc w:val="both"/>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 xml:space="preserve">Coal-fired power plants provide more than one fifth of the electricity generated in the United States. </w:t>
      </w:r>
      <w:r w:rsidR="00462F33" w:rsidRPr="00AD04DA">
        <w:rPr>
          <w:rFonts w:ascii="Times New Roman" w:hAnsi="Times New Roman" w:cs="Times New Roman"/>
          <w:color w:val="000000" w:themeColor="text1"/>
          <w:sz w:val="24"/>
          <w:szCs w:val="24"/>
        </w:rPr>
        <w:t>Flue gas desulfurization</w:t>
      </w:r>
      <w:r w:rsidR="00C727E5" w:rsidRPr="00AD04DA">
        <w:rPr>
          <w:rFonts w:ascii="Times New Roman" w:hAnsi="Times New Roman" w:cs="Times New Roman"/>
          <w:color w:val="000000" w:themeColor="text1"/>
          <w:sz w:val="24"/>
          <w:szCs w:val="24"/>
        </w:rPr>
        <w:t xml:space="preserve"> (FGD)</w:t>
      </w:r>
      <w:r w:rsidR="00462F33" w:rsidRPr="00AD04DA">
        <w:rPr>
          <w:rFonts w:ascii="Times New Roman" w:hAnsi="Times New Roman" w:cs="Times New Roman"/>
          <w:color w:val="000000" w:themeColor="text1"/>
          <w:sz w:val="24"/>
          <w:szCs w:val="24"/>
        </w:rPr>
        <w:t xml:space="preserve"> of the products of coal combustion is necessary to prevent emissions of SO</w:t>
      </w:r>
      <w:r w:rsidR="00462F33" w:rsidRPr="00AD04DA">
        <w:rPr>
          <w:rFonts w:ascii="Times New Roman" w:hAnsi="Times New Roman" w:cs="Times New Roman"/>
          <w:color w:val="000000" w:themeColor="text1"/>
          <w:sz w:val="24"/>
          <w:szCs w:val="24"/>
          <w:vertAlign w:val="subscript"/>
        </w:rPr>
        <w:t>2</w:t>
      </w:r>
      <w:r w:rsidR="00FB3B2F" w:rsidRPr="00AD04DA">
        <w:rPr>
          <w:rFonts w:ascii="Times New Roman" w:hAnsi="Times New Roman" w:cs="Times New Roman"/>
          <w:color w:val="000000" w:themeColor="text1"/>
          <w:sz w:val="24"/>
          <w:szCs w:val="24"/>
        </w:rPr>
        <w:t xml:space="preserve">, which is typically accomplished with wet scrubbing systems. </w:t>
      </w:r>
      <w:r w:rsidR="0018242E" w:rsidRPr="00AD04DA">
        <w:rPr>
          <w:rFonts w:ascii="Times New Roman" w:hAnsi="Times New Roman" w:cs="Times New Roman"/>
          <w:color w:val="000000" w:themeColor="text1"/>
          <w:sz w:val="24"/>
          <w:szCs w:val="24"/>
        </w:rPr>
        <w:t>The wastewater from these systems contains high levels of gypsum, chloride, and trace heavy elements</w:t>
      </w:r>
      <w:r w:rsidR="00945DB1" w:rsidRPr="00AD04DA">
        <w:rPr>
          <w:rFonts w:ascii="Times New Roman" w:hAnsi="Times New Roman" w:cs="Times New Roman"/>
          <w:color w:val="000000" w:themeColor="text1"/>
          <w:sz w:val="24"/>
          <w:szCs w:val="24"/>
        </w:rPr>
        <w:t xml:space="preserve"> including selenium.</w:t>
      </w:r>
      <w:r w:rsidR="002A1ABB" w:rsidRPr="00AD04DA">
        <w:rPr>
          <w:rFonts w:ascii="Times New Roman" w:hAnsi="Times New Roman" w:cs="Times New Roman"/>
          <w:color w:val="000000" w:themeColor="text1"/>
          <w:sz w:val="24"/>
          <w:szCs w:val="24"/>
        </w:rPr>
        <w:t xml:space="preserve"> Effective treatment of </w:t>
      </w:r>
      <w:r w:rsidR="00C727E5" w:rsidRPr="00AD04DA">
        <w:rPr>
          <w:rFonts w:ascii="Times New Roman" w:hAnsi="Times New Roman" w:cs="Times New Roman"/>
          <w:color w:val="000000" w:themeColor="text1"/>
          <w:sz w:val="24"/>
          <w:szCs w:val="24"/>
        </w:rPr>
        <w:t>FGD</w:t>
      </w:r>
      <w:r w:rsidR="002A1ABB" w:rsidRPr="00AD04DA">
        <w:rPr>
          <w:rFonts w:ascii="Times New Roman" w:hAnsi="Times New Roman" w:cs="Times New Roman"/>
          <w:color w:val="000000" w:themeColor="text1"/>
          <w:sz w:val="24"/>
          <w:szCs w:val="24"/>
        </w:rPr>
        <w:t xml:space="preserve"> wastewater remains a challenge</w:t>
      </w:r>
      <w:r w:rsidR="00EA11C3" w:rsidRPr="00AD04DA">
        <w:rPr>
          <w:rFonts w:ascii="Times New Roman" w:hAnsi="Times New Roman" w:cs="Times New Roman"/>
          <w:color w:val="000000" w:themeColor="text1"/>
          <w:sz w:val="24"/>
          <w:szCs w:val="24"/>
        </w:rPr>
        <w:t>.</w:t>
      </w:r>
      <w:r w:rsidR="002B1121" w:rsidRPr="00AD04DA">
        <w:rPr>
          <w:rFonts w:ascii="Times New Roman" w:hAnsi="Times New Roman" w:cs="Times New Roman"/>
          <w:color w:val="000000" w:themeColor="text1"/>
          <w:sz w:val="24"/>
          <w:szCs w:val="24"/>
        </w:rPr>
        <w:t xml:space="preserve"> </w:t>
      </w:r>
      <w:r w:rsidR="00E9741D" w:rsidRPr="00AD04DA">
        <w:rPr>
          <w:rFonts w:ascii="Times New Roman" w:hAnsi="Times New Roman" w:cs="Times New Roman"/>
          <w:color w:val="000000" w:themeColor="text1"/>
          <w:sz w:val="24"/>
          <w:szCs w:val="24"/>
        </w:rPr>
        <w:t>In this thesis, temperature swing solvent extraction was investigated for its ability to produce freshwater from saline and selenium-containing wastewater.</w:t>
      </w:r>
      <w:r w:rsidR="00D0624C" w:rsidRPr="00AD04DA">
        <w:rPr>
          <w:rFonts w:ascii="Times New Roman" w:hAnsi="Times New Roman" w:cs="Times New Roman"/>
          <w:color w:val="000000" w:themeColor="text1"/>
          <w:sz w:val="24"/>
          <w:szCs w:val="24"/>
        </w:rPr>
        <w:t xml:space="preserve"> </w:t>
      </w:r>
      <w:r w:rsidR="0060715C" w:rsidRPr="00AD04DA">
        <w:rPr>
          <w:rFonts w:ascii="Times New Roman" w:hAnsi="Times New Roman" w:cs="Times New Roman"/>
          <w:color w:val="000000" w:themeColor="text1"/>
          <w:sz w:val="24"/>
          <w:szCs w:val="24"/>
        </w:rPr>
        <w:t xml:space="preserve">Solute rejection for extractions with diisopropylamine (DPA) was dependent on the </w:t>
      </w:r>
      <w:r w:rsidR="00137C09">
        <w:rPr>
          <w:rFonts w:ascii="Times New Roman" w:hAnsi="Times New Roman" w:cs="Times New Roman"/>
          <w:color w:val="000000" w:themeColor="text1"/>
          <w:sz w:val="24"/>
          <w:szCs w:val="24"/>
        </w:rPr>
        <w:t xml:space="preserve">ionic strength </w:t>
      </w:r>
      <w:r w:rsidR="0060715C" w:rsidRPr="00AD04DA">
        <w:rPr>
          <w:rFonts w:ascii="Times New Roman" w:hAnsi="Times New Roman" w:cs="Times New Roman"/>
          <w:color w:val="000000" w:themeColor="text1"/>
          <w:sz w:val="24"/>
          <w:szCs w:val="24"/>
        </w:rPr>
        <w:t xml:space="preserve">the feed. DPA showed no selectivity for feeds containing 500 ppm selenate and 500 ppm selenite. </w:t>
      </w:r>
      <w:r w:rsidR="00EE380E" w:rsidRPr="00AD04DA">
        <w:rPr>
          <w:rFonts w:ascii="Times New Roman" w:hAnsi="Times New Roman" w:cs="Times New Roman"/>
          <w:color w:val="000000" w:themeColor="text1"/>
          <w:sz w:val="24"/>
          <w:szCs w:val="24"/>
        </w:rPr>
        <w:t xml:space="preserve">NaCl rejection </w:t>
      </w:r>
      <w:r w:rsidR="009E6510" w:rsidRPr="00AD04DA">
        <w:rPr>
          <w:rFonts w:ascii="Times New Roman" w:hAnsi="Times New Roman" w:cs="Times New Roman"/>
          <w:color w:val="000000" w:themeColor="text1"/>
          <w:sz w:val="24"/>
          <w:szCs w:val="24"/>
        </w:rPr>
        <w:t>of</w:t>
      </w:r>
      <w:r w:rsidR="00EE380E" w:rsidRPr="00AD04DA">
        <w:rPr>
          <w:rFonts w:ascii="Times New Roman" w:hAnsi="Times New Roman" w:cs="Times New Roman"/>
          <w:color w:val="000000" w:themeColor="text1"/>
          <w:sz w:val="24"/>
          <w:szCs w:val="24"/>
        </w:rPr>
        <w:t xml:space="preserve"> </w:t>
      </w:r>
      <w:r w:rsidR="009E6510" w:rsidRPr="00AD04DA">
        <w:rPr>
          <w:rFonts w:ascii="Times New Roman" w:hAnsi="Times New Roman" w:cs="Times New Roman"/>
          <w:color w:val="000000" w:themeColor="text1"/>
          <w:sz w:val="24"/>
          <w:szCs w:val="24"/>
        </w:rPr>
        <w:t>81</w:t>
      </w:r>
      <w:r w:rsidR="00EE380E" w:rsidRPr="00AD04DA">
        <w:rPr>
          <w:rFonts w:ascii="Times New Roman" w:hAnsi="Times New Roman" w:cs="Times New Roman"/>
          <w:color w:val="000000" w:themeColor="text1"/>
          <w:sz w:val="24"/>
          <w:szCs w:val="24"/>
        </w:rPr>
        <w:t xml:space="preserve">% was </w:t>
      </w:r>
      <w:r w:rsidR="009E6510" w:rsidRPr="00AD04DA">
        <w:rPr>
          <w:rFonts w:ascii="Times New Roman" w:hAnsi="Times New Roman" w:cs="Times New Roman"/>
          <w:color w:val="000000" w:themeColor="text1"/>
          <w:sz w:val="24"/>
          <w:szCs w:val="24"/>
        </w:rPr>
        <w:t>achieved for a 3.5 w/w% NaCl feed, and the rejection rose to 93% for the 4.0 NaCl feed.</w:t>
      </w:r>
      <w:r w:rsidR="00077106" w:rsidRPr="00AD04DA">
        <w:rPr>
          <w:rFonts w:ascii="Times New Roman" w:hAnsi="Times New Roman" w:cs="Times New Roman"/>
          <w:color w:val="000000" w:themeColor="text1"/>
          <w:sz w:val="24"/>
          <w:szCs w:val="24"/>
        </w:rPr>
        <w:t xml:space="preserve"> For extractions with synthetic FGD wastewater, DPA</w:t>
      </w:r>
      <w:r w:rsidR="004D0D5B" w:rsidRPr="00AD04DA">
        <w:rPr>
          <w:rFonts w:ascii="Times New Roman" w:hAnsi="Times New Roman" w:cs="Times New Roman"/>
          <w:color w:val="000000" w:themeColor="text1"/>
          <w:sz w:val="24"/>
          <w:szCs w:val="24"/>
        </w:rPr>
        <w:t xml:space="preserve"> rejected 86% of feed selenate and 74% of feed NaCl, indicating DPA </w:t>
      </w:r>
      <w:r w:rsidR="00B759E8" w:rsidRPr="00AD04DA">
        <w:rPr>
          <w:rFonts w:ascii="Times New Roman" w:hAnsi="Times New Roman" w:cs="Times New Roman"/>
          <w:color w:val="000000" w:themeColor="text1"/>
          <w:sz w:val="24"/>
          <w:szCs w:val="24"/>
        </w:rPr>
        <w:t>can treat</w:t>
      </w:r>
      <w:r w:rsidR="004D0D5B" w:rsidRPr="00AD04DA">
        <w:rPr>
          <w:rFonts w:ascii="Times New Roman" w:hAnsi="Times New Roman" w:cs="Times New Roman"/>
          <w:color w:val="000000" w:themeColor="text1"/>
          <w:sz w:val="24"/>
          <w:szCs w:val="24"/>
        </w:rPr>
        <w:t xml:space="preserve"> dilute contaminants in high TDS feeds. </w:t>
      </w:r>
      <w:r w:rsidR="00B759E8" w:rsidRPr="00AD04DA">
        <w:rPr>
          <w:rFonts w:ascii="Times New Roman" w:hAnsi="Times New Roman" w:cs="Times New Roman"/>
          <w:color w:val="000000" w:themeColor="text1"/>
          <w:sz w:val="24"/>
          <w:szCs w:val="24"/>
        </w:rPr>
        <w:t>Due to the diminishing solute rejection with more dilute feeds, it was concluded that standalone extraction with DPA is not suitable for FGD wastewater treatment.</w:t>
      </w:r>
      <w:r w:rsidR="0060715C" w:rsidRPr="00AD04DA">
        <w:rPr>
          <w:rFonts w:ascii="Times New Roman" w:hAnsi="Times New Roman" w:cs="Times New Roman"/>
          <w:color w:val="000000" w:themeColor="text1"/>
          <w:sz w:val="24"/>
          <w:szCs w:val="24"/>
        </w:rPr>
        <w:t xml:space="preserve"> </w:t>
      </w:r>
      <w:r w:rsidR="00542B60" w:rsidRPr="00AD04DA">
        <w:rPr>
          <w:rFonts w:ascii="Times New Roman" w:hAnsi="Times New Roman" w:cs="Times New Roman"/>
          <w:color w:val="000000" w:themeColor="text1"/>
          <w:sz w:val="24"/>
          <w:szCs w:val="24"/>
        </w:rPr>
        <w:t>Extraction with d</w:t>
      </w:r>
      <w:r w:rsidR="00DA66B5" w:rsidRPr="00AD04DA">
        <w:rPr>
          <w:rFonts w:ascii="Times New Roman" w:hAnsi="Times New Roman" w:cs="Times New Roman"/>
          <w:color w:val="000000" w:themeColor="text1"/>
          <w:sz w:val="24"/>
          <w:szCs w:val="24"/>
        </w:rPr>
        <w:t xml:space="preserve">ecanoic acid displayed </w:t>
      </w:r>
      <w:r w:rsidR="00542B60" w:rsidRPr="00AD04DA">
        <w:rPr>
          <w:rFonts w:ascii="Times New Roman" w:hAnsi="Times New Roman" w:cs="Times New Roman"/>
          <w:color w:val="000000" w:themeColor="text1"/>
          <w:sz w:val="24"/>
          <w:szCs w:val="24"/>
        </w:rPr>
        <w:t>over 98% solute rejection for 3.5 w/w%, 1.0 M, and 4.0 M NaCl feeds. Decanoic acid maintained this rejection for feeds containing 500 ppm selenate and 500 ppm selenite</w:t>
      </w:r>
      <w:r w:rsidR="00275A64" w:rsidRPr="00AD04DA">
        <w:rPr>
          <w:rFonts w:ascii="Times New Roman" w:hAnsi="Times New Roman" w:cs="Times New Roman"/>
          <w:color w:val="000000" w:themeColor="text1"/>
          <w:sz w:val="24"/>
          <w:szCs w:val="24"/>
        </w:rPr>
        <w:t xml:space="preserve">, showing stable rejection of </w:t>
      </w:r>
      <w:r w:rsidR="00156A0C" w:rsidRPr="00AD04DA">
        <w:rPr>
          <w:rFonts w:ascii="Times New Roman" w:hAnsi="Times New Roman" w:cs="Times New Roman"/>
          <w:color w:val="000000" w:themeColor="text1"/>
          <w:sz w:val="24"/>
          <w:szCs w:val="24"/>
        </w:rPr>
        <w:t>ions</w:t>
      </w:r>
      <w:r w:rsidR="00275A64" w:rsidRPr="00AD04DA">
        <w:rPr>
          <w:rFonts w:ascii="Times New Roman" w:hAnsi="Times New Roman" w:cs="Times New Roman"/>
          <w:color w:val="000000" w:themeColor="text1"/>
          <w:sz w:val="24"/>
          <w:szCs w:val="24"/>
        </w:rPr>
        <w:t xml:space="preserve"> independent of</w:t>
      </w:r>
      <w:r w:rsidR="00156A0C" w:rsidRPr="00AD04DA">
        <w:rPr>
          <w:rFonts w:ascii="Times New Roman" w:hAnsi="Times New Roman" w:cs="Times New Roman"/>
          <w:color w:val="000000" w:themeColor="text1"/>
          <w:sz w:val="24"/>
          <w:szCs w:val="24"/>
        </w:rPr>
        <w:t xml:space="preserve"> feed concentrations. </w:t>
      </w:r>
      <w:r w:rsidR="00543F3D" w:rsidRPr="00AD04DA">
        <w:rPr>
          <w:rFonts w:ascii="Times New Roman" w:hAnsi="Times New Roman" w:cs="Times New Roman"/>
          <w:color w:val="000000" w:themeColor="text1"/>
          <w:sz w:val="24"/>
          <w:szCs w:val="24"/>
        </w:rPr>
        <w:t xml:space="preserve">The rejection of each species was slightly </w:t>
      </w:r>
      <w:r w:rsidR="00532B4A" w:rsidRPr="00AD04DA">
        <w:rPr>
          <w:rFonts w:ascii="Times New Roman" w:hAnsi="Times New Roman" w:cs="Times New Roman"/>
          <w:color w:val="000000" w:themeColor="text1"/>
          <w:sz w:val="24"/>
          <w:szCs w:val="24"/>
        </w:rPr>
        <w:t>lower</w:t>
      </w:r>
      <w:r w:rsidR="00543F3D" w:rsidRPr="00AD04DA">
        <w:rPr>
          <w:rFonts w:ascii="Times New Roman" w:hAnsi="Times New Roman" w:cs="Times New Roman"/>
          <w:color w:val="000000" w:themeColor="text1"/>
          <w:sz w:val="24"/>
          <w:szCs w:val="24"/>
        </w:rPr>
        <w:t xml:space="preserve"> for synthetic FGD wastewater at 96% for selenate and 95% for NaCl. </w:t>
      </w:r>
      <w:r w:rsidR="00532B4A" w:rsidRPr="00AD04DA">
        <w:rPr>
          <w:rFonts w:ascii="Times New Roman" w:hAnsi="Times New Roman" w:cs="Times New Roman"/>
          <w:color w:val="000000" w:themeColor="text1"/>
          <w:sz w:val="24"/>
          <w:szCs w:val="24"/>
        </w:rPr>
        <w:t xml:space="preserve">It was concluded that extraction with DA was feasible as a standalone FGD wastewater treatment. </w:t>
      </w:r>
      <w:r w:rsidR="00421232">
        <w:rPr>
          <w:rFonts w:ascii="Times New Roman" w:hAnsi="Times New Roman" w:cs="Times New Roman"/>
          <w:color w:val="000000" w:themeColor="text1"/>
          <w:sz w:val="24"/>
          <w:szCs w:val="24"/>
        </w:rPr>
        <w:t xml:space="preserve">Rejections of selenite were higher than selenate, which were higher than chloride. </w:t>
      </w:r>
      <w:r w:rsidR="0086418F">
        <w:rPr>
          <w:rFonts w:ascii="Times New Roman" w:hAnsi="Times New Roman" w:cs="Times New Roman"/>
          <w:color w:val="000000" w:themeColor="text1"/>
          <w:sz w:val="24"/>
          <w:szCs w:val="24"/>
        </w:rPr>
        <w:t>Selenite has the largest hydrated radius and chloride the smallest,</w:t>
      </w:r>
      <w:r w:rsidR="00406D88">
        <w:rPr>
          <w:rFonts w:ascii="Times New Roman" w:hAnsi="Times New Roman" w:cs="Times New Roman"/>
          <w:color w:val="000000" w:themeColor="text1"/>
          <w:sz w:val="24"/>
          <w:szCs w:val="24"/>
        </w:rPr>
        <w:t xml:space="preserve"> suggesting</w:t>
      </w:r>
      <w:r w:rsidR="0086418F">
        <w:rPr>
          <w:rFonts w:ascii="Times New Roman" w:hAnsi="Times New Roman" w:cs="Times New Roman"/>
          <w:color w:val="000000" w:themeColor="text1"/>
          <w:sz w:val="24"/>
          <w:szCs w:val="24"/>
        </w:rPr>
        <w:t xml:space="preserve"> this property influences ion rejection in multicomponent feeds. Finally, </w:t>
      </w:r>
      <w:r w:rsidR="002A17D9">
        <w:rPr>
          <w:rFonts w:ascii="Times New Roman" w:hAnsi="Times New Roman" w:cs="Times New Roman"/>
          <w:color w:val="000000" w:themeColor="text1"/>
          <w:sz w:val="24"/>
          <w:szCs w:val="24"/>
        </w:rPr>
        <w:t>higher DA</w:t>
      </w:r>
      <w:r w:rsidR="001A283F">
        <w:rPr>
          <w:rFonts w:ascii="Times New Roman" w:hAnsi="Times New Roman" w:cs="Times New Roman"/>
          <w:color w:val="000000" w:themeColor="text1"/>
          <w:sz w:val="24"/>
          <w:szCs w:val="24"/>
        </w:rPr>
        <w:t xml:space="preserve"> solute</w:t>
      </w:r>
      <w:r w:rsidR="002A17D9">
        <w:rPr>
          <w:rFonts w:ascii="Times New Roman" w:hAnsi="Times New Roman" w:cs="Times New Roman"/>
          <w:color w:val="000000" w:themeColor="text1"/>
          <w:sz w:val="24"/>
          <w:szCs w:val="24"/>
        </w:rPr>
        <w:t xml:space="preserve"> rejection but lower water recovery compared to DPA</w:t>
      </w:r>
      <w:r w:rsidR="0086418F">
        <w:rPr>
          <w:rFonts w:ascii="Times New Roman" w:hAnsi="Times New Roman" w:cs="Times New Roman"/>
          <w:color w:val="000000" w:themeColor="text1"/>
          <w:sz w:val="24"/>
          <w:szCs w:val="24"/>
        </w:rPr>
        <w:t xml:space="preserve"> suggest</w:t>
      </w:r>
      <w:r w:rsidR="00AE1D97">
        <w:rPr>
          <w:rFonts w:ascii="Times New Roman" w:hAnsi="Times New Roman" w:cs="Times New Roman"/>
          <w:color w:val="000000" w:themeColor="text1"/>
          <w:sz w:val="24"/>
          <w:szCs w:val="24"/>
        </w:rPr>
        <w:t>s</w:t>
      </w:r>
      <w:r w:rsidR="0086418F">
        <w:rPr>
          <w:rFonts w:ascii="Times New Roman" w:hAnsi="Times New Roman" w:cs="Times New Roman"/>
          <w:color w:val="000000" w:themeColor="text1"/>
          <w:sz w:val="24"/>
          <w:szCs w:val="24"/>
        </w:rPr>
        <w:t xml:space="preserve"> a tradeoff</w:t>
      </w:r>
      <w:r w:rsidR="002A17D9">
        <w:rPr>
          <w:rFonts w:ascii="Times New Roman" w:hAnsi="Times New Roman" w:cs="Times New Roman"/>
          <w:color w:val="000000" w:themeColor="text1"/>
          <w:sz w:val="24"/>
          <w:szCs w:val="24"/>
        </w:rPr>
        <w:t>.</w:t>
      </w:r>
    </w:p>
    <w:p w14:paraId="3CE38781" w14:textId="77777777" w:rsidR="00FA7A66" w:rsidRPr="00AD04DA" w:rsidRDefault="00FA7A66" w:rsidP="003B50A3">
      <w:pPr>
        <w:spacing w:after="0" w:line="480" w:lineRule="auto"/>
        <w:jc w:val="both"/>
        <w:rPr>
          <w:rFonts w:ascii="Times New Roman" w:hAnsi="Times New Roman" w:cs="Times New Roman"/>
          <w:b/>
          <w:bCs/>
          <w:color w:val="000000" w:themeColor="text1"/>
          <w:sz w:val="24"/>
          <w:szCs w:val="24"/>
        </w:rPr>
      </w:pPr>
    </w:p>
    <w:p w14:paraId="0FCBCB03" w14:textId="7B7919EB" w:rsidR="00187D3D" w:rsidRPr="00AD04DA" w:rsidRDefault="00187D3D" w:rsidP="00FC0029">
      <w:pPr>
        <w:spacing w:after="0"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b/>
          <w:bCs/>
          <w:color w:val="000000" w:themeColor="text1"/>
          <w:sz w:val="24"/>
          <w:szCs w:val="24"/>
        </w:rPr>
        <w:t xml:space="preserve">Table 1: </w:t>
      </w:r>
      <w:r w:rsidRPr="00AD04DA">
        <w:rPr>
          <w:rFonts w:ascii="Times New Roman" w:hAnsi="Times New Roman" w:cs="Times New Roman"/>
          <w:color w:val="000000" w:themeColor="text1"/>
          <w:sz w:val="24"/>
          <w:szCs w:val="24"/>
        </w:rPr>
        <w:t>List of Abbreviations</w:t>
      </w:r>
    </w:p>
    <w:tbl>
      <w:tblPr>
        <w:tblStyle w:val="PlainTable1"/>
        <w:tblW w:w="0" w:type="auto"/>
        <w:tblLook w:val="04A0" w:firstRow="1" w:lastRow="0" w:firstColumn="1" w:lastColumn="0" w:noHBand="0" w:noVBand="1"/>
      </w:tblPr>
      <w:tblGrid>
        <w:gridCol w:w="4675"/>
        <w:gridCol w:w="4675"/>
      </w:tblGrid>
      <w:tr w:rsidR="00187D3D" w:rsidRPr="00AD04DA" w14:paraId="2D98856A" w14:textId="77777777" w:rsidTr="00F05F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499BAC5" w14:textId="22EF61A0" w:rsidR="00187D3D" w:rsidRPr="00AD04DA" w:rsidRDefault="00187D3D" w:rsidP="00FC0029">
            <w:pPr>
              <w:spacing w:line="480" w:lineRule="auto"/>
              <w:jc w:val="center"/>
              <w:rPr>
                <w:rFonts w:ascii="Times New Roman" w:hAnsi="Times New Roman" w:cs="Times New Roman"/>
                <w:b w:val="0"/>
                <w:bCs w:val="0"/>
                <w:color w:val="000000" w:themeColor="text1"/>
                <w:sz w:val="24"/>
                <w:szCs w:val="24"/>
              </w:rPr>
            </w:pPr>
            <w:r w:rsidRPr="00AD04DA">
              <w:rPr>
                <w:rFonts w:ascii="Times New Roman" w:hAnsi="Times New Roman" w:cs="Times New Roman"/>
                <w:b w:val="0"/>
                <w:bCs w:val="0"/>
                <w:color w:val="000000" w:themeColor="text1"/>
                <w:sz w:val="24"/>
                <w:szCs w:val="24"/>
              </w:rPr>
              <w:t>Abbreviation</w:t>
            </w:r>
          </w:p>
        </w:tc>
        <w:tc>
          <w:tcPr>
            <w:tcW w:w="4675" w:type="dxa"/>
          </w:tcPr>
          <w:p w14:paraId="689EC280" w14:textId="38D9D7B5" w:rsidR="00187D3D" w:rsidRPr="00AD04DA" w:rsidRDefault="00187D3D" w:rsidP="00FC0029">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AD04DA">
              <w:rPr>
                <w:rFonts w:ascii="Times New Roman" w:hAnsi="Times New Roman" w:cs="Times New Roman"/>
                <w:b w:val="0"/>
                <w:bCs w:val="0"/>
                <w:color w:val="000000" w:themeColor="text1"/>
                <w:sz w:val="24"/>
                <w:szCs w:val="24"/>
              </w:rPr>
              <w:t>Meaning</w:t>
            </w:r>
          </w:p>
        </w:tc>
      </w:tr>
      <w:tr w:rsidR="00677254" w:rsidRPr="00AD04DA" w14:paraId="0E92B685" w14:textId="77777777" w:rsidTr="00F05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2CFF7A5" w14:textId="58C0709C" w:rsidR="00677254" w:rsidRPr="00AD04DA" w:rsidRDefault="00677254" w:rsidP="00FC0029">
            <w:pPr>
              <w:spacing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CFPP</w:t>
            </w:r>
          </w:p>
        </w:tc>
        <w:tc>
          <w:tcPr>
            <w:tcW w:w="4675" w:type="dxa"/>
          </w:tcPr>
          <w:p w14:paraId="7F5C2F62" w14:textId="793A87E2" w:rsidR="00677254" w:rsidRPr="00AD04DA" w:rsidRDefault="00677254" w:rsidP="00FC002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Coal-fired power plant</w:t>
            </w:r>
          </w:p>
        </w:tc>
      </w:tr>
      <w:tr w:rsidR="00677254" w:rsidRPr="00AD04DA" w14:paraId="63D4E188" w14:textId="77777777" w:rsidTr="00F05F6A">
        <w:tc>
          <w:tcPr>
            <w:cnfStyle w:val="001000000000" w:firstRow="0" w:lastRow="0" w:firstColumn="1" w:lastColumn="0" w:oddVBand="0" w:evenVBand="0" w:oddHBand="0" w:evenHBand="0" w:firstRowFirstColumn="0" w:firstRowLastColumn="0" w:lastRowFirstColumn="0" w:lastRowLastColumn="0"/>
            <w:tcW w:w="4675" w:type="dxa"/>
          </w:tcPr>
          <w:p w14:paraId="1A33874D" w14:textId="7A453642" w:rsidR="00677254" w:rsidRPr="00AD04DA" w:rsidRDefault="00677254" w:rsidP="00FC0029">
            <w:pPr>
              <w:spacing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FGD</w:t>
            </w:r>
          </w:p>
        </w:tc>
        <w:tc>
          <w:tcPr>
            <w:tcW w:w="4675" w:type="dxa"/>
          </w:tcPr>
          <w:p w14:paraId="45DA53FD" w14:textId="67345484" w:rsidR="00677254" w:rsidRPr="00AD04DA" w:rsidRDefault="00677254" w:rsidP="00FC002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Flue gas desulfurization</w:t>
            </w:r>
          </w:p>
        </w:tc>
      </w:tr>
      <w:tr w:rsidR="004954E7" w:rsidRPr="00AD04DA" w14:paraId="23730A03" w14:textId="77777777" w:rsidTr="00F05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1B75DA6" w14:textId="6B022DE9" w:rsidR="004954E7" w:rsidRPr="00AD04DA" w:rsidRDefault="004954E7" w:rsidP="00FC0029">
            <w:pPr>
              <w:spacing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EPA</w:t>
            </w:r>
          </w:p>
        </w:tc>
        <w:tc>
          <w:tcPr>
            <w:tcW w:w="4675" w:type="dxa"/>
          </w:tcPr>
          <w:p w14:paraId="2290AE14" w14:textId="1CD6E34C" w:rsidR="004954E7" w:rsidRPr="00AD04DA" w:rsidRDefault="004954E7" w:rsidP="00FC002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Environmental Protection Agency</w:t>
            </w:r>
          </w:p>
        </w:tc>
      </w:tr>
      <w:tr w:rsidR="00187D3D" w:rsidRPr="00AD04DA" w14:paraId="68E9979C" w14:textId="77777777" w:rsidTr="00F05F6A">
        <w:tc>
          <w:tcPr>
            <w:cnfStyle w:val="001000000000" w:firstRow="0" w:lastRow="0" w:firstColumn="1" w:lastColumn="0" w:oddVBand="0" w:evenVBand="0" w:oddHBand="0" w:evenHBand="0" w:firstRowFirstColumn="0" w:firstRowLastColumn="0" w:lastRowFirstColumn="0" w:lastRowLastColumn="0"/>
            <w:tcW w:w="4675" w:type="dxa"/>
          </w:tcPr>
          <w:p w14:paraId="4F42EFF9" w14:textId="1B52CE50" w:rsidR="00187D3D" w:rsidRPr="00AD04DA" w:rsidRDefault="00187D3D" w:rsidP="00FC0029">
            <w:pPr>
              <w:spacing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TSSE</w:t>
            </w:r>
          </w:p>
        </w:tc>
        <w:tc>
          <w:tcPr>
            <w:tcW w:w="4675" w:type="dxa"/>
          </w:tcPr>
          <w:p w14:paraId="55FD13B3" w14:textId="2DF41116" w:rsidR="00187D3D" w:rsidRPr="00AD04DA" w:rsidRDefault="00187D3D" w:rsidP="00FC002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Temperature swing solvent extraction</w:t>
            </w:r>
          </w:p>
        </w:tc>
      </w:tr>
      <w:tr w:rsidR="002159B6" w:rsidRPr="00AD04DA" w14:paraId="099A680A" w14:textId="77777777" w:rsidTr="00F05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6D429D5" w14:textId="41E98287" w:rsidR="002159B6" w:rsidRPr="00AD04DA" w:rsidRDefault="002159B6" w:rsidP="00FC0029">
            <w:pPr>
              <w:spacing w:line="480" w:lineRule="auto"/>
              <w:jc w:val="center"/>
              <w:rPr>
                <w:rFonts w:ascii="Times New Roman" w:hAnsi="Times New Roman" w:cs="Times New Roman"/>
                <w:color w:val="000000" w:themeColor="text1"/>
                <w:sz w:val="24"/>
                <w:szCs w:val="24"/>
                <w:vertAlign w:val="subscript"/>
              </w:rPr>
            </w:pPr>
            <w:r w:rsidRPr="00AD04DA">
              <w:rPr>
                <w:rFonts w:ascii="Times New Roman" w:hAnsi="Times New Roman" w:cs="Times New Roman"/>
                <w:color w:val="000000" w:themeColor="text1"/>
                <w:sz w:val="24"/>
                <w:szCs w:val="24"/>
              </w:rPr>
              <w:t>T</w:t>
            </w:r>
            <w:r w:rsidRPr="00AD04DA">
              <w:rPr>
                <w:rFonts w:ascii="Times New Roman" w:hAnsi="Times New Roman" w:cs="Times New Roman"/>
                <w:color w:val="000000" w:themeColor="text1"/>
                <w:sz w:val="24"/>
                <w:szCs w:val="24"/>
                <w:vertAlign w:val="subscript"/>
              </w:rPr>
              <w:t>H</w:t>
            </w:r>
          </w:p>
        </w:tc>
        <w:tc>
          <w:tcPr>
            <w:tcW w:w="4675" w:type="dxa"/>
          </w:tcPr>
          <w:p w14:paraId="2455C605" w14:textId="7411D671" w:rsidR="002159B6" w:rsidRPr="00AD04DA" w:rsidRDefault="002159B6" w:rsidP="00FC002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Hot step temperature</w:t>
            </w:r>
          </w:p>
        </w:tc>
      </w:tr>
      <w:tr w:rsidR="002159B6" w:rsidRPr="00AD04DA" w14:paraId="40A8A118" w14:textId="77777777" w:rsidTr="00F05F6A">
        <w:tc>
          <w:tcPr>
            <w:cnfStyle w:val="001000000000" w:firstRow="0" w:lastRow="0" w:firstColumn="1" w:lastColumn="0" w:oddVBand="0" w:evenVBand="0" w:oddHBand="0" w:evenHBand="0" w:firstRowFirstColumn="0" w:firstRowLastColumn="0" w:lastRowFirstColumn="0" w:lastRowLastColumn="0"/>
            <w:tcW w:w="4675" w:type="dxa"/>
          </w:tcPr>
          <w:p w14:paraId="7FD8EC4F" w14:textId="599B3489" w:rsidR="002159B6" w:rsidRPr="00AD04DA" w:rsidRDefault="002159B6" w:rsidP="00FC0029">
            <w:pPr>
              <w:spacing w:line="480" w:lineRule="auto"/>
              <w:jc w:val="center"/>
              <w:rPr>
                <w:rFonts w:ascii="Times New Roman" w:hAnsi="Times New Roman" w:cs="Times New Roman"/>
                <w:color w:val="000000" w:themeColor="text1"/>
                <w:sz w:val="24"/>
                <w:szCs w:val="24"/>
                <w:vertAlign w:val="subscript"/>
              </w:rPr>
            </w:pPr>
            <w:r w:rsidRPr="00AD04DA">
              <w:rPr>
                <w:rFonts w:ascii="Times New Roman" w:hAnsi="Times New Roman" w:cs="Times New Roman"/>
                <w:color w:val="000000" w:themeColor="text1"/>
                <w:sz w:val="24"/>
                <w:szCs w:val="24"/>
              </w:rPr>
              <w:t>T</w:t>
            </w:r>
            <w:r w:rsidRPr="00AD04DA">
              <w:rPr>
                <w:rFonts w:ascii="Times New Roman" w:hAnsi="Times New Roman" w:cs="Times New Roman"/>
                <w:color w:val="000000" w:themeColor="text1"/>
                <w:sz w:val="24"/>
                <w:szCs w:val="24"/>
                <w:vertAlign w:val="subscript"/>
              </w:rPr>
              <w:t>C</w:t>
            </w:r>
          </w:p>
        </w:tc>
        <w:tc>
          <w:tcPr>
            <w:tcW w:w="4675" w:type="dxa"/>
          </w:tcPr>
          <w:p w14:paraId="3FEEA123" w14:textId="54480CC0" w:rsidR="002159B6" w:rsidRPr="00AD04DA" w:rsidRDefault="002159B6" w:rsidP="00FC002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Cold step temperature</w:t>
            </w:r>
          </w:p>
        </w:tc>
      </w:tr>
      <w:tr w:rsidR="00187D3D" w:rsidRPr="00AD04DA" w14:paraId="4B243913" w14:textId="77777777" w:rsidTr="00F05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46A36DA" w14:textId="6401C7D8" w:rsidR="00187D3D" w:rsidRPr="00AD04DA" w:rsidRDefault="00187D3D" w:rsidP="00FC0029">
            <w:pPr>
              <w:spacing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DPA</w:t>
            </w:r>
          </w:p>
        </w:tc>
        <w:tc>
          <w:tcPr>
            <w:tcW w:w="4675" w:type="dxa"/>
          </w:tcPr>
          <w:p w14:paraId="59C73AB6" w14:textId="2D09FE63" w:rsidR="00187D3D" w:rsidRPr="00AD04DA" w:rsidRDefault="00187D3D" w:rsidP="00FC002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Diisopropylamine</w:t>
            </w:r>
          </w:p>
        </w:tc>
      </w:tr>
      <w:tr w:rsidR="00187D3D" w:rsidRPr="00AD04DA" w14:paraId="772A60A5" w14:textId="77777777" w:rsidTr="00F05F6A">
        <w:tc>
          <w:tcPr>
            <w:cnfStyle w:val="001000000000" w:firstRow="0" w:lastRow="0" w:firstColumn="1" w:lastColumn="0" w:oddVBand="0" w:evenVBand="0" w:oddHBand="0" w:evenHBand="0" w:firstRowFirstColumn="0" w:firstRowLastColumn="0" w:lastRowFirstColumn="0" w:lastRowLastColumn="0"/>
            <w:tcW w:w="4675" w:type="dxa"/>
          </w:tcPr>
          <w:p w14:paraId="47AE6964" w14:textId="02061E45" w:rsidR="00187D3D" w:rsidRPr="00AD04DA" w:rsidRDefault="00187D3D" w:rsidP="00FC0029">
            <w:pPr>
              <w:spacing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DA</w:t>
            </w:r>
          </w:p>
        </w:tc>
        <w:tc>
          <w:tcPr>
            <w:tcW w:w="4675" w:type="dxa"/>
          </w:tcPr>
          <w:p w14:paraId="090DF2DB" w14:textId="768CE402" w:rsidR="00187D3D" w:rsidRPr="00AD04DA" w:rsidRDefault="00187D3D" w:rsidP="00FC002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Decanoic acid</w:t>
            </w:r>
          </w:p>
        </w:tc>
      </w:tr>
      <w:tr w:rsidR="000A506A" w:rsidRPr="00AD04DA" w14:paraId="7035F904" w14:textId="77777777" w:rsidTr="00F05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7553EFD" w14:textId="462B250A" w:rsidR="000A506A" w:rsidRPr="00AD04DA" w:rsidRDefault="000A506A" w:rsidP="00FC0029">
            <w:pPr>
              <w:spacing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OA</w:t>
            </w:r>
          </w:p>
        </w:tc>
        <w:tc>
          <w:tcPr>
            <w:tcW w:w="4675" w:type="dxa"/>
          </w:tcPr>
          <w:p w14:paraId="6C5E1419" w14:textId="4AAA02E5" w:rsidR="000A506A" w:rsidRPr="00AD04DA" w:rsidRDefault="000A506A" w:rsidP="00FC002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Octanoic acid</w:t>
            </w:r>
          </w:p>
        </w:tc>
      </w:tr>
      <w:tr w:rsidR="00187D3D" w:rsidRPr="00AD04DA" w14:paraId="47F50796" w14:textId="77777777" w:rsidTr="00F05F6A">
        <w:tc>
          <w:tcPr>
            <w:cnfStyle w:val="001000000000" w:firstRow="0" w:lastRow="0" w:firstColumn="1" w:lastColumn="0" w:oddVBand="0" w:evenVBand="0" w:oddHBand="0" w:evenHBand="0" w:firstRowFirstColumn="0" w:firstRowLastColumn="0" w:lastRowFirstColumn="0" w:lastRowLastColumn="0"/>
            <w:tcW w:w="4675" w:type="dxa"/>
          </w:tcPr>
          <w:p w14:paraId="2FCA96C6" w14:textId="6FBD6E73" w:rsidR="00187D3D" w:rsidRPr="00AD04DA" w:rsidRDefault="00187D3D" w:rsidP="00FC0029">
            <w:pPr>
              <w:spacing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NaCl</w:t>
            </w:r>
          </w:p>
        </w:tc>
        <w:tc>
          <w:tcPr>
            <w:tcW w:w="4675" w:type="dxa"/>
          </w:tcPr>
          <w:p w14:paraId="0A06F516" w14:textId="125E1A5E" w:rsidR="00187D3D" w:rsidRPr="00AD04DA" w:rsidRDefault="00187D3D" w:rsidP="00FC002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Sodium chloride</w:t>
            </w:r>
          </w:p>
        </w:tc>
      </w:tr>
      <w:tr w:rsidR="00187D3D" w:rsidRPr="00AD04DA" w14:paraId="628DC134" w14:textId="77777777" w:rsidTr="00F05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E30E0FB" w14:textId="3DEAD1BE" w:rsidR="00187D3D" w:rsidRPr="00AD04DA" w:rsidRDefault="00187D3D" w:rsidP="00FC0029">
            <w:pPr>
              <w:spacing w:line="480" w:lineRule="auto"/>
              <w:jc w:val="center"/>
              <w:rPr>
                <w:rFonts w:ascii="Times New Roman" w:hAnsi="Times New Roman" w:cs="Times New Roman"/>
                <w:color w:val="000000" w:themeColor="text1"/>
                <w:sz w:val="24"/>
                <w:szCs w:val="24"/>
                <w:vertAlign w:val="superscript"/>
              </w:rPr>
            </w:pPr>
            <w:r w:rsidRPr="00AD04DA">
              <w:rPr>
                <w:rFonts w:ascii="Times New Roman" w:hAnsi="Times New Roman" w:cs="Times New Roman"/>
                <w:color w:val="000000" w:themeColor="text1"/>
                <w:sz w:val="24"/>
                <w:szCs w:val="24"/>
              </w:rPr>
              <w:t>SeO</w:t>
            </w:r>
            <w:r w:rsidRPr="00AD04DA">
              <w:rPr>
                <w:rFonts w:ascii="Times New Roman" w:hAnsi="Times New Roman" w:cs="Times New Roman"/>
                <w:color w:val="000000" w:themeColor="text1"/>
                <w:sz w:val="24"/>
                <w:szCs w:val="24"/>
                <w:vertAlign w:val="subscript"/>
              </w:rPr>
              <w:t>4</w:t>
            </w:r>
            <w:r w:rsidRPr="00AD04DA">
              <w:rPr>
                <w:rFonts w:ascii="Times New Roman" w:hAnsi="Times New Roman" w:cs="Times New Roman"/>
                <w:color w:val="000000" w:themeColor="text1"/>
                <w:sz w:val="24"/>
                <w:szCs w:val="24"/>
                <w:vertAlign w:val="superscript"/>
              </w:rPr>
              <w:t>2-</w:t>
            </w:r>
          </w:p>
        </w:tc>
        <w:tc>
          <w:tcPr>
            <w:tcW w:w="4675" w:type="dxa"/>
          </w:tcPr>
          <w:p w14:paraId="5433CEB4" w14:textId="73D72C0A" w:rsidR="00187D3D" w:rsidRPr="00AD04DA" w:rsidRDefault="00187D3D" w:rsidP="00FC002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Selenate (from sodium selenate)</w:t>
            </w:r>
          </w:p>
        </w:tc>
      </w:tr>
      <w:tr w:rsidR="00187D3D" w:rsidRPr="00AD04DA" w14:paraId="1284A087" w14:textId="77777777" w:rsidTr="00F05F6A">
        <w:tc>
          <w:tcPr>
            <w:cnfStyle w:val="001000000000" w:firstRow="0" w:lastRow="0" w:firstColumn="1" w:lastColumn="0" w:oddVBand="0" w:evenVBand="0" w:oddHBand="0" w:evenHBand="0" w:firstRowFirstColumn="0" w:firstRowLastColumn="0" w:lastRowFirstColumn="0" w:lastRowLastColumn="0"/>
            <w:tcW w:w="4675" w:type="dxa"/>
          </w:tcPr>
          <w:p w14:paraId="76A4CAE7" w14:textId="038958A7" w:rsidR="00187D3D" w:rsidRPr="00AD04DA" w:rsidRDefault="00187D3D" w:rsidP="00FC0029">
            <w:pPr>
              <w:spacing w:line="480" w:lineRule="auto"/>
              <w:jc w:val="center"/>
              <w:rPr>
                <w:rFonts w:ascii="Times New Roman" w:hAnsi="Times New Roman" w:cs="Times New Roman"/>
                <w:color w:val="000000" w:themeColor="text1"/>
                <w:sz w:val="24"/>
                <w:szCs w:val="24"/>
                <w:vertAlign w:val="superscript"/>
              </w:rPr>
            </w:pPr>
            <w:r w:rsidRPr="00AD04DA">
              <w:rPr>
                <w:rFonts w:ascii="Times New Roman" w:hAnsi="Times New Roman" w:cs="Times New Roman"/>
                <w:color w:val="000000" w:themeColor="text1"/>
                <w:sz w:val="24"/>
                <w:szCs w:val="24"/>
              </w:rPr>
              <w:t>SeO</w:t>
            </w:r>
            <w:r w:rsidRPr="00AD04DA">
              <w:rPr>
                <w:rFonts w:ascii="Times New Roman" w:hAnsi="Times New Roman" w:cs="Times New Roman"/>
                <w:color w:val="000000" w:themeColor="text1"/>
                <w:sz w:val="24"/>
                <w:szCs w:val="24"/>
                <w:vertAlign w:val="subscript"/>
              </w:rPr>
              <w:t>3</w:t>
            </w:r>
            <w:r w:rsidRPr="00AD04DA">
              <w:rPr>
                <w:rFonts w:ascii="Times New Roman" w:hAnsi="Times New Roman" w:cs="Times New Roman"/>
                <w:color w:val="000000" w:themeColor="text1"/>
                <w:sz w:val="24"/>
                <w:szCs w:val="24"/>
                <w:vertAlign w:val="superscript"/>
              </w:rPr>
              <w:t>2-</w:t>
            </w:r>
          </w:p>
        </w:tc>
        <w:tc>
          <w:tcPr>
            <w:tcW w:w="4675" w:type="dxa"/>
          </w:tcPr>
          <w:p w14:paraId="2B08FAA7" w14:textId="51F28490" w:rsidR="00187D3D" w:rsidRPr="00AD04DA" w:rsidRDefault="00187D3D" w:rsidP="00FC002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Selenite (from sodium selenite)</w:t>
            </w:r>
          </w:p>
        </w:tc>
      </w:tr>
      <w:tr w:rsidR="004A1741" w:rsidRPr="00AD04DA" w14:paraId="1955F77B" w14:textId="77777777" w:rsidTr="00F05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F793FE5" w14:textId="7E420243" w:rsidR="004A1741" w:rsidRPr="00AD04DA" w:rsidRDefault="004A1741" w:rsidP="00FC0029">
            <w:pPr>
              <w:spacing w:line="480" w:lineRule="auto"/>
              <w:jc w:val="center"/>
              <w:rPr>
                <w:rFonts w:ascii="Times New Roman" w:hAnsi="Times New Roman" w:cs="Times New Roman"/>
                <w:color w:val="000000" w:themeColor="text1"/>
                <w:sz w:val="24"/>
                <w:szCs w:val="24"/>
                <w:vertAlign w:val="superscript"/>
              </w:rPr>
            </w:pPr>
            <w:r w:rsidRPr="00AD04DA">
              <w:rPr>
                <w:rFonts w:ascii="Times New Roman" w:hAnsi="Times New Roman" w:cs="Times New Roman"/>
                <w:color w:val="000000" w:themeColor="text1"/>
                <w:sz w:val="24"/>
                <w:szCs w:val="24"/>
              </w:rPr>
              <w:t>SO</w:t>
            </w:r>
            <w:r w:rsidRPr="00AD04DA">
              <w:rPr>
                <w:rFonts w:ascii="Times New Roman" w:hAnsi="Times New Roman" w:cs="Times New Roman"/>
                <w:color w:val="000000" w:themeColor="text1"/>
                <w:sz w:val="24"/>
                <w:szCs w:val="24"/>
                <w:vertAlign w:val="subscript"/>
              </w:rPr>
              <w:t>4</w:t>
            </w:r>
            <w:r w:rsidRPr="00AD04DA">
              <w:rPr>
                <w:rFonts w:ascii="Times New Roman" w:hAnsi="Times New Roman" w:cs="Times New Roman"/>
                <w:color w:val="000000" w:themeColor="text1"/>
                <w:sz w:val="24"/>
                <w:szCs w:val="24"/>
                <w:vertAlign w:val="superscript"/>
              </w:rPr>
              <w:t>2-</w:t>
            </w:r>
          </w:p>
        </w:tc>
        <w:tc>
          <w:tcPr>
            <w:tcW w:w="4675" w:type="dxa"/>
          </w:tcPr>
          <w:p w14:paraId="69952269" w14:textId="1805C61D" w:rsidR="004A1741" w:rsidRPr="00AD04DA" w:rsidRDefault="004A1741" w:rsidP="00FC002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Sulfate</w:t>
            </w:r>
          </w:p>
        </w:tc>
      </w:tr>
      <w:tr w:rsidR="004A1741" w:rsidRPr="00AD04DA" w14:paraId="5F632E9D" w14:textId="77777777" w:rsidTr="00F05F6A">
        <w:tc>
          <w:tcPr>
            <w:cnfStyle w:val="001000000000" w:firstRow="0" w:lastRow="0" w:firstColumn="1" w:lastColumn="0" w:oddVBand="0" w:evenVBand="0" w:oddHBand="0" w:evenHBand="0" w:firstRowFirstColumn="0" w:firstRowLastColumn="0" w:lastRowFirstColumn="0" w:lastRowLastColumn="0"/>
            <w:tcW w:w="4675" w:type="dxa"/>
          </w:tcPr>
          <w:p w14:paraId="120B763E" w14:textId="274D614E" w:rsidR="004A1741" w:rsidRPr="00AD04DA" w:rsidRDefault="004A1741" w:rsidP="00FC0029">
            <w:pPr>
              <w:spacing w:line="480" w:lineRule="auto"/>
              <w:jc w:val="center"/>
              <w:rPr>
                <w:rFonts w:ascii="Times New Roman" w:hAnsi="Times New Roman" w:cs="Times New Roman"/>
                <w:color w:val="000000" w:themeColor="text1"/>
                <w:sz w:val="24"/>
                <w:szCs w:val="24"/>
                <w:vertAlign w:val="subscript"/>
              </w:rPr>
            </w:pPr>
            <w:r w:rsidRPr="00AD04DA">
              <w:rPr>
                <w:rFonts w:ascii="Times New Roman" w:hAnsi="Times New Roman" w:cs="Times New Roman"/>
                <w:color w:val="000000" w:themeColor="text1"/>
                <w:sz w:val="24"/>
                <w:szCs w:val="24"/>
              </w:rPr>
              <w:t>SO</w:t>
            </w:r>
            <w:r w:rsidRPr="00AD04DA">
              <w:rPr>
                <w:rFonts w:ascii="Times New Roman" w:hAnsi="Times New Roman" w:cs="Times New Roman"/>
                <w:color w:val="000000" w:themeColor="text1"/>
                <w:sz w:val="24"/>
                <w:szCs w:val="24"/>
                <w:vertAlign w:val="subscript"/>
              </w:rPr>
              <w:t>2</w:t>
            </w:r>
          </w:p>
        </w:tc>
        <w:tc>
          <w:tcPr>
            <w:tcW w:w="4675" w:type="dxa"/>
          </w:tcPr>
          <w:p w14:paraId="5CC3D22F" w14:textId="38B6432D" w:rsidR="004A1741" w:rsidRPr="00AD04DA" w:rsidRDefault="004A1741" w:rsidP="00FC002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Sulfur dioxide</w:t>
            </w:r>
          </w:p>
        </w:tc>
      </w:tr>
      <w:tr w:rsidR="004A1741" w:rsidRPr="00AD04DA" w14:paraId="1C5B99E8" w14:textId="77777777" w:rsidTr="00F05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570B56F" w14:textId="113077E2" w:rsidR="004A1741" w:rsidRPr="00AD04DA" w:rsidRDefault="004A1741" w:rsidP="00FC0029">
            <w:pPr>
              <w:spacing w:line="480" w:lineRule="auto"/>
              <w:jc w:val="center"/>
              <w:rPr>
                <w:rFonts w:ascii="Times New Roman" w:hAnsi="Times New Roman" w:cs="Times New Roman"/>
                <w:color w:val="000000" w:themeColor="text1"/>
                <w:sz w:val="24"/>
                <w:szCs w:val="24"/>
                <w:vertAlign w:val="subscript"/>
              </w:rPr>
            </w:pPr>
            <w:r w:rsidRPr="00AD04DA">
              <w:rPr>
                <w:rFonts w:ascii="Times New Roman" w:hAnsi="Times New Roman" w:cs="Times New Roman"/>
                <w:color w:val="000000" w:themeColor="text1"/>
                <w:sz w:val="24"/>
                <w:szCs w:val="24"/>
              </w:rPr>
              <w:t>CO</w:t>
            </w:r>
            <w:r w:rsidRPr="00AD04DA">
              <w:rPr>
                <w:rFonts w:ascii="Times New Roman" w:hAnsi="Times New Roman" w:cs="Times New Roman"/>
                <w:color w:val="000000" w:themeColor="text1"/>
                <w:sz w:val="24"/>
                <w:szCs w:val="24"/>
                <w:vertAlign w:val="subscript"/>
              </w:rPr>
              <w:t>2</w:t>
            </w:r>
          </w:p>
        </w:tc>
        <w:tc>
          <w:tcPr>
            <w:tcW w:w="4675" w:type="dxa"/>
          </w:tcPr>
          <w:p w14:paraId="0FED4423" w14:textId="74ED01EF" w:rsidR="004A1741" w:rsidRPr="00AD04DA" w:rsidRDefault="004A1741" w:rsidP="00FC002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Carbon dioxide</w:t>
            </w:r>
          </w:p>
        </w:tc>
      </w:tr>
      <w:tr w:rsidR="00677254" w:rsidRPr="00AD04DA" w14:paraId="1615366D" w14:textId="77777777" w:rsidTr="00F05F6A">
        <w:tc>
          <w:tcPr>
            <w:cnfStyle w:val="001000000000" w:firstRow="0" w:lastRow="0" w:firstColumn="1" w:lastColumn="0" w:oddVBand="0" w:evenVBand="0" w:oddHBand="0" w:evenHBand="0" w:firstRowFirstColumn="0" w:firstRowLastColumn="0" w:lastRowFirstColumn="0" w:lastRowLastColumn="0"/>
            <w:tcW w:w="4675" w:type="dxa"/>
          </w:tcPr>
          <w:p w14:paraId="68F89E6A" w14:textId="0C3E03AD" w:rsidR="00677254" w:rsidRPr="00AD04DA" w:rsidRDefault="00677254" w:rsidP="00FC0029">
            <w:pPr>
              <w:spacing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DI</w:t>
            </w:r>
          </w:p>
        </w:tc>
        <w:tc>
          <w:tcPr>
            <w:tcW w:w="4675" w:type="dxa"/>
          </w:tcPr>
          <w:p w14:paraId="24E23B9A" w14:textId="7DD534B6" w:rsidR="00677254" w:rsidRPr="00AD04DA" w:rsidRDefault="00677254" w:rsidP="00FC002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Deionized water</w:t>
            </w:r>
          </w:p>
        </w:tc>
      </w:tr>
      <w:tr w:rsidR="00677254" w:rsidRPr="00AD04DA" w14:paraId="7BFF18C2" w14:textId="77777777" w:rsidTr="00F05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4834F90" w14:textId="777EE999" w:rsidR="00677254" w:rsidRPr="00AD04DA" w:rsidRDefault="00677254" w:rsidP="00FC0029">
            <w:pPr>
              <w:spacing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ICP-MS</w:t>
            </w:r>
          </w:p>
        </w:tc>
        <w:tc>
          <w:tcPr>
            <w:tcW w:w="4675" w:type="dxa"/>
          </w:tcPr>
          <w:p w14:paraId="3C90043B" w14:textId="5CAED0DC" w:rsidR="00677254" w:rsidRPr="00AD04DA" w:rsidRDefault="00677254" w:rsidP="00FC002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D04DA">
              <w:rPr>
                <w:rFonts w:ascii="Times New Roman" w:hAnsi="Times New Roman" w:cs="Times New Roman"/>
                <w:sz w:val="24"/>
                <w:szCs w:val="24"/>
              </w:rPr>
              <w:t>Inductively Coupled Plasma Mass Spectroscopy</w:t>
            </w:r>
          </w:p>
        </w:tc>
      </w:tr>
    </w:tbl>
    <w:p w14:paraId="24B670A2" w14:textId="77777777" w:rsidR="00187D3D" w:rsidRPr="00AD04DA" w:rsidRDefault="00187D3D" w:rsidP="00FC0029">
      <w:pPr>
        <w:spacing w:after="0" w:line="480" w:lineRule="auto"/>
        <w:rPr>
          <w:rFonts w:ascii="Times New Roman" w:hAnsi="Times New Roman" w:cs="Times New Roman"/>
          <w:color w:val="000000" w:themeColor="text1"/>
          <w:sz w:val="24"/>
          <w:szCs w:val="24"/>
        </w:rPr>
      </w:pPr>
    </w:p>
    <w:p w14:paraId="3B7B2F01" w14:textId="0F9041DC" w:rsidR="00187D3D" w:rsidRPr="00AD04DA" w:rsidRDefault="00187D3D" w:rsidP="00FC0029">
      <w:pPr>
        <w:spacing w:after="0" w:line="480" w:lineRule="auto"/>
        <w:rPr>
          <w:rFonts w:ascii="Times New Roman" w:eastAsiaTheme="majorEastAsia" w:hAnsi="Times New Roman" w:cs="Times New Roman"/>
          <w:color w:val="000000" w:themeColor="text1"/>
          <w:sz w:val="24"/>
          <w:szCs w:val="24"/>
        </w:rPr>
      </w:pPr>
      <w:r w:rsidRPr="00AD04DA">
        <w:rPr>
          <w:rFonts w:ascii="Times New Roman" w:hAnsi="Times New Roman" w:cs="Times New Roman"/>
          <w:color w:val="000000" w:themeColor="text1"/>
          <w:sz w:val="24"/>
          <w:szCs w:val="24"/>
        </w:rPr>
        <w:br w:type="page"/>
      </w:r>
    </w:p>
    <w:p w14:paraId="31E9A0D5" w14:textId="77777777" w:rsidR="00FF28E6" w:rsidRPr="00AD04DA" w:rsidRDefault="00FF28E6" w:rsidP="00FC0029">
      <w:pPr>
        <w:pStyle w:val="Heading1"/>
        <w:spacing w:before="0" w:line="480" w:lineRule="auto"/>
        <w:rPr>
          <w:rFonts w:ascii="Times New Roman" w:hAnsi="Times New Roman" w:cs="Times New Roman"/>
          <w:color w:val="000000" w:themeColor="text1"/>
          <w:sz w:val="24"/>
          <w:szCs w:val="24"/>
        </w:rPr>
        <w:sectPr w:rsidR="00FF28E6" w:rsidRPr="00AD04DA" w:rsidSect="00B1672C">
          <w:footerReference w:type="default" r:id="rId7"/>
          <w:pgSz w:w="12240" w:h="15840"/>
          <w:pgMar w:top="1440" w:right="1440" w:bottom="1440" w:left="1440" w:header="720" w:footer="720" w:gutter="0"/>
          <w:pgNumType w:fmt="lowerRoman" w:start="4"/>
          <w:cols w:space="720"/>
          <w:docGrid w:linePitch="360"/>
        </w:sectPr>
      </w:pPr>
    </w:p>
    <w:p w14:paraId="5D337D5C" w14:textId="562704A2" w:rsidR="00FA7A66" w:rsidRPr="00571398" w:rsidRDefault="002B16D5" w:rsidP="00FC0029">
      <w:pPr>
        <w:pStyle w:val="Heading1"/>
        <w:spacing w:before="0" w:line="480" w:lineRule="auto"/>
        <w:rPr>
          <w:rFonts w:ascii="Times New Roman" w:hAnsi="Times New Roman" w:cs="Times New Roman"/>
          <w:color w:val="000000" w:themeColor="text1"/>
        </w:rPr>
      </w:pPr>
      <w:bookmarkStart w:id="2" w:name="_Toc100753454"/>
      <w:r w:rsidRPr="00571398">
        <w:rPr>
          <w:rFonts w:ascii="Times New Roman" w:hAnsi="Times New Roman" w:cs="Times New Roman"/>
          <w:color w:val="000000" w:themeColor="text1"/>
        </w:rPr>
        <w:lastRenderedPageBreak/>
        <w:t>1</w:t>
      </w:r>
      <w:r w:rsidR="00FA7A66" w:rsidRPr="00571398">
        <w:rPr>
          <w:rFonts w:ascii="Times New Roman" w:hAnsi="Times New Roman" w:cs="Times New Roman"/>
          <w:color w:val="000000" w:themeColor="text1"/>
        </w:rPr>
        <w:t>. Introduction</w:t>
      </w:r>
      <w:bookmarkEnd w:id="2"/>
    </w:p>
    <w:p w14:paraId="173F4D49" w14:textId="696C424D" w:rsidR="00FA7A66" w:rsidRPr="00571398" w:rsidRDefault="002B16D5" w:rsidP="00712EE8">
      <w:pPr>
        <w:pStyle w:val="Heading2"/>
        <w:spacing w:before="0" w:line="480" w:lineRule="auto"/>
        <w:ind w:firstLine="720"/>
        <w:rPr>
          <w:rFonts w:ascii="Times New Roman" w:hAnsi="Times New Roman" w:cs="Times New Roman"/>
          <w:color w:val="000000" w:themeColor="text1"/>
          <w:sz w:val="28"/>
          <w:szCs w:val="28"/>
        </w:rPr>
      </w:pPr>
      <w:bookmarkStart w:id="3" w:name="_Toc100753455"/>
      <w:r w:rsidRPr="00571398">
        <w:rPr>
          <w:rFonts w:ascii="Times New Roman" w:hAnsi="Times New Roman" w:cs="Times New Roman"/>
          <w:color w:val="000000" w:themeColor="text1"/>
          <w:sz w:val="28"/>
          <w:szCs w:val="28"/>
        </w:rPr>
        <w:t>1</w:t>
      </w:r>
      <w:r w:rsidR="00372845" w:rsidRPr="00571398">
        <w:rPr>
          <w:rFonts w:ascii="Times New Roman" w:hAnsi="Times New Roman" w:cs="Times New Roman"/>
          <w:color w:val="000000" w:themeColor="text1"/>
          <w:sz w:val="28"/>
          <w:szCs w:val="28"/>
        </w:rPr>
        <w:t>.1 Motivation and Significance</w:t>
      </w:r>
      <w:bookmarkEnd w:id="3"/>
    </w:p>
    <w:p w14:paraId="7427A8D3" w14:textId="1DCEED96" w:rsidR="008145EB" w:rsidRPr="00AD04DA" w:rsidRDefault="00E809C4" w:rsidP="008145EB">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Coal-fired power plants (CFPP) are a primary </w:t>
      </w:r>
      <w:r w:rsidR="008F7E42" w:rsidRPr="00AD04DA">
        <w:rPr>
          <w:rFonts w:ascii="Times New Roman" w:hAnsi="Times New Roman" w:cs="Times New Roman"/>
          <w:sz w:val="24"/>
          <w:szCs w:val="24"/>
        </w:rPr>
        <w:t>contributor to</w:t>
      </w:r>
      <w:r w:rsidRPr="00AD04DA">
        <w:rPr>
          <w:rFonts w:ascii="Times New Roman" w:hAnsi="Times New Roman" w:cs="Times New Roman"/>
          <w:sz w:val="24"/>
          <w:szCs w:val="24"/>
        </w:rPr>
        <w:t xml:space="preserve"> </w:t>
      </w:r>
      <w:r w:rsidR="00121241" w:rsidRPr="00AD04DA">
        <w:rPr>
          <w:rFonts w:ascii="Times New Roman" w:hAnsi="Times New Roman" w:cs="Times New Roman"/>
          <w:sz w:val="24"/>
          <w:szCs w:val="24"/>
        </w:rPr>
        <w:t>global electricity production</w:t>
      </w:r>
      <w:r w:rsidR="00121241"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{"citationID":"9O57TFet","properties":{"formattedCitation":"\\super 1\\nosupersub{}","plainCitation":"1","noteIndex":0},"citationItems":[{"id":688,"uris":["http://zotero.org/users/8284751/items/86ABIR4A"],"itemData":{"id":688,"type":"webpage","title":"International - U.S. Energy Information Administration (EIA)","URL":"https://www.eia.gov/international/data/world/coal-and-coke/coal-and-coke-consumption?pd=1&amp;p=00000000000000000000000000000000000000jg0880000000008&amp;u=0&amp;f=A&amp;v=mapbubble&amp;a=-&amp;i=none&amp;vo=value&amp;&amp;t=C&amp;g=00000000000000000000000000000000000000000000000001&amp;l=249-ruvvvvvfvtvnvv1vrvvvvfvvvvvvfvvvou20evvvvvvvvvvnvvvs0008&amp;s=315532800000&amp;e=1577836800000","accessed":{"date-parts":[["2022",3,28]]}}}],"schema":"https://github.com/citation-style-language/schema/raw/master/csl-citation.json"} </w:instrText>
      </w:r>
      <w:r w:rsidR="00121241" w:rsidRPr="00AD04DA">
        <w:rPr>
          <w:rFonts w:ascii="Times New Roman" w:hAnsi="Times New Roman" w:cs="Times New Roman"/>
          <w:sz w:val="24"/>
          <w:szCs w:val="24"/>
        </w:rPr>
        <w:fldChar w:fldCharType="separate"/>
      </w:r>
      <w:r w:rsidR="00121241" w:rsidRPr="00AD04DA">
        <w:rPr>
          <w:rFonts w:ascii="Times New Roman" w:hAnsi="Times New Roman" w:cs="Times New Roman"/>
          <w:sz w:val="24"/>
          <w:szCs w:val="24"/>
          <w:vertAlign w:val="superscript"/>
        </w:rPr>
        <w:t>1</w:t>
      </w:r>
      <w:r w:rsidR="00121241" w:rsidRPr="00AD04DA">
        <w:rPr>
          <w:rFonts w:ascii="Times New Roman" w:hAnsi="Times New Roman" w:cs="Times New Roman"/>
          <w:sz w:val="24"/>
          <w:szCs w:val="24"/>
        </w:rPr>
        <w:fldChar w:fldCharType="end"/>
      </w:r>
      <w:r w:rsidRPr="00AD04DA">
        <w:rPr>
          <w:rFonts w:ascii="Times New Roman" w:hAnsi="Times New Roman" w:cs="Times New Roman"/>
          <w:sz w:val="24"/>
          <w:szCs w:val="24"/>
        </w:rPr>
        <w:t xml:space="preserve">. </w:t>
      </w:r>
      <w:r w:rsidR="00121241" w:rsidRPr="00AD04DA">
        <w:rPr>
          <w:rFonts w:ascii="Times New Roman" w:hAnsi="Times New Roman" w:cs="Times New Roman"/>
          <w:sz w:val="24"/>
          <w:szCs w:val="24"/>
        </w:rPr>
        <w:t>In 2021, coal accounted for 21.8% of all electricity generated within the United States (US)</w:t>
      </w:r>
      <w:r w:rsidR="00121241"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{"citationID":"ejL1Q21a","properties":{"formattedCitation":"\\super 2,3\\nosupersub{}","plainCitation":"2,3","noteIndex":0},"citationItems":[{"id":686,"uris":["http://zotero.org/users/8284751/items/5TAKU6W2"],"itemData":{"id":686,"type":"webpage","abstract":"Energy Information Administration - EIA - Official Energy Statistics from the U.S. Government","title":"Frequently Asked Questions (FAQs) - U.S. Energy Information Administration (EIA)","URL":"https://www.eia.gov/tools/faqs/faq.php","accessed":{"date-parts":[["2022",3,28]]}}},{"id":690,"uris":["http://zotero.org/users/8284751/items/BUMGGDVC"],"itemData":{"id":690,"type":"webpage","title":"Electricity in the U.S. - U.S. Energy Information Administration (EIA)","URL":"https://www.eia.gov/energyexplained/electricity/electricity-in-the-us.php","accessed":{"date-parts":[["2022",3,28]]}}}],"schema":"https://github.com/citation-style-language/schema/raw/master/csl-citation.json"} </w:instrText>
      </w:r>
      <w:r w:rsidR="00121241" w:rsidRPr="00AD04DA">
        <w:rPr>
          <w:rFonts w:ascii="Times New Roman" w:hAnsi="Times New Roman" w:cs="Times New Roman"/>
          <w:sz w:val="24"/>
          <w:szCs w:val="24"/>
        </w:rPr>
        <w:fldChar w:fldCharType="separate"/>
      </w:r>
      <w:r w:rsidR="00121241" w:rsidRPr="00AD04DA">
        <w:rPr>
          <w:rFonts w:ascii="Times New Roman" w:hAnsi="Times New Roman" w:cs="Times New Roman"/>
          <w:sz w:val="24"/>
          <w:szCs w:val="24"/>
          <w:vertAlign w:val="superscript"/>
        </w:rPr>
        <w:t>2,3</w:t>
      </w:r>
      <w:r w:rsidR="00121241" w:rsidRPr="00AD04DA">
        <w:rPr>
          <w:rFonts w:ascii="Times New Roman" w:hAnsi="Times New Roman" w:cs="Times New Roman"/>
          <w:sz w:val="24"/>
          <w:szCs w:val="24"/>
        </w:rPr>
        <w:fldChar w:fldCharType="end"/>
      </w:r>
      <w:r w:rsidR="00121241" w:rsidRPr="00AD04DA">
        <w:rPr>
          <w:rFonts w:ascii="Times New Roman" w:hAnsi="Times New Roman" w:cs="Times New Roman"/>
          <w:sz w:val="24"/>
          <w:szCs w:val="24"/>
        </w:rPr>
        <w:t>.</w:t>
      </w:r>
      <w:r w:rsidR="00E75A0E">
        <w:rPr>
          <w:rFonts w:ascii="Times New Roman" w:hAnsi="Times New Roman" w:cs="Times New Roman"/>
          <w:sz w:val="24"/>
          <w:szCs w:val="24"/>
        </w:rPr>
        <w:t xml:space="preserve"> In CFPPs, coal combustion within coal-fired boilers heats water into steam to generate electricity.</w:t>
      </w:r>
      <w:r w:rsidR="00036714" w:rsidRPr="00AD04DA">
        <w:rPr>
          <w:rFonts w:ascii="Times New Roman" w:hAnsi="Times New Roman" w:cs="Times New Roman"/>
          <w:sz w:val="24"/>
          <w:szCs w:val="24"/>
        </w:rPr>
        <w:t xml:space="preserve"> The gaseous </w:t>
      </w:r>
      <w:r w:rsidR="00BA38C0" w:rsidRPr="00AD04DA">
        <w:rPr>
          <w:rFonts w:ascii="Times New Roman" w:hAnsi="Times New Roman" w:cs="Times New Roman"/>
          <w:sz w:val="24"/>
          <w:szCs w:val="24"/>
        </w:rPr>
        <w:t>stream</w:t>
      </w:r>
      <w:r w:rsidR="00B745DA" w:rsidRPr="00AD04DA">
        <w:rPr>
          <w:rFonts w:ascii="Times New Roman" w:hAnsi="Times New Roman" w:cs="Times New Roman"/>
          <w:sz w:val="24"/>
          <w:szCs w:val="24"/>
        </w:rPr>
        <w:t>s</w:t>
      </w:r>
      <w:r w:rsidR="00BA38C0" w:rsidRPr="00AD04DA">
        <w:rPr>
          <w:rFonts w:ascii="Times New Roman" w:hAnsi="Times New Roman" w:cs="Times New Roman"/>
          <w:sz w:val="24"/>
          <w:szCs w:val="24"/>
        </w:rPr>
        <w:t xml:space="preserve"> exiting coal-fired boilers</w:t>
      </w:r>
      <w:r w:rsidR="00BC74F0" w:rsidRPr="00AD04DA">
        <w:rPr>
          <w:rFonts w:ascii="Times New Roman" w:hAnsi="Times New Roman" w:cs="Times New Roman"/>
          <w:sz w:val="24"/>
          <w:szCs w:val="24"/>
        </w:rPr>
        <w:t xml:space="preserve"> in CFPPs are known as flue gas, mainly oxygen (O</w:t>
      </w:r>
      <w:r w:rsidR="00BC74F0" w:rsidRPr="00AD04DA">
        <w:rPr>
          <w:rFonts w:ascii="Times New Roman" w:hAnsi="Times New Roman" w:cs="Times New Roman"/>
          <w:sz w:val="24"/>
          <w:szCs w:val="24"/>
          <w:vertAlign w:val="subscript"/>
        </w:rPr>
        <w:t>2</w:t>
      </w:r>
      <w:r w:rsidR="00BC74F0" w:rsidRPr="00AD04DA">
        <w:rPr>
          <w:rFonts w:ascii="Times New Roman" w:hAnsi="Times New Roman" w:cs="Times New Roman"/>
          <w:sz w:val="24"/>
          <w:szCs w:val="24"/>
        </w:rPr>
        <w:t>), nitrogen (N</w:t>
      </w:r>
      <w:r w:rsidR="00BC74F0" w:rsidRPr="00AD04DA">
        <w:rPr>
          <w:rFonts w:ascii="Times New Roman" w:hAnsi="Times New Roman" w:cs="Times New Roman"/>
          <w:sz w:val="24"/>
          <w:szCs w:val="24"/>
          <w:vertAlign w:val="subscript"/>
        </w:rPr>
        <w:t>2</w:t>
      </w:r>
      <w:r w:rsidR="00BC74F0" w:rsidRPr="00AD04DA">
        <w:rPr>
          <w:rFonts w:ascii="Times New Roman" w:hAnsi="Times New Roman" w:cs="Times New Roman"/>
          <w:sz w:val="24"/>
          <w:szCs w:val="24"/>
        </w:rPr>
        <w:t>), carbon dioxide (CO</w:t>
      </w:r>
      <w:r w:rsidR="00BC74F0" w:rsidRPr="00AD04DA">
        <w:rPr>
          <w:rFonts w:ascii="Times New Roman" w:hAnsi="Times New Roman" w:cs="Times New Roman"/>
          <w:sz w:val="24"/>
          <w:szCs w:val="24"/>
          <w:vertAlign w:val="subscript"/>
        </w:rPr>
        <w:t>2</w:t>
      </w:r>
      <w:r w:rsidR="00BC74F0" w:rsidRPr="00AD04DA">
        <w:rPr>
          <w:rFonts w:ascii="Times New Roman" w:hAnsi="Times New Roman" w:cs="Times New Roman"/>
          <w:sz w:val="24"/>
          <w:szCs w:val="24"/>
        </w:rPr>
        <w:t>), sulfur dioxide (SO</w:t>
      </w:r>
      <w:r w:rsidR="00BC74F0" w:rsidRPr="00AD04DA">
        <w:rPr>
          <w:rFonts w:ascii="Times New Roman" w:hAnsi="Times New Roman" w:cs="Times New Roman"/>
          <w:sz w:val="24"/>
          <w:szCs w:val="24"/>
          <w:vertAlign w:val="subscript"/>
        </w:rPr>
        <w:t>2</w:t>
      </w:r>
      <w:r w:rsidR="00BC74F0" w:rsidRPr="00AD04DA">
        <w:rPr>
          <w:rFonts w:ascii="Times New Roman" w:hAnsi="Times New Roman" w:cs="Times New Roman"/>
          <w:sz w:val="24"/>
          <w:szCs w:val="24"/>
        </w:rPr>
        <w:t>), and nitrogen oxides (NO</w:t>
      </w:r>
      <w:r w:rsidR="00BC74F0" w:rsidRPr="00AD04DA">
        <w:rPr>
          <w:rFonts w:ascii="Times New Roman" w:hAnsi="Times New Roman" w:cs="Times New Roman"/>
          <w:sz w:val="24"/>
          <w:szCs w:val="24"/>
          <w:vertAlign w:val="subscript"/>
        </w:rPr>
        <w:t>x</w:t>
      </w:r>
      <w:r w:rsidR="00BC74F0" w:rsidRPr="00AD04DA">
        <w:rPr>
          <w:rFonts w:ascii="Times New Roman" w:hAnsi="Times New Roman" w:cs="Times New Roman"/>
          <w:sz w:val="24"/>
          <w:szCs w:val="24"/>
        </w:rPr>
        <w:t>)</w:t>
      </w:r>
      <w:r w:rsidR="00BC74F0"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{"citationID":"bEl2bigm","properties":{"formattedCitation":"\\super 4,5\\nosupersub{}","plainCitation":"4,5","noteIndex":0},"citationItems":[{"id":896,"uris":["http://zotero.org/users/8284751/items/2ND3YX6Y"],"itemData":{"id":896,"type":"article-journal","abstract":"The level of understanding of coal combustion compared to the requirements of predictive engineering is still insuﬃcient due to the complexity of the processes and breadth of scales involved. In particular, in modern oxycoal ﬁring, where the fuel is burned in an oxygen/carbon-dioxide atmosphere to reduce the emission of greenhouse gases and pollutants, both experimental investigations and detailed numerical simulations are sparse. To understand and model the phenomena involved, the community follows a stepwise approach from generic to close-to-application combustion systems by steadily increasing the size, complexity and thermal power of the investigated burners as well as the complexity of the fuel. Here, an investigation of the ﬂue gas of an intermediate range oxy-fuel burner is presented. To simplify the fuel in a ﬁrst step, the combustion of methane in air and two oxygen/carbon dioxide atmospheres (oxy-fuel) is investigated. The concentrations of multiple species as well as the path-integrated temperatures are measured using three independent spectrometer systems based on tunable diode laser absorption spectroscopy (TDLAS). The rate of burnout and fuel-slip in the ﬂue gas is studied through measurements of the concentration of CH4, whereas a quasi-simultaneously applied OH-measurement system allows for the detection of remaining combustion zones in the ﬂue gas. An acetylene (C2H2) measurement as a chemical precursor provides insights to the formation of soot. The O2-concentration is measured for an investigation of the oxygen-excess, and, in combination with measurements of the CO, CO2 and H2O concentration at various positions allows to detect the main components and pollutants of the oxy-fuel ﬂue gas. An Allan-Werle variance is utilized to study the time scales occurring in the combustion process.","container-title":"Fuel","DOI":"10.1016/j.fuel.2018.05.039","ISSN":"00162361","journalAbbreviation":"Fuel","language":"en","page":"61-72","source":"DOI.org (Crossref)","title":"Experimental investigation of the flue gas thermochemical composition of an oxy-fuel swirl burner","volume":"231","author":[{"family":"Bürkle","given":"Sebastian"},{"family":"Becker","given":"Lukas Georg"},{"family":"Dreizler","given":"Andreas"},{"family":"Wagner","given":"Steven"}],"issued":{"date-parts":[["2018",11]]}}},{"id":895,"uris":["http://zotero.org/users/8284751/items/AH3HCX5Q"],"itemData":{"id":895,"type":"article-journal","abstract":"The emissions of CO2, NOx and SO2 from the combustion of a high-volatile coal with N2- and CO2-based, high O2 concentration (20, 50, 80, 100%) inlet gases were investigated in an electrically heated up-ﬂow-tube furnace at elevated gas temperatures (1123–1573 K). The fuel equivalence ratio, f, was varied in the range of 0.4–1.6. Results showed that CO2 concentrations in ﬂue gas were higher than 95% for the processes with O2 and CO2-based inlet gases. NOx emissions increased with f under fuel-lean conditions, then declined dramatically after f  0:8; and the peak values increased from about 1000 ppm for the air combustion process and 500 ppm for the O2(20%) ϩ CO2(80%) inlet gas process to about 4500 ppm for the oxygen combustion process. When f Ͼ 1:4 the emissions decreased to the same level for different O2 concentration inlet gas processes. On the other hand, NOx emission indexes decreased monotonically with f under both fuel-lean and fuelrich combustion. SO2 emissions increased with f under fuel-lean conditions, then declined slightly after f Ͼ 1:2: Temperature has a large effect on the NOx emission. Peak values of the NOx emission increased by 50–70% for the N2-based inlet gas processes and by 30–50% for the CO2-based inlet gas process from 1123 to 1573 K. However, there was only a small effect of temperature on the SO2 emission. ᭧ 2000 Elsevier Science Ltd. All rights reserved.","container-title":"Fuel","DOI":"10.1016/S0016-2361(00)00047-8","ISSN":"00162361","issue":"15","journalAbbreviation":"Fuel","language":"en","page":"1925-1932","source":"DOI.org (Crossref)","title":"CO2, NOx and SO2 emissions from the combustion of coal with high oxygen concentration gases","volume":"79","author":[{"family":"Hu","given":"Y"},{"family":"Naito","given":"S"},{"family":"Kobayashi","given":"N"},{"family":"Hasatani","given":"M"}],"issued":{"date-parts":[["2000",12]]}}}],"schema":"https://github.com/citation-style-language/schema/raw/master/csl-citation.json"} </w:instrText>
      </w:r>
      <w:r w:rsidR="00BC74F0"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4,5</w:t>
      </w:r>
      <w:r w:rsidR="00BC74F0" w:rsidRPr="00AD04DA">
        <w:rPr>
          <w:rFonts w:ascii="Times New Roman" w:hAnsi="Times New Roman" w:cs="Times New Roman"/>
          <w:sz w:val="24"/>
          <w:szCs w:val="24"/>
        </w:rPr>
        <w:fldChar w:fldCharType="end"/>
      </w:r>
      <w:r w:rsidR="00BC74F0" w:rsidRPr="00AD04DA">
        <w:rPr>
          <w:rFonts w:ascii="Times New Roman" w:hAnsi="Times New Roman" w:cs="Times New Roman"/>
          <w:sz w:val="24"/>
          <w:szCs w:val="24"/>
        </w:rPr>
        <w:t xml:space="preserve">. </w:t>
      </w:r>
      <w:r w:rsidR="001F368D" w:rsidRPr="00AD04DA">
        <w:rPr>
          <w:rFonts w:ascii="Times New Roman" w:hAnsi="Times New Roman" w:cs="Times New Roman"/>
          <w:sz w:val="24"/>
          <w:szCs w:val="24"/>
        </w:rPr>
        <w:t>CO</w:t>
      </w:r>
      <w:r w:rsidR="001F368D" w:rsidRPr="00AD04DA">
        <w:rPr>
          <w:rFonts w:ascii="Times New Roman" w:hAnsi="Times New Roman" w:cs="Times New Roman"/>
          <w:sz w:val="24"/>
          <w:szCs w:val="24"/>
          <w:vertAlign w:val="subscript"/>
        </w:rPr>
        <w:t>2</w:t>
      </w:r>
      <w:r w:rsidR="001F368D" w:rsidRPr="00AD04DA">
        <w:rPr>
          <w:rFonts w:ascii="Times New Roman" w:hAnsi="Times New Roman" w:cs="Times New Roman"/>
          <w:sz w:val="24"/>
          <w:szCs w:val="24"/>
        </w:rPr>
        <w:t xml:space="preserve"> is the leading cause of climate change</w:t>
      </w:r>
      <w:r w:rsidR="00137D9E"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{"citationID":"O2IZFoDW","properties":{"formattedCitation":"\\super 6,7\\nosupersub{}","plainCitation":"6,7","noteIndex":0},"citationItems":[{"id":231,"uris":["http://zotero.org/users/8284751/items/IKX5HJLS"],"itemData":{"id":231,"type":"article-journal","container-title":"Nature Communications","DOI":"10.1038/ncomms8714","ISSN":"2041-1723","issue":"1","journalAbbreviation":"Nat Commun","language":"en","page":"7714","source":"DOI.org (Crossref)","title":"Drivers of the US CO2 emissions 1997–2013","volume":"6","author":[{"family":"Feng","given":"Kuishuang"},{"family":"Davis","given":"Steven J."},{"family":"Sun","given":"Laixiang"},{"family":"Hubacek","given":"Klaus"}],"issued":{"date-parts":[["2015",11]]}}},{"id":232,"uris":["http://zotero.org/users/8284751/items/2DNDB3GI"],"itemData":{"id":232,"type":"article-journal","container-title":"Science","DOI":"10.1126/science.1190653","ISSN":"0036-8075, 1095-9203","issue":"6002","journalAbbreviation":"Science","language":"en","page":"356-359","source":"DOI.org (Crossref)","title":"Atmospheric CO &lt;sub&gt;2&lt;/sub&gt; : Principal Control Knob Governing Earth’s Temperature","title-short":"Atmospheric CO &lt;sub&gt;2&lt;/sub&gt;","volume":"330","author":[{"family":"Lacis","given":"Andrew A."},{"family":"Schmidt","given":"Gavin A."},{"family":"Rind","given":"David"},{"family":"Ruedy","given":"Reto A."}],"issued":{"date-parts":[["2010",10,15]]}}}],"schema":"https://github.com/citation-style-language/schema/raw/master/csl-citation.json"} </w:instrText>
      </w:r>
      <w:r w:rsidR="00137D9E"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6,7</w:t>
      </w:r>
      <w:r w:rsidR="00137D9E" w:rsidRPr="00AD04DA">
        <w:rPr>
          <w:rFonts w:ascii="Times New Roman" w:hAnsi="Times New Roman" w:cs="Times New Roman"/>
          <w:sz w:val="24"/>
          <w:szCs w:val="24"/>
        </w:rPr>
        <w:fldChar w:fldCharType="end"/>
      </w:r>
      <w:r w:rsidR="001F368D" w:rsidRPr="00AD04DA">
        <w:rPr>
          <w:rFonts w:ascii="Times New Roman" w:hAnsi="Times New Roman" w:cs="Times New Roman"/>
          <w:sz w:val="24"/>
          <w:szCs w:val="24"/>
        </w:rPr>
        <w:t xml:space="preserve"> and a well-known byproduct</w:t>
      </w:r>
      <w:r w:rsidR="00B820CE" w:rsidRPr="00AD04DA">
        <w:rPr>
          <w:rFonts w:ascii="Times New Roman" w:hAnsi="Times New Roman" w:cs="Times New Roman"/>
          <w:sz w:val="24"/>
          <w:szCs w:val="24"/>
        </w:rPr>
        <w:t xml:space="preserve"> </w:t>
      </w:r>
      <w:r w:rsidR="001F368D" w:rsidRPr="00AD04DA">
        <w:rPr>
          <w:rFonts w:ascii="Times New Roman" w:hAnsi="Times New Roman" w:cs="Times New Roman"/>
          <w:sz w:val="24"/>
          <w:szCs w:val="24"/>
        </w:rPr>
        <w:t>of coal combustion</w:t>
      </w:r>
      <w:r w:rsidR="00137D9E"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{"citationID":"trlu6DZH","properties":{"formattedCitation":"\\super 6\\nosupersub{}","plainCitation":"6","noteIndex":0},"citationItems":[{"id":231,"uris":["http://zotero.org/users/8284751/items/IKX5HJLS"],"itemData":{"id":231,"type":"article-journal","container-title":"Nature Communications","DOI":"10.1038/ncomms8714","ISSN":"2041-1723","issue":"1","journalAbbreviation":"Nat Commun","language":"en","page":"7714","source":"DOI.org (Crossref)","title":"Drivers of the US CO2 emissions 1997–2013","volume":"6","author":[{"family":"Feng","given":"Kuishuang"},{"family":"Davis","given":"Steven J."},{"family":"Sun","given":"Laixiang"},{"family":"Hubacek","given":"Klaus"}],"issued":{"date-parts":[["2015",11]]}}}],"schema":"https://github.com/citation-style-language/schema/raw/master/csl-citation.json"} </w:instrText>
      </w:r>
      <w:r w:rsidR="00137D9E"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6</w:t>
      </w:r>
      <w:r w:rsidR="00137D9E" w:rsidRPr="00AD04DA">
        <w:rPr>
          <w:rFonts w:ascii="Times New Roman" w:hAnsi="Times New Roman" w:cs="Times New Roman"/>
          <w:sz w:val="24"/>
          <w:szCs w:val="24"/>
        </w:rPr>
        <w:fldChar w:fldCharType="end"/>
      </w:r>
      <w:r w:rsidR="001F368D" w:rsidRPr="00AD04DA">
        <w:rPr>
          <w:rFonts w:ascii="Times New Roman" w:hAnsi="Times New Roman" w:cs="Times New Roman"/>
          <w:sz w:val="24"/>
          <w:szCs w:val="24"/>
        </w:rPr>
        <w:t xml:space="preserve">. </w:t>
      </w:r>
      <w:r w:rsidR="00F62FA2" w:rsidRPr="00AD04DA">
        <w:rPr>
          <w:rFonts w:ascii="Times New Roman" w:hAnsi="Times New Roman" w:cs="Times New Roman"/>
          <w:sz w:val="24"/>
          <w:szCs w:val="24"/>
        </w:rPr>
        <w:t>Combustion of s</w:t>
      </w:r>
      <w:r w:rsidR="007976D3" w:rsidRPr="00AD04DA">
        <w:rPr>
          <w:rFonts w:ascii="Times New Roman" w:hAnsi="Times New Roman" w:cs="Times New Roman"/>
          <w:sz w:val="24"/>
          <w:szCs w:val="24"/>
        </w:rPr>
        <w:t xml:space="preserve">ulfur deposits in </w:t>
      </w:r>
      <w:r w:rsidR="0038405F" w:rsidRPr="00AD04DA">
        <w:rPr>
          <w:rFonts w:ascii="Times New Roman" w:hAnsi="Times New Roman" w:cs="Times New Roman"/>
          <w:sz w:val="24"/>
          <w:szCs w:val="24"/>
        </w:rPr>
        <w:t>coal feeds</w:t>
      </w:r>
      <w:r w:rsidR="00295C41" w:rsidRPr="00AD04DA">
        <w:rPr>
          <w:rFonts w:ascii="Times New Roman" w:hAnsi="Times New Roman" w:cs="Times New Roman"/>
          <w:sz w:val="24"/>
          <w:szCs w:val="24"/>
        </w:rPr>
        <w:t xml:space="preserve"> </w:t>
      </w:r>
      <w:r w:rsidR="007976D3" w:rsidRPr="00AD04DA">
        <w:rPr>
          <w:rFonts w:ascii="Times New Roman" w:hAnsi="Times New Roman" w:cs="Times New Roman"/>
          <w:sz w:val="24"/>
          <w:szCs w:val="24"/>
        </w:rPr>
        <w:t>release</w:t>
      </w:r>
      <w:r w:rsidR="009F28F0" w:rsidRPr="00AD04DA">
        <w:rPr>
          <w:rFonts w:ascii="Times New Roman" w:hAnsi="Times New Roman" w:cs="Times New Roman"/>
          <w:sz w:val="24"/>
          <w:szCs w:val="24"/>
        </w:rPr>
        <w:t xml:space="preserve"> </w:t>
      </w:r>
      <w:r w:rsidR="00B820CE" w:rsidRPr="00AD04DA">
        <w:rPr>
          <w:rFonts w:ascii="Times New Roman" w:hAnsi="Times New Roman" w:cs="Times New Roman"/>
          <w:sz w:val="24"/>
          <w:szCs w:val="24"/>
        </w:rPr>
        <w:t>SO</w:t>
      </w:r>
      <w:r w:rsidR="00B820CE" w:rsidRPr="00AD04DA">
        <w:rPr>
          <w:rFonts w:ascii="Times New Roman" w:hAnsi="Times New Roman" w:cs="Times New Roman"/>
          <w:sz w:val="24"/>
          <w:szCs w:val="24"/>
          <w:vertAlign w:val="subscript"/>
        </w:rPr>
        <w:t>2</w:t>
      </w:r>
      <w:r w:rsidR="001907E2" w:rsidRPr="00AD04DA">
        <w:rPr>
          <w:rFonts w:ascii="Times New Roman" w:hAnsi="Times New Roman" w:cs="Times New Roman"/>
          <w:sz w:val="24"/>
          <w:szCs w:val="24"/>
        </w:rPr>
        <w:t>, a toxic gas and environmental pollutant</w:t>
      </w:r>
      <w:r w:rsidR="001907E2"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{"citationID":"Uf8abYID","properties":{"formattedCitation":"\\super 8,9\\nosupersub{}","plainCitation":"8,9","noteIndex":0},"citationItems":[{"id":694,"uris":["http://zotero.org/users/8284751/items/MWJN9N3R"],"itemData":{"id":694,"type":"article-journal","abstract":"A chemical-looping process is proposed for the clean combustion of solid fuels for electric power or heat generation. The process is based on coal gasiﬁcation with CO2 to produce CO. The CO then reduces CaSO4, which is used as an oxygen carrier, in a separate reactor to give CaS and CO2. A portion of the CO2 is recycled for the gasiﬁcation stage and the rest can be sent for sequestration. The CaS is sent to another reactor for oxidation with air and to generate heat or power. The overall thermal eﬀect is the same as direct combustion, but separation of CO2 and other pollutants, such as sulphur, is achieved. In comparison with conventional chemical-looping combustion of natural gas, much less water is present in the CO2 product, and hence the loss of heat energy and corrosion of the fuel–reactor system can be reduced.","container-title":"Applied Energy","DOI":"10.1016/j.apenergy.2007.07.002","ISSN":"03062619","issue":"2-3","journalAbbreviation":"Applied Energy","language":"en","page":"73-79","source":"DOI.org (Crossref)","title":"Clean combustion of solid fuels","volume":"85","author":[{"family":"Wang","given":"Jinsheng"},{"family":"Anthony","given":"Edward J."}],"issued":{"date-parts":[["2008",2]]}}},{"id":695,"uris":["http://zotero.org/users/8284751/items/7LC7FSKH"],"itemData":{"id":695,"type":"article-journal","abstract":"Large amounts of fuels, burned in various types of furnaces are one of the main sources of pollution in the environment. Flue gases pollute the atmosphere and the associated ashes pollute soil and water. To compare the inﬂuence of various fuels burned in diﬀerent installations on the environment, one universal index would be helpful. Such a coeﬃcient, which represents the harmfulness of combustion processes of a particular fuel in a particular installation, is deﬁned in this paper. This coeﬃcient takes into account the composition of the fuel, the thermal eﬃciency of the installation, the type and process eﬃciency of creation of harmful compounds in the combustion chamber, eﬃciency of cleaning devices, ability of emitter to propagate pollutants into the atmosphere, as well as the relative toxicity of various components. Finally methods of calculation of propagation of pollutants in the atmosphere are introduced. All these factors are essential for a reliable assessment and comparison of fuel and installations. An individual coeﬃcient of harmfulness could be calculated for each compound present in the ﬂue gases as well as a total coeﬃcient for all compounds. Each compound created in the combustion processes is the source of many types of environmental impact. It could have signiﬁcant inﬂuences on human health, plants and animals as well as for example on the corrosion process taking place in many diﬀerent installations. We have to take into consideration that the result of a combustion process could appear in many diﬀerent places, sometimes distant from the place of the process itself. All these results should be analyzed and introduced into the universal coeﬃcient of ‘‘harmfulness’’ of speciﬁc compound. Economic parameters and methods are important and therefore are also introduced into the assessment method presented in the paper. In this way we are able to compare the values of extremely diﬀerent phenomena such as a human health and corrosion.","container-title":"Applied Energy","DOI":"10.1016/S0306-2619(03)00034-5","ISSN":"03062619","issue":"3-4","journalAbbreviation":"Applied Energy","language":"en","page":"213-220","source":"DOI.org (Crossref)","title":"Environmental impact of combustion","volume":"75","author":[{"family":"Pikoñ","given":"Krzysztof"}],"issued":{"date-parts":[["2003",7]]}}}],"schema":"https://github.com/citation-style-language/schema/raw/master/csl-citation.json"} </w:instrText>
      </w:r>
      <w:r w:rsidR="001907E2"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8,9</w:t>
      </w:r>
      <w:r w:rsidR="001907E2" w:rsidRPr="00AD04DA">
        <w:rPr>
          <w:rFonts w:ascii="Times New Roman" w:hAnsi="Times New Roman" w:cs="Times New Roman"/>
          <w:sz w:val="24"/>
          <w:szCs w:val="24"/>
        </w:rPr>
        <w:fldChar w:fldCharType="end"/>
      </w:r>
      <w:r w:rsidR="003C5A91" w:rsidRPr="00AD04DA">
        <w:rPr>
          <w:rFonts w:ascii="Times New Roman" w:hAnsi="Times New Roman" w:cs="Times New Roman"/>
          <w:sz w:val="24"/>
          <w:szCs w:val="24"/>
        </w:rPr>
        <w:t xml:space="preserve"> that can cause acid rain</w:t>
      </w:r>
      <w:r w:rsidR="003C5A91"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{"citationID":"NeK7PPn9","properties":{"formattedCitation":"\\super 10\\nosupersub{}","plainCitation":"10","noteIndex":0},"citationItems":[{"id":727,"uris":["http://zotero.org/users/8284751/items/TAJWW932"],"itemData":{"id":727,"type":"article-journal","abstract":"Mineral dust is an important arena for acid rain formation. Here, p-DFT calculations were conducted to study SO2 adsorption onto gibbsite and possible catalytic mechanisms for acid rain formation. The obtained results clearly indicated that SO2 is preferentially adsorbed onto mineral dusts instead of staying in the gas phase, and two catalytic paths were then posed. Path A with ﬁrst hydrolysis and then oxidation is kinetically preferred, where SO2 hydrolysis appeared to be the rate-determining step for all the investigated surfaces. Partially dehydrated gibbsite (100) surface has the lowest reaction barrier, and a second water molecule causes acid rain formation to occur facilely at ambient circumstances.","container-title":"Catalysis Communications","DOI":"10.1016/j.catcom.2018.06.011","ISSN":"15667367","journalAbbreviation":"Catalysis Communications","language":"en","page":"79-83","source":"DOI.org (Crossref)","title":"Strong affinity of mineral dusts for sulfur dioxide and catalytic mechanisms towards acid rain formation","volume":"114","author":[{"family":"Yun","given":"Jiena"},{"family":"Zhu","given":"Chang"},{"family":"Wang","given":"Qian"},{"family":"Hu","given":"Qiaoli"},{"family":"Yang","given":"Gang"}],"issued":{"date-parts":[["2018",8]]}}}],"schema":"https://github.com/citation-style-language/schema/raw/master/csl-citation.json"} </w:instrText>
      </w:r>
      <w:r w:rsidR="003C5A91"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10</w:t>
      </w:r>
      <w:r w:rsidR="003C5A91" w:rsidRPr="00AD04DA">
        <w:rPr>
          <w:rFonts w:ascii="Times New Roman" w:hAnsi="Times New Roman" w:cs="Times New Roman"/>
          <w:sz w:val="24"/>
          <w:szCs w:val="24"/>
        </w:rPr>
        <w:fldChar w:fldCharType="end"/>
      </w:r>
      <w:r w:rsidR="001907E2" w:rsidRPr="00AD04DA">
        <w:rPr>
          <w:rFonts w:ascii="Times New Roman" w:hAnsi="Times New Roman" w:cs="Times New Roman"/>
          <w:sz w:val="24"/>
          <w:szCs w:val="24"/>
        </w:rPr>
        <w:t xml:space="preserve">. </w:t>
      </w:r>
      <w:r w:rsidR="00302B3E" w:rsidRPr="00AD04DA">
        <w:rPr>
          <w:rFonts w:ascii="Times New Roman" w:hAnsi="Times New Roman" w:cs="Times New Roman"/>
          <w:sz w:val="24"/>
          <w:szCs w:val="24"/>
        </w:rPr>
        <w:t>CFPPs implement flue gas desulfurization (FGD) to their gaseous streams before atmospheric release</w:t>
      </w:r>
      <w:r w:rsidR="00C3230E" w:rsidRPr="00AD04DA">
        <w:rPr>
          <w:rFonts w:ascii="Times New Roman" w:hAnsi="Times New Roman" w:cs="Times New Roman"/>
          <w:sz w:val="24"/>
          <w:szCs w:val="24"/>
        </w:rPr>
        <w:t xml:space="preserve"> of CO</w:t>
      </w:r>
      <w:r w:rsidR="00C3230E" w:rsidRPr="00AD04DA">
        <w:rPr>
          <w:rFonts w:ascii="Times New Roman" w:hAnsi="Times New Roman" w:cs="Times New Roman"/>
          <w:sz w:val="24"/>
          <w:szCs w:val="24"/>
          <w:vertAlign w:val="subscript"/>
        </w:rPr>
        <w:t>2</w:t>
      </w:r>
      <w:r w:rsidR="00CE3A53" w:rsidRPr="00AD04DA">
        <w:rPr>
          <w:rFonts w:ascii="Times New Roman" w:hAnsi="Times New Roman" w:cs="Times New Roman"/>
          <w:sz w:val="24"/>
          <w:szCs w:val="24"/>
        </w:rPr>
        <w:t xml:space="preserve"> to </w:t>
      </w:r>
      <w:r w:rsidR="00C567CD" w:rsidRPr="00AD04DA">
        <w:rPr>
          <w:rFonts w:ascii="Times New Roman" w:hAnsi="Times New Roman" w:cs="Times New Roman"/>
          <w:sz w:val="24"/>
          <w:szCs w:val="24"/>
        </w:rPr>
        <w:t>remove</w:t>
      </w:r>
      <w:r w:rsidR="00CE3A53" w:rsidRPr="00AD04DA">
        <w:rPr>
          <w:rFonts w:ascii="Times New Roman" w:hAnsi="Times New Roman" w:cs="Times New Roman"/>
          <w:sz w:val="24"/>
          <w:szCs w:val="24"/>
        </w:rPr>
        <w:t xml:space="preserve"> SO</w:t>
      </w:r>
      <w:r w:rsidR="00CE3A53" w:rsidRPr="00AD04DA">
        <w:rPr>
          <w:rFonts w:ascii="Times New Roman" w:hAnsi="Times New Roman" w:cs="Times New Roman"/>
          <w:sz w:val="24"/>
          <w:szCs w:val="24"/>
          <w:vertAlign w:val="subscript"/>
        </w:rPr>
        <w:t>2</w:t>
      </w:r>
      <w:r w:rsidR="00CE3A53" w:rsidRPr="00AD04DA">
        <w:rPr>
          <w:rFonts w:ascii="Times New Roman" w:hAnsi="Times New Roman" w:cs="Times New Roman"/>
          <w:sz w:val="24"/>
          <w:szCs w:val="24"/>
        </w:rPr>
        <w:t xml:space="preserve"> </w:t>
      </w:r>
      <w:r w:rsidR="00C567CD" w:rsidRPr="00AD04DA">
        <w:rPr>
          <w:rFonts w:ascii="Times New Roman" w:hAnsi="Times New Roman" w:cs="Times New Roman"/>
          <w:sz w:val="24"/>
          <w:szCs w:val="24"/>
        </w:rPr>
        <w:t>from flue gas</w:t>
      </w:r>
      <w:r w:rsidR="00302B3E"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{"citationID":"HsmpqAyW","properties":{"formattedCitation":"\\super 11,12\\nosupersub{}","plainCitation":"11,12","noteIndex":0},"citationItems":[{"id":697,"uris":["http://zotero.org/users/8284751/items/ZNWZXNK6"],"itemData":{"id":697,"type":"article-journal","abstract":"The emissions limits, which are currently harder to meet than a few years ago, foster energy sector entrepreneurs to consider the possibilities of economically eﬃcient emissions-reductions at their power plants. Within this paper the main methods of sulphur dioxide reduction will be described. The second problem considered in this paper is related to the economic aspect of emissions reduction. The choice of the method is often based on the comparison of costs associated with the appropriate methods. Therefore, for the technologies described, the average reduction costs will be presented and the most eﬃcient way will be highlighted.","container-title":"Applied Energy","DOI":"10.1016/S0306-2619(03)00029-1","ISSN":"03062619","issue":"3-4","journalAbbreviation":"Applied Energy","language":"en","page":"165-172","source":"DOI.org (Crossref)","title":"Technologies and costs of SO2-emissions reduction for the energy sector","volume":"75","author":[{"family":"Kaminski","given":"Jacek"}],"issued":{"date-parts":[["2003",7]]}}},{"id":699,"uris":["http://zotero.org/users/8284751/items/S7VB5VFF"],"itemData":{"id":699,"type":"article-journal","abstract":"Coal-fired electricity-generating plants may use SO2 scrubbers to meet the requirements of Phase II of the Acid Rain SO2 Reduction Program. Additionally, the use of scrubbers can result in reduction of Hg and other emissions from combustion sources. It is timely, therefore, to examine the current status of SO2 scrubbing technologies. This paper presents a comprehensive review of the state of the art in flue gas desulfurization (FGD) technologies for coalfired boilers.","container-title":"Journal of the Air &amp; Waste Management Association","DOI":"10.1080/10473289.2001.10464387","ISSN":"1096-2247, 2162-2906","issue":"12","journalAbbreviation":"Journal of the Air &amp; Waste Management Association","language":"en","page":"1676-1688","source":"DOI.org (Crossref)","title":"Flue Gas Desulfurization: The State of the Art","title-short":"Flue Gas Desulfurization","volume":"51","author":[{"family":"Srivastava","given":"R. K."},{"family":"Jozewicz","given":"W."}],"issued":{"date-parts":[["2001",12]]}}}],"schema":"https://github.com/citation-style-language/schema/raw/master/csl-citation.json"} </w:instrText>
      </w:r>
      <w:r w:rsidR="00302B3E"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11,12</w:t>
      </w:r>
      <w:r w:rsidR="00302B3E" w:rsidRPr="00AD04DA">
        <w:rPr>
          <w:rFonts w:ascii="Times New Roman" w:hAnsi="Times New Roman" w:cs="Times New Roman"/>
          <w:sz w:val="24"/>
          <w:szCs w:val="24"/>
        </w:rPr>
        <w:fldChar w:fldCharType="end"/>
      </w:r>
      <w:r w:rsidR="00302B3E" w:rsidRPr="00AD04DA">
        <w:rPr>
          <w:rFonts w:ascii="Times New Roman" w:hAnsi="Times New Roman" w:cs="Times New Roman"/>
          <w:sz w:val="24"/>
          <w:szCs w:val="24"/>
        </w:rPr>
        <w:t>.</w:t>
      </w:r>
      <w:r w:rsidR="00392456" w:rsidRPr="00AD04DA">
        <w:rPr>
          <w:rFonts w:ascii="Times New Roman" w:hAnsi="Times New Roman" w:cs="Times New Roman"/>
          <w:sz w:val="24"/>
          <w:szCs w:val="24"/>
        </w:rPr>
        <w:t xml:space="preserve"> </w:t>
      </w:r>
      <w:r w:rsidR="00C02C6F" w:rsidRPr="00AD04DA">
        <w:rPr>
          <w:rFonts w:ascii="Times New Roman" w:hAnsi="Times New Roman" w:cs="Times New Roman"/>
          <w:sz w:val="24"/>
          <w:szCs w:val="24"/>
        </w:rPr>
        <w:t>FGD can be achieved in both wet and dry systems, but wet scrubbing systems are the most widely implemented due to their higher SO</w:t>
      </w:r>
      <w:r w:rsidR="00C02C6F" w:rsidRPr="00AD04DA">
        <w:rPr>
          <w:rFonts w:ascii="Times New Roman" w:hAnsi="Times New Roman" w:cs="Times New Roman"/>
          <w:sz w:val="24"/>
          <w:szCs w:val="24"/>
          <w:vertAlign w:val="subscript"/>
        </w:rPr>
        <w:t>2</w:t>
      </w:r>
      <w:r w:rsidR="00C02C6F" w:rsidRPr="00AD04DA">
        <w:rPr>
          <w:rFonts w:ascii="Times New Roman" w:hAnsi="Times New Roman" w:cs="Times New Roman"/>
          <w:sz w:val="24"/>
          <w:szCs w:val="24"/>
        </w:rPr>
        <w:t xml:space="preserve"> removal</w:t>
      </w:r>
      <w:r w:rsidR="00C02C6F"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{"citationID":"QAnOuvmS","properties":{"formattedCitation":"\\super 12,13\\nosupersub{}","plainCitation":"12,13","noteIndex":0},"citationItems":[{"id":699,"uris":["http://zotero.org/users/8284751/items/S7VB5VFF"],"itemData":{"id":699,"type":"article-journal","abstract":"Coal-fired electricity-generating plants may use SO2 scrubbers to meet the requirements of Phase II of the Acid Rain SO2 Reduction Program. Additionally, the use of scrubbers can result in reduction of Hg and other emissions from combustion sources. It is timely, therefore, to examine the current status of SO2 scrubbing technologies. This paper presents a comprehensive review of the state of the art in flue gas desulfurization (FGD) technologies for coalfired boilers.","container-title":"Journal of the Air &amp; Waste Management Association","DOI":"10.1080/10473289.2001.10464387","ISSN":"1096-2247, 2162-2906","issue":"12","journalAbbreviation":"Journal of the Air &amp; Waste Management Association","language":"en","page":"1676-1688","source":"DOI.org (Crossref)","title":"Flue Gas Desulfurization: The State of the Art","title-short":"Flue Gas Desulfurization","volume":"51","author":[{"family":"Srivastava","given":"R. K."},{"family":"Jozewicz","given":"W."}],"issued":{"date-parts":[["2001",12]]}}},{"id":702,"uris":["http://zotero.org/users/8284751/items/TB72IE2J"],"itemData":{"id":702,"type":"webpage","title":"U.S. Environmental Protection Agency, Flue Gas Desulfurization - Wet, Spray Dry, and Dry Scrubbers","URL":"https://www3.epa.gov/ttncatc1/dir1/ffdg.pdf","accessed":{"date-parts":[["2022",3,28]]}}}],"schema":"https://github.com/citation-style-language/schema/raw/master/csl-citation.json"} </w:instrText>
      </w:r>
      <w:r w:rsidR="00C02C6F"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12,13</w:t>
      </w:r>
      <w:r w:rsidR="00C02C6F" w:rsidRPr="00AD04DA">
        <w:rPr>
          <w:rFonts w:ascii="Times New Roman" w:hAnsi="Times New Roman" w:cs="Times New Roman"/>
          <w:sz w:val="24"/>
          <w:szCs w:val="24"/>
        </w:rPr>
        <w:fldChar w:fldCharType="end"/>
      </w:r>
      <w:r w:rsidR="00C02C6F" w:rsidRPr="00AD04DA">
        <w:rPr>
          <w:rFonts w:ascii="Times New Roman" w:hAnsi="Times New Roman" w:cs="Times New Roman"/>
          <w:sz w:val="24"/>
          <w:szCs w:val="24"/>
        </w:rPr>
        <w:t>.</w:t>
      </w:r>
      <w:r w:rsidR="00084826" w:rsidRPr="00AD04DA">
        <w:rPr>
          <w:rFonts w:ascii="Times New Roman" w:hAnsi="Times New Roman" w:cs="Times New Roman"/>
          <w:sz w:val="24"/>
          <w:szCs w:val="24"/>
        </w:rPr>
        <w:t xml:space="preserve"> The standard approach for SO</w:t>
      </w:r>
      <w:r w:rsidR="00084826" w:rsidRPr="00AD04DA">
        <w:rPr>
          <w:rFonts w:ascii="Times New Roman" w:hAnsi="Times New Roman" w:cs="Times New Roman"/>
          <w:sz w:val="24"/>
          <w:szCs w:val="24"/>
          <w:vertAlign w:val="subscript"/>
        </w:rPr>
        <w:t>2</w:t>
      </w:r>
      <w:r w:rsidR="00084826" w:rsidRPr="00AD04DA">
        <w:rPr>
          <w:rFonts w:ascii="Times New Roman" w:hAnsi="Times New Roman" w:cs="Times New Roman"/>
          <w:sz w:val="24"/>
          <w:szCs w:val="24"/>
        </w:rPr>
        <w:t xml:space="preserve"> scrubbing is to </w:t>
      </w:r>
      <w:r w:rsidR="00F0209D" w:rsidRPr="00AD04DA">
        <w:rPr>
          <w:rFonts w:ascii="Times New Roman" w:hAnsi="Times New Roman" w:cs="Times New Roman"/>
          <w:sz w:val="24"/>
          <w:szCs w:val="24"/>
        </w:rPr>
        <w:t xml:space="preserve">contact </w:t>
      </w:r>
      <w:r w:rsidR="0000530B" w:rsidRPr="00AD04DA">
        <w:rPr>
          <w:rFonts w:ascii="Times New Roman" w:hAnsi="Times New Roman" w:cs="Times New Roman"/>
          <w:sz w:val="24"/>
          <w:szCs w:val="24"/>
        </w:rPr>
        <w:t xml:space="preserve">the </w:t>
      </w:r>
      <w:r w:rsidR="00F0209D" w:rsidRPr="00AD04DA">
        <w:rPr>
          <w:rFonts w:ascii="Times New Roman" w:hAnsi="Times New Roman" w:cs="Times New Roman"/>
          <w:sz w:val="24"/>
          <w:szCs w:val="24"/>
        </w:rPr>
        <w:t>flue gas with a limestone (CaCO</w:t>
      </w:r>
      <w:r w:rsidR="00F0209D" w:rsidRPr="00AD04DA">
        <w:rPr>
          <w:rFonts w:ascii="Times New Roman" w:hAnsi="Times New Roman" w:cs="Times New Roman"/>
          <w:sz w:val="24"/>
          <w:szCs w:val="24"/>
          <w:vertAlign w:val="subscript"/>
        </w:rPr>
        <w:t>3</w:t>
      </w:r>
      <w:r w:rsidR="00F0209D" w:rsidRPr="00AD04DA">
        <w:rPr>
          <w:rFonts w:ascii="Times New Roman" w:hAnsi="Times New Roman" w:cs="Times New Roman"/>
          <w:sz w:val="24"/>
          <w:szCs w:val="24"/>
        </w:rPr>
        <w:t>) slurry</w:t>
      </w:r>
      <w:r w:rsidR="00B572E2" w:rsidRPr="00AD04DA">
        <w:rPr>
          <w:rFonts w:ascii="Times New Roman" w:hAnsi="Times New Roman" w:cs="Times New Roman"/>
          <w:sz w:val="24"/>
          <w:szCs w:val="24"/>
        </w:rPr>
        <w:t xml:space="preserve"> to sequester gaseous SO</w:t>
      </w:r>
      <w:r w:rsidR="00B572E2" w:rsidRPr="00AD04DA">
        <w:rPr>
          <w:rFonts w:ascii="Times New Roman" w:hAnsi="Times New Roman" w:cs="Times New Roman"/>
          <w:sz w:val="24"/>
          <w:szCs w:val="24"/>
          <w:vertAlign w:val="subscript"/>
        </w:rPr>
        <w:t>2</w:t>
      </w:r>
      <w:r w:rsidR="00B572E2" w:rsidRPr="00AD04DA">
        <w:rPr>
          <w:rFonts w:ascii="Times New Roman" w:hAnsi="Times New Roman" w:cs="Times New Roman"/>
          <w:sz w:val="24"/>
          <w:szCs w:val="24"/>
        </w:rPr>
        <w:t xml:space="preserve"> into the slurry as gypsum (CaS</w:t>
      </w:r>
      <w:r w:rsidR="00B572E2" w:rsidRPr="00AD04DA">
        <w:rPr>
          <w:rFonts w:ascii="Times New Roman" w:hAnsi="Times New Roman" w:cs="Times New Roman"/>
          <w:color w:val="000000" w:themeColor="text1"/>
          <w:sz w:val="24"/>
          <w:szCs w:val="24"/>
        </w:rPr>
        <w:t>O</w:t>
      </w:r>
      <w:r w:rsidR="00B572E2" w:rsidRPr="00AD04DA">
        <w:rPr>
          <w:rFonts w:ascii="Times New Roman" w:hAnsi="Times New Roman" w:cs="Times New Roman"/>
          <w:color w:val="000000" w:themeColor="text1"/>
          <w:sz w:val="24"/>
          <w:szCs w:val="24"/>
          <w:vertAlign w:val="subscript"/>
        </w:rPr>
        <w:t>4</w:t>
      </w:r>
      <w:r w:rsidR="00B572E2" w:rsidRPr="00AD04DA">
        <w:rPr>
          <w:rFonts w:ascii="Times New Roman" w:hAnsi="Times New Roman" w:cs="Times New Roman"/>
          <w:b/>
          <w:bCs/>
          <w:color w:val="000000" w:themeColor="text1"/>
          <w:sz w:val="24"/>
          <w:szCs w:val="24"/>
          <w:shd w:val="clear" w:color="auto" w:fill="FFFFFF"/>
        </w:rPr>
        <w:t>·</w:t>
      </w:r>
      <w:r w:rsidR="00871CB3" w:rsidRPr="00AD04DA">
        <w:rPr>
          <w:rFonts w:ascii="Times New Roman" w:hAnsi="Times New Roman" w:cs="Times New Roman"/>
          <w:color w:val="000000" w:themeColor="text1"/>
          <w:sz w:val="24"/>
          <w:szCs w:val="24"/>
          <w:shd w:val="clear" w:color="auto" w:fill="FFFFFF"/>
        </w:rPr>
        <w:t>2</w:t>
      </w:r>
      <w:r w:rsidR="00B572E2" w:rsidRPr="00AD04DA">
        <w:rPr>
          <w:rFonts w:ascii="Times New Roman" w:hAnsi="Times New Roman" w:cs="Times New Roman"/>
          <w:sz w:val="24"/>
          <w:szCs w:val="24"/>
        </w:rPr>
        <w:t>H</w:t>
      </w:r>
      <w:r w:rsidR="00B572E2" w:rsidRPr="00AD04DA">
        <w:rPr>
          <w:rFonts w:ascii="Times New Roman" w:hAnsi="Times New Roman" w:cs="Times New Roman"/>
          <w:sz w:val="24"/>
          <w:szCs w:val="24"/>
          <w:vertAlign w:val="subscript"/>
        </w:rPr>
        <w:t>2</w:t>
      </w:r>
      <w:r w:rsidR="00B572E2" w:rsidRPr="00AD04DA">
        <w:rPr>
          <w:rFonts w:ascii="Times New Roman" w:hAnsi="Times New Roman" w:cs="Times New Roman"/>
          <w:sz w:val="24"/>
          <w:szCs w:val="24"/>
        </w:rPr>
        <w:t>O)</w:t>
      </w:r>
      <w:r w:rsidR="003965DD"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{"citationID":"nYXFJbV4","properties":{"formattedCitation":"\\super 14\\nosupersub{}","plainCitation":"14","noteIndex":0},"citationItems":[{"id":704,"uris":["http://zotero.org/users/8284751/items/INWVR4BC"],"itemData":{"id":704,"type":"article-journal","abstract":"Dissolution rates of two very pure limestone samples were measured experimentally by means of the pH-stat method under conditions where mechanical stirring did not aﬀect the rates considerably. The experimental results were modeled mathematically by considering the surface areas of the particles changing dynamically through the reaction; moreover, a surface factor was introduced in order to account for the nonsphericity of the particles. The surface areas were measured by means of gas adsorption and by particle size distribution (laser diﬀraction). Liquid-phase concentrations were measured by inductively coupled plasma optical emission spectrometry, and surface compositions were measured by X-ray spectroscopy. Furthermore, scanning electron microscope images of the samples are presented. Subsequently, an optimization model of a scrubber was developed by using the intrinsic parameters of the samples, which were determined experimentally. The optimization results indicate that up to 34−50% of the power required for milling can be saved by milling to a coarser particle size than the commonly used size of 44 μm, depending on the sample type. The present model of the lab-scale experimental study and the optimization model can be employed to estimate the actual impact that using diﬀerent types of raw material would have in the operation of a wet ﬂue gas desulfurization scrubber.","container-title":"Industrial &amp; Engineering Chemistry Research","DOI":"10.1021/acs.iecr.5b02691","ISSN":"0888-5885, 1520-5045","issue":"40","journalAbbreviation":"Ind. Eng. Chem. Res.","language":"en","page":"9783-9797","source":"DOI.org (Crossref)","title":"Optimization of a Wet Flue Gas Desulfurization Scrubber through Mathematical Modeling of Limestone Dissolution Experiments","volume":"54","author":[{"family":"Carletti","given":"Claudio"},{"family":"Blasio","given":"Cataldo De"},{"family":"Mäkilä","given":"Ermei"},{"family":"Salonen","given":"Jarno"},{"family":"Westerlund","given":"Tapio"}],"issued":{"date-parts":[["2015",10,14]]}}}],"schema":"https://github.com/citation-style-language/schema/raw/master/csl-citation.json"} </w:instrText>
      </w:r>
      <w:r w:rsidR="003965DD"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14</w:t>
      </w:r>
      <w:r w:rsidR="003965DD" w:rsidRPr="00AD04DA">
        <w:rPr>
          <w:rFonts w:ascii="Times New Roman" w:hAnsi="Times New Roman" w:cs="Times New Roman"/>
          <w:sz w:val="24"/>
          <w:szCs w:val="24"/>
        </w:rPr>
        <w:fldChar w:fldCharType="end"/>
      </w:r>
      <w:r w:rsidR="003965DD" w:rsidRPr="00AD04DA">
        <w:rPr>
          <w:rFonts w:ascii="Times New Roman" w:hAnsi="Times New Roman" w:cs="Times New Roman"/>
          <w:sz w:val="24"/>
          <w:szCs w:val="24"/>
        </w:rPr>
        <w:t>.</w:t>
      </w:r>
      <w:r w:rsidR="00AE103E" w:rsidRPr="00AD04DA">
        <w:rPr>
          <w:rFonts w:ascii="Times New Roman" w:hAnsi="Times New Roman" w:cs="Times New Roman"/>
          <w:sz w:val="24"/>
          <w:szCs w:val="24"/>
        </w:rPr>
        <w:t xml:space="preserve"> Figure </w:t>
      </w:r>
      <w:r w:rsidR="00CB48B2" w:rsidRPr="00AD04DA">
        <w:rPr>
          <w:rFonts w:ascii="Times New Roman" w:hAnsi="Times New Roman" w:cs="Times New Roman"/>
          <w:sz w:val="24"/>
          <w:szCs w:val="24"/>
        </w:rPr>
        <w:t>1</w:t>
      </w:r>
      <w:r w:rsidR="00AE103E" w:rsidRPr="00AD04DA">
        <w:rPr>
          <w:rFonts w:ascii="Times New Roman" w:hAnsi="Times New Roman" w:cs="Times New Roman"/>
          <w:sz w:val="24"/>
          <w:szCs w:val="24"/>
        </w:rPr>
        <w:t xml:space="preserve"> shows a schematic of an example FGD wet scrubbing system.</w:t>
      </w:r>
    </w:p>
    <w:p w14:paraId="235A98EB" w14:textId="492C284C" w:rsidR="00AE103E" w:rsidRPr="00AD04DA" w:rsidRDefault="00AE103E" w:rsidP="00AE103E">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4B94FE8F" wp14:editId="6AF0BFB1">
            <wp:extent cx="4204338" cy="340556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25354" cy="3422589"/>
                    </a:xfrm>
                    <a:prstGeom prst="rect">
                      <a:avLst/>
                    </a:prstGeom>
                    <a:noFill/>
                  </pic:spPr>
                </pic:pic>
              </a:graphicData>
            </a:graphic>
          </wp:inline>
        </w:drawing>
      </w:r>
    </w:p>
    <w:p w14:paraId="3E12B4D1" w14:textId="524ADF08" w:rsidR="00AE103E" w:rsidRDefault="00AE103E" w:rsidP="00CB48B2">
      <w:pPr>
        <w:spacing w:line="240" w:lineRule="auto"/>
        <w:jc w:val="center"/>
        <w:rPr>
          <w:rFonts w:ascii="Times New Roman" w:hAnsi="Times New Roman" w:cs="Times New Roman"/>
          <w:color w:val="000000" w:themeColor="text1"/>
          <w:sz w:val="24"/>
          <w:szCs w:val="24"/>
          <w:shd w:val="clear" w:color="auto" w:fill="FFFFFF"/>
        </w:rPr>
      </w:pPr>
      <w:r w:rsidRPr="00AD04DA">
        <w:rPr>
          <w:rFonts w:ascii="Times New Roman" w:hAnsi="Times New Roman" w:cs="Times New Roman"/>
          <w:b/>
          <w:bCs/>
          <w:sz w:val="24"/>
          <w:szCs w:val="24"/>
        </w:rPr>
        <w:t xml:space="preserve">Figure </w:t>
      </w:r>
      <w:r w:rsidR="00CB48B2" w:rsidRPr="00AD04DA">
        <w:rPr>
          <w:rFonts w:ascii="Times New Roman" w:hAnsi="Times New Roman" w:cs="Times New Roman"/>
          <w:b/>
          <w:bCs/>
          <w:sz w:val="24"/>
          <w:szCs w:val="24"/>
        </w:rPr>
        <w:t>1</w:t>
      </w:r>
      <w:r w:rsidRPr="00AD04DA">
        <w:rPr>
          <w:rFonts w:ascii="Times New Roman" w:hAnsi="Times New Roman" w:cs="Times New Roman"/>
          <w:b/>
          <w:bCs/>
          <w:sz w:val="24"/>
          <w:szCs w:val="24"/>
        </w:rPr>
        <w:t xml:space="preserve">: </w:t>
      </w:r>
      <w:r w:rsidR="0053778F" w:rsidRPr="00AD04DA">
        <w:rPr>
          <w:rFonts w:ascii="Times New Roman" w:hAnsi="Times New Roman" w:cs="Times New Roman"/>
          <w:sz w:val="24"/>
          <w:szCs w:val="24"/>
        </w:rPr>
        <w:t>Schematic of a</w:t>
      </w:r>
      <w:r w:rsidR="006C2A49" w:rsidRPr="00AD04DA">
        <w:rPr>
          <w:rFonts w:ascii="Times New Roman" w:hAnsi="Times New Roman" w:cs="Times New Roman"/>
          <w:sz w:val="24"/>
          <w:szCs w:val="24"/>
        </w:rPr>
        <w:t>n</w:t>
      </w:r>
      <w:r w:rsidR="0053778F" w:rsidRPr="00AD04DA">
        <w:rPr>
          <w:rFonts w:ascii="Times New Roman" w:hAnsi="Times New Roman" w:cs="Times New Roman"/>
          <w:sz w:val="24"/>
          <w:szCs w:val="24"/>
        </w:rPr>
        <w:t xml:space="preserve"> FGD wet scrubbing system. A limestone slurry is sprayed over flue gas to absorb SO</w:t>
      </w:r>
      <w:r w:rsidR="0053778F" w:rsidRPr="00AD04DA">
        <w:rPr>
          <w:rFonts w:ascii="Times New Roman" w:hAnsi="Times New Roman" w:cs="Times New Roman"/>
          <w:sz w:val="24"/>
          <w:szCs w:val="24"/>
          <w:vertAlign w:val="subscript"/>
        </w:rPr>
        <w:t>2</w:t>
      </w:r>
      <w:r w:rsidR="0053778F" w:rsidRPr="00AD04DA">
        <w:rPr>
          <w:rFonts w:ascii="Times New Roman" w:hAnsi="Times New Roman" w:cs="Times New Roman"/>
          <w:sz w:val="24"/>
          <w:szCs w:val="24"/>
        </w:rPr>
        <w:t xml:space="preserve"> from the gas phase into the liquid slurry as CaSO</w:t>
      </w:r>
      <w:r w:rsidR="0053778F" w:rsidRPr="00AD04DA">
        <w:rPr>
          <w:rFonts w:ascii="Times New Roman" w:hAnsi="Times New Roman" w:cs="Times New Roman"/>
          <w:sz w:val="24"/>
          <w:szCs w:val="24"/>
          <w:vertAlign w:val="subscript"/>
        </w:rPr>
        <w:t>4</w:t>
      </w:r>
      <w:r w:rsidR="0053778F" w:rsidRPr="00AD04DA">
        <w:rPr>
          <w:rFonts w:ascii="Times New Roman" w:hAnsi="Times New Roman" w:cs="Times New Roman"/>
          <w:b/>
          <w:bCs/>
          <w:color w:val="000000" w:themeColor="text1"/>
          <w:sz w:val="24"/>
          <w:szCs w:val="24"/>
          <w:shd w:val="clear" w:color="auto" w:fill="FFFFFF"/>
        </w:rPr>
        <w:t>·</w:t>
      </w:r>
      <w:r w:rsidR="002E69FB" w:rsidRPr="00AD04DA">
        <w:rPr>
          <w:rFonts w:ascii="Times New Roman" w:hAnsi="Times New Roman" w:cs="Times New Roman"/>
          <w:color w:val="000000" w:themeColor="text1"/>
          <w:sz w:val="24"/>
          <w:szCs w:val="24"/>
          <w:shd w:val="clear" w:color="auto" w:fill="FFFFFF"/>
        </w:rPr>
        <w:t>2</w:t>
      </w:r>
      <w:r w:rsidR="0053778F" w:rsidRPr="00AD04DA">
        <w:rPr>
          <w:rFonts w:ascii="Times New Roman" w:hAnsi="Times New Roman" w:cs="Times New Roman"/>
          <w:color w:val="000000" w:themeColor="text1"/>
          <w:sz w:val="24"/>
          <w:szCs w:val="24"/>
          <w:shd w:val="clear" w:color="auto" w:fill="FFFFFF"/>
        </w:rPr>
        <w:t>H</w:t>
      </w:r>
      <w:r w:rsidR="0053778F" w:rsidRPr="00AD04DA">
        <w:rPr>
          <w:rFonts w:ascii="Times New Roman" w:hAnsi="Times New Roman" w:cs="Times New Roman"/>
          <w:color w:val="000000" w:themeColor="text1"/>
          <w:sz w:val="24"/>
          <w:szCs w:val="24"/>
          <w:shd w:val="clear" w:color="auto" w:fill="FFFFFF"/>
          <w:vertAlign w:val="subscript"/>
        </w:rPr>
        <w:t>2</w:t>
      </w:r>
      <w:r w:rsidR="0053778F" w:rsidRPr="00AD04DA">
        <w:rPr>
          <w:rFonts w:ascii="Times New Roman" w:hAnsi="Times New Roman" w:cs="Times New Roman"/>
          <w:color w:val="000000" w:themeColor="text1"/>
          <w:sz w:val="24"/>
          <w:szCs w:val="24"/>
          <w:shd w:val="clear" w:color="auto" w:fill="FFFFFF"/>
        </w:rPr>
        <w:t>O</w:t>
      </w:r>
      <w:r w:rsidR="00CC5020">
        <w:rPr>
          <w:rFonts w:ascii="Times New Roman" w:hAnsi="Times New Roman" w:cs="Times New Roman"/>
          <w:color w:val="000000" w:themeColor="text1"/>
          <w:sz w:val="24"/>
          <w:szCs w:val="24"/>
          <w:shd w:val="clear" w:color="auto" w:fill="FFFFFF"/>
        </w:rPr>
        <w:t xml:space="preserve"> (gypsum)</w:t>
      </w:r>
      <w:r w:rsidR="0053778F" w:rsidRPr="00AD04DA">
        <w:rPr>
          <w:rFonts w:ascii="Times New Roman" w:hAnsi="Times New Roman" w:cs="Times New Roman"/>
          <w:color w:val="000000" w:themeColor="text1"/>
          <w:sz w:val="24"/>
          <w:szCs w:val="24"/>
          <w:shd w:val="clear" w:color="auto" w:fill="FFFFFF"/>
        </w:rPr>
        <w:t>.</w:t>
      </w:r>
    </w:p>
    <w:p w14:paraId="0B492CF6" w14:textId="77777777" w:rsidR="00C96BBA" w:rsidRPr="00AD04DA" w:rsidRDefault="00C96BBA" w:rsidP="00CB48B2">
      <w:pPr>
        <w:spacing w:line="240" w:lineRule="auto"/>
        <w:jc w:val="center"/>
        <w:rPr>
          <w:rFonts w:ascii="Times New Roman" w:hAnsi="Times New Roman" w:cs="Times New Roman"/>
          <w:sz w:val="24"/>
          <w:szCs w:val="24"/>
        </w:rPr>
      </w:pPr>
    </w:p>
    <w:p w14:paraId="2AC46D0D" w14:textId="717002D7" w:rsidR="009D5668" w:rsidRPr="00AD04DA" w:rsidRDefault="009D5668" w:rsidP="008145EB">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F57AC3" w:rsidRPr="00AD04DA">
        <w:rPr>
          <w:rFonts w:ascii="Times New Roman" w:hAnsi="Times New Roman" w:cs="Times New Roman"/>
          <w:sz w:val="24"/>
          <w:szCs w:val="24"/>
        </w:rPr>
        <w:t xml:space="preserve"> </w:t>
      </w:r>
      <w:r w:rsidR="00BD3EE3" w:rsidRPr="00AD04DA">
        <w:rPr>
          <w:rFonts w:ascii="Times New Roman" w:hAnsi="Times New Roman" w:cs="Times New Roman"/>
          <w:sz w:val="24"/>
          <w:szCs w:val="24"/>
        </w:rPr>
        <w:t>There are additional environmentally significant species present in CFPPs</w:t>
      </w:r>
      <w:r w:rsidR="00F57AC3" w:rsidRPr="00AD04DA">
        <w:rPr>
          <w:rFonts w:ascii="Times New Roman" w:hAnsi="Times New Roman" w:cs="Times New Roman"/>
          <w:sz w:val="24"/>
          <w:szCs w:val="24"/>
        </w:rPr>
        <w:t>.</w:t>
      </w:r>
      <w:r w:rsidR="00107436" w:rsidRPr="00AD04DA">
        <w:rPr>
          <w:rFonts w:ascii="Times New Roman" w:hAnsi="Times New Roman" w:cs="Times New Roman"/>
          <w:sz w:val="24"/>
          <w:szCs w:val="24"/>
        </w:rPr>
        <w:t xml:space="preserve"> </w:t>
      </w:r>
      <w:r w:rsidR="00514049" w:rsidRPr="00AD04DA">
        <w:rPr>
          <w:rFonts w:ascii="Times New Roman" w:hAnsi="Times New Roman" w:cs="Times New Roman"/>
          <w:sz w:val="24"/>
          <w:szCs w:val="24"/>
        </w:rPr>
        <w:t xml:space="preserve">Coal </w:t>
      </w:r>
      <w:r w:rsidR="006F5545" w:rsidRPr="00AD04DA">
        <w:rPr>
          <w:rFonts w:ascii="Times New Roman" w:hAnsi="Times New Roman" w:cs="Times New Roman"/>
          <w:sz w:val="24"/>
          <w:szCs w:val="24"/>
        </w:rPr>
        <w:t xml:space="preserve">deposits </w:t>
      </w:r>
      <w:r w:rsidR="00514049" w:rsidRPr="00AD04DA">
        <w:rPr>
          <w:rFonts w:ascii="Times New Roman" w:hAnsi="Times New Roman" w:cs="Times New Roman"/>
          <w:sz w:val="24"/>
          <w:szCs w:val="24"/>
        </w:rPr>
        <w:t>contain</w:t>
      </w:r>
      <w:r w:rsidR="006F5545" w:rsidRPr="00AD04DA">
        <w:rPr>
          <w:rFonts w:ascii="Times New Roman" w:hAnsi="Times New Roman" w:cs="Times New Roman"/>
          <w:sz w:val="24"/>
          <w:szCs w:val="24"/>
        </w:rPr>
        <w:t xml:space="preserve"> several </w:t>
      </w:r>
      <w:r w:rsidR="00514049" w:rsidRPr="00AD04DA">
        <w:rPr>
          <w:rFonts w:ascii="Times New Roman" w:hAnsi="Times New Roman" w:cs="Times New Roman"/>
          <w:sz w:val="24"/>
          <w:szCs w:val="24"/>
        </w:rPr>
        <w:t>trace elements</w:t>
      </w:r>
      <w:r w:rsidR="006F5545" w:rsidRPr="00AD04DA">
        <w:rPr>
          <w:rFonts w:ascii="Times New Roman" w:hAnsi="Times New Roman" w:cs="Times New Roman"/>
          <w:sz w:val="24"/>
          <w:szCs w:val="24"/>
        </w:rPr>
        <w:t xml:space="preserve"> that were either present at the site of coal formation </w:t>
      </w:r>
      <w:r w:rsidR="00514049" w:rsidRPr="00AD04DA">
        <w:rPr>
          <w:rFonts w:ascii="Times New Roman" w:hAnsi="Times New Roman" w:cs="Times New Roman"/>
          <w:sz w:val="24"/>
          <w:szCs w:val="24"/>
        </w:rPr>
        <w:t>or that were delivered through groundwater cycles</w:t>
      </w:r>
      <w:r w:rsidR="00514049"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{"citationID":"L85gKajC","properties":{"formattedCitation":"\\super 15,16\\nosupersub{}","plainCitation":"15,16","noteIndex":0},"citationItems":[{"id":714,"uris":["http://zotero.org/users/8284751/items/F7VL6UUS"],"itemData":{"id":714,"type":"article-journal","abstract":"Black shale and coal Clarke values are the average trace element contents in the World black shales and coals. These calculations are made in Russian geochemistry but up to now are poorly known in the West. Modern tables of black shale and coal Clarkes are presented, based on comprehensive calculations using very large amount of information (thousands analyses of black shales, coals, and coal ashes for trace elements). In black shale geochemistry, three ﬁgures were calculated for each main lithologies: terrigenous (+tuff), chert, and carbonate. Two Clarke estimations are presented, named “lithological” (K1) and “lithostratigraphical” (K2). In coal geochemistry, seven ﬁgures were calculated for each trace element: average content in hard coals and their ashes; average content in brown coals and their ashes; average content in all coals and their ashes; and coal afﬁnity index (or “coalphile index”) = average content in all ashes/Clarke values of sedimentary rocks.","container-title":"International Journal of Coal Geology","DOI":"10.1016/j.coal.2009.01.002","ISSN":"01665162","issue":"2","journalAbbreviation":"International Journal of Coal Geology","language":"en","page":"135-148","source":"DOI.org (Crossref)","title":"Estimations of Clarkes for Carbonaceous biolithes: World averages for trace element contents in black shales and coals","title-short":"Estimations of Clarkes for Carbonaceous biolithes","volume":"78","author":[{"family":"Ketris","given":"M.P."},{"family":"Yudovich","given":"Ya.E."}],"issued":{"date-parts":[["2009",4]]}}},{"id":716,"uris":["http://zotero.org/users/8284751/items/3HM4HFAM"],"itemData":{"id":716,"type":"article-journal","abstract":"Trace elements such as mercury, arsenic and selenium present in coal are known to be of concern for public health. Coal-ﬁred power plants have resulted in emission of several tons of TEs in environment. These elements mostly evaporate during combustion and condense either homogeneously as sub-micron ash or heterogeneously onto already existing ﬁne ash. The coal–mineral and mineral–mineral associations play an important role in the formation of ﬁne particles and in subsequent condensation of trace elements in various phases. Any retention of these elements in ﬂy ash particles is strongly inﬂuenced by their association with other minerals in individual coal and mineral grains. Clean coal technology development is, therefore, a priority area for research and needs continuous improvements in increased efﬁciency and decreased pollutant emission. The paper will include trace elements in different coals from around the world. It will consider different modes of occurrences present in coals, the ash formation and evaporation of trace elements and emissions. The typical emissions from typical power stations will be presented. The paper will also review different approaches adopted in estimating the deportment of these elements. The paper at the end would discuss control strategies for reducing emissions and future directions.","container-title":"Fuel","DOI":"10.1016/j.fuel.2009.06.013","ISSN":"00162361","issue":"4","journalAbbreviation":"Fuel","language":"en","page":"904-911","source":"DOI.org (Crossref)","title":"Trace elements in coal: Associations with coal and minerals and their behavior during coal utilization – A review","title-short":"Trace elements in coal","volume":"89","author":[{"family":"Vejahati","given":"Farshid"},{"family":"Xu","given":"Zhenghe"},{"family":"Gupta","given":"Rajender"}],"issued":{"date-parts":[["2010",4]]}}}],"schema":"https://github.com/citation-style-language/schema/raw/master/csl-citation.json"} </w:instrText>
      </w:r>
      <w:r w:rsidR="00514049"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15,16</w:t>
      </w:r>
      <w:r w:rsidR="00514049" w:rsidRPr="00AD04DA">
        <w:rPr>
          <w:rFonts w:ascii="Times New Roman" w:hAnsi="Times New Roman" w:cs="Times New Roman"/>
          <w:sz w:val="24"/>
          <w:szCs w:val="24"/>
        </w:rPr>
        <w:fldChar w:fldCharType="end"/>
      </w:r>
      <w:r w:rsidR="00514049" w:rsidRPr="00AD04DA">
        <w:rPr>
          <w:rFonts w:ascii="Times New Roman" w:hAnsi="Times New Roman" w:cs="Times New Roman"/>
          <w:sz w:val="24"/>
          <w:szCs w:val="24"/>
        </w:rPr>
        <w:t xml:space="preserve">. </w:t>
      </w:r>
      <w:r w:rsidR="00DD65F7" w:rsidRPr="00AD04DA">
        <w:rPr>
          <w:rFonts w:ascii="Times New Roman" w:hAnsi="Times New Roman" w:cs="Times New Roman"/>
          <w:sz w:val="24"/>
          <w:szCs w:val="24"/>
        </w:rPr>
        <w:t>Coal combustion releases these trace elements</w:t>
      </w:r>
      <w:r w:rsidR="00DD65F7"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{"citationID":"lZDkc0Dg","properties":{"formattedCitation":"\\super 17,18\\nosupersub{}","plainCitation":"17,18","noteIndex":0},"citationItems":[{"id":718,"uris":["http://zotero.org/users/8284751/items/RU9FXYBE"],"itemData":{"id":718,"type":"article-journal","abstract":"Coal and coal combustion byproducts can have signiﬁcant concentrations of lanthanides (rare earth elements). Rare earths are vital in the production of modern electronics and optics, among other uses. Enrichment in coals may have been a function of a number of processes, with contributions from volcanic ash falls being among the most signiﬁcant mechanisms. In this paper, we discuss some of the important coal-based deposits in China and the US and critique classiﬁcation systems used to evaluate the relative value of the rare earth concentrations and the distribution of the elements within the coals and coal combustion byproducts.","container-title":"Minerals","DOI":"10.3390/min6020032","ISSN":"2075-163X","issue":"2","journalAbbreviation":"Minerals","language":"en","page":"32","source":"DOI.org (Crossref)","title":"Notes on Contributions to the Science of Rare Earth Element Enrichment in Coal and Coal Combustion Byproducts","volume":"6","author":[{"family":"Hower","given":"James"},{"family":"Granite","given":"Evan"},{"family":"Mayfield","given":"David"},{"family":"Lewis","given":"Ari"},{"family":"Finkelman","given":"Robert"}],"issued":{"date-parts":[["2016",3,31]]}}},{"id":720,"uris":["http://zotero.org/users/8284751/items/GSTKGQ5P"],"itemData":{"id":720,"type":"article-journal","abstract":"Fixed scrubber sludge (FSS), is a coal-combustion byproduct composed of ﬂue gas desulphurization sludge, ﬂy ash, and quick lime. FSS has potential usages as structural ﬁll and capping materials in mine land reclamation because of its low permeability and acid-neutralization capacity. Sediment cores extracted from an abandoned mine land reclamation site where FSS was used as a hydrologic barrier to groundwater recharge were analyzed in an effort to quantify the chemical phases (both primary and secondary) that constitute the FSS, and to evaluate any evidence of weathering that has occurred during the 18 years since emplacement. The primary solid phase is amorphous spheroids. Four different types were identiﬁed and their quantitative compositions were obtained, with SiO2, Al2O3, and FeO being the primary components. Of special concern was the occurrence and mobility of trace elements within the solid phases. Sequential extractions using different chemical reagents were conducted to analyze the concentrations of As, B, Ba, Cd, Cr, Cu, Ni, Pb, and Zn in different fractions as indications of mobility. The highest concentration of the trace elements was contained in the residual fraction, which is consistent with the amorphous spheroids being very resistant to chemical weathering. The results also suggest that the mobility of the trace elements decrease in the following order: B, Cu &gt; Cd, Zn, Pb, Cr &gt; Ba &gt; Ni &gt; As. Comparison of samples collected from the weathered edges and unweathered portions of the FSS layer reveal that a more aggressive weathering environment exists at the upper boundary of the FSS, where it is in contact with oxygenated soil water. The quantitative chemical compositions, distribution of trace elements, as well as evidence of how trace elements are released provide background data for the development a reactive transport model to simulate long-term effects of placing FSS in the natural environment; and particularly in areas that are being subjected to abandoned mine land reclamation.","container-title":"Fuel","DOI":"10.1016/j.fuel.2016.02.083","ISSN":"00162361","journalAbbreviation":"Fuel","language":"en","page":"304-314","source":"DOI.org (Crossref)","title":"Geochemical characterization of engineered coal-combustion byproducts (CCBs): Occurrence and mobility of trace elements, implications for interactions with acidic and ambient groundwater","title-short":"Geochemical characterization of engineered coal-combustion byproducts (CCBs)","volume":"177","author":[{"family":"Zhang","given":"Qian"},{"family":"Ghanem","given":"Hind"},{"family":"Branam","given":"Tracy D."},{"family":"Elswick","given":"Erika R."},{"family":"Olyphant","given":"Greg A."}],"issued":{"date-parts":[["2016",8]]}}}],"schema":"https://github.com/citation-style-language/schema/raw/master/csl-citation.json"} </w:instrText>
      </w:r>
      <w:r w:rsidR="00DD65F7"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17,18</w:t>
      </w:r>
      <w:r w:rsidR="00DD65F7" w:rsidRPr="00AD04DA">
        <w:rPr>
          <w:rFonts w:ascii="Times New Roman" w:hAnsi="Times New Roman" w:cs="Times New Roman"/>
          <w:sz w:val="24"/>
          <w:szCs w:val="24"/>
        </w:rPr>
        <w:fldChar w:fldCharType="end"/>
      </w:r>
      <w:r w:rsidR="00DD65F7" w:rsidRPr="00AD04DA">
        <w:rPr>
          <w:rFonts w:ascii="Times New Roman" w:hAnsi="Times New Roman" w:cs="Times New Roman"/>
          <w:sz w:val="24"/>
          <w:szCs w:val="24"/>
        </w:rPr>
        <w:t>, the most notable of which are heavy elements including arsenic, selenium, mercury, and lead</w:t>
      </w:r>
      <w:r w:rsidR="00DD65F7"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{"citationID":"whu3PLjQ","properties":{"formattedCitation":"\\super 19\\nosupersub{}","plainCitation":"19","noteIndex":0},"citationItems":[{"id":722,"uris":["http://zotero.org/users/8284751/items/XPBM37XV"],"itemData":{"id":722,"type":"article-journal","container-title":"Energy &amp; Fuels","DOI":"10.1021/ef900293u","ISSN":"0887-0624, 1520-5029","issue":"10","journalAbbreviation":"Energy Fuels","language":"en","page":"4805-4816","source":"DOI.org (Crossref)","title":"Partitioning of Mercury, Arsenic, Selenium, Boron, and Chloride in a Full-Scale Coal Combustion Process Equipped with Selective Catalytic Reduction, Electrostatic Precipitation, and Flue Gas Desulfurization Systems &lt;sup&gt;†&lt;/sup&gt;","volume":"23","author":[{"family":"Cheng","given":"Chin-Min"},{"family":"Hack","given":"Pauline"},{"family":"Chu","given":"Paul"},{"family":"Chang","given":"Yung-Nan"},{"family":"Lin","given":"Ting-Yu"},{"family":"Ko","given":"Chih-Sheng"},{"family":"Chiang","given":"Po-Han"},{"family":"He","given":"Cheng-Chun"},{"family":"Lai","given":"Yuan-Min"},{"family":"Pan","given":"Wei-Ping"}],"issued":{"date-parts":[["2009",10,15]]}}}],"schema":"https://github.com/citation-style-language/schema/raw/master/csl-citation.json"} </w:instrText>
      </w:r>
      <w:r w:rsidR="00DD65F7"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19</w:t>
      </w:r>
      <w:r w:rsidR="00DD65F7" w:rsidRPr="00AD04DA">
        <w:rPr>
          <w:rFonts w:ascii="Times New Roman" w:hAnsi="Times New Roman" w:cs="Times New Roman"/>
          <w:sz w:val="24"/>
          <w:szCs w:val="24"/>
        </w:rPr>
        <w:fldChar w:fldCharType="end"/>
      </w:r>
      <w:r w:rsidR="00DD65F7" w:rsidRPr="00AD04DA">
        <w:rPr>
          <w:rFonts w:ascii="Times New Roman" w:hAnsi="Times New Roman" w:cs="Times New Roman"/>
          <w:sz w:val="24"/>
          <w:szCs w:val="24"/>
        </w:rPr>
        <w:t>.</w:t>
      </w:r>
      <w:r w:rsidR="009E3A0E" w:rsidRPr="00AD04DA">
        <w:rPr>
          <w:rFonts w:ascii="Times New Roman" w:hAnsi="Times New Roman" w:cs="Times New Roman"/>
          <w:sz w:val="24"/>
          <w:szCs w:val="24"/>
        </w:rPr>
        <w:t xml:space="preserve"> Some of the</w:t>
      </w:r>
      <w:r w:rsidR="000E6385" w:rsidRPr="00AD04DA">
        <w:rPr>
          <w:rFonts w:ascii="Times New Roman" w:hAnsi="Times New Roman" w:cs="Times New Roman"/>
          <w:sz w:val="24"/>
          <w:szCs w:val="24"/>
        </w:rPr>
        <w:t>se</w:t>
      </w:r>
      <w:r w:rsidR="009E3A0E" w:rsidRPr="00AD04DA">
        <w:rPr>
          <w:rFonts w:ascii="Times New Roman" w:hAnsi="Times New Roman" w:cs="Times New Roman"/>
          <w:sz w:val="24"/>
          <w:szCs w:val="24"/>
        </w:rPr>
        <w:t xml:space="preserve"> trace elements partition into FGD wastewaters</w:t>
      </w:r>
      <w:r w:rsidR="00770C62" w:rsidRPr="00AD04DA">
        <w:rPr>
          <w:rFonts w:ascii="Times New Roman" w:hAnsi="Times New Roman" w:cs="Times New Roman"/>
          <w:sz w:val="24"/>
          <w:szCs w:val="24"/>
        </w:rPr>
        <w:t xml:space="preserve">, </w:t>
      </w:r>
      <w:r w:rsidR="00822D98" w:rsidRPr="00AD04DA">
        <w:rPr>
          <w:rFonts w:ascii="Times New Roman" w:hAnsi="Times New Roman" w:cs="Times New Roman"/>
          <w:sz w:val="24"/>
          <w:szCs w:val="24"/>
        </w:rPr>
        <w:t>including approximately</w:t>
      </w:r>
      <w:r w:rsidR="00742C22" w:rsidRPr="00AD04DA">
        <w:rPr>
          <w:rFonts w:ascii="Times New Roman" w:hAnsi="Times New Roman" w:cs="Times New Roman"/>
          <w:sz w:val="24"/>
          <w:szCs w:val="24"/>
        </w:rPr>
        <w:t xml:space="preserve"> 30% of selenium present in coal feed</w:t>
      </w:r>
      <w:r w:rsidR="00822D98" w:rsidRPr="00AD04DA">
        <w:rPr>
          <w:rFonts w:ascii="Times New Roman" w:hAnsi="Times New Roman" w:cs="Times New Roman"/>
          <w:sz w:val="24"/>
          <w:szCs w:val="24"/>
        </w:rPr>
        <w:t>s</w:t>
      </w:r>
      <w:r w:rsidR="00742C22"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{"citationID":"gaEpDWpH","properties":{"formattedCitation":"\\super 19\\nosupersub{}","plainCitation":"19","noteIndex":0},"citationItems":[{"id":722,"uris":["http://zotero.org/users/8284751/items/XPBM37XV"],"itemData":{"id":722,"type":"article-journal","container-title":"Energy &amp; Fuels","DOI":"10.1021/ef900293u","ISSN":"0887-0624, 1520-5029","issue":"10","journalAbbreviation":"Energy Fuels","language":"en","page":"4805-4816","source":"DOI.org (Crossref)","title":"Partitioning of Mercury, Arsenic, Selenium, Boron, and Chloride in a Full-Scale Coal Combustion Process Equipped with Selective Catalytic Reduction, Electrostatic Precipitation, and Flue Gas Desulfurization Systems &lt;sup&gt;†&lt;/sup&gt;","volume":"23","author":[{"family":"Cheng","given":"Chin-Min"},{"family":"Hack","given":"Pauline"},{"family":"Chu","given":"Paul"},{"family":"Chang","given":"Yung-Nan"},{"family":"Lin","given":"Ting-Yu"},{"family":"Ko","given":"Chih-Sheng"},{"family":"Chiang","given":"Po-Han"},{"family":"He","given":"Cheng-Chun"},{"family":"Lai","given":"Yuan-Min"},{"family":"Pan","given":"Wei-Ping"}],"issued":{"date-parts":[["2009",10,15]]}}}],"schema":"https://github.com/citation-style-language/schema/raw/master/csl-citation.json"} </w:instrText>
      </w:r>
      <w:r w:rsidR="00742C22"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19</w:t>
      </w:r>
      <w:r w:rsidR="00742C22" w:rsidRPr="00AD04DA">
        <w:rPr>
          <w:rFonts w:ascii="Times New Roman" w:hAnsi="Times New Roman" w:cs="Times New Roman"/>
          <w:sz w:val="24"/>
          <w:szCs w:val="24"/>
        </w:rPr>
        <w:fldChar w:fldCharType="end"/>
      </w:r>
      <w:r w:rsidR="00742C22" w:rsidRPr="00AD04DA">
        <w:rPr>
          <w:rFonts w:ascii="Times New Roman" w:hAnsi="Times New Roman" w:cs="Times New Roman"/>
          <w:sz w:val="24"/>
          <w:szCs w:val="24"/>
        </w:rPr>
        <w:t>.</w:t>
      </w:r>
      <w:r w:rsidR="00945991" w:rsidRPr="00AD04DA">
        <w:rPr>
          <w:rFonts w:ascii="Times New Roman" w:hAnsi="Times New Roman" w:cs="Times New Roman"/>
          <w:sz w:val="24"/>
          <w:szCs w:val="24"/>
        </w:rPr>
        <w:t xml:space="preserve"> The most common practice for disposing of FGD wastewaters is environmental release after treatment</w:t>
      </w:r>
      <w:r w:rsidR="00945991"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{"citationID":"QyptPar0","properties":{"formattedCitation":"\\super 20\\nosupersub{}","plainCitation":"20","noteIndex":0},"citationItems":[{"id":706,"uris":["http://zotero.org/users/8284751/items/CM4Z3XPY"],"itemData":{"id":706,"type":"document","publisher":"United States Environmental Protection Agency","title":"Technical Development Document for the Effluent Limitations Guidelines and Standards for the Steam Electric Power Generating Point Source Category","URL":"https://nepis.epa.gov/Exe/ZyNET.exe/P100NTDT.TXT?ZyActionD=ZyDocument&amp;Client=EPA&amp;Index=2011+Thru+2015&amp;Docs=&amp;Query=&amp;Time=&amp;EndTime=&amp;SearchMethod=1&amp;TocRestrict=n&amp;Toc=&amp;TocEntry=&amp;QField=&amp;QFieldYear=&amp;QFieldMonth=&amp;QFieldDay=&amp;IntQFieldOp=0&amp;ExtQFieldOp=0&amp;XmlQuery=&amp;File=D%3A%5Czyfiles%5CIndex%20Data%5C11thru15%5CTxt%5C00000018%5CP100NTDT.txt&amp;User=ANONYMOUS&amp;Password=anonymous&amp;SortMethod=h%7C-&amp;MaximumDocuments=1&amp;FuzzyDegree=0&amp;ImageQuality=r75g8/r75g8/x150y150g16/i425&amp;Display=hpfr&amp;DefSeekPage=x&amp;SearchBack=ZyActionL&amp;Back=ZyActionS&amp;BackDesc=Results%20page&amp;MaximumPages=1&amp;ZyEntry=1&amp;SeekPage=x&amp;ZyPURL#","issued":{"date-parts":[["2015",9]]}}}],"schema":"https://github.com/citation-style-language/schema/raw/master/csl-citation.json"} </w:instrText>
      </w:r>
      <w:r w:rsidR="00945991"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20</w:t>
      </w:r>
      <w:r w:rsidR="00945991" w:rsidRPr="00AD04DA">
        <w:rPr>
          <w:rFonts w:ascii="Times New Roman" w:hAnsi="Times New Roman" w:cs="Times New Roman"/>
          <w:sz w:val="24"/>
          <w:szCs w:val="24"/>
        </w:rPr>
        <w:fldChar w:fldCharType="end"/>
      </w:r>
      <w:r w:rsidR="00C75088" w:rsidRPr="00AD04DA">
        <w:rPr>
          <w:rFonts w:ascii="Times New Roman" w:hAnsi="Times New Roman" w:cs="Times New Roman"/>
          <w:sz w:val="24"/>
          <w:szCs w:val="24"/>
        </w:rPr>
        <w:t>,</w:t>
      </w:r>
      <w:r w:rsidR="00134728" w:rsidRPr="00AD04DA">
        <w:rPr>
          <w:rFonts w:ascii="Times New Roman" w:hAnsi="Times New Roman" w:cs="Times New Roman"/>
          <w:sz w:val="24"/>
          <w:szCs w:val="24"/>
        </w:rPr>
        <w:t xml:space="preserve"> creating significant environmental concern and making coal combustion a major cause of environmental selenium pollution</w:t>
      </w:r>
      <w:r w:rsidR="00134728"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{"citationID":"YuApR6CQ","properties":{"formattedCitation":"\\super 21\\uc0\\u8211{}23\\nosupersub{}","plainCitation":"21–23","noteIndex":0},"citationItems":[{"id":514,"uris":["http://zotero.org/users/8284751/items/KDY7Z6VX"],"itemData":{"id":514,"type":"article-journal","abstract":"Selenium (Se) contamination in surface and ground water in numerous river basins has become a critical problem worldwide in recent years. The exposure to Se, either direct consumption of Se or indirectly may be fatal to the human health because of its toxicity. The review begins with an introduction of Se chemistry, distribution and health threats, which are essential to the remediation techniques. Then, the review provides the recent and common removal techniques for Se, including reduction techniques, phytoremediation, bioremediation, coagulation-ﬂocculation, electrocoagulation (EC), electrochemical methods, adsorption, coprecipitation, electrokinetics, membrance technology, and chemical precipitation. Removal techniques concentrate on the advantages, drawbacks and the recent achievements of each technique. The review also takes an overall consideration of experimental conditions, comparison criteria and economic aspects.","container-title":"Environmental Research","DOI":"10.1016/j.envres.2018.02.037","ISSN":"00139351","journalAbbreviation":"Environmental Research","language":"en","page":"288-301","source":"DOI.org (Crossref)","title":"Selenium contamination, consequences and remediation techniques in water and soils: A review","title-short":"Selenium contamination, consequences and remediation techniques in water and soils","volume":"164","author":[{"family":"He","given":"Yangzhuo"},{"family":"Xiang","given":"Yujia"},{"family":"Zhou","given":"Yaoyu"},{"family":"Yang","given":"Yuan"},{"family":"Zhang","given":"Jiachao"},{"family":"Huang","given":"Hongli"},{"family":"Shang","given":"Cui"},{"family":"Luo","given":"Lin"},{"family":"Gao","given":"Jun"},{"family":"Tang","given":"Lin"}],"issued":{"date-parts":[["2018",7]]}}},{"id":512,"uris":["http://zotero.org/users/8284751/items/KFQG6M97"],"itemData":{"id":512,"type":"article-journal","abstract":"This review identifies challenges and opportunities facing the electricity generation sector in treating flue gas desulfurization wastewater.\n          , \n            In November 2015, the United States Environmental Protection Agency (EPA) promulgated the Effluent Limitations Guidelines (ELGs) for the Steam Electric Power Generating Sector. These guidelines either eliminate or lower permissible discharge limits for six wastewater streams produced at coal fired power plants (CFPPs), including flue gas desulfurization (FGD) wastewater. This paper summarizes the state of the art, describes fundamental challenges, and highlights critical research needs in FGD wastewater treatment. We begin by describing the processes that influence FGD wastewater production and composition. We then critically evaluate the best available technologies for treating FGD wastewater identified by the EPA during the regulatory process. Finally, we identify four critical challenges and research needs in complying with the 2015 ELGs including (1) removing selenium species from FGD wastewater, (2) achieving zero liquid discharge of pollutants from FGD wastewater while enabling water reuse at CFPPs, (3) developing water treatment systems that can respond to short-term fluctuations in CFPP electricity generation and wastewater production, and (4) optimizing the balance of capital and operational costs for FGD treatment when the power plant lifespan is uncertain.","container-title":"Environmental Science: Water Research &amp; Technology","DOI":"10.1039/C8EW00264A","ISSN":"2053-1400, 2053-1419","issue":"7","journalAbbreviation":"Environ. Sci.: Water Res. Technol.","language":"en","page":"909-925","source":"DOI.org (Crossref)","title":"Fundamental challenges and engineering opportunities in flue gas desulfurization wastewater treatment at coal fired power plants","volume":"4","author":[{"family":"Gingerich","given":"Daniel B."},{"family":"Grol","given":"Eric"},{"family":"Mauter","given":"Meagan S."}],"issued":{"date-parts":[["2018"]]}}},{"id":729,"uris":["http://zotero.org/users/8284751/items/NBPSQHXC"],"itemData":{"id":729,"type":"document","publisher":"Integrated Environmental Assessment and Management","title":"Conducting site-specific assessments of selenium bioaccumulation in aquatic systems","author":[{"family":"Ohlendorf","given":"Harry M"},{"family":"Covington","given":"Sean M"},{"family":"Byron","given":"Earl R"},{"family":"Arenal","given":"Christine A"}],"issued":{"date-parts":[["2010",6,4]]}}}],"schema":"https://github.com/citation-style-language/schema/raw/master/csl-citation.json"} </w:instrText>
      </w:r>
      <w:r w:rsidR="00134728"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21–23</w:t>
      </w:r>
      <w:r w:rsidR="00134728" w:rsidRPr="00AD04DA">
        <w:rPr>
          <w:rFonts w:ascii="Times New Roman" w:hAnsi="Times New Roman" w:cs="Times New Roman"/>
          <w:sz w:val="24"/>
          <w:szCs w:val="24"/>
        </w:rPr>
        <w:fldChar w:fldCharType="end"/>
      </w:r>
      <w:r w:rsidR="00134728" w:rsidRPr="00AD04DA">
        <w:rPr>
          <w:rFonts w:ascii="Times New Roman" w:hAnsi="Times New Roman" w:cs="Times New Roman"/>
          <w:sz w:val="24"/>
          <w:szCs w:val="24"/>
        </w:rPr>
        <w:t>.</w:t>
      </w:r>
      <w:r w:rsidR="00C75088" w:rsidRPr="00AD04DA">
        <w:rPr>
          <w:rFonts w:ascii="Times New Roman" w:hAnsi="Times New Roman" w:cs="Times New Roman"/>
          <w:sz w:val="24"/>
          <w:szCs w:val="24"/>
        </w:rPr>
        <w:t xml:space="preserve"> </w:t>
      </w:r>
    </w:p>
    <w:p w14:paraId="30DDFB87" w14:textId="18C87BD1" w:rsidR="00B971A8" w:rsidRPr="00AD04DA" w:rsidRDefault="00B971A8" w:rsidP="00780103">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Selenium is a</w:t>
      </w:r>
      <w:r w:rsidR="006F787E" w:rsidRPr="00AD04DA">
        <w:rPr>
          <w:rFonts w:ascii="Times New Roman" w:hAnsi="Times New Roman" w:cs="Times New Roman"/>
          <w:sz w:val="24"/>
          <w:szCs w:val="24"/>
        </w:rPr>
        <w:t>n essential trace element to humans and animals, playing a regulatory role in the immune system, thyroid, and reproductive system</w:t>
      </w:r>
      <w:r w:rsidR="00597FD3"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{"citationID":"s62llMUq","properties":{"formattedCitation":"\\super 24,25\\nosupersub{}","plainCitation":"24,25","noteIndex":0},"citationItems":[{"id":733,"uris":["http://zotero.org/users/8284751/items/WTRV299M"],"itemData":{"id":733,"type":"article-journal","abstract":"The many biological and biomedical effects of selenium are relatively unknown outside the selenium field. This fascinating element, initially described as a toxin, was subsequently shown to be essential for health and development. By the mid 1990s, selenium emerged as one of the most promising cancer chemopreventive agents, but subsequent human clinical trials yielded contradictory results. However, basic research on selenium continued to move at a rapid pace elucidating its many roles in health, development, and cancer prevention and promotion. Dietary selenium acts principally through selenoproteins, most of which are oxidoreductases involved in diverse cellular functions.","container-title":"Trends in Biochemical Sciences","DOI":"10.1016/j.tibs.2013.12.007","ISSN":"09680004","issue":"3","journalAbbreviation":"Trends in Biochemical Sciences","language":"en","page":"112-120","source":"DOI.org (Crossref)","title":"Selenium and selenocysteine: roles in cancer, health, and development","title-short":"Selenium and selenocysteine","volume":"39","author":[{"family":"Hatfield","given":"Dolph L."},{"family":"Tsuji","given":"Petra A."},{"family":"Carlson","given":"Bradley A."},{"family":"Gladyshev","given":"Vadim N."}],"issued":{"date-parts":[["2014",3]]}}},{"id":732,"uris":["http://zotero.org/users/8284751/items/M68H2IGJ"],"itemData":{"id":732,"type":"article-journal","abstract":"When hemolyzates from erythrocytes of selenium-deficient rats were incubated in vitro in the presence of ascorbate or H.O2, added glutathione failed to protect the hemoglobin from oxidative damage. This occurred because the erythrocytes were practically devoid of glutathione-peroxidase activity. Extensively purified preparations of glutathione peroxidase contained a large part of the 15Se of erythrocytes labeled in vivo. Many of the nutritional effects of selenium can be explained by its role in glutathione peroxidase.","container-title":"Science","DOI":"10.1126/science.179.4073.588","ISSN":"0036-8075, 1095-9203","issue":"4073","journalAbbreviation":"Science","language":"en","page":"588-590","source":"DOI.org (Crossref)","title":"Selenium: Biochemical Role as a Component of Glutathione Peroxidase","title-short":"Selenium","volume":"179","author":[{"family":"Rotruck","given":"J. T."},{"family":"Pope","given":"A. L."},{"family":"Ganther","given":"H. E."},{"family":"Swanson","given":"A. B."},{"family":"Hafeman","given":"D. G."},{"family":"Hoekstra","given":"W. G."}],"issued":{"date-parts":[["1973",2,9]]}}}],"schema":"https://github.com/citation-style-language/schema/raw/master/csl-citation.json"} </w:instrText>
      </w:r>
      <w:r w:rsidR="00597FD3"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24,25</w:t>
      </w:r>
      <w:r w:rsidR="00597FD3" w:rsidRPr="00AD04DA">
        <w:rPr>
          <w:rFonts w:ascii="Times New Roman" w:hAnsi="Times New Roman" w:cs="Times New Roman"/>
          <w:sz w:val="24"/>
          <w:szCs w:val="24"/>
        </w:rPr>
        <w:fldChar w:fldCharType="end"/>
      </w:r>
      <w:r w:rsidR="006F787E" w:rsidRPr="00AD04DA">
        <w:rPr>
          <w:rFonts w:ascii="Times New Roman" w:hAnsi="Times New Roman" w:cs="Times New Roman"/>
          <w:sz w:val="24"/>
          <w:szCs w:val="24"/>
        </w:rPr>
        <w:t>.</w:t>
      </w:r>
      <w:r w:rsidR="003606B2" w:rsidRPr="00AD04DA">
        <w:rPr>
          <w:rFonts w:ascii="Times New Roman" w:hAnsi="Times New Roman" w:cs="Times New Roman"/>
          <w:sz w:val="24"/>
          <w:szCs w:val="24"/>
        </w:rPr>
        <w:t xml:space="preserve"> Selenium deficiencies are associated with impaired immune response</w:t>
      </w:r>
      <w:r w:rsidR="003606B2"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{"citationID":"S8a30NE6","properties":{"formattedCitation":"\\super 26\\nosupersub{}","plainCitation":"26","noteIndex":0},"citationItems":[{"id":739,"uris":["http://zotero.org/users/8284751/items/LXNUUL6Y"],"itemData":{"id":739,"type":"article-journal","abstract":"Selenoproteins are proteins containing selenium in the form of the 21st amino acid, selenocysteine. Members of this protein family have many diverse functions, but their synthesis is dependent on a common set of cofactors and on dietary selenium. Although the functions of many selenoproteins are unknown, several disorders involving changes in selenoprotein structure, activity or expression have been reported. Selenium deficiency and mutations or polymorphisms in selenoprotein genes and synthesis cofactors are implicated in a variety of diseases, including muscle and cardiovascular disorders, immune dysfunction, cancer, neurological disorders and endocrine function. Members of this unusual family of proteins have roles in a variety of cell processes and diseases.","container-title":"Biochemical Journal","DOI":"10.1042/BJ20090219","ISSN":"0264-6021, 1470-8728","issue":"1","language":"en","page":"11-22","source":"DOI.org (Crossref)","title":"Regulation and function of selenoproteins in human disease","volume":"422","author":[{"family":"Bellinger","given":"Frederick P."},{"family":"Raman","given":"Arjun V."},{"family":"Reeves","given":"Mariclair A."},{"family":"Berry","given":"Marla J."}],"issued":{"date-parts":[["2009",8,15]]}}}],"schema":"https://github.com/citation-style-language/schema/raw/master/csl-citation.json"} </w:instrText>
      </w:r>
      <w:r w:rsidR="003606B2"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26</w:t>
      </w:r>
      <w:r w:rsidR="003606B2" w:rsidRPr="00AD04DA">
        <w:rPr>
          <w:rFonts w:ascii="Times New Roman" w:hAnsi="Times New Roman" w:cs="Times New Roman"/>
          <w:sz w:val="24"/>
          <w:szCs w:val="24"/>
        </w:rPr>
        <w:fldChar w:fldCharType="end"/>
      </w:r>
      <w:r w:rsidR="003606B2" w:rsidRPr="00AD04DA">
        <w:rPr>
          <w:rFonts w:ascii="Times New Roman" w:hAnsi="Times New Roman" w:cs="Times New Roman"/>
          <w:sz w:val="24"/>
          <w:szCs w:val="24"/>
        </w:rPr>
        <w:t>, arthritis</w:t>
      </w:r>
      <w:r w:rsidR="003606B2"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{"citationID":"PTkbmafb","properties":{"formattedCitation":"\\super 27\\nosupersub{}","plainCitation":"27","noteIndex":0},"citationItems":[{"id":738,"uris":["http://zotero.org/users/8284751/items/KP4CRF3E"],"itemData":{"id":738,"type":"article-journal","abstract":"Dietary selenium (]Se), mainly through its incorporation into selenoproteins, plays an important role in inﬂammation and immunity. Adequate levels of Se are important for initiating immunity, but they are also involved in regulating excessive immune responses and chronic inﬂammation. Evidence has emerged regarding roles for individual selenoproteins in regulating inﬂammation and immunity, and this has provided important insight into mechanisms by which Se inﬂuences these processes. Se deﬁciency has long been recognized to negatively impact immune cells during activation, differentiation, and proliferation. This is related to increased oxidative stress, but additional functions such as protein folding and calcium ﬂux may also be impaired in immune cells under Se deﬁcient conditions. Supplementing diets with above-adequate levels of Se can also impinge on immune cell function, with some types of inﬂammation and immunity particularly affected and sexually dimorphic effects of Se levels in some cases. In this comprehensivearticle, the roles of Se and individual selenoproteins in regulating immune cell signaling and function are discussed. Particular emphasis is given to how Se and selenoproteins are linked to redox signaling, oxidative burst, calcium ﬂux, and the subsequent effector functions of immune cells. Data obtained from cell culture and animal models are reviewed and compared with those involving human physiology and pathophysiology, including the effects of Se levels on inﬂammatory or immune-related diseases including anti-viral immunity, autoimmunity, sepsis, allergic asthma, and chronic inﬂammatory disorders. Finally, the beneﬁts and potential adverse effects of intervention with Se supplementation for various inﬂammatory or immune disorders are discussed. Antioxid. Redox Signal. 16, 705–743.","container-title":"Antioxidants &amp; Redox Signaling","DOI":"10.1089/ars.2011.4145","ISSN":"1523-0864, 1557-7716","issue":"7","journalAbbreviation":"Antioxidants &amp; Redox Signaling","language":"en","page":"705-743","source":"DOI.org (Crossref)","title":"The Role of Selenium in Inflammation and Immunity: From Molecular Mechanisms to Therapeutic Opportunities","title-short":"The Role of Selenium in Inflammation and Immunity","volume":"16","author":[{"family":"Huang","given":"Zhi"},{"family":"Rose","given":"Aaron H."},{"family":"Hoffmann","given":"Peter R."}],"issued":{"date-parts":[["2012",4]]}}}],"schema":"https://github.com/citation-style-language/schema/raw/master/csl-citation.json"} </w:instrText>
      </w:r>
      <w:r w:rsidR="003606B2"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27</w:t>
      </w:r>
      <w:r w:rsidR="003606B2" w:rsidRPr="00AD04DA">
        <w:rPr>
          <w:rFonts w:ascii="Times New Roman" w:hAnsi="Times New Roman" w:cs="Times New Roman"/>
          <w:sz w:val="24"/>
          <w:szCs w:val="24"/>
        </w:rPr>
        <w:fldChar w:fldCharType="end"/>
      </w:r>
      <w:r w:rsidR="003606B2" w:rsidRPr="00AD04DA">
        <w:rPr>
          <w:rFonts w:ascii="Times New Roman" w:hAnsi="Times New Roman" w:cs="Times New Roman"/>
          <w:sz w:val="24"/>
          <w:szCs w:val="24"/>
        </w:rPr>
        <w:t>, and asthma</w:t>
      </w:r>
      <w:r w:rsidR="003606B2"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{"citationID":"d8iCZqOB","properties":{"formattedCitation":"\\super 28\\nosupersub{}","plainCitation":"28","noteIndex":0},"citationItems":[{"id":737,"uris":["http://zotero.org/users/8284751/items/3YUMJS9U"],"itemData":{"id":737,"type":"article-journal","container-title":"Journal of Clinical Investigation","DOI":"10.1172/JCI43653","ISSN":"0021-9738","issue":"12","journalAbbreviation":"J. Clin. Invest.","language":"en","page":"4220-4235","source":"DOI.org (Crossref)","title":"Mutations in the selenocysteine insertion sequence–binding protein 2 gene lead to a multisystem selenoprotein deficiency disorder in humans","volume":"120","author":[{"family":"Schoenmakers","given":"Erik"},{"family":"Agostini","given":"Maura"},{"family":"Mitchell","given":"Catherine"},{"family":"Schoenmakers","given":"Nadia"},{"family":"Papp","given":"Laura"},{"family":"Rajanayagam","given":"Odelia"},{"family":"Padidela","given":"Raja"},{"family":"Ceron-Gutierrez","given":"Lourdes"},{"family":"Doffinger","given":"Rainer"},{"family":"Prevosto","given":"Claudia"},{"family":"Luan","given":"Jian’an"},{"family":"Montano","given":"Sergio"},{"family":"Lu","given":"Jun"},{"family":"Castanet","given":"Mireille"},{"family":"Clemons","given":"Nick"},{"family":"Groeneveld","given":"Matthijs"},{"family":"Castets","given":"Perrine"},{"family":"Karbaschi","given":"Mahsa"},{"family":"Aitken","given":"Sri"},{"family":"Dixon","given":"Adrian"},{"family":"Williams","given":"Jane"},{"family":"Campi","given":"Irene"},{"family":"Blount","given":"Margaret"},{"family":"Burton","given":"Hannah"},{"family":"Muntoni","given":"Francesco"},{"family":"O’Donovan","given":"Dominic"},{"family":"Dean","given":"Andrew"},{"family":"Warren","given":"Anne"},{"family":"Brierley","given":"Charlotte"},{"family":"Baguley","given":"David"},{"family":"Guicheney","given":"Pascale"},{"family":"Fitzgerald","given":"Rebecca"},{"family":"Coles","given":"Alasdair"},{"family":"Gaston","given":"Hill"},{"family":"Todd","given":"Pamela"},{"family":"Holmgren","given":"Arne"},{"family":"Khanna","given":"Kum Kum"},{"family":"Cooke","given":"Marcus"},{"family":"Semple","given":"Robert"},{"family":"Halsall","given":"David"},{"family":"Wareham","given":"Nicholas"},{"family":"Schwabe","given":"John"},{"family":"Grasso","given":"Lucia"},{"family":"Beck-Peccoz","given":"Paolo"},{"family":"Ogunko","given":"Arthur"},{"family":"Dattani","given":"Mehul"},{"family":"Gurnell","given":"Mark"},{"family":"Chatterjee","given":"Krishna"}],"issued":{"date-parts":[["2010",12,1]]}}}],"schema":"https://github.com/citation-style-language/schema/raw/master/csl-citation.json"} </w:instrText>
      </w:r>
      <w:r w:rsidR="003606B2"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28</w:t>
      </w:r>
      <w:r w:rsidR="003606B2" w:rsidRPr="00AD04DA">
        <w:rPr>
          <w:rFonts w:ascii="Times New Roman" w:hAnsi="Times New Roman" w:cs="Times New Roman"/>
          <w:sz w:val="24"/>
          <w:szCs w:val="24"/>
        </w:rPr>
        <w:fldChar w:fldCharType="end"/>
      </w:r>
      <w:r w:rsidR="003606B2" w:rsidRPr="00AD04DA">
        <w:rPr>
          <w:rFonts w:ascii="Times New Roman" w:hAnsi="Times New Roman" w:cs="Times New Roman"/>
          <w:sz w:val="24"/>
          <w:szCs w:val="24"/>
        </w:rPr>
        <w:t>.</w:t>
      </w:r>
      <w:r w:rsidR="002C5FD6" w:rsidRPr="00AD04DA">
        <w:rPr>
          <w:rFonts w:ascii="Times New Roman" w:hAnsi="Times New Roman" w:cs="Times New Roman"/>
          <w:sz w:val="24"/>
          <w:szCs w:val="24"/>
        </w:rPr>
        <w:t xml:space="preserve"> </w:t>
      </w:r>
      <w:r w:rsidRPr="00AD04DA">
        <w:rPr>
          <w:rFonts w:ascii="Times New Roman" w:hAnsi="Times New Roman" w:cs="Times New Roman"/>
          <w:sz w:val="24"/>
          <w:szCs w:val="24"/>
        </w:rPr>
        <w:t>However</w:t>
      </w:r>
      <w:r w:rsidR="007B753C" w:rsidRPr="00AD04DA">
        <w:rPr>
          <w:rFonts w:ascii="Times New Roman" w:hAnsi="Times New Roman" w:cs="Times New Roman"/>
          <w:sz w:val="24"/>
          <w:szCs w:val="24"/>
        </w:rPr>
        <w:t xml:space="preserve">, selenium becomes toxic to </w:t>
      </w:r>
      <w:r w:rsidR="007B753C" w:rsidRPr="00AD04DA">
        <w:rPr>
          <w:rFonts w:ascii="Times New Roman" w:hAnsi="Times New Roman" w:cs="Times New Roman"/>
          <w:sz w:val="24"/>
          <w:szCs w:val="24"/>
        </w:rPr>
        <w:lastRenderedPageBreak/>
        <w:t>humans above trace levels</w:t>
      </w:r>
      <w:r w:rsidR="005C37D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{"citationID":"n8IxmsaJ","properties":{"formattedCitation":"\\super 29,30\\nosupersub{}","plainCitation":"29,30","noteIndex":0},"citationItems":[{"id":741,"uris":["http://zotero.org/users/8284751/items/Y7X4XQA2"],"itemData":{"id":741,"type":"article-journal","container-title":"Publishing House of Tomsk State University","language":"en","page":"224","source":"Zotero","title":"ESSENTIAL TRACE ELEMENTS IN HUMAN HEALTH: A PHYSICIAN'S VIEW","author":[{"family":"Skalnaya","given":"Margarita G"},{"family":"Skalny","given":"Anatoly V"}]}},{"id":745,"uris":["http://zotero.org/users/8284751/items/FKMGFRWS"],"itemData":{"id":745,"type":"article-journal","container-title":"International Journal of Preventative Medicine","issue":"2","title":"Trace Elements in Human Nutrition (II) - An Update","volume":"11","author":[{"family":"Mehri","given":"Aliasgharpour"}],"issued":{"date-parts":[["2020"]]}}}],"schema":"https://github.com/citation-style-language/schema/raw/master/csl-citation.json"} </w:instrText>
      </w:r>
      <w:r w:rsidR="005C37D6"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29,30</w:t>
      </w:r>
      <w:r w:rsidR="005C37D6" w:rsidRPr="00AD04DA">
        <w:rPr>
          <w:rFonts w:ascii="Times New Roman" w:hAnsi="Times New Roman" w:cs="Times New Roman"/>
          <w:sz w:val="24"/>
          <w:szCs w:val="24"/>
        </w:rPr>
        <w:fldChar w:fldCharType="end"/>
      </w:r>
      <w:r w:rsidR="005C37D6" w:rsidRPr="00AD04DA">
        <w:rPr>
          <w:rFonts w:ascii="Times New Roman" w:hAnsi="Times New Roman" w:cs="Times New Roman"/>
          <w:sz w:val="24"/>
          <w:szCs w:val="24"/>
        </w:rPr>
        <w:t>.</w:t>
      </w:r>
      <w:r w:rsidRPr="00AD04DA">
        <w:rPr>
          <w:rFonts w:ascii="Times New Roman" w:hAnsi="Times New Roman" w:cs="Times New Roman"/>
          <w:sz w:val="24"/>
          <w:szCs w:val="24"/>
        </w:rPr>
        <w:t xml:space="preserve"> </w:t>
      </w:r>
      <w:r w:rsidR="00005D35" w:rsidRPr="00AD04DA">
        <w:rPr>
          <w:rFonts w:ascii="Times New Roman" w:hAnsi="Times New Roman" w:cs="Times New Roman"/>
          <w:sz w:val="24"/>
          <w:szCs w:val="24"/>
        </w:rPr>
        <w:t>Symptoms of selenium poisoning include fatigue, hair loss, and gastrointestinal issues</w:t>
      </w:r>
      <w:r w:rsidR="0008278C"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{"citationID":"AAKqlSll","properties":{"formattedCitation":"\\super 30,31\\nosupersub{}","plainCitation":"30,31","noteIndex":0},"citationItems":[{"id":745,"uris":["http://zotero.org/users/8284751/items/FKMGFRWS"],"itemData":{"id":745,"type":"article-journal","container-title":"International Journal of Preventative Medicine","issue":"2","title":"Trace Elements in Human Nutrition (II) - An Update","volume":"11","author":[{"family":"Mehri","given":"Aliasgharpour"}],"issued":{"date-parts":[["2020"]]}}},{"id":747,"uris":["http://zotero.org/users/8284751/items/H7Q297XV"],"itemData":{"id":747,"type":"article-journal","language":"en","page":"2","source":"Zotero","title":"Effects of Selenium and Vitamin E on White Muscle Disease"}}],"schema":"https://github.com/citation-style-language/schema/raw/master/csl-citation.json"} </w:instrText>
      </w:r>
      <w:r w:rsidR="0008278C"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30,31</w:t>
      </w:r>
      <w:r w:rsidR="0008278C" w:rsidRPr="00AD04DA">
        <w:rPr>
          <w:rFonts w:ascii="Times New Roman" w:hAnsi="Times New Roman" w:cs="Times New Roman"/>
          <w:sz w:val="24"/>
          <w:szCs w:val="24"/>
        </w:rPr>
        <w:fldChar w:fldCharType="end"/>
      </w:r>
      <w:r w:rsidR="0008278C" w:rsidRPr="00AD04DA">
        <w:rPr>
          <w:rFonts w:ascii="Times New Roman" w:hAnsi="Times New Roman" w:cs="Times New Roman"/>
          <w:sz w:val="24"/>
          <w:szCs w:val="24"/>
        </w:rPr>
        <w:t>.</w:t>
      </w:r>
      <w:r w:rsidR="00F90940" w:rsidRPr="00AD04DA">
        <w:rPr>
          <w:rFonts w:ascii="Times New Roman" w:hAnsi="Times New Roman" w:cs="Times New Roman"/>
          <w:sz w:val="24"/>
          <w:szCs w:val="24"/>
        </w:rPr>
        <w:t xml:space="preserve"> </w:t>
      </w:r>
      <w:r w:rsidR="00F21919" w:rsidRPr="00AD04DA">
        <w:rPr>
          <w:rFonts w:ascii="Times New Roman" w:hAnsi="Times New Roman" w:cs="Times New Roman"/>
          <w:sz w:val="24"/>
          <w:szCs w:val="24"/>
        </w:rPr>
        <w:t>Environmental selenium has been linked to high mortality rates in fish and birds</w:t>
      </w:r>
      <w:r w:rsidR="00F21919"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{"citationID":"FNxjPNqZ","properties":{"formattedCitation":"\\super 22,32\\nosupersub{}","plainCitation":"22,32","noteIndex":0},"citationItems":[{"id":512,"uris":["http://zotero.org/users/8284751/items/KFQG6M97"],"itemData":{"id":512,"type":"article-journal","abstract":"This review identifies challenges and opportunities facing the electricity generation sector in treating flue gas desulfurization wastewater.\n          , \n            In November 2015, the United States Environmental Protection Agency (EPA) promulgated the Effluent Limitations Guidelines (ELGs) for the Steam Electric Power Generating Sector. These guidelines either eliminate or lower permissible discharge limits for six wastewater streams produced at coal fired power plants (CFPPs), including flue gas desulfurization (FGD) wastewater. This paper summarizes the state of the art, describes fundamental challenges, and highlights critical research needs in FGD wastewater treatment. We begin by describing the processes that influence FGD wastewater production and composition. We then critically evaluate the best available technologies for treating FGD wastewater identified by the EPA during the regulatory process. Finally, we identify four critical challenges and research needs in complying with the 2015 ELGs including (1) removing selenium species from FGD wastewater, (2) achieving zero liquid discharge of pollutants from FGD wastewater while enabling water reuse at CFPPs, (3) developing water treatment systems that can respond to short-term fluctuations in CFPP electricity generation and wastewater production, and (4) optimizing the balance of capital and operational costs for FGD treatment when the power plant lifespan is uncertain.","container-title":"Environmental Science: Water Research &amp; Technology","DOI":"10.1039/C8EW00264A","ISSN":"2053-1400, 2053-1419","issue":"7","journalAbbreviation":"Environ. Sci.: Water Res. Technol.","language":"en","page":"909-925","source":"DOI.org (Crossref)","title":"Fundamental challenges and engineering opportunities in flue gas desulfurization wastewater treatment at coal fired power plants","volume":"4","author":[{"family":"Gingerich","given":"Daniel B."},{"family":"Grol","given":"Eric"},{"family":"Mauter","given":"Meagan S."}],"issued":{"date-parts":[["2018"]]}}},{"id":749,"uris":["http://zotero.org/users/8284751/items/Y9KW6MTG"],"itemData":{"id":749,"type":"article-journal","container-title":"Environmental Management","DOI":"10.1007/BF02393872","ISSN":"0364-152X, 1432-1009","issue":"3","journalAbbreviation":"Environmental Management","language":"en","page":"437-454","source":"DOI.org (Crossref)","title":"“The Kesterson effect”","volume":"18","author":[{"family":"Presser","given":"Theresa S."}],"issued":{"date-parts":[["1994",5]]}}}],"schema":"https://github.com/citation-style-language/schema/raw/master/csl-citation.json"} </w:instrText>
      </w:r>
      <w:r w:rsidR="00F21919"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22,32</w:t>
      </w:r>
      <w:r w:rsidR="00F21919" w:rsidRPr="00AD04DA">
        <w:rPr>
          <w:rFonts w:ascii="Times New Roman" w:hAnsi="Times New Roman" w:cs="Times New Roman"/>
          <w:sz w:val="24"/>
          <w:szCs w:val="24"/>
        </w:rPr>
        <w:fldChar w:fldCharType="end"/>
      </w:r>
      <w:r w:rsidR="00F21919" w:rsidRPr="00AD04DA">
        <w:rPr>
          <w:rFonts w:ascii="Times New Roman" w:hAnsi="Times New Roman" w:cs="Times New Roman"/>
          <w:sz w:val="24"/>
          <w:szCs w:val="24"/>
        </w:rPr>
        <w:t>. Selenium has been shown to bioaccumulate in aquatic systems</w:t>
      </w:r>
      <w:r w:rsidR="00F21919"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{"citationID":"KQcNS8uk","properties":{"formattedCitation":"\\super 33\\nosupersub{}","plainCitation":"33","noteIndex":0},"citationItems":[{"id":751,"uris":["http://zotero.org/users/8284751/items/ISUGYF85"],"itemData":{"id":751,"type":"article-journal","abstract":"In many environmental contaminant situations selenium has become the primary element of concern because of its bioaccumulative nature in food webs. Initial concerns about selenium were related to fish kills at Belews Lake, NC, Martin Lake, TX, and Kesterson Reservoir, CA, and to bird deformities at Kesterson Reservoir. Additional concerns were identified under the National Irrigation Water Quality Program at Salton Sea, CA, Kendrick, WY, Stewart Lake, UT, and Grand Valley and Uncompahgre Valley, CO. Recent studies have raised concerns about selenium impacts on aquatic resources in Southeastern Idaho and British Columbia. The growing discomfort among the scientific community with a waterborne criterion has lead the US Environment Protection Agency to consider a tissue-based criterion for selenium. Some aquatic ecosystems have been slow to recover from selenium contamination episodes. In recent years, non-governmental researchers have been proposing relatively high selenium thresholds in diet and tissue relative to those proposed by governmental researchers. This difference in opinions is due in part to the selection of datasets and caveats in selecting scientific literature. In spite of the growing selenium literature, there are needs for additional research on neglected organisms. This review also discusses the interaction of selenium with other elements, inconsistent effects of selenium on survival and growth of fish, and differences in depuration rates and sensitivity among species.","container-title":"Science of The Total Environment","DOI":"10.1016/j.scitotenv.2004.01.019","ISSN":"00489697","issue":"1-3","journalAbbreviation":"Science of The Total Environment","language":"en","page":"1-31","source":"DOI.org (Crossref)","title":"Review of selenium toxicity in the aquatic food chain","volume":"326","author":[{"family":"Hamilton","given":"Steven J."}],"issued":{"date-parts":[["2004",6]]}}}],"schema":"https://github.com/citation-style-language/schema/raw/master/csl-citation.json"} </w:instrText>
      </w:r>
      <w:r w:rsidR="00F21919"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33</w:t>
      </w:r>
      <w:r w:rsidR="00F21919" w:rsidRPr="00AD04DA">
        <w:rPr>
          <w:rFonts w:ascii="Times New Roman" w:hAnsi="Times New Roman" w:cs="Times New Roman"/>
          <w:sz w:val="24"/>
          <w:szCs w:val="24"/>
        </w:rPr>
        <w:fldChar w:fldCharType="end"/>
      </w:r>
      <w:r w:rsidR="00F21919" w:rsidRPr="00AD04DA">
        <w:rPr>
          <w:rFonts w:ascii="Times New Roman" w:hAnsi="Times New Roman" w:cs="Times New Roman"/>
          <w:sz w:val="24"/>
          <w:szCs w:val="24"/>
        </w:rPr>
        <w:t xml:space="preserve"> and can create nonfunctional enzymes via misincorporation into proteins</w:t>
      </w:r>
      <w:r w:rsidR="00F21919"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{"citationID":"NgnYzj4D","properties":{"formattedCitation":"\\super 34\\nosupersub{}","plainCitation":"34","noteIndex":0},"citationItems":[{"id":753,"uris":["http://zotero.org/users/8284751/items/5RT2WC7U"],"itemData":{"id":753,"type":"article-journal","container-title":"Science","DOI":"10.1126/science.183.4128.915","ISSN":"0036-8075, 1095-9203","issue":"4128","journalAbbreviation":"Science","language":"en","page":"915-922","source":"DOI.org (Crossref)","title":"Selenium Biochemistry: Proteins containing selenium are essential components of certain bacterial and mammalian enzyme systems.","title-short":"Selenium Biochemistry","volume":"183","author":[{"family":"Stadtman","given":"Thressa C."}],"issued":{"date-parts":[["1974",3,8]]}}}],"schema":"https://github.com/citation-style-language/schema/raw/master/csl-citation.json"} </w:instrText>
      </w:r>
      <w:r w:rsidR="00F21919"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34</w:t>
      </w:r>
      <w:r w:rsidR="00F21919" w:rsidRPr="00AD04DA">
        <w:rPr>
          <w:rFonts w:ascii="Times New Roman" w:hAnsi="Times New Roman" w:cs="Times New Roman"/>
          <w:sz w:val="24"/>
          <w:szCs w:val="24"/>
        </w:rPr>
        <w:fldChar w:fldCharType="end"/>
      </w:r>
      <w:r w:rsidR="00F21919" w:rsidRPr="00AD04DA">
        <w:rPr>
          <w:rFonts w:ascii="Times New Roman" w:hAnsi="Times New Roman" w:cs="Times New Roman"/>
          <w:sz w:val="24"/>
          <w:szCs w:val="24"/>
        </w:rPr>
        <w:t>.</w:t>
      </w:r>
    </w:p>
    <w:p w14:paraId="56C21C88" w14:textId="2CA1771E" w:rsidR="003C700A" w:rsidRPr="00AD04DA" w:rsidRDefault="00950822" w:rsidP="00905838">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Selenium exists in several organic and inorganic forms. In water, it exists primarily as the inorganic oxyanions selenate (SeO</w:t>
      </w:r>
      <w:r w:rsidRPr="00AD04DA">
        <w:rPr>
          <w:rFonts w:ascii="Times New Roman" w:hAnsi="Times New Roman" w:cs="Times New Roman"/>
          <w:sz w:val="24"/>
          <w:szCs w:val="24"/>
          <w:vertAlign w:val="subscript"/>
        </w:rPr>
        <w:t>4</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and selenite (SeO</w:t>
      </w:r>
      <w:r w:rsidRPr="00AD04DA">
        <w:rPr>
          <w:rFonts w:ascii="Times New Roman" w:hAnsi="Times New Roman" w:cs="Times New Roman"/>
          <w:sz w:val="24"/>
          <w:szCs w:val="24"/>
          <w:vertAlign w:val="subscript"/>
        </w:rPr>
        <w:t>3</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w:t>
      </w:r>
      <w:r w:rsidR="00170359" w:rsidRPr="00AD04DA">
        <w:rPr>
          <w:rFonts w:ascii="Times New Roman" w:hAnsi="Times New Roman" w:cs="Times New Roman"/>
          <w:sz w:val="24"/>
          <w:szCs w:val="24"/>
        </w:rPr>
        <w:t xml:space="preserve">, which are more toxic than the organic </w:t>
      </w:r>
      <w:r w:rsidR="0083610A" w:rsidRPr="00AD04DA">
        <w:rPr>
          <w:rFonts w:ascii="Times New Roman" w:hAnsi="Times New Roman" w:cs="Times New Roman"/>
          <w:sz w:val="24"/>
          <w:szCs w:val="24"/>
        </w:rPr>
        <w:t xml:space="preserve">and elemental </w:t>
      </w:r>
      <w:r w:rsidR="00170359" w:rsidRPr="00AD04DA">
        <w:rPr>
          <w:rFonts w:ascii="Times New Roman" w:hAnsi="Times New Roman" w:cs="Times New Roman"/>
          <w:sz w:val="24"/>
          <w:szCs w:val="24"/>
        </w:rPr>
        <w:t>forms</w:t>
      </w:r>
      <w:r w:rsidR="00170359"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{"citationID":"Hivoz81b","properties":{"formattedCitation":"\\super 21,35\\nosupersub{}","plainCitation":"21,35","noteIndex":0},"citationItems":[{"id":755,"uris":["http://zotero.org/users/8284751/items/CVEPWDC5"],"itemData":{"id":755,"type":"article-journal","abstract":"Selenium (Se3749 ) is a metalloid which is close to sulfur (S) in terms of properties. The Se concentration in soil varies with type, texture and organic matter content of the soil and with rainfall. Its assimilation by plants is influenced by the physico-chemical properties of the soil (redox status, pH and microbial activity). The presence of Se in the atmosphere is linked to natural and anthropogenic activities. Selenoproteins, in which selenium is present as selenocysteine, present an important role in many body functions, such as antioxidant defense and the formation of thyroid hormones. Some selenoprotein metabolites play a role in cancer prevention. In the immune system, selenium stimulates antibody formation and activity of helper T cells, cytotoxic T cells and Natural Killer (NK) cells. The mechanisms of intestinal absorption of selenium differ depending on the chemical form of the element. Selenium is mainly absorbed in the duodenum and caecum by active transport through a sodium pump. The recommended daily intake of selenium varies from 60 μg/day for women, to 70 μg/day for men. In growing ruminants the requirements are estimated at 100 μg/kg dry matter and 200 μg/Kg for pregnant or lactating females. A deficiency can cause reproductive disorders in humans and animals.","container-title":"Molecules","DOI":"10.3390/molecules18033292","ISSN":"1420-3049","issue":"3","journalAbbreviation":"Molecules","language":"en","page":"3292-3311","source":"DOI.org (Crossref)","title":"Selenium in the Environment, Metabolism and Involvement in Body Functions","volume":"18","author":[{"family":"Mehdi","given":"Youcef"},{"family":"Hornick","given":"Jean-Luc"},{"family":"Istasse","given":"Louis"},{"family":"Dufrasne","given":"Isabelle"}],"issued":{"date-parts":[["2013",3,13]]}}},{"id":514,"uris":["http://zotero.org/users/8284751/items/KDY7Z6VX"],"itemData":{"id":514,"type":"article-journal","abstract":"Selenium (Se) contamination in surface and ground water in numerous river basins has become a critical problem worldwide in recent years. The exposure to Se, either direct consumption of Se or indirectly may be fatal to the human health because of its toxicity. The review begins with an introduction of Se chemistry, distribution and health threats, which are essential to the remediation techniques. Then, the review provides the recent and common removal techniques for Se, including reduction techniques, phytoremediation, bioremediation, coagulation-ﬂocculation, electrocoagulation (EC), electrochemical methods, adsorption, coprecipitation, electrokinetics, membrance technology, and chemical precipitation. Removal techniques concentrate on the advantages, drawbacks and the recent achievements of each technique. The review also takes an overall consideration of experimental conditions, comparison criteria and economic aspects.","container-title":"Environmental Research","DOI":"10.1016/j.envres.2018.02.037","ISSN":"00139351","journalAbbreviation":"Environmental Research","language":"en","page":"288-301","source":"DOI.org (Crossref)","title":"Selenium contamination, consequences and remediation techniques in water and soils: A review","title-short":"Selenium contamination, consequences and remediation techniques in water and soils","volume":"164","author":[{"family":"He","given":"Yangzhuo"},{"family":"Xiang","given":"Yujia"},{"family":"Zhou","given":"Yaoyu"},{"family":"Yang","given":"Yuan"},{"family":"Zhang","given":"Jiachao"},{"family":"Huang","given":"Hongli"},{"family":"Shang","given":"Cui"},{"family":"Luo","given":"Lin"},{"family":"Gao","given":"Jun"},{"family":"Tang","given":"Lin"}],"issued":{"date-parts":[["2018",7]]}}}],"schema":"https://github.com/citation-style-language/schema/raw/master/csl-citation.json"} </w:instrText>
      </w:r>
      <w:r w:rsidR="00170359"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21,35</w:t>
      </w:r>
      <w:r w:rsidR="00170359" w:rsidRPr="00AD04DA">
        <w:rPr>
          <w:rFonts w:ascii="Times New Roman" w:hAnsi="Times New Roman" w:cs="Times New Roman"/>
          <w:sz w:val="24"/>
          <w:szCs w:val="24"/>
        </w:rPr>
        <w:fldChar w:fldCharType="end"/>
      </w:r>
      <w:r w:rsidR="00170359" w:rsidRPr="00AD04DA">
        <w:rPr>
          <w:rFonts w:ascii="Times New Roman" w:hAnsi="Times New Roman" w:cs="Times New Roman"/>
          <w:sz w:val="24"/>
          <w:szCs w:val="24"/>
        </w:rPr>
        <w:t>.</w:t>
      </w:r>
      <w:r w:rsidR="0067354C" w:rsidRPr="00AD04DA">
        <w:rPr>
          <w:rFonts w:ascii="Times New Roman" w:hAnsi="Times New Roman" w:cs="Times New Roman"/>
          <w:sz w:val="24"/>
          <w:szCs w:val="24"/>
        </w:rPr>
        <w:t xml:space="preserve"> </w:t>
      </w:r>
      <w:r w:rsidR="004954E7" w:rsidRPr="00AD04DA">
        <w:rPr>
          <w:rFonts w:ascii="Times New Roman" w:hAnsi="Times New Roman" w:cs="Times New Roman"/>
          <w:sz w:val="24"/>
          <w:szCs w:val="24"/>
        </w:rPr>
        <w:t>Removing selenium oxyanions from wastewater remains a major challenge</w:t>
      </w:r>
      <w:r w:rsidR="004954E7"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{"citationID":"UX3C1GI0","properties":{"formattedCitation":"\\super 22\\nosupersub{}","plainCitation":"22","noteIndex":0},"citationItems":[{"id":512,"uris":["http://zotero.org/users/8284751/items/KFQG6M97"],"itemData":{"id":512,"type":"article-journal","abstract":"This review identifies challenges and opportunities facing the electricity generation sector in treating flue gas desulfurization wastewater.\n          , \n            In November 2015, the United States Environmental Protection Agency (EPA) promulgated the Effluent Limitations Guidelines (ELGs) for the Steam Electric Power Generating Sector. These guidelines either eliminate or lower permissible discharge limits for six wastewater streams produced at coal fired power plants (CFPPs), including flue gas desulfurization (FGD) wastewater. This paper summarizes the state of the art, describes fundamental challenges, and highlights critical research needs in FGD wastewater treatment. We begin by describing the processes that influence FGD wastewater production and composition. We then critically evaluate the best available technologies for treating FGD wastewater identified by the EPA during the regulatory process. Finally, we identify four critical challenges and research needs in complying with the 2015 ELGs including (1) removing selenium species from FGD wastewater, (2) achieving zero liquid discharge of pollutants from FGD wastewater while enabling water reuse at CFPPs, (3) developing water treatment systems that can respond to short-term fluctuations in CFPP electricity generation and wastewater production, and (4) optimizing the balance of capital and operational costs for FGD treatment when the power plant lifespan is uncertain.","container-title":"Environmental Science: Water Research &amp; Technology","DOI":"10.1039/C8EW00264A","ISSN":"2053-1400, 2053-1419","issue":"7","journalAbbreviation":"Environ. Sci.: Water Res. Technol.","language":"en","page":"909-925","source":"DOI.org (Crossref)","title":"Fundamental challenges and engineering opportunities in flue gas desulfurization wastewater treatment at coal fired power plants","volume":"4","author":[{"family":"Gingerich","given":"Daniel B."},{"family":"Grol","given":"Eric"},{"family":"Mauter","given":"Meagan S."}],"issued":{"date-parts":[["2018"]]}}}],"schema":"https://github.com/citation-style-language/schema/raw/master/csl-citation.json"} </w:instrText>
      </w:r>
      <w:r w:rsidR="004954E7"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22</w:t>
      </w:r>
      <w:r w:rsidR="004954E7" w:rsidRPr="00AD04DA">
        <w:rPr>
          <w:rFonts w:ascii="Times New Roman" w:hAnsi="Times New Roman" w:cs="Times New Roman"/>
          <w:sz w:val="24"/>
          <w:szCs w:val="24"/>
        </w:rPr>
        <w:fldChar w:fldCharType="end"/>
      </w:r>
      <w:r w:rsidR="004954E7" w:rsidRPr="00AD04DA">
        <w:rPr>
          <w:rFonts w:ascii="Times New Roman" w:hAnsi="Times New Roman" w:cs="Times New Roman"/>
          <w:sz w:val="24"/>
          <w:szCs w:val="24"/>
        </w:rPr>
        <w:t>.</w:t>
      </w:r>
      <w:r w:rsidR="00134728" w:rsidRPr="00AD04DA">
        <w:rPr>
          <w:rFonts w:ascii="Times New Roman" w:hAnsi="Times New Roman" w:cs="Times New Roman"/>
          <w:sz w:val="24"/>
          <w:szCs w:val="24"/>
        </w:rPr>
        <w:t xml:space="preserve"> The Environmental Protection Agency (EPA) updated effluent limits for environmental discharge of FGD wastewaters until 2015</w:t>
      </w:r>
      <w:r w:rsidR="00134728"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{"citationID":"M9JzjCoC","properties":{"formattedCitation":"\\super 36\\nosupersub{}","plainCitation":"36","noteIndex":0},"citationItems":[{"id":724,"uris":["http://zotero.org/users/8284751/items/FQIIHRHC"],"itemData":{"id":724,"type":"document","publisher":"United States Environmental Protection Agency","title":"Effluent Limitations Guidelines and Standards for Steam Electric Power Generating Point Source Category","issued":{"date-parts":[["2015",1,25]]}}}],"schema":"https://github.com/citation-style-language/schema/raw/master/csl-citation.json"} </w:instrText>
      </w:r>
      <w:r w:rsidR="00134728"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36</w:t>
      </w:r>
      <w:r w:rsidR="00134728" w:rsidRPr="00AD04DA">
        <w:rPr>
          <w:rFonts w:ascii="Times New Roman" w:hAnsi="Times New Roman" w:cs="Times New Roman"/>
          <w:sz w:val="24"/>
          <w:szCs w:val="24"/>
        </w:rPr>
        <w:fldChar w:fldCharType="end"/>
      </w:r>
      <w:r w:rsidR="00134728" w:rsidRPr="00AD04DA">
        <w:rPr>
          <w:rFonts w:ascii="Times New Roman" w:hAnsi="Times New Roman" w:cs="Times New Roman"/>
          <w:sz w:val="24"/>
          <w:szCs w:val="24"/>
        </w:rPr>
        <w:t>,</w:t>
      </w:r>
      <w:r w:rsidR="006C51E7" w:rsidRPr="00AD04DA">
        <w:rPr>
          <w:rFonts w:ascii="Times New Roman" w:hAnsi="Times New Roman" w:cs="Times New Roman"/>
          <w:sz w:val="24"/>
          <w:szCs w:val="24"/>
        </w:rPr>
        <w:t xml:space="preserve"> </w:t>
      </w:r>
      <w:r w:rsidR="00134728" w:rsidRPr="00AD04DA">
        <w:rPr>
          <w:rFonts w:ascii="Times New Roman" w:hAnsi="Times New Roman" w:cs="Times New Roman"/>
          <w:sz w:val="24"/>
          <w:szCs w:val="24"/>
        </w:rPr>
        <w:t>but</w:t>
      </w:r>
      <w:r w:rsidR="004954E7" w:rsidRPr="00AD04DA">
        <w:rPr>
          <w:rFonts w:ascii="Times New Roman" w:hAnsi="Times New Roman" w:cs="Times New Roman"/>
          <w:sz w:val="24"/>
          <w:szCs w:val="24"/>
        </w:rPr>
        <w:t xml:space="preserve"> the technical difficulties involved with compliance to the new FGD wastewater discharge standards caused the EPA to postpone the compliance date for existing CFPPs</w:t>
      </w:r>
      <w:r w:rsidR="004954E7"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{"citationID":"0SCJllJB","properties":{"formattedCitation":"\\super 37\\nosupersub{}","plainCitation":"37","noteIndex":0},"citationItems":[{"id":756,"uris":["http://zotero.org/users/8284751/items/ZA5N942D"],"itemData":{"id":756,"type":"webpage","abstract":"Under the Clean Water Act (``CWA''), The Environmental Protection Agency (EPA) intends to conduct a rulemaking to potentially revise certain best available technology economically achievable (``BAT'') effluent limitations and pretreatment standards for existing sources (``PSES'') for the steam...","container-title":"Federal Register","title":"Postponement of Certain Compliance Dates for the Effluent Limitations Guidelines and Standards for the Steam Electric Power Generating Point Source Category","URL":"https://www.federalregister.gov/documents/2017/09/18/2017-19821/postponement-of-certain-compliance-dates-for-the-effluent-limitations-guidelines-and-standards-for","accessed":{"date-parts":[["2022",3,29]]},"issued":{"date-parts":[["2017",9,18]]}}}],"schema":"https://github.com/citation-style-language/schema/raw/master/csl-citation.json"} </w:instrText>
      </w:r>
      <w:r w:rsidR="004954E7"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37</w:t>
      </w:r>
      <w:r w:rsidR="004954E7" w:rsidRPr="00AD04DA">
        <w:rPr>
          <w:rFonts w:ascii="Times New Roman" w:hAnsi="Times New Roman" w:cs="Times New Roman"/>
          <w:sz w:val="24"/>
          <w:szCs w:val="24"/>
        </w:rPr>
        <w:fldChar w:fldCharType="end"/>
      </w:r>
      <w:r w:rsidR="004954E7" w:rsidRPr="00AD04DA">
        <w:rPr>
          <w:rFonts w:ascii="Times New Roman" w:hAnsi="Times New Roman" w:cs="Times New Roman"/>
          <w:sz w:val="24"/>
          <w:szCs w:val="24"/>
        </w:rPr>
        <w:t>.</w:t>
      </w:r>
    </w:p>
    <w:p w14:paraId="1DD627DF" w14:textId="01EE1C1F" w:rsidR="00AE4C77" w:rsidRPr="00AD04DA" w:rsidRDefault="000E6385" w:rsidP="00EE7C0B">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Existing</w:t>
      </w:r>
      <w:r w:rsidR="00932AC5" w:rsidRPr="00AD04DA">
        <w:rPr>
          <w:rFonts w:ascii="Times New Roman" w:hAnsi="Times New Roman" w:cs="Times New Roman"/>
          <w:sz w:val="24"/>
          <w:szCs w:val="24"/>
        </w:rPr>
        <w:t xml:space="preserve"> methods for selenium removal from FGD effluents include </w:t>
      </w:r>
      <w:r w:rsidR="00C91CAE" w:rsidRPr="00AD04DA">
        <w:rPr>
          <w:rFonts w:ascii="Times New Roman" w:hAnsi="Times New Roman" w:cs="Times New Roman"/>
          <w:sz w:val="24"/>
          <w:szCs w:val="24"/>
        </w:rPr>
        <w:t>biological reduction and adsorption.</w:t>
      </w:r>
      <w:r w:rsidR="00576858">
        <w:rPr>
          <w:rFonts w:ascii="Times New Roman" w:hAnsi="Times New Roman" w:cs="Times New Roman"/>
          <w:sz w:val="24"/>
          <w:szCs w:val="24"/>
        </w:rPr>
        <w:t xml:space="preserve"> </w:t>
      </w:r>
      <w:r w:rsidR="00576858" w:rsidRPr="00AD04DA">
        <w:rPr>
          <w:rFonts w:ascii="Times New Roman" w:hAnsi="Times New Roman" w:cs="Times New Roman"/>
          <w:sz w:val="24"/>
          <w:szCs w:val="24"/>
        </w:rPr>
        <w:t>Geological variation in coal mines and the rank of coal governs the composition of the FGD</w:t>
      </w:r>
      <w:r w:rsidR="00576858">
        <w:rPr>
          <w:rFonts w:ascii="Times New Roman" w:hAnsi="Times New Roman" w:cs="Times New Roman"/>
          <w:sz w:val="24"/>
          <w:szCs w:val="24"/>
        </w:rPr>
        <w:t xml:space="preserve"> wastewater</w:t>
      </w:r>
      <w:r w:rsidR="00576858" w:rsidRPr="00AD04DA">
        <w:rPr>
          <w:rFonts w:ascii="Times New Roman" w:hAnsi="Times New Roman" w:cs="Times New Roman"/>
          <w:sz w:val="24"/>
          <w:szCs w:val="24"/>
        </w:rPr>
        <w:fldChar w:fldCharType="begin"/>
      </w:r>
      <w:r w:rsidR="00576858">
        <w:rPr>
          <w:rFonts w:ascii="Times New Roman" w:hAnsi="Times New Roman" w:cs="Times New Roman"/>
          <w:sz w:val="24"/>
          <w:szCs w:val="24"/>
        </w:rPr>
        <w:instrText xml:space="preserve"> ADDIN ZOTERO_ITEM CSL_CITATION {"citationID":"BEwCdROa","properties":{"formattedCitation":"\\super 38\\nosupersub{}","plainCitation":"38","noteIndex":0},"citationItems":[{"id":759,"uris":["http://zotero.org/users/8284751/items/GNX2GTJD"],"itemData":{"id":759,"type":"article-journal","language":"en","page":"88","source":"Zotero","title":"Treatment Technology Summary For Critical Pollutants of Concern in Power Plant Wastewaters"}}],"schema":"https://github.com/citation-style-language/schema/raw/master/csl-citation.json"} </w:instrText>
      </w:r>
      <w:r w:rsidR="00576858" w:rsidRPr="00AD04DA">
        <w:rPr>
          <w:rFonts w:ascii="Times New Roman" w:hAnsi="Times New Roman" w:cs="Times New Roman"/>
          <w:sz w:val="24"/>
          <w:szCs w:val="24"/>
        </w:rPr>
        <w:fldChar w:fldCharType="separate"/>
      </w:r>
      <w:r w:rsidR="00576858" w:rsidRPr="00AD04DA">
        <w:rPr>
          <w:rFonts w:ascii="Times New Roman" w:hAnsi="Times New Roman" w:cs="Times New Roman"/>
          <w:sz w:val="24"/>
          <w:szCs w:val="24"/>
          <w:vertAlign w:val="superscript"/>
        </w:rPr>
        <w:t>38</w:t>
      </w:r>
      <w:r w:rsidR="00576858" w:rsidRPr="00AD04DA">
        <w:rPr>
          <w:rFonts w:ascii="Times New Roman" w:hAnsi="Times New Roman" w:cs="Times New Roman"/>
          <w:sz w:val="24"/>
          <w:szCs w:val="24"/>
        </w:rPr>
        <w:fldChar w:fldCharType="end"/>
      </w:r>
      <w:r w:rsidR="00576858" w:rsidRPr="00AD04DA">
        <w:rPr>
          <w:rFonts w:ascii="Times New Roman" w:hAnsi="Times New Roman" w:cs="Times New Roman"/>
          <w:sz w:val="24"/>
          <w:szCs w:val="24"/>
        </w:rPr>
        <w:t xml:space="preserve">. </w:t>
      </w:r>
      <w:r w:rsidR="0036603B" w:rsidRPr="00AD04DA">
        <w:rPr>
          <w:rFonts w:ascii="Times New Roman" w:hAnsi="Times New Roman" w:cs="Times New Roman"/>
          <w:sz w:val="24"/>
          <w:szCs w:val="24"/>
        </w:rPr>
        <w:t>Biological processes are sensitive to the composition of FGD wastewater</w:t>
      </w:r>
      <w:r w:rsidR="0036603B"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{"citationID":"BQbvRFZh","properties":{"formattedCitation":"\\super 22\\nosupersub{}","plainCitation":"22","noteIndex":0},"citationItems":[{"id":512,"uris":["http://zotero.org/users/8284751/items/KFQG6M97"],"itemData":{"id":512,"type":"article-journal","abstract":"This review identifies challenges and opportunities facing the electricity generation sector in treating flue gas desulfurization wastewater.\n          , \n            In November 2015, the United States Environmental Protection Agency (EPA) promulgated the Effluent Limitations Guidelines (ELGs) for the Steam Electric Power Generating Sector. These guidelines either eliminate or lower permissible discharge limits for six wastewater streams produced at coal fired power plants (CFPPs), including flue gas desulfurization (FGD) wastewater. This paper summarizes the state of the art, describes fundamental challenges, and highlights critical research needs in FGD wastewater treatment. We begin by describing the processes that influence FGD wastewater production and composition. We then critically evaluate the best available technologies for treating FGD wastewater identified by the EPA during the regulatory process. Finally, we identify four critical challenges and research needs in complying with the 2015 ELGs including (1) removing selenium species from FGD wastewater, (2) achieving zero liquid discharge of pollutants from FGD wastewater while enabling water reuse at CFPPs, (3) developing water treatment systems that can respond to short-term fluctuations in CFPP electricity generation and wastewater production, and (4) optimizing the balance of capital and operational costs for FGD treatment when the power plant lifespan is uncertain.","container-title":"Environmental Science: Water Research &amp; Technology","DOI":"10.1039/C8EW00264A","ISSN":"2053-1400, 2053-1419","issue":"7","journalAbbreviation":"Environ. Sci.: Water Res. Technol.","language":"en","page":"909-925","source":"DOI.org (Crossref)","title":"Fundamental challenges and engineering opportunities in flue gas desulfurization wastewater treatment at coal fired power plants","volume":"4","author":[{"family":"Gingerich","given":"Daniel B."},{"family":"Grol","given":"Eric"},{"family":"Mauter","given":"Meagan S."}],"issued":{"date-parts":[["2018"]]}}}],"schema":"https://github.com/citation-style-language/schema/raw/master/csl-citation.json"} </w:instrText>
      </w:r>
      <w:r w:rsidR="0036603B"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22</w:t>
      </w:r>
      <w:r w:rsidR="0036603B" w:rsidRPr="00AD04DA">
        <w:rPr>
          <w:rFonts w:ascii="Times New Roman" w:hAnsi="Times New Roman" w:cs="Times New Roman"/>
          <w:sz w:val="24"/>
          <w:szCs w:val="24"/>
        </w:rPr>
        <w:fldChar w:fldCharType="end"/>
      </w:r>
      <w:r w:rsidR="0036603B" w:rsidRPr="00AD04DA">
        <w:rPr>
          <w:rFonts w:ascii="Times New Roman" w:hAnsi="Times New Roman" w:cs="Times New Roman"/>
          <w:sz w:val="24"/>
          <w:szCs w:val="24"/>
        </w:rPr>
        <w:t xml:space="preserve">. </w:t>
      </w:r>
      <w:r w:rsidR="001C1413" w:rsidRPr="00AD04DA">
        <w:rPr>
          <w:rFonts w:ascii="Times New Roman" w:hAnsi="Times New Roman" w:cs="Times New Roman"/>
          <w:sz w:val="24"/>
          <w:szCs w:val="24"/>
        </w:rPr>
        <w:t xml:space="preserve">Moreover, </w:t>
      </w:r>
      <w:r w:rsidR="006C1586" w:rsidRPr="00AD04DA">
        <w:rPr>
          <w:rFonts w:ascii="Times New Roman" w:hAnsi="Times New Roman" w:cs="Times New Roman"/>
          <w:sz w:val="24"/>
          <w:szCs w:val="24"/>
        </w:rPr>
        <w:t>biological processes rely on the reduction of SeO</w:t>
      </w:r>
      <w:r w:rsidR="006C1586" w:rsidRPr="00AD04DA">
        <w:rPr>
          <w:rFonts w:ascii="Times New Roman" w:hAnsi="Times New Roman" w:cs="Times New Roman"/>
          <w:sz w:val="24"/>
          <w:szCs w:val="24"/>
          <w:vertAlign w:val="subscript"/>
        </w:rPr>
        <w:t>4</w:t>
      </w:r>
      <w:r w:rsidR="006C1586" w:rsidRPr="00AD04DA">
        <w:rPr>
          <w:rFonts w:ascii="Times New Roman" w:hAnsi="Times New Roman" w:cs="Times New Roman"/>
          <w:sz w:val="24"/>
          <w:szCs w:val="24"/>
          <w:vertAlign w:val="superscript"/>
        </w:rPr>
        <w:t>2-</w:t>
      </w:r>
      <w:r w:rsidR="006C1586" w:rsidRPr="00AD04DA">
        <w:rPr>
          <w:rFonts w:ascii="Times New Roman" w:hAnsi="Times New Roman" w:cs="Times New Roman"/>
          <w:sz w:val="24"/>
          <w:szCs w:val="24"/>
        </w:rPr>
        <w:t xml:space="preserve"> and SeO</w:t>
      </w:r>
      <w:r w:rsidR="006C1586" w:rsidRPr="00AD04DA">
        <w:rPr>
          <w:rFonts w:ascii="Times New Roman" w:hAnsi="Times New Roman" w:cs="Times New Roman"/>
          <w:sz w:val="24"/>
          <w:szCs w:val="24"/>
          <w:vertAlign w:val="subscript"/>
        </w:rPr>
        <w:t>3</w:t>
      </w:r>
      <w:r w:rsidR="006C1586" w:rsidRPr="00AD04DA">
        <w:rPr>
          <w:rFonts w:ascii="Times New Roman" w:hAnsi="Times New Roman" w:cs="Times New Roman"/>
          <w:sz w:val="24"/>
          <w:szCs w:val="24"/>
          <w:vertAlign w:val="superscript"/>
        </w:rPr>
        <w:t>2-</w:t>
      </w:r>
      <w:r w:rsidR="006C1586" w:rsidRPr="00AD04DA">
        <w:rPr>
          <w:rFonts w:ascii="Times New Roman" w:hAnsi="Times New Roman" w:cs="Times New Roman"/>
          <w:sz w:val="24"/>
          <w:szCs w:val="24"/>
        </w:rPr>
        <w:t xml:space="preserve"> into </w:t>
      </w:r>
      <w:r w:rsidR="005C63D7" w:rsidRPr="00AD04DA">
        <w:rPr>
          <w:rFonts w:ascii="Times New Roman" w:hAnsi="Times New Roman" w:cs="Times New Roman"/>
          <w:sz w:val="24"/>
          <w:szCs w:val="24"/>
        </w:rPr>
        <w:t>a</w:t>
      </w:r>
      <w:r w:rsidR="006C1586" w:rsidRPr="00AD04DA">
        <w:rPr>
          <w:rFonts w:ascii="Times New Roman" w:hAnsi="Times New Roman" w:cs="Times New Roman"/>
          <w:sz w:val="24"/>
          <w:szCs w:val="24"/>
        </w:rPr>
        <w:t xml:space="preserve"> </w:t>
      </w:r>
      <w:r w:rsidR="00E2437A" w:rsidRPr="00AD04DA">
        <w:rPr>
          <w:rFonts w:ascii="Times New Roman" w:hAnsi="Times New Roman" w:cs="Times New Roman"/>
          <w:sz w:val="24"/>
          <w:szCs w:val="24"/>
        </w:rPr>
        <w:t>colloidal, environmentally persistent</w:t>
      </w:r>
      <w:r w:rsidR="005C63D7"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{"citationID":"5GVHwAvK","properties":{"formattedCitation":"\\super 39\\nosupersub{}","plainCitation":"39","noteIndex":0},"citationItems":[{"id":765,"uris":["http://zotero.org/users/8284751/items/ET4WG9QC"],"itemData":{"id":765,"type":"article-journal","abstract":"Selenium (Se) has caused several ecological disasters due to its toxicity and bioaccumulation along trophic networks. Industrial activities that process fossil fuels and mineral ores, such as electricity generation, metal extraction and oil reﬁning, produce wastewaters containing selenium. Currently, these wastewaters are insufﬁciently treated before being discharged into the environment. Several environmental biotechnological processes are used to convert soluble selenium oxyanions, selenite and selenate, to solid elemental selenium, Se(0), because elemental selenium is less toxic. Applying a post-treatment solid–liquid separation step to these biological processes removes and separates Se(0) from the treated efﬂuent. Here, we review the sources of selenium-rich waste streams, and we propose several techniques for the removal and reuse of selenium. The major points are as follows: (1) Biogenic Se(0) has colloidal properties that can be offset by the addition of coagulants, either by dissolving multivalent salts or by electrogenerating the coagulant in situ; (2) recovered biogenic Se(0) is a secondary raw material and (3) biogenic Se(0) can be used for niche applications such as fertilizers and adsorbent for metals. The biological treatment of industrial wastewater containing selenium can be linked with resource recovery as a sound and economic approach to alleviate the demand for this critical element.","container-title":"Environmental Chemistry Letters","DOI":"10.1007/s10311-015-0492-8","ISSN":"1610-3653, 1610-3661","issue":"1","journalAbbreviation":"Environ Chem Lett","language":"en","page":"89-96","source":"DOI.org (Crossref)","title":"Production, recovery and reuse of biogenic elemental selenium","volume":"13","author":[{"family":"Staicu","given":"Lucian C."},{"family":"Hullebusch","given":"Eric D.","non-dropping-particle":"van"},{"family":"Lens","given":"Piet N. L."}],"issued":{"date-parts":[["2015",3]]}}}],"schema":"https://github.com/citation-style-language/schema/raw/master/csl-citation.json"} </w:instrText>
      </w:r>
      <w:r w:rsidR="005C63D7"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39</w:t>
      </w:r>
      <w:r w:rsidR="005C63D7" w:rsidRPr="00AD04DA">
        <w:rPr>
          <w:rFonts w:ascii="Times New Roman" w:hAnsi="Times New Roman" w:cs="Times New Roman"/>
          <w:sz w:val="24"/>
          <w:szCs w:val="24"/>
        </w:rPr>
        <w:fldChar w:fldCharType="end"/>
      </w:r>
      <w:r w:rsidR="006C1586" w:rsidRPr="00AD04DA">
        <w:rPr>
          <w:rFonts w:ascii="Times New Roman" w:hAnsi="Times New Roman" w:cs="Times New Roman"/>
          <w:sz w:val="24"/>
          <w:szCs w:val="24"/>
        </w:rPr>
        <w:t xml:space="preserve"> </w:t>
      </w:r>
      <w:r w:rsidR="005C63D7" w:rsidRPr="00AD04DA">
        <w:rPr>
          <w:rFonts w:ascii="Times New Roman" w:hAnsi="Times New Roman" w:cs="Times New Roman"/>
          <w:sz w:val="24"/>
          <w:szCs w:val="24"/>
        </w:rPr>
        <w:t xml:space="preserve">form of </w:t>
      </w:r>
      <w:r w:rsidR="006C1586" w:rsidRPr="00AD04DA">
        <w:rPr>
          <w:rFonts w:ascii="Times New Roman" w:hAnsi="Times New Roman" w:cs="Times New Roman"/>
          <w:sz w:val="24"/>
          <w:szCs w:val="24"/>
        </w:rPr>
        <w:t>Se</w:t>
      </w:r>
      <w:r w:rsidR="006C1586" w:rsidRPr="00AD04DA">
        <w:rPr>
          <w:rFonts w:ascii="Times New Roman" w:hAnsi="Times New Roman" w:cs="Times New Roman"/>
          <w:sz w:val="24"/>
          <w:szCs w:val="24"/>
          <w:vertAlign w:val="superscript"/>
        </w:rPr>
        <w:t>0</w:t>
      </w:r>
      <w:r w:rsidR="006C1586" w:rsidRPr="00AD04DA">
        <w:rPr>
          <w:rFonts w:ascii="Times New Roman" w:hAnsi="Times New Roman" w:cs="Times New Roman"/>
          <w:sz w:val="24"/>
          <w:szCs w:val="24"/>
        </w:rPr>
        <w:t xml:space="preserve"> instead removal</w:t>
      </w:r>
      <w:r w:rsidR="006C158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{"citationID":"neSrlnWp","properties":{"formattedCitation":"\\super 40,41\\nosupersub{}","plainCitation":"40,41","noteIndex":0},"citationItems":[{"id":761,"uris":["http://zotero.org/users/8284751/items/KR4QNB58"],"itemData":{"id":761,"type":"article-journal","abstract":"Selenium is an essential trace element needed for all living organisms. Despite its essentiality, selenium is a potential toxic element to natural ecosystems due to its bioaccumulation potential. Though selenium is found naturally in the earth's crust, especially in carbonate rocks and volcanic and sedimentary soils, about 40% of the selenium emissions to atmospheric and aquatic environments are caused by various industrial activities such as mining-related operations. In recent years, advances in water quality and pollution monitoring have shown that selenium is a contaminant of potential environmental concern. This has practical implications on industry to achieve the stringent selenium regulatory discharge limit of 5 μg Se L−1 for selenium containing wastewaters set by the United States Environmental Protection Agency. Over the last few decades, various technologies have been developed for the treatment of selenium-containing wastewaters. Biological selenium reduction has emerged as the leading technology for removing selenium from wastewaters since it offers a cheaper alternative compared to physico-chemical treatments and is suitable for treating dilute and variable selenium-laden wastewaters. Moreover, biological treatment has the advantage of forming elemental selenium nanospheres which exhibit unique optical and spectral properties for various industrial applications, i.e. medical, electrical, and manufacturing processes. However, despite the advances in biotechnology employing selenium reduction, there are still several challenges, particularly in achieving stringent discharge limits, the long-term stability of biogenic selenium and predicting the fate of bioreduced selenium in the environment. This review highlights the signiﬁcance of selenium in the environment, health, and industry and biotechnological advances made in the treatment of selenium contaminated wastewaters. The challenges and future perspectives are overviewed considering recent biotechnological advances in the management of these selenium-laden wastewaters.","container-title":"Biotechnology Advances","DOI":"10.1016/j.biotechadv.2016.05.005","ISSN":"07349750","issue":"5","journalAbbreviation":"Biotechnology Advances","language":"en","page":"886-907","source":"DOI.org (Crossref)","title":"Selenium: environmental significance, pollution, and biological treatment technologies","title-short":"Selenium","volume":"34","author":[{"family":"Tan","given":"Lea Chua"},{"family":"Nancharaiah","given":"Yarlagadda V."},{"family":"Hullebusch","given":"Eric D.","non-dropping-particle":"van"},{"family":"Lens","given":"Piet N.L."}],"issued":{"date-parts":[["2016",9]]}}},{"id":763,"uris":["http://zotero.org/users/8284751/items/RIGVNFRG"],"itemData":{"id":763,"type":"article-journal","abstract":"Aims: To identify bacteria with high selenium tolerance and reduction capacity for bioremediation of wastewater and nanoselenium particle production. Methods and Results: A bacterial endophyte was isolated from the selenium hyperaccumulator Stanleya pinnata (Brassicaceae) growing on seleniferous soils in Colorado, USA. Based on fatty acid methyl ester analysis and multi-locus sequence analysis (MLSA) using 16S rRNA, gyrB, rpoB and rpoD genes, the isolate was identiﬁed as a subspecies of Pseudomonas moraviensis (97Á3% nucleotide identity) and named P. moraviensis stanleyae. The isolate exhibited extreme tolerance to SeO32− (up to 120 mmol lÀ1) and SeO42− (&gt;150 mmol lÀ1). Selenium oxyanion removal from growth medium was measured by microchip capillary electrophoresis (detection limit 95 nmol lÀ1 for SeO32− and 13 nmol lÀ1 for SeO42−). Within 48 h, P. moraviensis stanleyae aerobically reduced SeO32− to red Se(0) from 10 mmol lÀ1 to below the detection limit (removal rate 0Á27 mmol hÀ1 at 30°C); anaerobic SeO32− removal was slower. No SeO42− removal was observed. Pseudomonas moraviensis stanleyae stimulated the growth of crop species Brassica juncea by 70% with no signiﬁcant effect on Se accumulation.","container-title":"Journal of Applied Microbiology","DOI":"10.1111/jam.12842","ISSN":"13645072","issue":"2","journalAbbreviation":"J Appl Microbiol","language":"en","page":"400-410","source":"DOI.org (Crossref)","title":"&lt;i&gt;Pseudomonas moraviensis&lt;/i&gt; subsp. stanleyae, a bacterial endophyte of hyperaccumulator &lt;i&gt;Stanleya pinnata&lt;/i&gt; , is capable of efficient selenite reduction to elemental selenium under aerobic conditions","volume":"119","author":[{"family":"Staicu","given":"L.C."},{"family":"Ackerson","given":"C.J."},{"family":"Cornelis","given":"P."},{"family":"Ye","given":"L."},{"family":"Berendsen","given":"R.L."},{"family":"Hunter","given":"W.J."},{"family":"Noblitt","given":"S.D."},{"family":"Henry","given":"C.S."},{"family":"Cappa","given":"J.J."},{"family":"Montenieri","given":"R.L."},{"family":"Wong","given":"A.O."},{"family":"Musilova","given":"L."},{"family":"Sura-de Jong","given":"M."},{"family":"Hullebusch","given":"E.D.","non-dropping-particle":"van"},{"family":"Lens","given":"P.N.L."},{"family":"Reynolds","given":"R.J.B."},{"family":"Pilon-Smits","given":"E.A.H."}],"issued":{"date-parts":[["2015",8]]}}}],"schema":"https://github.com/citation-style-language/schema/raw/master/csl-citation.json"} </w:instrText>
      </w:r>
      <w:r w:rsidR="006C1586"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40,41</w:t>
      </w:r>
      <w:r w:rsidR="006C1586" w:rsidRPr="00AD04DA">
        <w:rPr>
          <w:rFonts w:ascii="Times New Roman" w:hAnsi="Times New Roman" w:cs="Times New Roman"/>
          <w:sz w:val="24"/>
          <w:szCs w:val="24"/>
        </w:rPr>
        <w:fldChar w:fldCharType="end"/>
      </w:r>
      <w:r w:rsidR="006C1586" w:rsidRPr="00AD04DA">
        <w:rPr>
          <w:rFonts w:ascii="Times New Roman" w:hAnsi="Times New Roman" w:cs="Times New Roman"/>
          <w:sz w:val="24"/>
          <w:szCs w:val="24"/>
        </w:rPr>
        <w:t>.</w:t>
      </w:r>
      <w:r w:rsidR="006D67EF" w:rsidRPr="00AD04DA">
        <w:rPr>
          <w:rFonts w:ascii="Times New Roman" w:hAnsi="Times New Roman" w:cs="Times New Roman"/>
          <w:sz w:val="24"/>
          <w:szCs w:val="24"/>
        </w:rPr>
        <w:t xml:space="preserve"> Direct removal processes such as adsorption are limited by the coexistence of sulfate (SO</w:t>
      </w:r>
      <w:r w:rsidR="006D67EF" w:rsidRPr="00AD04DA">
        <w:rPr>
          <w:rFonts w:ascii="Times New Roman" w:hAnsi="Times New Roman" w:cs="Times New Roman"/>
          <w:sz w:val="24"/>
          <w:szCs w:val="24"/>
          <w:vertAlign w:val="subscript"/>
        </w:rPr>
        <w:t>4</w:t>
      </w:r>
      <w:r w:rsidR="006D67EF" w:rsidRPr="00AD04DA">
        <w:rPr>
          <w:rFonts w:ascii="Times New Roman" w:hAnsi="Times New Roman" w:cs="Times New Roman"/>
          <w:sz w:val="24"/>
          <w:szCs w:val="24"/>
          <w:vertAlign w:val="superscript"/>
        </w:rPr>
        <w:t>2-</w:t>
      </w:r>
      <w:r w:rsidR="006D67EF" w:rsidRPr="00AD04DA">
        <w:rPr>
          <w:rFonts w:ascii="Times New Roman" w:hAnsi="Times New Roman" w:cs="Times New Roman"/>
          <w:sz w:val="24"/>
          <w:szCs w:val="24"/>
        </w:rPr>
        <w:t xml:space="preserve">) ions. Sulfate </w:t>
      </w:r>
      <w:r w:rsidR="00BF407A" w:rsidRPr="00AD04DA">
        <w:rPr>
          <w:rFonts w:ascii="Times New Roman" w:hAnsi="Times New Roman" w:cs="Times New Roman"/>
          <w:sz w:val="24"/>
          <w:szCs w:val="24"/>
        </w:rPr>
        <w:t>ions are up to an order of magnitude more prevalent in FGD wastewaters</w:t>
      </w:r>
      <w:r w:rsidR="00BF407A"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{"citationID":"3CmUCRtQ","properties":{"formattedCitation":"\\super 42\\nosupersub{}","plainCitation":"42","noteIndex":0},"citationItems":[{"id":767,"uris":["http://zotero.org/users/8284751/items/HCNUYKUY"],"itemData":{"id":767,"type":"article-journal","abstract":"In this paper, we present and discuss the results from the ﬁrst ﬁeld demonstration of the hybrid zero-valent iron (hZVI) technology for removing selenium (Se), mercury (Hg), and nitrate from the ﬂue-gas-desulfurization (FGD) wastewater of a coal-ﬁred power plant. By hybridizing zero-valent iron with magnetite and Fe(II) species, the hZVI technology creates a self-sustaining highly-reactive mixture that can achieve rapid reduction, transformation, immobilization and mineralization of various heavy metals, oxyanions and other impurities from aqueous streams in a near-neutral pH environment. The hZVI technology was demonstrated in a 5-week continuous-ﬂow ﬁeld test conducted on a 30-l ﬂuidized bed system at a power plant. The prototype consistently reduced Hg from ca. 50 to &lt;0.005 lg/L and Se (mostly as selenate) from ca. 3000 to &lt;7 lg/L. Nitrate was reduced from ca. 25 to &lt;0.2 mg/L. In addition, arsenic, cadmium, chromium, nickel, lead, zinc, and vanadium were all reduced to near- or sub-ppb levels. The TCLP test on the spent solids found that the leachate contained &lt;0.1 mg/L Se, &lt;0.2 lg/L Hg and &lt;0.1 lg/L As, all below their respective regulatory limits for non-hazardous waste designation. With limited chemical consumption and solid waste production, the hZVI technology has a competitive process economics in comparison with other advanced metal treatment solutions. The hZVI technology can be a cost-effective solution to many current and emerging problems in water/wastewater treatment and help industries comply with the increasingly stringent environmental regulations.","container-title":"Separation and Purification Technology","DOI":"10.1016/j.seppur.2013.07.009","ISSN":"13835866","journalAbbreviation":"Separation and Purification Technology","language":"en","page":"690-698","source":"DOI.org (Crossref)","title":"Hybrid zero-valent iron process for removing heavy metals and nitrate from flue-gas-desulfurization wastewater","volume":"118","author":[{"family":"Huang","given":"Yong H."},{"family":"Peddi","given":"Phani K."},{"family":"Tang","given":"Cilai"},{"family":"Zeng","given":"Hui"},{"family":"Teng","given":"Xinjun"}],"issued":{"date-parts":[["2013",10]]}}}],"schema":"https://github.com/citation-style-language/schema/raw/master/csl-citation.json"} </w:instrText>
      </w:r>
      <w:r w:rsidR="00BF407A"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42</w:t>
      </w:r>
      <w:r w:rsidR="00BF407A" w:rsidRPr="00AD04DA">
        <w:rPr>
          <w:rFonts w:ascii="Times New Roman" w:hAnsi="Times New Roman" w:cs="Times New Roman"/>
          <w:sz w:val="24"/>
          <w:szCs w:val="24"/>
        </w:rPr>
        <w:fldChar w:fldCharType="end"/>
      </w:r>
      <w:r w:rsidR="00BF407A" w:rsidRPr="00AD04DA">
        <w:rPr>
          <w:rFonts w:ascii="Times New Roman" w:hAnsi="Times New Roman" w:cs="Times New Roman"/>
          <w:sz w:val="24"/>
          <w:szCs w:val="24"/>
        </w:rPr>
        <w:t xml:space="preserve"> and are structurally similar to selenate ions, which creates competition for adsorption sites</w:t>
      </w:r>
      <w:r w:rsidR="00BF407A"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{"citationID":"uXZelrC8","properties":{"formattedCitation":"\\super 43\\nosupersub{}","plainCitation":"43","noteIndex":0},"citationItems":[{"id":769,"uris":["http://zotero.org/users/8284751/items/D66XGCME"],"itemData":{"id":769,"type":"article-journal","abstract":"In the present study, we explore a new application of Barite (BaSO4) as a sequestering phase for selenite (Se(IV)) and selenate (Se(VI)) ions from aqueous solutions because of the low solubility and high stability of Barite with its ability to selectively incorporate a large amount of various ions. The uptake of Se(IV) and Se(VI) during coprecipitation with Barite was investigated through batch experiments to understand the factors controlling eﬀective removal of Se(IV) and Se(VI) from polluted water to Barite. The factors include (i) chemical aﬃnity related to the degree of surface complexation between Barite surface and Se(IV)/ Se(VI) ion and (ii) structural similarity related to the structural geometry of incorporated ions into the substituted site. The uptake of Se(IV) by Barite is dependent on pH, coexistent calcium ion, and sulfate concentration in the initial solution, possibly due to their eﬀects on the chemical aﬃnity and structural similarity. On the other hand, the uptake of Se(VI) by Barite was strongly dependent on sulfate concentration in the initial solution, which is only related to the structural similarity. This study describes the mechanisms for Se distribution between Barite and water, thereby providing a good estimate of its ability to eﬀectively remove Se(IV) and Se(VI) from aqueous solutions under optimized experimental parameters examined here.","container-title":"Environmental Science &amp; Technology","DOI":"10.1021/acs.est.7b01219","ISSN":"0013-936X, 1520-5851","issue":"16","journalAbbreviation":"Environ. Sci. Technol.","language":"en","page":"9194-9201","source":"DOI.org (Crossref)","title":"Effective Removal of Selenite and Selenate Ions from Aqueous Solution by Barite","volume":"51","author":[{"family":"Tokunaga","given":"Kohei"},{"family":"Takahashi","given":"Yoshio"}],"issued":{"date-parts":[["2017",8,15]]}}}],"schema":"https://github.com/citation-style-language/schema/raw/master/csl-citation.json"} </w:instrText>
      </w:r>
      <w:r w:rsidR="00BF407A"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43</w:t>
      </w:r>
      <w:r w:rsidR="00BF407A" w:rsidRPr="00AD04DA">
        <w:rPr>
          <w:rFonts w:ascii="Times New Roman" w:hAnsi="Times New Roman" w:cs="Times New Roman"/>
          <w:sz w:val="24"/>
          <w:szCs w:val="24"/>
        </w:rPr>
        <w:fldChar w:fldCharType="end"/>
      </w:r>
      <w:r w:rsidR="00BF407A" w:rsidRPr="00AD04DA">
        <w:rPr>
          <w:rFonts w:ascii="Times New Roman" w:hAnsi="Times New Roman" w:cs="Times New Roman"/>
          <w:sz w:val="24"/>
          <w:szCs w:val="24"/>
        </w:rPr>
        <w:t>.</w:t>
      </w:r>
      <w:r w:rsidR="00CD518C" w:rsidRPr="00AD04DA">
        <w:rPr>
          <w:rFonts w:ascii="Times New Roman" w:hAnsi="Times New Roman" w:cs="Times New Roman"/>
          <w:sz w:val="24"/>
          <w:szCs w:val="24"/>
        </w:rPr>
        <w:t xml:space="preserve"> </w:t>
      </w:r>
      <w:r w:rsidR="005D44D8" w:rsidRPr="00AD04DA">
        <w:rPr>
          <w:rFonts w:ascii="Times New Roman" w:hAnsi="Times New Roman" w:cs="Times New Roman"/>
          <w:sz w:val="24"/>
          <w:szCs w:val="24"/>
        </w:rPr>
        <w:t>Furthermore</w:t>
      </w:r>
      <w:r w:rsidR="00EE3A52" w:rsidRPr="00AD04DA">
        <w:rPr>
          <w:rFonts w:ascii="Times New Roman" w:hAnsi="Times New Roman" w:cs="Times New Roman"/>
          <w:sz w:val="24"/>
          <w:szCs w:val="24"/>
        </w:rPr>
        <w:t>, any proposed FGD wastewater treatment must be able to withstand the corrosive</w:t>
      </w:r>
      <w:r w:rsidR="00463B4B" w:rsidRPr="00AD04DA">
        <w:rPr>
          <w:rFonts w:ascii="Times New Roman" w:hAnsi="Times New Roman" w:cs="Times New Roman"/>
          <w:sz w:val="24"/>
          <w:szCs w:val="24"/>
        </w:rPr>
        <w:t xml:space="preserve"> and high total dissolved solids (TDS)</w:t>
      </w:r>
      <w:r w:rsidR="00EE3A52" w:rsidRPr="00AD04DA">
        <w:rPr>
          <w:rFonts w:ascii="Times New Roman" w:hAnsi="Times New Roman" w:cs="Times New Roman"/>
          <w:sz w:val="24"/>
          <w:szCs w:val="24"/>
        </w:rPr>
        <w:t xml:space="preserve"> FGD wastewater. </w:t>
      </w:r>
      <w:r w:rsidR="00463B4B" w:rsidRPr="00AD04DA">
        <w:rPr>
          <w:rFonts w:ascii="Times New Roman" w:hAnsi="Times New Roman" w:cs="Times New Roman"/>
          <w:sz w:val="24"/>
          <w:szCs w:val="24"/>
        </w:rPr>
        <w:t>FGD wastewater is recycled through the system to maintain a chloride content of up to 20,000 mg L</w:t>
      </w:r>
      <w:r w:rsidR="00463B4B" w:rsidRPr="00AD04DA">
        <w:rPr>
          <w:rFonts w:ascii="Times New Roman" w:hAnsi="Times New Roman" w:cs="Times New Roman"/>
          <w:sz w:val="24"/>
          <w:szCs w:val="24"/>
          <w:vertAlign w:val="superscript"/>
        </w:rPr>
        <w:t>-1</w:t>
      </w:r>
      <w:r w:rsidR="00463B4B" w:rsidRPr="00AD04DA">
        <w:rPr>
          <w:rFonts w:ascii="Times New Roman" w:hAnsi="Times New Roman" w:cs="Times New Roman"/>
          <w:sz w:val="24"/>
          <w:szCs w:val="24"/>
        </w:rPr>
        <w:t>, but chloride contents can reach 40,000</w:t>
      </w:r>
      <w:r w:rsidR="0030487E" w:rsidRPr="00AD04DA">
        <w:rPr>
          <w:rFonts w:ascii="Times New Roman" w:hAnsi="Times New Roman" w:cs="Times New Roman"/>
          <w:sz w:val="24"/>
          <w:szCs w:val="24"/>
        </w:rPr>
        <w:t xml:space="preserve"> mg L</w:t>
      </w:r>
      <w:r w:rsidR="0030487E" w:rsidRPr="00AD04DA">
        <w:rPr>
          <w:rFonts w:ascii="Times New Roman" w:hAnsi="Times New Roman" w:cs="Times New Roman"/>
          <w:sz w:val="24"/>
          <w:szCs w:val="24"/>
          <w:vertAlign w:val="superscript"/>
        </w:rPr>
        <w:t>-1</w:t>
      </w:r>
      <w:r w:rsidR="00463B4B" w:rsidRPr="00AD04DA">
        <w:rPr>
          <w:rFonts w:ascii="Times New Roman" w:hAnsi="Times New Roman" w:cs="Times New Roman"/>
          <w:sz w:val="24"/>
          <w:szCs w:val="24"/>
        </w:rPr>
        <w:t xml:space="preserve"> with the implementation of corrosion-resistant systems</w:t>
      </w:r>
      <w:r w:rsidR="00D14360"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{"citationID":"Lg4K0cFz","properties":{"formattedCitation":"\\super 22,44\\uc0\\u8211{}46\\nosupersub{}","plainCitation":"22,44–46","noteIndex":0},"citationItems":[{"id":512,"uris":["http://zotero.org/users/8284751/items/KFQG6M97"],"itemData":{"id":512,"type":"article-journal","abstract":"This review identifies challenges and opportunities facing the electricity generation sector in treating flue gas desulfurization wastewater.\n          , \n            In November 2015, the United States Environmental Protection Agency (EPA) promulgated the Effluent Limitations Guidelines (ELGs) for the Steam Electric Power Generating Sector. These guidelines either eliminate or lower permissible discharge limits for six wastewater streams produced at coal fired power plants (CFPPs), including flue gas desulfurization (FGD) wastewater. This paper summarizes the state of the art, describes fundamental challenges, and highlights critical research needs in FGD wastewater treatment. We begin by describing the processes that influence FGD wastewater production and composition. We then critically evaluate the best available technologies for treating FGD wastewater identified by the EPA during the regulatory process. Finally, we identify four critical challenges and research needs in complying with the 2015 ELGs including (1) removing selenium species from FGD wastewater, (2) achieving zero liquid discharge of pollutants from FGD wastewater while enabling water reuse at CFPPs, (3) developing water treatment systems that can respond to short-term fluctuations in CFPP electricity generation and wastewater production, and (4) optimizing the balance of capital and operational costs for FGD treatment when the power plant lifespan is uncertain.","container-title":"Environmental Science: Water Research &amp; Technology","DOI":"10.1039/C8EW00264A","ISSN":"2053-1400, 2053-1419","issue":"7","journalAbbreviation":"Environ. Sci.: Water Res. Technol.","language":"en","page":"909-925","source":"DOI.org (Crossref)","title":"Fundamental challenges and engineering opportunities in flue gas desulfurization wastewater treatment at coal fired power plants","volume":"4","author":[{"family":"Gingerich","given":"Daniel B."},{"family":"Grol","given":"Eric"},{"family":"Mauter","given":"Meagan S."}],"issued":{"date-parts":[["2018"]]}}},{"id":827,"uris":["http://zotero.org/users/8284751/items/D6G7E9UD"],"itemData":{"id":827,"type":"report","number":"EPA 821-R-09-008","publisher":"US Environmental Protection Agency","title":"Steam Electric Power Generating Point Source Category: Final Detailed Study Report","issued":{"date-parts":[["2009"]]}}},{"id":829,"uris":["http://zotero.org/users/8284751/items/SRXPMNS4"],"itemData":{"id":829,"type":"report","event-place":"Palo Aloto, CA","number":"3002011388","page":"40","publisher-place":"Palo Aloto, CA","title":"Conditions Impacting Treatment of Wet Flue Gas Desulfurization Wastewater","author":[{"family":"Electric Power Research Institute","given":""}],"issued":{"date-parts":[["2007"]]}}},{"id":828,"uris":["http://zotero.org/users/8284751/items/2J3EY77D"],"itemData":{"id":828,"type":"document","publisher":"Utility Water Act Group, Richmond, VA","title":"Comments on EPA's Proposed Effluent Limitations Guidelines and Standards for the Steam Electric Power Generating Point Source Category","author":[{"family":"Utility Water Act Group","given":""}],"issued":{"date-parts":[["2013"]]}}}],"schema":"https://github.com/citation-style-language/schema/raw/master/csl-citation.json"} </w:instrText>
      </w:r>
      <w:r w:rsidR="00D14360"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22,44–46</w:t>
      </w:r>
      <w:r w:rsidR="00D14360" w:rsidRPr="00AD04DA">
        <w:rPr>
          <w:rFonts w:ascii="Times New Roman" w:hAnsi="Times New Roman" w:cs="Times New Roman"/>
          <w:sz w:val="24"/>
          <w:szCs w:val="24"/>
        </w:rPr>
        <w:fldChar w:fldCharType="end"/>
      </w:r>
      <w:r w:rsidR="00463B4B" w:rsidRPr="00AD04DA">
        <w:rPr>
          <w:rFonts w:ascii="Times New Roman" w:hAnsi="Times New Roman" w:cs="Times New Roman"/>
          <w:sz w:val="24"/>
          <w:szCs w:val="24"/>
        </w:rPr>
        <w:t>.</w:t>
      </w:r>
      <w:r w:rsidR="00EE3A52" w:rsidRPr="00AD04DA">
        <w:rPr>
          <w:rFonts w:ascii="Times New Roman" w:hAnsi="Times New Roman" w:cs="Times New Roman"/>
          <w:sz w:val="24"/>
          <w:szCs w:val="24"/>
        </w:rPr>
        <w:t xml:space="preserve"> </w:t>
      </w:r>
      <w:r w:rsidR="002A2DEE" w:rsidRPr="00AD04DA">
        <w:rPr>
          <w:rFonts w:ascii="Times New Roman" w:hAnsi="Times New Roman" w:cs="Times New Roman"/>
          <w:sz w:val="24"/>
          <w:szCs w:val="24"/>
        </w:rPr>
        <w:t xml:space="preserve">A robust process that can withstand variations in FGD </w:t>
      </w:r>
      <w:r w:rsidR="002A2DEE" w:rsidRPr="00AD04DA">
        <w:rPr>
          <w:rFonts w:ascii="Times New Roman" w:hAnsi="Times New Roman" w:cs="Times New Roman"/>
          <w:sz w:val="24"/>
          <w:szCs w:val="24"/>
        </w:rPr>
        <w:lastRenderedPageBreak/>
        <w:t>wastewater</w:t>
      </w:r>
      <w:r w:rsidR="005F1D5F" w:rsidRPr="00AD04DA">
        <w:rPr>
          <w:rFonts w:ascii="Times New Roman" w:hAnsi="Times New Roman" w:cs="Times New Roman"/>
          <w:sz w:val="24"/>
          <w:szCs w:val="24"/>
        </w:rPr>
        <w:t xml:space="preserve"> compositions</w:t>
      </w:r>
      <w:r w:rsidR="002A2DEE" w:rsidRPr="00AD04DA">
        <w:rPr>
          <w:rFonts w:ascii="Times New Roman" w:hAnsi="Times New Roman" w:cs="Times New Roman"/>
          <w:sz w:val="24"/>
          <w:szCs w:val="24"/>
        </w:rPr>
        <w:t xml:space="preserve"> and remove selenate even in the presence of sulfate</w:t>
      </w:r>
      <w:r w:rsidR="003507C2" w:rsidRPr="00AD04DA">
        <w:rPr>
          <w:rFonts w:ascii="Times New Roman" w:hAnsi="Times New Roman" w:cs="Times New Roman"/>
          <w:sz w:val="24"/>
          <w:szCs w:val="24"/>
        </w:rPr>
        <w:t xml:space="preserve"> and chlori</w:t>
      </w:r>
      <w:r w:rsidR="00463B4B" w:rsidRPr="00AD04DA">
        <w:rPr>
          <w:rFonts w:ascii="Times New Roman" w:hAnsi="Times New Roman" w:cs="Times New Roman"/>
          <w:sz w:val="24"/>
          <w:szCs w:val="24"/>
        </w:rPr>
        <w:t>de</w:t>
      </w:r>
      <w:r w:rsidR="002A2DEE" w:rsidRPr="00AD04DA">
        <w:rPr>
          <w:rFonts w:ascii="Times New Roman" w:hAnsi="Times New Roman" w:cs="Times New Roman"/>
          <w:sz w:val="24"/>
          <w:szCs w:val="24"/>
        </w:rPr>
        <w:t xml:space="preserve"> is needed</w:t>
      </w:r>
      <w:r w:rsidR="00EE7C0B" w:rsidRPr="00AD04DA">
        <w:rPr>
          <w:rFonts w:ascii="Times New Roman" w:hAnsi="Times New Roman" w:cs="Times New Roman"/>
          <w:sz w:val="24"/>
          <w:szCs w:val="24"/>
        </w:rPr>
        <w:t>.</w:t>
      </w:r>
    </w:p>
    <w:p w14:paraId="46012EE5" w14:textId="1AB095CC" w:rsidR="00B340E6" w:rsidRPr="00AD04DA" w:rsidRDefault="00C7121A" w:rsidP="008145EB">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Temperature swing solvent extraction (TSSE) is a </w:t>
      </w:r>
      <w:r w:rsidR="00A95834" w:rsidRPr="00AD04DA">
        <w:rPr>
          <w:rFonts w:ascii="Times New Roman" w:hAnsi="Times New Roman" w:cs="Times New Roman"/>
          <w:sz w:val="24"/>
          <w:szCs w:val="24"/>
        </w:rPr>
        <w:t>developing process that</w:t>
      </w:r>
      <w:r w:rsidR="00992FE0" w:rsidRPr="00AD04DA">
        <w:rPr>
          <w:rFonts w:ascii="Times New Roman" w:hAnsi="Times New Roman" w:cs="Times New Roman"/>
          <w:sz w:val="24"/>
          <w:szCs w:val="24"/>
        </w:rPr>
        <w:t xml:space="preserve"> could be</w:t>
      </w:r>
      <w:r w:rsidR="00A95834" w:rsidRPr="00AD04DA">
        <w:rPr>
          <w:rFonts w:ascii="Times New Roman" w:hAnsi="Times New Roman" w:cs="Times New Roman"/>
          <w:sz w:val="24"/>
          <w:szCs w:val="24"/>
        </w:rPr>
        <w:t xml:space="preserve"> robust enough to handle the complex and variable nature of FGD wastewater</w:t>
      </w:r>
      <w:r w:rsidR="0061057F" w:rsidRPr="00AD04DA">
        <w:rPr>
          <w:rFonts w:ascii="Times New Roman" w:hAnsi="Times New Roman" w:cs="Times New Roman"/>
          <w:sz w:val="24"/>
          <w:szCs w:val="24"/>
        </w:rPr>
        <w:t xml:space="preserve">. </w:t>
      </w:r>
      <w:r w:rsidR="00602ED0" w:rsidRPr="00AD04DA">
        <w:rPr>
          <w:rFonts w:ascii="Times New Roman" w:hAnsi="Times New Roman" w:cs="Times New Roman"/>
          <w:sz w:val="24"/>
          <w:szCs w:val="24"/>
        </w:rPr>
        <w:t xml:space="preserve">Section </w:t>
      </w:r>
      <w:r w:rsidR="0050712A" w:rsidRPr="00AD04DA">
        <w:rPr>
          <w:rFonts w:ascii="Times New Roman" w:hAnsi="Times New Roman" w:cs="Times New Roman"/>
          <w:sz w:val="24"/>
          <w:szCs w:val="24"/>
        </w:rPr>
        <w:t>1</w:t>
      </w:r>
      <w:r w:rsidR="00602ED0" w:rsidRPr="00AD04DA">
        <w:rPr>
          <w:rFonts w:ascii="Times New Roman" w:hAnsi="Times New Roman" w:cs="Times New Roman"/>
          <w:sz w:val="24"/>
          <w:szCs w:val="24"/>
        </w:rPr>
        <w:t xml:space="preserve">.2 will describe the working principles of TSSE. Briefly, </w:t>
      </w:r>
      <w:r w:rsidR="00B340E6" w:rsidRPr="00AD04DA">
        <w:rPr>
          <w:rFonts w:ascii="Times New Roman" w:hAnsi="Times New Roman" w:cs="Times New Roman"/>
          <w:sz w:val="24"/>
          <w:szCs w:val="24"/>
        </w:rPr>
        <w:t xml:space="preserve">TSSE is a cyclical process in which purified water is produced from contaminated feeds. Unlike other solvent extraction processes, </w:t>
      </w:r>
      <w:r w:rsidR="0049685E" w:rsidRPr="00AD04DA">
        <w:rPr>
          <w:rFonts w:ascii="Times New Roman" w:hAnsi="Times New Roman" w:cs="Times New Roman"/>
          <w:sz w:val="24"/>
          <w:szCs w:val="24"/>
        </w:rPr>
        <w:t>the purpose of the solvent is not to transfer the solute between the aqueous and organic phases.</w:t>
      </w:r>
      <w:r w:rsidR="00B340E6" w:rsidRPr="00AD04DA">
        <w:rPr>
          <w:rFonts w:ascii="Times New Roman" w:hAnsi="Times New Roman" w:cs="Times New Roman"/>
          <w:sz w:val="24"/>
          <w:szCs w:val="24"/>
        </w:rPr>
        <w:t xml:space="preserve"> Rather, water is drawn from the aqueous phase into the organic, concentrating the feed</w:t>
      </w:r>
      <w:r w:rsidR="00CA69EE" w:rsidRPr="00AD04DA">
        <w:rPr>
          <w:rFonts w:ascii="Times New Roman" w:hAnsi="Times New Roman" w:cs="Times New Roman"/>
          <w:sz w:val="24"/>
          <w:szCs w:val="24"/>
        </w:rPr>
        <w:t xml:space="preserve"> in a manner </w:t>
      </w:r>
      <w:r w:rsidR="00B340E6" w:rsidRPr="00AD04DA">
        <w:rPr>
          <w:rFonts w:ascii="Times New Roman" w:hAnsi="Times New Roman" w:cs="Times New Roman"/>
          <w:sz w:val="24"/>
          <w:szCs w:val="24"/>
        </w:rPr>
        <w:t>comparable to forward osmosis</w:t>
      </w:r>
      <w:r w:rsidR="00B340E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{"citationID":"ZUesCnQR","properties":{"formattedCitation":"\\super 47\\nosupersub{}","plainCitation":"47","noteIndex":0},"citationItems":[{"id":535,"uris":["http://zotero.org/users/8284751/items/RJ322JHZ"],"itemData":{"id":535,"type":"article-journal","abstract":"This study examined the performance of a novel hybrid system of forward osmosis (FO) combined with vacuum membrane distillation (VMD) for reclaiming water from shale gas drilling flow-back fluid (SGDF). In the hybrid FO-VMD system, water permeated through the FO membrane into a draw solution reservoir, and the VMD process was used for draw solute recovery and clean water production. Using a SGDF sample obtained from a drilling site in China, the hybrid system could achieve almost 90% water recovery. Quality of the reclaimed water was comparable to that of bottled water. In the hybrid FO-VMD system, FO functions as a pre-treatment step to remove most contaminants and constituents that may foul or scale the membrane distillation (MD) membrane, whereas MD produces high quality water. It is envisioned that the FO-VMD system can recover high quality water not only from SGDF but also other wastewaters with high salinity and complex compositions.","container-title":"Water Science and Technology","DOI":"10.2166/wst.2014.003","ISSN":"0273-1223, 1996-9732","issue":"5","language":"en","page":"1036-1044","source":"DOI.org (Crossref)","title":"Water reclamation from shale gas drilling flow-back fluid using a novel forward osmosis–vacuum membrane distillation hybrid system","volume":"69","author":[{"family":"Li","given":"Xue-Mei"},{"family":"Zhao","given":"Baolong"},{"family":"Wang","given":"Zhouwei"},{"family":"Xie","given":"Ming"},{"family":"Song","given":"Jianfeng"},{"family":"Nghiem","given":"Long D."},{"family":"He","given":"Tao"},{"family":"Yang","given":"Chi"},{"family":"Li","given":"Chunxia"},{"family":"Chen","given":"Gang"}],"issued":{"date-parts":[["2014",3,1]]}}}],"schema":"https://github.com/citation-style-language/schema/raw/master/csl-citation.json"} </w:instrText>
      </w:r>
      <w:r w:rsidR="00B340E6"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47</w:t>
      </w:r>
      <w:r w:rsidR="00B340E6" w:rsidRPr="00AD04DA">
        <w:rPr>
          <w:rFonts w:ascii="Times New Roman" w:hAnsi="Times New Roman" w:cs="Times New Roman"/>
          <w:sz w:val="24"/>
          <w:szCs w:val="24"/>
        </w:rPr>
        <w:fldChar w:fldCharType="end"/>
      </w:r>
      <w:r w:rsidR="00B340E6" w:rsidRPr="00AD04DA">
        <w:rPr>
          <w:rFonts w:ascii="Times New Roman" w:hAnsi="Times New Roman" w:cs="Times New Roman"/>
          <w:sz w:val="24"/>
          <w:szCs w:val="24"/>
        </w:rPr>
        <w:t xml:space="preserve"> or membrane distillation</w:t>
      </w:r>
      <w:r w:rsidR="00B340E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{"citationID":"RVfuVt20","properties":{"formattedCitation":"\\super 48\\nosupersub{}","plainCitation":"48","noteIndex":0},"citationItems":[{"id":175,"uris":["http://zotero.org/users/8284751/items/TYJLN8NU"],"itemData":{"id":175,"type":"article-journal","abstract":"Membrane Distillation (MD) is a thermally-driven separation process, in which only vapour molecules transfer through a microporous hydrophobic membrane. The driving force in the MD process is the vapour pressure difference induced by the temperature difference across the hydrophobic membrane. This process has various applications, such as desalination, wastewater treatment and in the food industry.","container-title":"Desalination","DOI":"10.1016/j.desal.2011.08.027","ISSN":"00119164","journalAbbreviation":"Desalination","language":"en","page":"2-18","source":"DOI.org (Crossref)","title":"Membrane distillation: A comprehensive review","title-short":"Membrane distillation","volume":"287","author":[{"family":"Alkhudhiri","given":"Abdullah"},{"family":"Darwish","given":"Naif"},{"family":"Hilal","given":"Nidal"}],"issued":{"date-parts":[["2012",2]]}}}],"schema":"https://github.com/citation-style-language/schema/raw/master/csl-citation.json"} </w:instrText>
      </w:r>
      <w:r w:rsidR="00B340E6"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48</w:t>
      </w:r>
      <w:r w:rsidR="00B340E6" w:rsidRPr="00AD04DA">
        <w:rPr>
          <w:rFonts w:ascii="Times New Roman" w:hAnsi="Times New Roman" w:cs="Times New Roman"/>
          <w:sz w:val="24"/>
          <w:szCs w:val="24"/>
        </w:rPr>
        <w:fldChar w:fldCharType="end"/>
      </w:r>
      <w:r w:rsidR="00B340E6" w:rsidRPr="00AD04DA">
        <w:rPr>
          <w:rFonts w:ascii="Times New Roman" w:hAnsi="Times New Roman" w:cs="Times New Roman"/>
          <w:sz w:val="24"/>
          <w:szCs w:val="24"/>
        </w:rPr>
        <w:t>.</w:t>
      </w:r>
      <w:r w:rsidR="00335AD3" w:rsidRPr="00AD04DA">
        <w:rPr>
          <w:rFonts w:ascii="Times New Roman" w:hAnsi="Times New Roman" w:cs="Times New Roman"/>
          <w:sz w:val="24"/>
          <w:szCs w:val="24"/>
        </w:rPr>
        <w:t xml:space="preserve"> The </w:t>
      </w:r>
      <w:r w:rsidR="00CA69EE" w:rsidRPr="00AD04DA">
        <w:rPr>
          <w:rFonts w:ascii="Times New Roman" w:hAnsi="Times New Roman" w:cs="Times New Roman"/>
          <w:sz w:val="24"/>
          <w:szCs w:val="24"/>
        </w:rPr>
        <w:t xml:space="preserve">organic and aqueous </w:t>
      </w:r>
      <w:r w:rsidR="00335AD3" w:rsidRPr="00AD04DA">
        <w:rPr>
          <w:rFonts w:ascii="Times New Roman" w:hAnsi="Times New Roman" w:cs="Times New Roman"/>
          <w:sz w:val="24"/>
          <w:szCs w:val="24"/>
        </w:rPr>
        <w:t>phases are separated, then a</w:t>
      </w:r>
      <w:r w:rsidR="00674DC1" w:rsidRPr="00AD04DA">
        <w:rPr>
          <w:rFonts w:ascii="Times New Roman" w:hAnsi="Times New Roman" w:cs="Times New Roman"/>
          <w:sz w:val="24"/>
          <w:szCs w:val="24"/>
        </w:rPr>
        <w:t xml:space="preserve"> “temperature-swing” of the organic phase shifts the solubility </w:t>
      </w:r>
      <w:r w:rsidR="00D17DCF" w:rsidRPr="00AD04DA">
        <w:rPr>
          <w:rFonts w:ascii="Times New Roman" w:hAnsi="Times New Roman" w:cs="Times New Roman"/>
          <w:sz w:val="24"/>
          <w:szCs w:val="24"/>
        </w:rPr>
        <w:t xml:space="preserve">of water </w:t>
      </w:r>
      <w:r w:rsidR="00674DC1" w:rsidRPr="00AD04DA">
        <w:rPr>
          <w:rFonts w:ascii="Times New Roman" w:hAnsi="Times New Roman" w:cs="Times New Roman"/>
          <w:sz w:val="24"/>
          <w:szCs w:val="24"/>
        </w:rPr>
        <w:t>and causes a new</w:t>
      </w:r>
      <w:r w:rsidR="00C367E6" w:rsidRPr="00AD04DA">
        <w:rPr>
          <w:rFonts w:ascii="Times New Roman" w:hAnsi="Times New Roman" w:cs="Times New Roman"/>
          <w:sz w:val="24"/>
          <w:szCs w:val="24"/>
        </w:rPr>
        <w:t>, purified</w:t>
      </w:r>
      <w:r w:rsidR="00674DC1" w:rsidRPr="00AD04DA">
        <w:rPr>
          <w:rFonts w:ascii="Times New Roman" w:hAnsi="Times New Roman" w:cs="Times New Roman"/>
          <w:sz w:val="24"/>
          <w:szCs w:val="24"/>
        </w:rPr>
        <w:t xml:space="preserve"> aqueous layer to form.</w:t>
      </w:r>
    </w:p>
    <w:p w14:paraId="306702AC" w14:textId="58CCAE54" w:rsidR="002B2410" w:rsidRPr="00EE6590" w:rsidRDefault="002B2410" w:rsidP="002B2410">
      <w:pPr>
        <w:pStyle w:val="Heading2"/>
        <w:spacing w:before="0" w:line="480" w:lineRule="auto"/>
        <w:ind w:firstLine="720"/>
        <w:rPr>
          <w:rFonts w:ascii="Times New Roman" w:hAnsi="Times New Roman" w:cs="Times New Roman"/>
          <w:color w:val="000000" w:themeColor="text1"/>
          <w:sz w:val="28"/>
          <w:szCs w:val="28"/>
        </w:rPr>
      </w:pPr>
      <w:bookmarkStart w:id="4" w:name="_Toc100753456"/>
      <w:r w:rsidRPr="00EE6590">
        <w:rPr>
          <w:rFonts w:ascii="Times New Roman" w:hAnsi="Times New Roman" w:cs="Times New Roman"/>
          <w:color w:val="000000" w:themeColor="text1"/>
          <w:sz w:val="28"/>
          <w:szCs w:val="28"/>
        </w:rPr>
        <w:t>1.2 Working Principles of TSSE</w:t>
      </w:r>
      <w:bookmarkEnd w:id="4"/>
    </w:p>
    <w:p w14:paraId="5D4894F4" w14:textId="78B6135D" w:rsidR="00E525AC" w:rsidRPr="00AD04DA" w:rsidRDefault="00EE1EA3" w:rsidP="008145EB">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In TSSE, </w:t>
      </w:r>
      <w:r w:rsidR="00602ED0" w:rsidRPr="00AD04DA">
        <w:rPr>
          <w:rFonts w:ascii="Times New Roman" w:hAnsi="Times New Roman" w:cs="Times New Roman"/>
          <w:sz w:val="24"/>
          <w:szCs w:val="24"/>
        </w:rPr>
        <w:t>contaminated feed water is brought into contact with an organic solvent</w:t>
      </w:r>
      <w:r w:rsidR="004C4148" w:rsidRPr="00AD04DA">
        <w:rPr>
          <w:rFonts w:ascii="Times New Roman" w:hAnsi="Times New Roman" w:cs="Times New Roman"/>
          <w:sz w:val="24"/>
          <w:szCs w:val="24"/>
        </w:rPr>
        <w:t>.</w:t>
      </w:r>
      <w:r w:rsidR="00602ED0" w:rsidRPr="00AD04DA">
        <w:rPr>
          <w:rFonts w:ascii="Times New Roman" w:hAnsi="Times New Roman" w:cs="Times New Roman"/>
          <w:sz w:val="24"/>
          <w:szCs w:val="24"/>
        </w:rPr>
        <w:t xml:space="preserve"> </w:t>
      </w:r>
      <w:r w:rsidR="000B76DC" w:rsidRPr="00AD04DA">
        <w:rPr>
          <w:rFonts w:ascii="Times New Roman" w:hAnsi="Times New Roman" w:cs="Times New Roman"/>
          <w:sz w:val="24"/>
          <w:szCs w:val="24"/>
        </w:rPr>
        <w:t xml:space="preserve">The phases reach equilibrium </w:t>
      </w:r>
      <w:r w:rsidR="009E0428" w:rsidRPr="00AD04DA">
        <w:rPr>
          <w:rFonts w:ascii="Times New Roman" w:hAnsi="Times New Roman" w:cs="Times New Roman"/>
          <w:sz w:val="24"/>
          <w:szCs w:val="24"/>
        </w:rPr>
        <w:t xml:space="preserve">at a temperature </w:t>
      </w:r>
      <w:r w:rsidR="0070120F" w:rsidRPr="00AD04DA">
        <w:rPr>
          <w:rFonts w:ascii="Times New Roman" w:hAnsi="Times New Roman" w:cs="Times New Roman"/>
          <w:sz w:val="24"/>
          <w:szCs w:val="24"/>
        </w:rPr>
        <w:t>where</w:t>
      </w:r>
      <w:r w:rsidR="009E0428" w:rsidRPr="00AD04DA">
        <w:rPr>
          <w:rFonts w:ascii="Times New Roman" w:hAnsi="Times New Roman" w:cs="Times New Roman"/>
          <w:sz w:val="24"/>
          <w:szCs w:val="24"/>
        </w:rPr>
        <w:t xml:space="preserve"> water has a relatively high solubility in the organic phase</w:t>
      </w:r>
      <w:r w:rsidR="00602ED0" w:rsidRPr="00AD04DA">
        <w:rPr>
          <w:rFonts w:ascii="Times New Roman" w:hAnsi="Times New Roman" w:cs="Times New Roman"/>
          <w:sz w:val="24"/>
          <w:szCs w:val="24"/>
        </w:rPr>
        <w:t>.</w:t>
      </w:r>
      <w:r w:rsidR="0070120F" w:rsidRPr="00AD04DA">
        <w:rPr>
          <w:rFonts w:ascii="Times New Roman" w:hAnsi="Times New Roman" w:cs="Times New Roman"/>
          <w:sz w:val="24"/>
          <w:szCs w:val="24"/>
        </w:rPr>
        <w:t xml:space="preserve"> </w:t>
      </w:r>
      <w:r w:rsidR="00C243FB" w:rsidRPr="00AD04DA">
        <w:rPr>
          <w:rFonts w:ascii="Times New Roman" w:hAnsi="Times New Roman" w:cs="Times New Roman"/>
          <w:sz w:val="24"/>
          <w:szCs w:val="24"/>
        </w:rPr>
        <w:t xml:space="preserve">As the phases approach equilibrium, </w:t>
      </w:r>
      <w:r w:rsidR="00341B69" w:rsidRPr="00AD04DA">
        <w:rPr>
          <w:rFonts w:ascii="Times New Roman" w:hAnsi="Times New Roman" w:cs="Times New Roman"/>
          <w:sz w:val="24"/>
          <w:szCs w:val="24"/>
        </w:rPr>
        <w:t xml:space="preserve">the organic phase </w:t>
      </w:r>
      <w:r w:rsidR="000B76DC" w:rsidRPr="00AD04DA">
        <w:rPr>
          <w:rFonts w:ascii="Times New Roman" w:hAnsi="Times New Roman" w:cs="Times New Roman"/>
          <w:sz w:val="24"/>
          <w:szCs w:val="24"/>
        </w:rPr>
        <w:t>dissolves</w:t>
      </w:r>
      <w:r w:rsidR="00341B69" w:rsidRPr="00AD04DA">
        <w:rPr>
          <w:rFonts w:ascii="Times New Roman" w:hAnsi="Times New Roman" w:cs="Times New Roman"/>
          <w:sz w:val="24"/>
          <w:szCs w:val="24"/>
        </w:rPr>
        <w:t xml:space="preserve"> water while rejecting feed solutes. The phases are </w:t>
      </w:r>
      <w:r w:rsidR="00B340E6" w:rsidRPr="00AD04DA">
        <w:rPr>
          <w:rFonts w:ascii="Times New Roman" w:hAnsi="Times New Roman" w:cs="Times New Roman"/>
          <w:sz w:val="24"/>
          <w:szCs w:val="24"/>
        </w:rPr>
        <w:t>separated,</w:t>
      </w:r>
      <w:r w:rsidR="00341B69" w:rsidRPr="00AD04DA">
        <w:rPr>
          <w:rFonts w:ascii="Times New Roman" w:hAnsi="Times New Roman" w:cs="Times New Roman"/>
          <w:sz w:val="24"/>
          <w:szCs w:val="24"/>
        </w:rPr>
        <w:t xml:space="preserve"> </w:t>
      </w:r>
      <w:r w:rsidR="009E0428" w:rsidRPr="00AD04DA">
        <w:rPr>
          <w:rFonts w:ascii="Times New Roman" w:hAnsi="Times New Roman" w:cs="Times New Roman"/>
          <w:sz w:val="24"/>
          <w:szCs w:val="24"/>
        </w:rPr>
        <w:t xml:space="preserve">and </w:t>
      </w:r>
      <w:r w:rsidR="002B6992" w:rsidRPr="00AD04DA">
        <w:rPr>
          <w:rFonts w:ascii="Times New Roman" w:hAnsi="Times New Roman" w:cs="Times New Roman"/>
          <w:sz w:val="24"/>
          <w:szCs w:val="24"/>
        </w:rPr>
        <w:t xml:space="preserve">the organic phase is </w:t>
      </w:r>
      <w:r w:rsidR="009E0428" w:rsidRPr="00AD04DA">
        <w:rPr>
          <w:rFonts w:ascii="Times New Roman" w:hAnsi="Times New Roman" w:cs="Times New Roman"/>
          <w:sz w:val="24"/>
          <w:szCs w:val="24"/>
        </w:rPr>
        <w:t xml:space="preserve">allowed to reach equilibrium at a different temperature where </w:t>
      </w:r>
      <w:r w:rsidR="001D2315" w:rsidRPr="00AD04DA">
        <w:rPr>
          <w:rFonts w:ascii="Times New Roman" w:hAnsi="Times New Roman" w:cs="Times New Roman"/>
          <w:sz w:val="24"/>
          <w:szCs w:val="24"/>
        </w:rPr>
        <w:t>the solubility of water in the organic phase is low</w:t>
      </w:r>
      <w:r w:rsidR="009E0428" w:rsidRPr="00AD04DA">
        <w:rPr>
          <w:rFonts w:ascii="Times New Roman" w:hAnsi="Times New Roman" w:cs="Times New Roman"/>
          <w:sz w:val="24"/>
          <w:szCs w:val="24"/>
        </w:rPr>
        <w:t xml:space="preserve">. The </w:t>
      </w:r>
      <w:r w:rsidR="00494F37" w:rsidRPr="00AD04DA">
        <w:rPr>
          <w:rFonts w:ascii="Times New Roman" w:hAnsi="Times New Roman" w:cs="Times New Roman"/>
          <w:sz w:val="24"/>
          <w:szCs w:val="24"/>
        </w:rPr>
        <w:t>water-rich solvent separates into two phases: a water-scarce solvent that can be re</w:t>
      </w:r>
      <w:r w:rsidR="002C6CBB" w:rsidRPr="00AD04DA">
        <w:rPr>
          <w:rFonts w:ascii="Times New Roman" w:hAnsi="Times New Roman" w:cs="Times New Roman"/>
          <w:sz w:val="24"/>
          <w:szCs w:val="24"/>
        </w:rPr>
        <w:t>used</w:t>
      </w:r>
      <w:r w:rsidR="00494F37" w:rsidRPr="00AD04DA">
        <w:rPr>
          <w:rFonts w:ascii="Times New Roman" w:hAnsi="Times New Roman" w:cs="Times New Roman"/>
          <w:sz w:val="24"/>
          <w:szCs w:val="24"/>
        </w:rPr>
        <w:t xml:space="preserve"> and a</w:t>
      </w:r>
      <w:r w:rsidR="00FB5202" w:rsidRPr="00AD04DA">
        <w:rPr>
          <w:rFonts w:ascii="Times New Roman" w:hAnsi="Times New Roman" w:cs="Times New Roman"/>
          <w:sz w:val="24"/>
          <w:szCs w:val="24"/>
        </w:rPr>
        <w:t xml:space="preserve"> new,</w:t>
      </w:r>
      <w:r w:rsidR="00494F37" w:rsidRPr="00AD04DA">
        <w:rPr>
          <w:rFonts w:ascii="Times New Roman" w:hAnsi="Times New Roman" w:cs="Times New Roman"/>
          <w:sz w:val="24"/>
          <w:szCs w:val="24"/>
        </w:rPr>
        <w:t xml:space="preserve"> purified aqueous that can be recovered as product water</w:t>
      </w:r>
      <w:r w:rsidR="006B3C2F" w:rsidRPr="00AD04DA">
        <w:rPr>
          <w:rFonts w:ascii="Times New Roman" w:hAnsi="Times New Roman" w:cs="Times New Roman"/>
          <w:sz w:val="24"/>
          <w:szCs w:val="24"/>
        </w:rPr>
        <w:t xml:space="preserve"> or subjected to further extractions</w:t>
      </w:r>
      <w:r w:rsidR="00170943"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{"citationID":"z204BT4N","properties":{"formattedCitation":"\\super 49\\nosupersub{}","plainCitation":"49","noteIndex":0},"citationItems":[{"id":256,"uris":["http://zotero.org/users/8284751/items/FIJMS6Q2"],"itemData":{"id":256,"type":"article-journal","language":"en","page":"4","source":"Zotero","title":"Very low temperature membrane-free desalination by directional solvent extraction","author":[{"family":"Bajpayee","given":"Anurag"},{"family":"Luo","given":"Tengfei"},{"family":"Muto","given":"Andrew"},{"family":"Chen","given":"Gang"}],"issued":{"date-parts":[["2011"]]}}}],"schema":"https://github.com/citation-style-language/schema/raw/master/csl-citation.json"} </w:instrText>
      </w:r>
      <w:r w:rsidR="00170943"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49</w:t>
      </w:r>
      <w:r w:rsidR="00170943" w:rsidRPr="00AD04DA">
        <w:rPr>
          <w:rFonts w:ascii="Times New Roman" w:hAnsi="Times New Roman" w:cs="Times New Roman"/>
          <w:sz w:val="24"/>
          <w:szCs w:val="24"/>
        </w:rPr>
        <w:fldChar w:fldCharType="end"/>
      </w:r>
      <w:r w:rsidR="00494F37" w:rsidRPr="00AD04DA">
        <w:rPr>
          <w:rFonts w:ascii="Times New Roman" w:hAnsi="Times New Roman" w:cs="Times New Roman"/>
          <w:sz w:val="24"/>
          <w:szCs w:val="24"/>
        </w:rPr>
        <w:t>.</w:t>
      </w:r>
      <w:r w:rsidR="00E13FF7" w:rsidRPr="00AD04DA">
        <w:rPr>
          <w:rFonts w:ascii="Times New Roman" w:hAnsi="Times New Roman" w:cs="Times New Roman"/>
          <w:sz w:val="24"/>
          <w:szCs w:val="24"/>
        </w:rPr>
        <w:t xml:space="preserve"> Figure </w:t>
      </w:r>
      <w:r w:rsidR="00CB48B2" w:rsidRPr="00AD04DA">
        <w:rPr>
          <w:rFonts w:ascii="Times New Roman" w:hAnsi="Times New Roman" w:cs="Times New Roman"/>
          <w:sz w:val="24"/>
          <w:szCs w:val="24"/>
        </w:rPr>
        <w:t>2</w:t>
      </w:r>
      <w:r w:rsidR="00E13FF7" w:rsidRPr="00AD04DA">
        <w:rPr>
          <w:rFonts w:ascii="Times New Roman" w:hAnsi="Times New Roman" w:cs="Times New Roman"/>
          <w:sz w:val="24"/>
          <w:szCs w:val="24"/>
        </w:rPr>
        <w:t xml:space="preserve"> outlines the TSSE process.</w:t>
      </w:r>
      <w:r w:rsidR="004C4148" w:rsidRPr="00AD04DA">
        <w:rPr>
          <w:rFonts w:ascii="Times New Roman" w:hAnsi="Times New Roman" w:cs="Times New Roman"/>
          <w:sz w:val="24"/>
          <w:szCs w:val="24"/>
        </w:rPr>
        <w:t xml:space="preserve"> </w:t>
      </w:r>
    </w:p>
    <w:p w14:paraId="7EDE8545" w14:textId="6DB669AE" w:rsidR="00DA2D90" w:rsidRPr="00AD04DA" w:rsidRDefault="00FB4468" w:rsidP="008145EB">
      <w:pPr>
        <w:spacing w:after="0" w:line="480" w:lineRule="auto"/>
        <w:jc w:val="both"/>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2763DB41" wp14:editId="7EE1CA2A">
            <wp:extent cx="5915025" cy="377956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3016" cy="3784673"/>
                    </a:xfrm>
                    <a:prstGeom prst="rect">
                      <a:avLst/>
                    </a:prstGeom>
                    <a:noFill/>
                  </pic:spPr>
                </pic:pic>
              </a:graphicData>
            </a:graphic>
          </wp:inline>
        </w:drawing>
      </w:r>
    </w:p>
    <w:p w14:paraId="714DC475" w14:textId="25B4E88B" w:rsidR="00173CB7" w:rsidRDefault="00173CB7" w:rsidP="00CB48B2">
      <w:pPr>
        <w:spacing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CB48B2" w:rsidRPr="00AD04DA">
        <w:rPr>
          <w:rFonts w:ascii="Times New Roman" w:hAnsi="Times New Roman" w:cs="Times New Roman"/>
          <w:b/>
          <w:bCs/>
          <w:sz w:val="24"/>
          <w:szCs w:val="24"/>
        </w:rPr>
        <w:t>2</w:t>
      </w:r>
      <w:r w:rsidRPr="00AD04DA">
        <w:rPr>
          <w:rFonts w:ascii="Times New Roman" w:hAnsi="Times New Roman" w:cs="Times New Roman"/>
          <w:b/>
          <w:bCs/>
          <w:sz w:val="24"/>
          <w:szCs w:val="24"/>
        </w:rPr>
        <w:t xml:space="preserve">: </w:t>
      </w:r>
      <w:r w:rsidR="00171EAC" w:rsidRPr="00AD04DA">
        <w:rPr>
          <w:rFonts w:ascii="Times New Roman" w:hAnsi="Times New Roman" w:cs="Times New Roman"/>
          <w:sz w:val="24"/>
          <w:szCs w:val="24"/>
        </w:rPr>
        <w:t>Working diagram of the temperature-swing solvent extraction process.</w:t>
      </w:r>
      <w:r w:rsidR="00F932A5" w:rsidRPr="00AD04DA">
        <w:rPr>
          <w:rFonts w:ascii="Times New Roman" w:hAnsi="Times New Roman" w:cs="Times New Roman"/>
          <w:sz w:val="24"/>
          <w:szCs w:val="24"/>
        </w:rPr>
        <w:t xml:space="preserve"> An organic solvent with a polar moiety dissolves water while reject</w:t>
      </w:r>
      <w:r w:rsidR="00190DC1" w:rsidRPr="00AD04DA">
        <w:rPr>
          <w:rFonts w:ascii="Times New Roman" w:hAnsi="Times New Roman" w:cs="Times New Roman"/>
          <w:sz w:val="24"/>
          <w:szCs w:val="24"/>
        </w:rPr>
        <w:t>ing</w:t>
      </w:r>
      <w:r w:rsidR="00F932A5" w:rsidRPr="00AD04DA">
        <w:rPr>
          <w:rFonts w:ascii="Times New Roman" w:hAnsi="Times New Roman" w:cs="Times New Roman"/>
          <w:sz w:val="24"/>
          <w:szCs w:val="24"/>
        </w:rPr>
        <w:t xml:space="preserve"> solutes within the water. The phases are separated. A “temperature swing”</w:t>
      </w:r>
      <w:r w:rsidR="00003632" w:rsidRPr="00AD04DA">
        <w:rPr>
          <w:rFonts w:ascii="Times New Roman" w:hAnsi="Times New Roman" w:cs="Times New Roman"/>
          <w:sz w:val="24"/>
          <w:szCs w:val="24"/>
        </w:rPr>
        <w:t xml:space="preserve"> in the organic phase</w:t>
      </w:r>
      <w:r w:rsidR="00F932A5" w:rsidRPr="00AD04DA">
        <w:rPr>
          <w:rFonts w:ascii="Times New Roman" w:hAnsi="Times New Roman" w:cs="Times New Roman"/>
          <w:sz w:val="24"/>
          <w:szCs w:val="24"/>
        </w:rPr>
        <w:t xml:space="preserve"> changes water solubility to create a new</w:t>
      </w:r>
      <w:r w:rsidR="001C1544" w:rsidRPr="00AD04DA">
        <w:rPr>
          <w:rFonts w:ascii="Times New Roman" w:hAnsi="Times New Roman" w:cs="Times New Roman"/>
          <w:sz w:val="24"/>
          <w:szCs w:val="24"/>
        </w:rPr>
        <w:t>, purified</w:t>
      </w:r>
      <w:r w:rsidR="00F932A5" w:rsidRPr="00AD04DA">
        <w:rPr>
          <w:rFonts w:ascii="Times New Roman" w:hAnsi="Times New Roman" w:cs="Times New Roman"/>
          <w:sz w:val="24"/>
          <w:szCs w:val="24"/>
        </w:rPr>
        <w:t xml:space="preserve"> aqueous phase.</w:t>
      </w:r>
    </w:p>
    <w:p w14:paraId="2849E3D4" w14:textId="31311B93" w:rsidR="00241B1F" w:rsidRPr="00AD04DA" w:rsidRDefault="00241B1F" w:rsidP="00CB48B2">
      <w:pPr>
        <w:spacing w:line="240" w:lineRule="auto"/>
        <w:jc w:val="center"/>
        <w:rPr>
          <w:rFonts w:ascii="Times New Roman" w:hAnsi="Times New Roman" w:cs="Times New Roman"/>
          <w:sz w:val="24"/>
          <w:szCs w:val="24"/>
        </w:rPr>
      </w:pPr>
    </w:p>
    <w:p w14:paraId="188A00AC" w14:textId="498C97A2" w:rsidR="00E320A6" w:rsidRPr="00AD04DA" w:rsidRDefault="00613274" w:rsidP="008145EB">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DD35E9" w:rsidRPr="00AD04DA">
        <w:rPr>
          <w:rFonts w:ascii="Times New Roman" w:hAnsi="Times New Roman" w:cs="Times New Roman"/>
          <w:sz w:val="24"/>
          <w:szCs w:val="24"/>
        </w:rPr>
        <w:t>The choice of solvent is the determining factor in process</w:t>
      </w:r>
      <w:r w:rsidR="0055769D" w:rsidRPr="00AD04DA">
        <w:rPr>
          <w:rFonts w:ascii="Times New Roman" w:hAnsi="Times New Roman" w:cs="Times New Roman"/>
          <w:sz w:val="24"/>
          <w:szCs w:val="24"/>
        </w:rPr>
        <w:t xml:space="preserve"> design and</w:t>
      </w:r>
      <w:r w:rsidR="00DD35E9" w:rsidRPr="00AD04DA">
        <w:rPr>
          <w:rFonts w:ascii="Times New Roman" w:hAnsi="Times New Roman" w:cs="Times New Roman"/>
          <w:sz w:val="24"/>
          <w:szCs w:val="24"/>
        </w:rPr>
        <w:t xml:space="preserve"> performance</w:t>
      </w:r>
      <w:r w:rsidR="00291AEF"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{"citationID":"UOsAL3Lq","properties":{"formattedCitation":"\\super 50\\nosupersub{}","plainCitation":"50","noteIndex":0},"citationItems":[{"id":268,"uris":["http://zotero.org/users/8284751/items/V7HQE7DL"],"itemData":{"id":268,"type":"article-journal","abstract":"Arsenic (As) poisoning in water is a critical global problem. Current arsenic removal techniques involving chemical reaction, ion exchange, or membrane processes can be expensive, inaccessible, or infeasible for underdeveloped regions. Here, we demonstrate that by using a so-called a directional solvent extraction (DSE) process arsenic ions in water can be eﬀectively removed without membrane or chemical reaction, and this process promises to utilize low temperature heat (as low as 45 °C). We have tested feedwater with diﬀerent arsenic concentrations and arsenic ions in diﬀerent forms (As-III and As-V) commonly found in nature. It is demonstrated that DSE using decanoic acid as the directional solvent can purify contaminated water to meet the drinking water standard (arsenic concentration &lt;10 parts per billion, ppb), and the arsenic removal eﬃciencies are higher than 91% for As-III and 97% for As-V. DSE can potentially lead to eﬀective arsenic removal technologies with low resource settings.","container-title":"J. Chem. Eng. Data","language":"en","page":"9","source":"Zotero","title":"Direct Arsenic Removal from Water Using Non-Membrane, Low-Temperature Directional Solvent Extraction","author":[{"family":"Guo","given":"Jiaji"},{"family":"Luo","given":"Shirui"},{"family":"Liu","given":"Zeyu"},{"family":"Luo","given":"Tengfei"}],"issued":{"date-parts":[["2020"]]}}}],"schema":"https://github.com/citation-style-language/schema/raw/master/csl-citation.json"} </w:instrText>
      </w:r>
      <w:r w:rsidR="00291AEF" w:rsidRPr="00AD04DA">
        <w:rPr>
          <w:rFonts w:ascii="Times New Roman" w:hAnsi="Times New Roman" w:cs="Times New Roman"/>
          <w:sz w:val="24"/>
          <w:szCs w:val="24"/>
        </w:rPr>
        <w:fldChar w:fldCharType="separate"/>
      </w:r>
      <w:r w:rsidR="00855E07" w:rsidRPr="00AD04DA">
        <w:rPr>
          <w:rFonts w:ascii="Times New Roman" w:hAnsi="Times New Roman" w:cs="Times New Roman"/>
          <w:sz w:val="24"/>
          <w:szCs w:val="24"/>
          <w:vertAlign w:val="superscript"/>
        </w:rPr>
        <w:t>50</w:t>
      </w:r>
      <w:r w:rsidR="00291AEF" w:rsidRPr="00AD04DA">
        <w:rPr>
          <w:rFonts w:ascii="Times New Roman" w:hAnsi="Times New Roman" w:cs="Times New Roman"/>
          <w:sz w:val="24"/>
          <w:szCs w:val="24"/>
        </w:rPr>
        <w:fldChar w:fldCharType="end"/>
      </w:r>
      <w:r w:rsidR="00DD35E9" w:rsidRPr="00AD04DA">
        <w:rPr>
          <w:rFonts w:ascii="Times New Roman" w:hAnsi="Times New Roman" w:cs="Times New Roman"/>
          <w:sz w:val="24"/>
          <w:szCs w:val="24"/>
        </w:rPr>
        <w:t xml:space="preserve">. </w:t>
      </w:r>
      <w:r w:rsidR="00A812E2" w:rsidRPr="00AD04DA">
        <w:rPr>
          <w:rFonts w:ascii="Times New Roman" w:hAnsi="Times New Roman" w:cs="Times New Roman"/>
          <w:sz w:val="24"/>
          <w:szCs w:val="24"/>
        </w:rPr>
        <w:t xml:space="preserve">Solvents are hydrophobic so that a biphasic system is maintained but contain a hydrophilic moiety that </w:t>
      </w:r>
      <w:r w:rsidR="00CD59E0" w:rsidRPr="00AD04DA">
        <w:rPr>
          <w:rFonts w:ascii="Times New Roman" w:hAnsi="Times New Roman" w:cs="Times New Roman"/>
          <w:sz w:val="24"/>
          <w:szCs w:val="24"/>
        </w:rPr>
        <w:t>allows the formation of hydrogen bonds with water</w:t>
      </w:r>
      <w:r w:rsidR="00291AEF"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{"citationID":"0b9PZ1hb","properties":{"formattedCitation":"\\super 51\\nosupersub{}","plainCitation":"51","noteIndex":0},"citationItems":[{"id":681,"uris":["http://zotero.org/users/8284751/items/R5QC862F"],"itemData":{"id":681,"type":"article-journal","abstract":"Hypersaline brines are of growing environmental importance but are technologically under-served by today’s desalination methods. Temperature swing solvent extraction (TSSE) is a radically diﬀerent desalination technology that is membrane-less and not based on evaporative phase change. TSSE utilizes lowtemperature heat and a low-polarity solvent with temperature-dependent water solubility for the selective extraction of water over salt from saline feeds. This study demonstrates TSSE desalination of high-salinity brines simulated by NaCl solutions with three amine solvents: diisopropylamine (DIPA), N-ethylcyclohexylamine (ECHA), and N,N-dimethylcyclohexylamine (DMCHA). We show that TSSE can desalinate brines with salinities as high as ≈234000 ppm total dissolved solids (i.e., 4.0 M NaCl) and achieve salt removals up to 98.4%. Among the solvents, DIPA exhibited the highest water extraction eﬃciency whereas ECHA and DMCHA produced water with the lowest salt content and solvent residue content, respectively. Lastly, a high water recovery of &gt;50% was demonstrated for TSSE desalination of 1.5 M NaCl brine using DIPA in semibatch experiments with multiple extraction cycles. This study underscores the unique capabilities of TSSE for the desalination of hypersaline brines.","container-title":"Environmental Science &amp; Technology Letters","DOI":"10.1021/acs.estlett.9b00182","ISSN":"2328-8930, 2328-8930","issue":"6","journalAbbreviation":"Environ. Sci. Technol. Lett.","language":"en","page":"359-364","source":"DOI.org (Crossref)","title":"Membrane-less and Non-Evaporative Desalination of Hypersaline Brines by Temperature Swing Solvent Extraction","volume":"6","author":[{"family":"Boo","given":"Chanhee"},{"family":"Winton","given":"Robert K."},{"family":"Conway","given":"Kelly M."},{"family":"Yip","given":"Ngai Yin"}],"issued":{"date-parts":[["2019",6,11]]}}}],"schema":"https://github.com/citation-style-language/schema/raw/master/csl-citation.json"} </w:instrText>
      </w:r>
      <w:r w:rsidR="00291AEF" w:rsidRPr="00AD04DA">
        <w:rPr>
          <w:rFonts w:ascii="Times New Roman" w:hAnsi="Times New Roman" w:cs="Times New Roman"/>
          <w:sz w:val="24"/>
          <w:szCs w:val="24"/>
        </w:rPr>
        <w:fldChar w:fldCharType="separate"/>
      </w:r>
      <w:r w:rsidR="00855E07" w:rsidRPr="00AD04DA">
        <w:rPr>
          <w:rFonts w:ascii="Times New Roman" w:hAnsi="Times New Roman" w:cs="Times New Roman"/>
          <w:sz w:val="24"/>
          <w:szCs w:val="24"/>
          <w:vertAlign w:val="superscript"/>
        </w:rPr>
        <w:t>51</w:t>
      </w:r>
      <w:r w:rsidR="00291AEF" w:rsidRPr="00AD04DA">
        <w:rPr>
          <w:rFonts w:ascii="Times New Roman" w:hAnsi="Times New Roman" w:cs="Times New Roman"/>
          <w:sz w:val="24"/>
          <w:szCs w:val="24"/>
        </w:rPr>
        <w:fldChar w:fldCharType="end"/>
      </w:r>
      <w:r w:rsidR="00CD59E0" w:rsidRPr="00AD04DA">
        <w:rPr>
          <w:rFonts w:ascii="Times New Roman" w:hAnsi="Times New Roman" w:cs="Times New Roman"/>
          <w:sz w:val="24"/>
          <w:szCs w:val="24"/>
        </w:rPr>
        <w:t>.</w:t>
      </w:r>
      <w:r w:rsidR="00E320A6" w:rsidRPr="00AD04DA">
        <w:rPr>
          <w:rFonts w:ascii="Times New Roman" w:hAnsi="Times New Roman" w:cs="Times New Roman"/>
          <w:sz w:val="24"/>
          <w:szCs w:val="24"/>
        </w:rPr>
        <w:t xml:space="preserve"> Figure </w:t>
      </w:r>
      <w:r w:rsidR="00CB48B2" w:rsidRPr="00AD04DA">
        <w:rPr>
          <w:rFonts w:ascii="Times New Roman" w:hAnsi="Times New Roman" w:cs="Times New Roman"/>
          <w:sz w:val="24"/>
          <w:szCs w:val="24"/>
        </w:rPr>
        <w:t>3</w:t>
      </w:r>
      <w:r w:rsidR="00E320A6" w:rsidRPr="00AD04DA">
        <w:rPr>
          <w:rFonts w:ascii="Times New Roman" w:hAnsi="Times New Roman" w:cs="Times New Roman"/>
          <w:sz w:val="24"/>
          <w:szCs w:val="24"/>
        </w:rPr>
        <w:t xml:space="preserve"> </w:t>
      </w:r>
      <w:r w:rsidR="00673B4D" w:rsidRPr="00AD04DA">
        <w:rPr>
          <w:rFonts w:ascii="Times New Roman" w:hAnsi="Times New Roman" w:cs="Times New Roman"/>
          <w:sz w:val="24"/>
          <w:szCs w:val="24"/>
        </w:rPr>
        <w:t xml:space="preserve">shows hydrogen bonding interactions between </w:t>
      </w:r>
      <w:r w:rsidR="00295F18" w:rsidRPr="00AD04DA">
        <w:rPr>
          <w:rFonts w:ascii="Times New Roman" w:hAnsi="Times New Roman" w:cs="Times New Roman"/>
          <w:sz w:val="24"/>
          <w:szCs w:val="24"/>
        </w:rPr>
        <w:t>o</w:t>
      </w:r>
      <w:r w:rsidR="00673B4D" w:rsidRPr="00AD04DA">
        <w:rPr>
          <w:rFonts w:ascii="Times New Roman" w:hAnsi="Times New Roman" w:cs="Times New Roman"/>
          <w:sz w:val="24"/>
          <w:szCs w:val="24"/>
        </w:rPr>
        <w:t>rganic solvent</w:t>
      </w:r>
      <w:r w:rsidR="00295F18" w:rsidRPr="00AD04DA">
        <w:rPr>
          <w:rFonts w:ascii="Times New Roman" w:hAnsi="Times New Roman" w:cs="Times New Roman"/>
          <w:sz w:val="24"/>
          <w:szCs w:val="24"/>
        </w:rPr>
        <w:t>s</w:t>
      </w:r>
      <w:r w:rsidR="00673B4D" w:rsidRPr="00AD04DA">
        <w:rPr>
          <w:rFonts w:ascii="Times New Roman" w:hAnsi="Times New Roman" w:cs="Times New Roman"/>
          <w:sz w:val="24"/>
          <w:szCs w:val="24"/>
        </w:rPr>
        <w:t xml:space="preserve"> and water.</w:t>
      </w:r>
    </w:p>
    <w:p w14:paraId="3E0ED76F" w14:textId="42EC4089" w:rsidR="00E320A6" w:rsidRPr="00AD04DA" w:rsidRDefault="00E320A6" w:rsidP="008145EB">
      <w:pPr>
        <w:spacing w:after="0" w:line="480" w:lineRule="auto"/>
        <w:jc w:val="both"/>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6C7ED8D5" wp14:editId="47405DFF">
            <wp:extent cx="5943600" cy="250127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501273"/>
                    </a:xfrm>
                    <a:prstGeom prst="rect">
                      <a:avLst/>
                    </a:prstGeom>
                    <a:noFill/>
                  </pic:spPr>
                </pic:pic>
              </a:graphicData>
            </a:graphic>
          </wp:inline>
        </w:drawing>
      </w:r>
    </w:p>
    <w:p w14:paraId="7C748D74" w14:textId="6907A9E6" w:rsidR="00A802B0" w:rsidRPr="00AD04DA" w:rsidRDefault="00A802B0" w:rsidP="00CB48B2">
      <w:pPr>
        <w:spacing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CB48B2" w:rsidRPr="00AD04DA">
        <w:rPr>
          <w:rFonts w:ascii="Times New Roman" w:hAnsi="Times New Roman" w:cs="Times New Roman"/>
          <w:b/>
          <w:bCs/>
          <w:sz w:val="24"/>
          <w:szCs w:val="24"/>
        </w:rPr>
        <w:t>3</w:t>
      </w:r>
      <w:r w:rsidRPr="00AD04DA">
        <w:rPr>
          <w:rFonts w:ascii="Times New Roman" w:hAnsi="Times New Roman" w:cs="Times New Roman"/>
          <w:b/>
          <w:bCs/>
          <w:sz w:val="24"/>
          <w:szCs w:val="24"/>
        </w:rPr>
        <w:t>:</w:t>
      </w:r>
      <w:r w:rsidRPr="00AD04DA">
        <w:rPr>
          <w:rFonts w:ascii="Times New Roman" w:hAnsi="Times New Roman" w:cs="Times New Roman"/>
          <w:sz w:val="24"/>
          <w:szCs w:val="24"/>
        </w:rPr>
        <w:t xml:space="preserve"> Hydrogen bonding interactions between water and secondary amine, imidazole, and fatty acid organic solvents.</w:t>
      </w:r>
      <w:r w:rsidR="004963BF" w:rsidRPr="00AD04DA">
        <w:rPr>
          <w:rFonts w:ascii="Times New Roman" w:hAnsi="Times New Roman" w:cs="Times New Roman"/>
          <w:sz w:val="24"/>
          <w:szCs w:val="24"/>
        </w:rPr>
        <w:t xml:space="preserve"> Polar portions of the organic solvent form hydrogen bonds with water while hydrophobic tails maintain a biphasic system.</w:t>
      </w:r>
    </w:p>
    <w:p w14:paraId="6431A7CE" w14:textId="77777777" w:rsidR="004D6129" w:rsidRPr="00AD04DA" w:rsidRDefault="004D6129" w:rsidP="00CB48B2">
      <w:pPr>
        <w:spacing w:line="240" w:lineRule="auto"/>
        <w:jc w:val="center"/>
        <w:rPr>
          <w:rFonts w:ascii="Times New Roman" w:hAnsi="Times New Roman" w:cs="Times New Roman"/>
          <w:sz w:val="24"/>
          <w:szCs w:val="24"/>
        </w:rPr>
      </w:pPr>
    </w:p>
    <w:p w14:paraId="40EC0523" w14:textId="3816B45D" w:rsidR="005E31C3" w:rsidRPr="00AD04DA" w:rsidRDefault="004B6A24" w:rsidP="00E320A6">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 xml:space="preserve">During the first equilibrium step, hereafter referred to as the draw </w:t>
      </w:r>
      <w:r w:rsidR="00C77D2B" w:rsidRPr="00AD04DA">
        <w:rPr>
          <w:rFonts w:ascii="Times New Roman" w:hAnsi="Times New Roman" w:cs="Times New Roman"/>
          <w:sz w:val="24"/>
          <w:szCs w:val="24"/>
        </w:rPr>
        <w:t>step</w:t>
      </w:r>
      <w:r w:rsidRPr="00AD04DA">
        <w:rPr>
          <w:rFonts w:ascii="Times New Roman" w:hAnsi="Times New Roman" w:cs="Times New Roman"/>
          <w:sz w:val="24"/>
          <w:szCs w:val="24"/>
        </w:rPr>
        <w:t xml:space="preserve">, the aqueous and organic phases are mixed, then allowed to reach equilibrium at a temperature </w:t>
      </w:r>
      <w:r w:rsidR="00B350D4" w:rsidRPr="00AD04DA">
        <w:rPr>
          <w:rFonts w:ascii="Times New Roman" w:hAnsi="Times New Roman" w:cs="Times New Roman"/>
          <w:sz w:val="24"/>
          <w:szCs w:val="24"/>
        </w:rPr>
        <w:t>that promotes hydrogen bonding between molecules of water and solvent, giving</w:t>
      </w:r>
      <w:r w:rsidRPr="00AD04DA">
        <w:rPr>
          <w:rFonts w:ascii="Times New Roman" w:hAnsi="Times New Roman" w:cs="Times New Roman"/>
          <w:sz w:val="24"/>
          <w:szCs w:val="24"/>
        </w:rPr>
        <w:t xml:space="preserve"> water a relatively high solubility in the organic phase</w:t>
      </w:r>
      <w:r w:rsidR="00B350D4" w:rsidRPr="00AD04DA">
        <w:rPr>
          <w:rFonts w:ascii="Times New Roman" w:hAnsi="Times New Roman" w:cs="Times New Roman"/>
          <w:sz w:val="24"/>
          <w:szCs w:val="24"/>
        </w:rPr>
        <w:t>.</w:t>
      </w:r>
      <w:r w:rsidR="00C77D2B" w:rsidRPr="00AD04DA">
        <w:rPr>
          <w:rFonts w:ascii="Times New Roman" w:hAnsi="Times New Roman" w:cs="Times New Roman"/>
          <w:sz w:val="24"/>
          <w:szCs w:val="24"/>
        </w:rPr>
        <w:t xml:space="preserve"> </w:t>
      </w:r>
      <w:r w:rsidR="003818F8" w:rsidRPr="00AD04DA">
        <w:rPr>
          <w:rFonts w:ascii="Times New Roman" w:hAnsi="Times New Roman" w:cs="Times New Roman"/>
          <w:sz w:val="24"/>
          <w:szCs w:val="24"/>
        </w:rPr>
        <w:t xml:space="preserve">As demonstrated in Figure </w:t>
      </w:r>
      <w:r w:rsidR="00CB48B2" w:rsidRPr="00AD04DA">
        <w:rPr>
          <w:rFonts w:ascii="Times New Roman" w:hAnsi="Times New Roman" w:cs="Times New Roman"/>
          <w:sz w:val="24"/>
          <w:szCs w:val="24"/>
        </w:rPr>
        <w:t>3,</w:t>
      </w:r>
      <w:r w:rsidR="003818F8" w:rsidRPr="00AD04DA">
        <w:rPr>
          <w:rFonts w:ascii="Times New Roman" w:hAnsi="Times New Roman" w:cs="Times New Roman"/>
          <w:sz w:val="24"/>
          <w:szCs w:val="24"/>
        </w:rPr>
        <w:t xml:space="preserve"> t</w:t>
      </w:r>
      <w:r w:rsidR="00C77D2B" w:rsidRPr="00AD04DA">
        <w:rPr>
          <w:rFonts w:ascii="Times New Roman" w:hAnsi="Times New Roman" w:cs="Times New Roman"/>
          <w:sz w:val="24"/>
          <w:szCs w:val="24"/>
        </w:rPr>
        <w:t xml:space="preserve">his equilibrium encourages water to dissolve in the organic phase, while ionic salts remain the polar </w:t>
      </w:r>
      <w:r w:rsidR="00786B06" w:rsidRPr="00AD04DA">
        <w:rPr>
          <w:rFonts w:ascii="Times New Roman" w:hAnsi="Times New Roman" w:cs="Times New Roman"/>
          <w:sz w:val="24"/>
          <w:szCs w:val="24"/>
        </w:rPr>
        <w:t>aqueous layer</w:t>
      </w:r>
      <w:r w:rsidR="00C77D2B" w:rsidRPr="00AD04DA">
        <w:rPr>
          <w:rFonts w:ascii="Times New Roman" w:hAnsi="Times New Roman" w:cs="Times New Roman"/>
          <w:sz w:val="24"/>
          <w:szCs w:val="24"/>
        </w:rPr>
        <w:t xml:space="preserve"> instead of the hydrophobic solvent</w:t>
      </w:r>
      <w:r w:rsidR="00291AEF"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{"citationID":"KMCBQdZg","properties":{"formattedCitation":"\\super 49\\nosupersub{}","plainCitation":"49","noteIndex":0},"citationItems":[{"id":256,"uris":["http://zotero.org/users/8284751/items/FIJMS6Q2"],"itemData":{"id":256,"type":"article-journal","language":"en","page":"4","source":"Zotero","title":"Very low temperature membrane-free desalination by directional solvent extraction","author":[{"family":"Bajpayee","given":"Anurag"},{"family":"Luo","given":"Tengfei"},{"family":"Muto","given":"Andrew"},{"family":"Chen","given":"Gang"}],"issued":{"date-parts":[["2011"]]}}}],"schema":"https://github.com/citation-style-language/schema/raw/master/csl-citation.json"} </w:instrText>
      </w:r>
      <w:r w:rsidR="00291AEF"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49</w:t>
      </w:r>
      <w:r w:rsidR="00291AEF" w:rsidRPr="00AD04DA">
        <w:rPr>
          <w:rFonts w:ascii="Times New Roman" w:hAnsi="Times New Roman" w:cs="Times New Roman"/>
          <w:sz w:val="24"/>
          <w:szCs w:val="24"/>
        </w:rPr>
        <w:fldChar w:fldCharType="end"/>
      </w:r>
      <w:r w:rsidR="00C77D2B" w:rsidRPr="00AD04DA">
        <w:rPr>
          <w:rFonts w:ascii="Times New Roman" w:hAnsi="Times New Roman" w:cs="Times New Roman"/>
          <w:sz w:val="24"/>
          <w:szCs w:val="24"/>
        </w:rPr>
        <w:t>.</w:t>
      </w:r>
    </w:p>
    <w:p w14:paraId="0212ABEA" w14:textId="2696D5AE" w:rsidR="00F02246" w:rsidRPr="00AD04DA" w:rsidRDefault="00F02246" w:rsidP="008145EB">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Following the </w:t>
      </w:r>
      <w:r w:rsidR="009A2D65" w:rsidRPr="00AD04DA">
        <w:rPr>
          <w:rFonts w:ascii="Times New Roman" w:hAnsi="Times New Roman" w:cs="Times New Roman"/>
          <w:sz w:val="24"/>
          <w:szCs w:val="24"/>
        </w:rPr>
        <w:t xml:space="preserve">draw </w:t>
      </w:r>
      <w:r w:rsidR="00C77D2B" w:rsidRPr="00AD04DA">
        <w:rPr>
          <w:rFonts w:ascii="Times New Roman" w:hAnsi="Times New Roman" w:cs="Times New Roman"/>
          <w:sz w:val="24"/>
          <w:szCs w:val="24"/>
        </w:rPr>
        <w:t>step</w:t>
      </w:r>
      <w:r w:rsidRPr="00AD04DA">
        <w:rPr>
          <w:rFonts w:ascii="Times New Roman" w:hAnsi="Times New Roman" w:cs="Times New Roman"/>
          <w:sz w:val="24"/>
          <w:szCs w:val="24"/>
        </w:rPr>
        <w:t>, the phases are separated</w:t>
      </w:r>
      <w:r w:rsidR="00786B06" w:rsidRPr="00AD04DA">
        <w:rPr>
          <w:rFonts w:ascii="Times New Roman" w:hAnsi="Times New Roman" w:cs="Times New Roman"/>
          <w:sz w:val="24"/>
          <w:szCs w:val="24"/>
        </w:rPr>
        <w:t>. T</w:t>
      </w:r>
      <w:r w:rsidRPr="00AD04DA">
        <w:rPr>
          <w:rFonts w:ascii="Times New Roman" w:hAnsi="Times New Roman" w:cs="Times New Roman"/>
          <w:sz w:val="24"/>
          <w:szCs w:val="24"/>
        </w:rPr>
        <w:t xml:space="preserve">he water-rich organic phase is subjected to a second equilibrium phase, hereafter referred to as the precipitation </w:t>
      </w:r>
      <w:r w:rsidR="00564A19" w:rsidRPr="00AD04DA">
        <w:rPr>
          <w:rFonts w:ascii="Times New Roman" w:hAnsi="Times New Roman" w:cs="Times New Roman"/>
          <w:sz w:val="24"/>
          <w:szCs w:val="24"/>
        </w:rPr>
        <w:t>step</w:t>
      </w:r>
      <w:r w:rsidRPr="00AD04DA">
        <w:rPr>
          <w:rFonts w:ascii="Times New Roman" w:hAnsi="Times New Roman" w:cs="Times New Roman"/>
          <w:sz w:val="24"/>
          <w:szCs w:val="24"/>
        </w:rPr>
        <w:t xml:space="preserve">. During the precipitation </w:t>
      </w:r>
      <w:r w:rsidR="00564A19" w:rsidRPr="00AD04DA">
        <w:rPr>
          <w:rFonts w:ascii="Times New Roman" w:hAnsi="Times New Roman" w:cs="Times New Roman"/>
          <w:sz w:val="24"/>
          <w:szCs w:val="24"/>
        </w:rPr>
        <w:t>step</w:t>
      </w:r>
      <w:r w:rsidRPr="00AD04DA">
        <w:rPr>
          <w:rFonts w:ascii="Times New Roman" w:hAnsi="Times New Roman" w:cs="Times New Roman"/>
          <w:sz w:val="24"/>
          <w:szCs w:val="24"/>
        </w:rPr>
        <w:t>, the solvent is subjected to a temperature that promotes the breaking of the hydrogen bonds between the solvent and water, giving water a relatively low solubility in the organic phase. The breaking of these bonds causes the water to disassociate from the solvent and precipitate into a new aqueous phase</w:t>
      </w:r>
      <w:r w:rsidR="00291AEF"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{"citationID":"Bv2pP9z0","properties":{"formattedCitation":"\\super 49\\nosupersub{}","plainCitation":"49","noteIndex":0},"citationItems":[{"id":256,"uris":["http://zotero.org/users/8284751/items/FIJMS6Q2"],"itemData":{"id":256,"type":"article-journal","language":"en","page":"4","source":"Zotero","title":"Very low temperature membrane-free desalination by directional solvent extraction","author":[{"family":"Bajpayee","given":"Anurag"},{"family":"Luo","given":"Tengfei"},{"family":"Muto","given":"Andrew"},{"family":"Chen","given":"Gang"}],"issued":{"date-parts":[["2011"]]}}}],"schema":"https://github.com/citation-style-language/schema/raw/master/csl-citation.json"} </w:instrText>
      </w:r>
      <w:r w:rsidR="00291AEF"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49</w:t>
      </w:r>
      <w:r w:rsidR="00291AEF" w:rsidRPr="00AD04DA">
        <w:rPr>
          <w:rFonts w:ascii="Times New Roman" w:hAnsi="Times New Roman" w:cs="Times New Roman"/>
          <w:sz w:val="24"/>
          <w:szCs w:val="24"/>
        </w:rPr>
        <w:fldChar w:fldCharType="end"/>
      </w:r>
      <w:r w:rsidRPr="00AD04DA">
        <w:rPr>
          <w:rFonts w:ascii="Times New Roman" w:hAnsi="Times New Roman" w:cs="Times New Roman"/>
          <w:sz w:val="24"/>
          <w:szCs w:val="24"/>
        </w:rPr>
        <w:t>.</w:t>
      </w:r>
      <w:r w:rsidR="008344C4" w:rsidRPr="00AD04DA">
        <w:rPr>
          <w:rFonts w:ascii="Times New Roman" w:hAnsi="Times New Roman" w:cs="Times New Roman"/>
          <w:sz w:val="24"/>
          <w:szCs w:val="24"/>
        </w:rPr>
        <w:t xml:space="preserve"> Figure </w:t>
      </w:r>
      <w:r w:rsidR="00CB48B2" w:rsidRPr="00AD04DA">
        <w:rPr>
          <w:rFonts w:ascii="Times New Roman" w:hAnsi="Times New Roman" w:cs="Times New Roman"/>
          <w:sz w:val="24"/>
          <w:szCs w:val="24"/>
        </w:rPr>
        <w:t>4</w:t>
      </w:r>
      <w:r w:rsidR="008344C4" w:rsidRPr="00AD04DA">
        <w:rPr>
          <w:rFonts w:ascii="Times New Roman" w:hAnsi="Times New Roman" w:cs="Times New Roman"/>
          <w:sz w:val="24"/>
          <w:szCs w:val="24"/>
        </w:rPr>
        <w:t xml:space="preserve"> depicts the temperature swing inducing the precipitation step.</w:t>
      </w:r>
    </w:p>
    <w:p w14:paraId="4A7B3C17" w14:textId="534CB2E4" w:rsidR="00F10F90" w:rsidRPr="00AD04DA" w:rsidRDefault="00F10F90" w:rsidP="00F10F90">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7ED688E9" wp14:editId="199CB001">
            <wp:extent cx="5752036" cy="29718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4031" cy="2983164"/>
                    </a:xfrm>
                    <a:prstGeom prst="rect">
                      <a:avLst/>
                    </a:prstGeom>
                    <a:noFill/>
                  </pic:spPr>
                </pic:pic>
              </a:graphicData>
            </a:graphic>
          </wp:inline>
        </w:drawing>
      </w:r>
    </w:p>
    <w:p w14:paraId="4077B6C2" w14:textId="24834622" w:rsidR="00833D74" w:rsidRPr="00AD04DA" w:rsidRDefault="00833D74" w:rsidP="00CB48B2">
      <w:pPr>
        <w:spacing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CB48B2" w:rsidRPr="00AD04DA">
        <w:rPr>
          <w:rFonts w:ascii="Times New Roman" w:hAnsi="Times New Roman" w:cs="Times New Roman"/>
          <w:b/>
          <w:bCs/>
          <w:sz w:val="24"/>
          <w:szCs w:val="24"/>
        </w:rPr>
        <w:t>4</w:t>
      </w:r>
      <w:r w:rsidRPr="00AD04DA">
        <w:rPr>
          <w:rFonts w:ascii="Times New Roman" w:hAnsi="Times New Roman" w:cs="Times New Roman"/>
          <w:b/>
          <w:bCs/>
          <w:sz w:val="24"/>
          <w:szCs w:val="24"/>
        </w:rPr>
        <w:t xml:space="preserve">: </w:t>
      </w:r>
      <w:r w:rsidR="00694CFD" w:rsidRPr="00AD04DA">
        <w:rPr>
          <w:rFonts w:ascii="Times New Roman" w:hAnsi="Times New Roman" w:cs="Times New Roman"/>
          <w:sz w:val="24"/>
          <w:szCs w:val="24"/>
        </w:rPr>
        <w:t>Demonstration of the working principles of TSSE. A temperature swing lowers the solubility of water in the organic solvent, breaking hydrogen bonds and causing the formation of a purified water phase.</w:t>
      </w:r>
    </w:p>
    <w:p w14:paraId="5B2643CB" w14:textId="77777777" w:rsidR="00F63280" w:rsidRPr="00AD04DA" w:rsidRDefault="00F63280" w:rsidP="00CB48B2">
      <w:pPr>
        <w:spacing w:line="240" w:lineRule="auto"/>
        <w:jc w:val="center"/>
        <w:rPr>
          <w:rFonts w:ascii="Times New Roman" w:hAnsi="Times New Roman" w:cs="Times New Roman"/>
          <w:sz w:val="24"/>
          <w:szCs w:val="24"/>
        </w:rPr>
      </w:pPr>
    </w:p>
    <w:p w14:paraId="18FA2B3A" w14:textId="5E89C269" w:rsidR="00613274" w:rsidRPr="00AD04DA" w:rsidRDefault="0055769D" w:rsidP="00225D70">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 xml:space="preserve">The temperature and duration of the draw </w:t>
      </w:r>
      <w:r w:rsidR="00225D70" w:rsidRPr="00AD04DA">
        <w:rPr>
          <w:rFonts w:ascii="Times New Roman" w:hAnsi="Times New Roman" w:cs="Times New Roman"/>
          <w:sz w:val="24"/>
          <w:szCs w:val="24"/>
        </w:rPr>
        <w:t xml:space="preserve">and precipitation </w:t>
      </w:r>
      <w:r w:rsidR="00FF6674" w:rsidRPr="00AD04DA">
        <w:rPr>
          <w:rFonts w:ascii="Times New Roman" w:hAnsi="Times New Roman" w:cs="Times New Roman"/>
          <w:sz w:val="24"/>
          <w:szCs w:val="24"/>
        </w:rPr>
        <w:t>steps</w:t>
      </w:r>
      <w:r w:rsidR="00225D70" w:rsidRPr="00AD04DA">
        <w:rPr>
          <w:rFonts w:ascii="Times New Roman" w:hAnsi="Times New Roman" w:cs="Times New Roman"/>
          <w:sz w:val="24"/>
          <w:szCs w:val="24"/>
        </w:rPr>
        <w:t xml:space="preserve"> </w:t>
      </w:r>
      <w:r w:rsidRPr="00AD04DA">
        <w:rPr>
          <w:rFonts w:ascii="Times New Roman" w:hAnsi="Times New Roman" w:cs="Times New Roman"/>
          <w:sz w:val="24"/>
          <w:szCs w:val="24"/>
        </w:rPr>
        <w:t>depend on the solvent</w:t>
      </w:r>
      <w:r w:rsidR="009A2C2F" w:rsidRPr="00AD04DA">
        <w:rPr>
          <w:rFonts w:ascii="Times New Roman" w:hAnsi="Times New Roman" w:cs="Times New Roman"/>
          <w:sz w:val="24"/>
          <w:szCs w:val="24"/>
        </w:rPr>
        <w:t xml:space="preserve"> choice. </w:t>
      </w:r>
      <w:r w:rsidR="00225D70" w:rsidRPr="00AD04DA">
        <w:rPr>
          <w:rFonts w:ascii="Times New Roman" w:hAnsi="Times New Roman" w:cs="Times New Roman"/>
          <w:sz w:val="24"/>
          <w:szCs w:val="24"/>
        </w:rPr>
        <w:t xml:space="preserve">For solvents where dissolving water is exothermic, the draw </w:t>
      </w:r>
      <w:r w:rsidR="00FF6674" w:rsidRPr="00AD04DA">
        <w:rPr>
          <w:rFonts w:ascii="Times New Roman" w:hAnsi="Times New Roman" w:cs="Times New Roman"/>
          <w:sz w:val="24"/>
          <w:szCs w:val="24"/>
        </w:rPr>
        <w:t>step</w:t>
      </w:r>
      <w:r w:rsidR="00225D70" w:rsidRPr="00AD04DA">
        <w:rPr>
          <w:rFonts w:ascii="Times New Roman" w:hAnsi="Times New Roman" w:cs="Times New Roman"/>
          <w:sz w:val="24"/>
          <w:szCs w:val="24"/>
        </w:rPr>
        <w:t xml:space="preserve"> is performed at a lower temperature to encourage hydrogen bond formation and the precipitation </w:t>
      </w:r>
      <w:r w:rsidR="00FF6674" w:rsidRPr="00AD04DA">
        <w:rPr>
          <w:rFonts w:ascii="Times New Roman" w:hAnsi="Times New Roman" w:cs="Times New Roman"/>
          <w:sz w:val="24"/>
          <w:szCs w:val="24"/>
        </w:rPr>
        <w:t>step</w:t>
      </w:r>
      <w:r w:rsidR="00225D70" w:rsidRPr="00AD04DA">
        <w:rPr>
          <w:rFonts w:ascii="Times New Roman" w:hAnsi="Times New Roman" w:cs="Times New Roman"/>
          <w:sz w:val="24"/>
          <w:szCs w:val="24"/>
        </w:rPr>
        <w:t xml:space="preserve"> is performed at an elevated temperature to break those bonds. For solvents where dissolving water is endothermic, the draw </w:t>
      </w:r>
      <w:r w:rsidR="00FF6674" w:rsidRPr="00AD04DA">
        <w:rPr>
          <w:rFonts w:ascii="Times New Roman" w:hAnsi="Times New Roman" w:cs="Times New Roman"/>
          <w:sz w:val="24"/>
          <w:szCs w:val="24"/>
        </w:rPr>
        <w:t>step</w:t>
      </w:r>
      <w:r w:rsidR="00225D70" w:rsidRPr="00AD04DA">
        <w:rPr>
          <w:rFonts w:ascii="Times New Roman" w:hAnsi="Times New Roman" w:cs="Times New Roman"/>
          <w:sz w:val="24"/>
          <w:szCs w:val="24"/>
        </w:rPr>
        <w:t xml:space="preserve"> is performed at an elevated temperature and the </w:t>
      </w:r>
      <w:r w:rsidR="00FF6674" w:rsidRPr="00AD04DA">
        <w:rPr>
          <w:rFonts w:ascii="Times New Roman" w:hAnsi="Times New Roman" w:cs="Times New Roman"/>
          <w:sz w:val="24"/>
          <w:szCs w:val="24"/>
        </w:rPr>
        <w:t>precipitation</w:t>
      </w:r>
      <w:r w:rsidR="00225D70" w:rsidRPr="00AD04DA">
        <w:rPr>
          <w:rFonts w:ascii="Times New Roman" w:hAnsi="Times New Roman" w:cs="Times New Roman"/>
          <w:sz w:val="24"/>
          <w:szCs w:val="24"/>
        </w:rPr>
        <w:t xml:space="preserve"> at a lower</w:t>
      </w:r>
      <w:r w:rsidR="00053FB1"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{"citationID":"wsK5eXux","properties":{"formattedCitation":"\\super 52\\nosupersub{}","plainCitation":"52","noteIndex":0},"citationItems":[{"id":253,"uris":["http://zotero.org/users/8284751/items/8F2I567F"],"itemData":{"id":253,"type":"article-journal","abstract":"Solvent extraction desalination has shown to be a promising energy-efﬁcient technique when compared to separation processes usually employed. Despite the remarkable impact of the organic solvent’s molecular characteristics on this process, few studies have been carried out so far to explicitly ascertain the inﬂuence of these characteristics on the solubility of water in the solvent. Here, we assess the viability of four different imidazole-based solvents and compare them to an amine compound for solvent extraction desalination of high salinity brines. All-atom molecular simulations of pure solvent and watersolvent bulk mixtures are used to ascertain the inﬂuence of the solvents’ molecular structures on solvent–solvent and solvent–water interaction. Our results show that water solubilization in imidazolebased solvents is an endothermic process, while for a secondary amine (diisopropylamine) it is an exothermic process. We show that imidazole-based solvents can be designed to provide characteristics favorable to brine desalination.","container-title":"Chemical Engineering Science","DOI":"10.1016/j.ces.2021.116866","ISSN":"00092509","journalAbbreviation":"Chemical Engineering Science","language":"en","page":"116866","source":"DOI.org (Crossref)","title":"Molecular aspects of temperature swing solvent extraction for brine desalination using imidazole-based solvents","volume":"247","author":[{"family":"Barbosa","given":"Gabriel D."},{"family":"Bara","given":"Jason E."},{"family":"Weinman","given":"Steven T."},{"family":"Turner","given":"C. Heath"}],"issued":{"date-parts":[["2022",1]]}}}],"schema":"https://github.com/citation-style-language/schema/raw/master/csl-citation.json"} </w:instrText>
      </w:r>
      <w:r w:rsidR="00053FB1"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52</w:t>
      </w:r>
      <w:r w:rsidR="00053FB1" w:rsidRPr="00AD04DA">
        <w:rPr>
          <w:rFonts w:ascii="Times New Roman" w:hAnsi="Times New Roman" w:cs="Times New Roman"/>
          <w:sz w:val="24"/>
          <w:szCs w:val="24"/>
        </w:rPr>
        <w:fldChar w:fldCharType="end"/>
      </w:r>
      <w:r w:rsidR="00D26A1C" w:rsidRPr="00AD04DA">
        <w:rPr>
          <w:rFonts w:ascii="Times New Roman" w:hAnsi="Times New Roman" w:cs="Times New Roman"/>
          <w:sz w:val="24"/>
          <w:szCs w:val="24"/>
        </w:rPr>
        <w:t>.</w:t>
      </w:r>
    </w:p>
    <w:p w14:paraId="2570B360" w14:textId="3D9AC9DB" w:rsidR="00CB4ADB" w:rsidRPr="00AD04DA" w:rsidRDefault="002B16D5" w:rsidP="00847364">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Based on these working principles</w:t>
      </w:r>
      <w:r w:rsidR="00B17C9E" w:rsidRPr="00AD04DA">
        <w:rPr>
          <w:rFonts w:ascii="Times New Roman" w:hAnsi="Times New Roman" w:cs="Times New Roman"/>
          <w:sz w:val="24"/>
          <w:szCs w:val="24"/>
        </w:rPr>
        <w:t>,</w:t>
      </w:r>
      <w:r w:rsidRPr="00AD04DA">
        <w:rPr>
          <w:rFonts w:ascii="Times New Roman" w:hAnsi="Times New Roman" w:cs="Times New Roman"/>
          <w:sz w:val="24"/>
          <w:szCs w:val="24"/>
        </w:rPr>
        <w:t xml:space="preserve"> the ideal solvent for TSSE would have the following properties: It would be sufficiently nonpolar that it forms a biphasic system with water and has negligible miscibility in water;</w:t>
      </w:r>
      <w:r w:rsidR="00D366D4" w:rsidRPr="00AD04DA">
        <w:rPr>
          <w:rFonts w:ascii="Times New Roman" w:hAnsi="Times New Roman" w:cs="Times New Roman"/>
          <w:sz w:val="24"/>
          <w:szCs w:val="24"/>
        </w:rPr>
        <w:t xml:space="preserve"> It would be nontoxic such that further treatment of the effluent would not be necessary;</w:t>
      </w:r>
      <w:r w:rsidRPr="00AD04DA">
        <w:rPr>
          <w:rFonts w:ascii="Times New Roman" w:hAnsi="Times New Roman" w:cs="Times New Roman"/>
          <w:sz w:val="24"/>
          <w:szCs w:val="24"/>
        </w:rPr>
        <w:t xml:space="preserve"> It would have polar sites that allow it to absorb significant volumes of water; The solubility of water within </w:t>
      </w:r>
      <w:r w:rsidR="00B82439" w:rsidRPr="00AD04DA">
        <w:rPr>
          <w:rFonts w:ascii="Times New Roman" w:hAnsi="Times New Roman" w:cs="Times New Roman"/>
          <w:sz w:val="24"/>
          <w:szCs w:val="24"/>
        </w:rPr>
        <w:t xml:space="preserve">the solvent </w:t>
      </w:r>
      <w:r w:rsidRPr="00AD04DA">
        <w:rPr>
          <w:rFonts w:ascii="Times New Roman" w:hAnsi="Times New Roman" w:cs="Times New Roman"/>
          <w:sz w:val="24"/>
          <w:szCs w:val="24"/>
        </w:rPr>
        <w:t>would change dra</w:t>
      </w:r>
      <w:r w:rsidR="00552793" w:rsidRPr="00AD04DA">
        <w:rPr>
          <w:rFonts w:ascii="Times New Roman" w:hAnsi="Times New Roman" w:cs="Times New Roman"/>
          <w:sz w:val="24"/>
          <w:szCs w:val="24"/>
        </w:rPr>
        <w:t>matically</w:t>
      </w:r>
      <w:r w:rsidRPr="00AD04DA">
        <w:rPr>
          <w:rFonts w:ascii="Times New Roman" w:hAnsi="Times New Roman" w:cs="Times New Roman"/>
          <w:sz w:val="24"/>
          <w:szCs w:val="24"/>
        </w:rPr>
        <w:t xml:space="preserve"> over a </w:t>
      </w:r>
      <w:r w:rsidR="00195CB0" w:rsidRPr="00AD04DA">
        <w:rPr>
          <w:rFonts w:ascii="Times New Roman" w:hAnsi="Times New Roman" w:cs="Times New Roman"/>
          <w:sz w:val="24"/>
          <w:szCs w:val="24"/>
        </w:rPr>
        <w:t>small</w:t>
      </w:r>
      <w:r w:rsidRPr="00AD04DA">
        <w:rPr>
          <w:rFonts w:ascii="Times New Roman" w:hAnsi="Times New Roman" w:cs="Times New Roman"/>
          <w:sz w:val="24"/>
          <w:szCs w:val="24"/>
        </w:rPr>
        <w:t xml:space="preserve"> temperature range</w:t>
      </w:r>
      <w:r w:rsidR="00552793" w:rsidRPr="00AD04DA">
        <w:rPr>
          <w:rFonts w:ascii="Times New Roman" w:hAnsi="Times New Roman" w:cs="Times New Roman"/>
          <w:sz w:val="24"/>
          <w:szCs w:val="24"/>
        </w:rPr>
        <w:t xml:space="preserve"> near ambient temperatures</w:t>
      </w:r>
      <w:r w:rsidRPr="00AD04DA">
        <w:rPr>
          <w:rFonts w:ascii="Times New Roman" w:hAnsi="Times New Roman" w:cs="Times New Roman"/>
          <w:sz w:val="24"/>
          <w:szCs w:val="24"/>
        </w:rPr>
        <w:t xml:space="preserve">; </w:t>
      </w:r>
      <w:r w:rsidR="00DA6707" w:rsidRPr="00AD04DA">
        <w:rPr>
          <w:rFonts w:ascii="Times New Roman" w:hAnsi="Times New Roman" w:cs="Times New Roman"/>
          <w:sz w:val="24"/>
          <w:szCs w:val="24"/>
        </w:rPr>
        <w:t>The</w:t>
      </w:r>
      <w:r w:rsidR="00552793" w:rsidRPr="00AD04DA">
        <w:rPr>
          <w:rFonts w:ascii="Times New Roman" w:hAnsi="Times New Roman" w:cs="Times New Roman"/>
          <w:sz w:val="24"/>
          <w:szCs w:val="24"/>
        </w:rPr>
        <w:t xml:space="preserve"> solubility of wastewater solutes within the solvent is low</w:t>
      </w:r>
      <w:r w:rsidR="00DA6707" w:rsidRPr="00AD04DA">
        <w:rPr>
          <w:rFonts w:ascii="Times New Roman" w:hAnsi="Times New Roman" w:cs="Times New Roman"/>
          <w:sz w:val="24"/>
          <w:szCs w:val="24"/>
        </w:rPr>
        <w:t>;</w:t>
      </w:r>
      <w:r w:rsidR="00552793" w:rsidRPr="00AD04DA">
        <w:rPr>
          <w:rFonts w:ascii="Times New Roman" w:hAnsi="Times New Roman" w:cs="Times New Roman"/>
          <w:sz w:val="24"/>
          <w:szCs w:val="24"/>
        </w:rPr>
        <w:t xml:space="preserve"> </w:t>
      </w:r>
      <w:r w:rsidR="00DA6707" w:rsidRPr="00AD04DA">
        <w:rPr>
          <w:rFonts w:ascii="Times New Roman" w:hAnsi="Times New Roman" w:cs="Times New Roman"/>
          <w:sz w:val="24"/>
          <w:szCs w:val="24"/>
        </w:rPr>
        <w:t>and</w:t>
      </w:r>
      <w:r w:rsidR="00552793" w:rsidRPr="00AD04DA">
        <w:rPr>
          <w:rFonts w:ascii="Times New Roman" w:hAnsi="Times New Roman" w:cs="Times New Roman"/>
          <w:sz w:val="24"/>
          <w:szCs w:val="24"/>
        </w:rPr>
        <w:t xml:space="preserve"> the solute partition heavily favors the aqueous phase</w:t>
      </w:r>
      <w:r w:rsidR="00552793"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{"citationID":"VmxIr6W0","properties":{"formattedCitation":"\\super 51,52\\nosupersub{}","plainCitation":"51,52","noteIndex":0},"citationItems":[{"id":253,"uris":["http://zotero.org/users/8284751/items/8F2I567F"],"itemData":{"id":253,"type":"article-journal","abstract":"Solvent extraction desalination has shown to be a promising energy-efﬁcient technique when compared to separation processes usually employed. Despite the remarkable impact of the organic solvent’s molecular characteristics on this process, few studies have been carried out so far to explicitly ascertain the inﬂuence of these characteristics on the solubility of water in the solvent. Here, we assess the viability of four different imidazole-based solvents and compare them to an amine compound for solvent extraction desalination of high salinity brines. All-atom molecular simulations of pure solvent and watersolvent bulk mixtures are used to ascertain the inﬂuence of the solvents’ molecular structures on solvent–solvent and solvent–water interaction. Our results show that water solubilization in imidazolebased solvents is an endothermic process, while for a secondary amine (diisopropylamine) it is an exothermic process. We show that imidazole-based solvents can be designed to provide characteristics favorable to brine desalination.","container-title":"Chemical Engineering Science","DOI":"10.1016/j.ces.2021.116866","ISSN":"00092509","journalAbbreviation":"Chemical Engineering Science","language":"en","page":"116866","source":"DOI.org (Crossref)","title":"Molecular aspects of temperature swing solvent extraction for brine desalination using imidazole-based solvents","volume":"247","author":[{"family":"Barbosa","given":"Gabriel D."},{"family":"Bara","given":"Jason E."},{"family":"Weinman","given":"Steven T."},{"family":"Turner","given":"C. Heath"}],"issued":{"date-parts":[["2022",1]]}}},{"id":681,"uris":["http://zotero.org/users/8284751/items/R5QC862F"],"itemData":{"id":681,"type":"article-journal","abstract":"Hypersaline brines are of growing environmental importance but are technologically under-served by today’s desalination methods. Temperature swing solvent extraction (TSSE) is a radically diﬀerent desalination technology that is membrane-less and not based on evaporative phase change. TSSE utilizes lowtemperature heat and a low-polarity solvent with temperature-dependent water solubility for the selective extraction of water over salt from saline feeds. This study demonstrates TSSE desalination of high-salinity brines simulated by NaCl solutions with three amine solvents: diisopropylamine (DIPA), N-ethylcyclohexylamine (ECHA), and N,N-dimethylcyclohexylamine (DMCHA). We show that TSSE can desalinate brines with salinities as high as ≈234000 ppm total dissolved solids (i.e., 4.0 M NaCl) and achieve salt removals up to 98.4%. Among the solvents, DIPA exhibited the highest water extraction eﬃciency whereas ECHA and DMCHA produced water with the lowest salt content and solvent residue content, respectively. Lastly, a high water recovery of &gt;50% was demonstrated for TSSE desalination of 1.5 M NaCl brine using DIPA in semibatch experiments with multiple extraction cycles. This study underscores the unique capabilities of TSSE for the desalination of hypersaline brines.","container-title":"Environmental Science &amp; Technology Letters","DOI":"10.1021/acs.estlett.9b00182","ISSN":"2328-8930, 2328-8930","issue":"6","journalAbbreviation":"Environ. Sci. Technol. Lett.","language":"en","page":"359-364","source":"DOI.org (Crossref)","title":"Membrane-less and Non-Evaporative Desalination of Hypersaline Brines by Temperature Swing Solvent Extraction","volume":"6","author":[{"family":"Boo","given":"Chanhee"},{"family":"Winton","given":"Robert K."},{"family":"Conway","given":"Kelly M."},{"family":"Yip","given":"Ngai Yin"}],"issued":{"date-parts":[["2019",6,11]]}}}],"schema":"https://github.com/citation-style-language/schema/raw/master/csl-citation.json"} </w:instrText>
      </w:r>
      <w:r w:rsidR="00552793" w:rsidRPr="00AD04DA">
        <w:rPr>
          <w:rFonts w:ascii="Times New Roman" w:hAnsi="Times New Roman" w:cs="Times New Roman"/>
          <w:sz w:val="24"/>
          <w:szCs w:val="24"/>
        </w:rPr>
        <w:fldChar w:fldCharType="separate"/>
      </w:r>
      <w:r w:rsidR="00855E07" w:rsidRPr="00AD04DA">
        <w:rPr>
          <w:rFonts w:ascii="Times New Roman" w:hAnsi="Times New Roman" w:cs="Times New Roman"/>
          <w:sz w:val="24"/>
          <w:szCs w:val="24"/>
          <w:vertAlign w:val="superscript"/>
        </w:rPr>
        <w:t>51,52</w:t>
      </w:r>
      <w:r w:rsidR="00552793" w:rsidRPr="00AD04DA">
        <w:rPr>
          <w:rFonts w:ascii="Times New Roman" w:hAnsi="Times New Roman" w:cs="Times New Roman"/>
          <w:sz w:val="24"/>
          <w:szCs w:val="24"/>
        </w:rPr>
        <w:fldChar w:fldCharType="end"/>
      </w:r>
      <w:r w:rsidR="00552793" w:rsidRPr="00AD04DA">
        <w:rPr>
          <w:rFonts w:ascii="Times New Roman" w:hAnsi="Times New Roman" w:cs="Times New Roman"/>
          <w:sz w:val="24"/>
          <w:szCs w:val="24"/>
        </w:rPr>
        <w:t>.</w:t>
      </w:r>
    </w:p>
    <w:p w14:paraId="232E90F6" w14:textId="3BB65770" w:rsidR="00CB4ADB" w:rsidRPr="00EE6590" w:rsidRDefault="00CB4ADB" w:rsidP="00CB4ADB">
      <w:pPr>
        <w:pStyle w:val="Heading2"/>
        <w:spacing w:before="0" w:line="480" w:lineRule="auto"/>
        <w:ind w:firstLine="720"/>
        <w:rPr>
          <w:rFonts w:ascii="Times New Roman" w:hAnsi="Times New Roman" w:cs="Times New Roman"/>
          <w:color w:val="000000" w:themeColor="text1"/>
          <w:sz w:val="28"/>
          <w:szCs w:val="28"/>
        </w:rPr>
      </w:pPr>
      <w:bookmarkStart w:id="5" w:name="_Toc100753457"/>
      <w:r w:rsidRPr="00EE6590">
        <w:rPr>
          <w:rFonts w:ascii="Times New Roman" w:hAnsi="Times New Roman" w:cs="Times New Roman"/>
          <w:color w:val="000000" w:themeColor="text1"/>
          <w:sz w:val="28"/>
          <w:szCs w:val="28"/>
        </w:rPr>
        <w:lastRenderedPageBreak/>
        <w:t>1.3 Commercial Advantage</w:t>
      </w:r>
      <w:bookmarkEnd w:id="5"/>
    </w:p>
    <w:p w14:paraId="52A22AC9" w14:textId="463BA462" w:rsidR="008145EB" w:rsidRPr="00AD04DA" w:rsidRDefault="005C1920" w:rsidP="00CB4ADB">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Although TSSE is not well-studied relative to competing desalination technologies</w:t>
      </w:r>
      <w:r w:rsidR="00A3718E"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{"citationID":"PIxpPEYi","properties":{"formattedCitation":"\\super 53\\uc0\\u8211{}58\\nosupersub{}","plainCitation":"53–58","noteIndex":0},"citationItems":[{"id":833,"uris":["http://zotero.org/users/8284751/items/G49929FZ"],"itemData":{"id":833,"type":"article-journal","abstract":"Reverse osmosis (RO) membrane technology is one of the most important technologies for water treatment. However, membrane fouling is an inevitable issue. Membrane fouling leads to higher operating pressure, ﬂux decline, frequent chemical cleaning and shorter membrane life. This paper reviews membrane fouling types and fouling control strategies, with a focus on the latest developments. The fundamentals of fouling are discussed in detail, including biofouling, organic fouling, inorganic scaling and colloidal fouling. Furthermore, fouling mitigation technologies are also discussed comprehensively. Pretreatment is widely used in practice to reduce the burden for the following RO operation while real time monitoring of RO has the advantage and potential of providing support for effective and efﬁcient cleaning. Surface modiﬁcation could slow down membrane fouling by changing surface properties such as surface smoothness and hydrophilicity, while novel membrane materials and synthesis processes build a promising future for the next generation of RO membranes with big advancements in fouling resistance. Especially in this review paper, statistical analysis is conducted where appropriate to reveal the research interests in RO fouling and control.","container-title":"Science of The Total Environment","DOI":"10.1016/j.scitotenv.2017.03.235","ISSN":"00489697","journalAbbreviation":"Science of The Total Environment","language":"en","page":"567-583","source":"DOI.org (Crossref)","title":"A review of reverse osmosis membrane fouling and control strategies","volume":"595","author":[{"family":"Jiang","given":"Shanxue"},{"family":"Li","given":"Yuening"},{"family":"Ladewig","given":"Bradley P."}],"issued":{"date-parts":[["2017",10]]}}},{"id":280,"uris":["http://zotero.org/users/8284751/items/U8V9LGH4"],"itemData":{"id":280,"type":"article-journal","abstract":"Reverse osmosis (RO) is currently the most important desalination technology and it is experiencing signiﬁcant growth. The objective of this paper is to review the historical and current development of RO membrane materials which are the key determinants of separation performance and water productivity, and hence to deﬁne performance targets for those who are developing new RO membrane materials. The chemistry, synthesis mechanism(s) and desalination performance of various RO membranes are discussed from the point of view of membrane materials science. The review starts with the ﬁrst generation of asymmetric polymeric membranes and ﬁnishes with current proposals for nano-structured membrane materials. The paper provides an overview of RO performance in relation to membrane materials and methods of synthesis.","container-title":"Journal of Membrane Science","DOI":"10.1016/j.memsci.2010.12.036","ISSN":"03767388","issue":"1-2","journalAbbreviation":"Journal of Membrane Science","language":"en","page":"1-22","source":"DOI.org (Crossref)","title":"A review of reverse osmosis membrane materials for desalination—Development to date and future potential","volume":"370","author":[{"family":"Lee","given":"Kah Peng"},{"family":"Arnot","given":"Tom C."},{"family":"Mattia","given":"Davide"}],"issued":{"date-parts":[["2011",3]]}}},{"id":832,"uris":["http://zotero.org/users/8284751/items/T34IIATF"],"itemData":{"id":832,"type":"article-journal","abstract":"Brackish water (BW) desalination represents an untapped potential for augmenting water resources by the reliable technology of reverse osmosis (RO). There is a significant economic incentive to operate the process at the highest possible water recovery. A high recovery has the important advantage of reducing the amount of concentrate waste stream whose safe disposal is of significant environmental concerns. The degree of RO water recovery possible with a given raw water is dictated by the scaling problem. To overcome this hindrance, a variety of processes have been developed for conditioning the concentrate emanating from the primary RO unit for additional permeate production by a secondary RO unit. This paper provides a critical review of the treatment technologies that enable intensification of the water recovery in BWRO desalination by the intermediate concentrate demineralization techniques. The principles of each technique as well as its strength, weaknesses, technology readiness level, and economics are discussed. Extensive application of ICD technologies requires overcoming challenges such as lowering energy demand and total cost and reducing membrane scaling and use of chemicals.","container-title":"Desalination","DOI":"10.1016/j.desal.2019.05.004","ISSN":"00119164","journalAbbreviation":"Desalination","language":"en","page":"24-35","source":"DOI.org (Crossref)","title":"Intermediate concentrate demineralization techniques for enhanced brackish water reverse osmosis water recovery – A review","volume":"466","author":[{"family":"Li","given":"Xianhui"},{"family":"Hasson","given":"David"},{"family":"Semiat","given":"Raphael"},{"family":"Shemer","given":"Hilla"}],"issued":{"date-parts":[["2019",9]]}}},{"id":131,"uris":["http://zotero.org/users/8284751/items/PJXRQEL8"],"itemData":{"id":131,"type":"article-journal","abstract":"Membrane distillation (MD) is an emerging thermal-based membrane technology that has the capacity to treat a wide range of feed waters, including high salinity brines and wastewater. Compared with pressure-driven pro­ cesses, MD has the following advantages: low electrical energy consumption, complete removal of non-volatile solutes and ambient operating pressures. On the other hand, membrane fouling and pore wetting remain a challenge holding back its wider industrial implementation. To manage this issue, effective pretreatment and cleaning strategies are essential, as with other membrane processes. Despite the importance of these aspects for achieving a stable and reliable water treatment process, far too little attention has been paid to them in the MD literature. Evidence of this is that a comprehensive review on both membrane cleaning and pretreatment in MD is still lacking, despite the large and growing number of publications related to the technology. In this work, we first provide an overview of the three main types of fouling present in MD: inorganic, organic and biological fouling. After this we review, in detail, the use of pretreatment protocols in a range of MD applications, high­ lighting their efficacy in preventing fouling and ensuring stable performance. Next, we review the use of state-ofthe-art chemical and physical cleaning strategies and discuss the development of ‘self-cleaning’ membranes that are superhydrophobic or omniphobic. Finally, future research directions are suggested, with the aim of helping researchers working in this field to develop membrane distillation technology towards wider commercial implementation.","container-title":"Chemical Engineering Journal","DOI":"10.1016/j.cej.2021.129696","ISSN":"13858947","journalAbbreviation":"Chemical Engineering Journal","language":"en","page":"129696","source":"DOI.org (Crossref)","title":"Membrane cleaning and pretreatments in membrane distillation – a review","volume":"422","author":[{"family":"Abdel-Karim","given":"Ahmed"},{"family":"Leaper","given":"Sebastian"},{"family":"Skuse","given":"Clara"},{"family":"Zaragoza","given":"Guillermo"},{"family":"Gryta","given":"Marek"},{"family":"Gorgojo","given":"Patricia"}],"issued":{"date-parts":[["2021",10]]}}},{"id":191,"uris":["http://zotero.org/users/8284751/items/5LY5I5GA"],"itemData":{"id":191,"type":"article-journal","abstract":"Membrane distillation (MD) lags behind other desalination processes such as reverse osmosis due to relatively high energy consumption. Heating in membrane distillation forms a significant component of total energy consumption. This review provides an overview of the various conventional and non-conventional heating methods used in the MD process, focusing on its application for water desalination. To make MD competitive with existing technologies, research should be directed at low-cost energy sources or alternative heating methods. Development of alternative heating methods is based on the direct heating of feed water where the driving force for distillation can be generated inside the membrane module, as is the case for photothermal heating, electrothermal heating or induction heating. Direct heating of the feed near the membrane surface can improve the thermal efficiency and economics of the MD process. Through this literature survey, we have identified some areas to guide future research in alternative heating techniques for membrane distillation.","container-title":"Desalination","DOI":"10.1016/j.desal.2020.114713","ISSN":"00119164","journalAbbreviation":"Desalination","language":"en","page":"114713","source":"DOI.org (Crossref)","title":"Alternative heating techniques in membrane distillation: A review","title-short":"Alternative heating techniques in membrane distillation","volume":"496","author":[{"family":"Ahmed","given":"Farah Ejaz"},{"family":"Lalia","given":"Boor Singh"},{"family":"Hashaikeh","given":"Raed"},{"family":"Hilal","given":"Nidal"}],"issued":{"date-parts":[["2020",12]]}}},{"id":283,"uris":["http://zotero.org/users/8284751/items/4RQNR76H"],"itemData":{"id":283,"type":"article-journal","abstract":"In this paper, the current and most recent applications of direct contact membrane distillation (DCMD) are discussed. Apart from its rapidly increasing use for the desalination of highly saline feed water, the DCMD is gradually becoming a preferred technology for produced water treatment, puriﬁcation of groundwater, reclamation of industrial process water, removal of micropollutants from drinking water, juice concentration, and production of chemical products. The fundamentals of the DCMD and governing equations (from heat and mass transfer principles) that describe performance parameters are ﬁrst explained. Current issues in the DCMD operations such as the inﬂuence of membrane type, membrane fouling, and operating conditions on the DCMD performance or productivity are also discussed in this paper. Hybrid systems and renewable energy integration with DCMD systems have been presented as viable solutions that would enhance the sustainability of the DCMD operations. © 2016 Elsevier B.V. All rights reserved.","container-title":"Desalination","DOI":"10.1016/j.desal.2016.07.043","ISSN":"00119164","journalAbbreviation":"Desalination","language":"en","page":"222-246","source":"DOI.org (Crossref)","title":"Principles and applications of direct contact membrane distillation (DCMD): A comprehensive review","title-short":"Principles and applications of direct contact membrane distillation (DCMD)","volume":"398","author":[{"family":"Ashoor","given":"B.B."},{"family":"Mansour","given":"S."},{"family":"Giwa","given":"A."},{"family":"Dufour","given":"V."},{"family":"Hasan","given":"S.W."}],"issued":{"date-parts":[["2016",11]]}}}],"schema":"https://github.com/citation-style-language/schema/raw/master/csl-citation.json"} </w:instrText>
      </w:r>
      <w:r w:rsidR="00A3718E"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53–58</w:t>
      </w:r>
      <w:r w:rsidR="00A3718E" w:rsidRPr="00AD04DA">
        <w:rPr>
          <w:rFonts w:ascii="Times New Roman" w:hAnsi="Times New Roman" w:cs="Times New Roman"/>
          <w:sz w:val="24"/>
          <w:szCs w:val="24"/>
        </w:rPr>
        <w:fldChar w:fldCharType="end"/>
      </w:r>
      <w:r w:rsidRPr="00AD04DA">
        <w:rPr>
          <w:rFonts w:ascii="Times New Roman" w:hAnsi="Times New Roman" w:cs="Times New Roman"/>
          <w:sz w:val="24"/>
          <w:szCs w:val="24"/>
        </w:rPr>
        <w:t xml:space="preserve">, it offers several commercial advantages that make it worth exploring. </w:t>
      </w:r>
      <w:r w:rsidR="00CC3C73" w:rsidRPr="00AD04DA">
        <w:rPr>
          <w:rFonts w:ascii="Times New Roman" w:hAnsi="Times New Roman" w:cs="Times New Roman"/>
          <w:sz w:val="24"/>
          <w:szCs w:val="24"/>
        </w:rPr>
        <w:t xml:space="preserve">An advantage of TSSE is the potential </w:t>
      </w:r>
      <w:r w:rsidR="00D2687B" w:rsidRPr="00AD04DA">
        <w:rPr>
          <w:rFonts w:ascii="Times New Roman" w:hAnsi="Times New Roman" w:cs="Times New Roman"/>
          <w:sz w:val="24"/>
          <w:szCs w:val="24"/>
        </w:rPr>
        <w:t xml:space="preserve">to </w:t>
      </w:r>
      <w:r w:rsidR="001B30F2" w:rsidRPr="00AD04DA">
        <w:rPr>
          <w:rFonts w:ascii="Times New Roman" w:hAnsi="Times New Roman" w:cs="Times New Roman"/>
          <w:sz w:val="24"/>
          <w:szCs w:val="24"/>
        </w:rPr>
        <w:t>integrate</w:t>
      </w:r>
      <w:r w:rsidR="00D2687B" w:rsidRPr="00AD04DA">
        <w:rPr>
          <w:rFonts w:ascii="Times New Roman" w:hAnsi="Times New Roman" w:cs="Times New Roman"/>
          <w:sz w:val="24"/>
          <w:szCs w:val="24"/>
        </w:rPr>
        <w:t xml:space="preserve"> heat recovery</w:t>
      </w:r>
      <w:r w:rsidR="00CC3C73" w:rsidRPr="00AD04DA">
        <w:rPr>
          <w:rFonts w:ascii="Times New Roman" w:hAnsi="Times New Roman" w:cs="Times New Roman"/>
          <w:sz w:val="24"/>
          <w:szCs w:val="24"/>
        </w:rPr>
        <w:t>.</w:t>
      </w:r>
      <w:r w:rsidR="001045B6" w:rsidRPr="00AD04DA">
        <w:rPr>
          <w:rFonts w:ascii="Times New Roman" w:hAnsi="Times New Roman" w:cs="Times New Roman"/>
          <w:sz w:val="24"/>
          <w:szCs w:val="24"/>
        </w:rPr>
        <w:t xml:space="preserve"> </w:t>
      </w:r>
      <w:r w:rsidR="00335346" w:rsidRPr="00AD04DA">
        <w:rPr>
          <w:rFonts w:ascii="Times New Roman" w:hAnsi="Times New Roman" w:cs="Times New Roman"/>
          <w:sz w:val="24"/>
          <w:szCs w:val="24"/>
        </w:rPr>
        <w:t xml:space="preserve">Because the solvent </w:t>
      </w:r>
      <w:r w:rsidR="00BC6563" w:rsidRPr="00AD04DA">
        <w:rPr>
          <w:rFonts w:ascii="Times New Roman" w:hAnsi="Times New Roman" w:cs="Times New Roman"/>
          <w:sz w:val="24"/>
          <w:szCs w:val="24"/>
        </w:rPr>
        <w:t xml:space="preserve">is recirculated and </w:t>
      </w:r>
      <w:r w:rsidR="00335346" w:rsidRPr="00AD04DA">
        <w:rPr>
          <w:rFonts w:ascii="Times New Roman" w:hAnsi="Times New Roman" w:cs="Times New Roman"/>
          <w:sz w:val="24"/>
          <w:szCs w:val="24"/>
        </w:rPr>
        <w:t xml:space="preserve">undergoes temperature swings, </w:t>
      </w:r>
      <w:r w:rsidR="00BC6563" w:rsidRPr="00AD04DA">
        <w:rPr>
          <w:rFonts w:ascii="Times New Roman" w:hAnsi="Times New Roman" w:cs="Times New Roman"/>
          <w:sz w:val="24"/>
          <w:szCs w:val="24"/>
        </w:rPr>
        <w:t>a continuous TSSE process will always have a stream that needs to be heated and one that needs to be cooled</w:t>
      </w:r>
      <w:r w:rsidR="00547366" w:rsidRPr="00AD04DA">
        <w:rPr>
          <w:rFonts w:ascii="Times New Roman" w:hAnsi="Times New Roman" w:cs="Times New Roman"/>
          <w:sz w:val="24"/>
          <w:szCs w:val="24"/>
        </w:rPr>
        <w:t>. Therefore, the system can be designed with a heat exchanger network for heat recovery.</w:t>
      </w:r>
      <w:r w:rsidR="00335346" w:rsidRPr="00AD04DA">
        <w:rPr>
          <w:rFonts w:ascii="Times New Roman" w:hAnsi="Times New Roman" w:cs="Times New Roman"/>
          <w:sz w:val="24"/>
          <w:szCs w:val="24"/>
        </w:rPr>
        <w:t xml:space="preserve"> </w:t>
      </w:r>
      <w:r w:rsidR="00011A71" w:rsidRPr="00AD04DA">
        <w:rPr>
          <w:rFonts w:ascii="Times New Roman" w:hAnsi="Times New Roman" w:cs="Times New Roman"/>
          <w:sz w:val="24"/>
          <w:szCs w:val="24"/>
        </w:rPr>
        <w:t xml:space="preserve">This design improves the thermal efficiency of the process </w:t>
      </w:r>
      <w:r w:rsidR="00D239BB" w:rsidRPr="00AD04DA">
        <w:rPr>
          <w:rFonts w:ascii="Times New Roman" w:hAnsi="Times New Roman" w:cs="Times New Roman"/>
          <w:sz w:val="24"/>
          <w:szCs w:val="24"/>
        </w:rPr>
        <w:t>by</w:t>
      </w:r>
      <w:r w:rsidR="00011A71" w:rsidRPr="00AD04DA">
        <w:rPr>
          <w:rFonts w:ascii="Times New Roman" w:hAnsi="Times New Roman" w:cs="Times New Roman"/>
          <w:sz w:val="24"/>
          <w:szCs w:val="24"/>
        </w:rPr>
        <w:t xml:space="preserve"> reduc</w:t>
      </w:r>
      <w:r w:rsidR="00D239BB" w:rsidRPr="00AD04DA">
        <w:rPr>
          <w:rFonts w:ascii="Times New Roman" w:hAnsi="Times New Roman" w:cs="Times New Roman"/>
          <w:sz w:val="24"/>
          <w:szCs w:val="24"/>
        </w:rPr>
        <w:t>ing</w:t>
      </w:r>
      <w:r w:rsidR="00011A71" w:rsidRPr="00AD04DA">
        <w:rPr>
          <w:rFonts w:ascii="Times New Roman" w:hAnsi="Times New Roman" w:cs="Times New Roman"/>
          <w:sz w:val="24"/>
          <w:szCs w:val="24"/>
        </w:rPr>
        <w:t xml:space="preserve"> the</w:t>
      </w:r>
      <w:r w:rsidR="00D239BB" w:rsidRPr="00AD04DA">
        <w:rPr>
          <w:rFonts w:ascii="Times New Roman" w:hAnsi="Times New Roman" w:cs="Times New Roman"/>
          <w:sz w:val="24"/>
          <w:szCs w:val="24"/>
        </w:rPr>
        <w:t xml:space="preserve"> total</w:t>
      </w:r>
      <w:r w:rsidR="00011A71" w:rsidRPr="00AD04DA">
        <w:rPr>
          <w:rFonts w:ascii="Times New Roman" w:hAnsi="Times New Roman" w:cs="Times New Roman"/>
          <w:sz w:val="24"/>
          <w:szCs w:val="24"/>
        </w:rPr>
        <w:t xml:space="preserve"> thermal energy demand.</w:t>
      </w:r>
      <w:r w:rsidR="00CC3C73" w:rsidRPr="00AD04DA">
        <w:rPr>
          <w:rFonts w:ascii="Times New Roman" w:hAnsi="Times New Roman" w:cs="Times New Roman"/>
          <w:sz w:val="24"/>
          <w:szCs w:val="24"/>
        </w:rPr>
        <w:t xml:space="preserve"> </w:t>
      </w:r>
      <w:r w:rsidR="00582971" w:rsidRPr="00AD04DA">
        <w:rPr>
          <w:rFonts w:ascii="Times New Roman" w:hAnsi="Times New Roman" w:cs="Times New Roman"/>
          <w:sz w:val="24"/>
          <w:szCs w:val="24"/>
        </w:rPr>
        <w:t xml:space="preserve">Alotaibi </w:t>
      </w:r>
      <w:r w:rsidR="00582971" w:rsidRPr="00AD04DA">
        <w:rPr>
          <w:rFonts w:ascii="Times New Roman" w:hAnsi="Times New Roman" w:cs="Times New Roman"/>
          <w:i/>
          <w:iCs/>
          <w:sz w:val="24"/>
          <w:szCs w:val="24"/>
        </w:rPr>
        <w:t xml:space="preserve">et al </w:t>
      </w:r>
      <w:r w:rsidR="00582971" w:rsidRPr="00AD04DA">
        <w:rPr>
          <w:rFonts w:ascii="Times New Roman" w:hAnsi="Times New Roman" w:cs="Times New Roman"/>
          <w:sz w:val="24"/>
          <w:szCs w:val="24"/>
        </w:rPr>
        <w:t>modeled a continuous seawater desalination plant with</w:t>
      </w:r>
      <w:r w:rsidR="00486CE7" w:rsidRPr="00AD04DA">
        <w:rPr>
          <w:rFonts w:ascii="Times New Roman" w:hAnsi="Times New Roman" w:cs="Times New Roman"/>
          <w:sz w:val="24"/>
          <w:szCs w:val="24"/>
        </w:rPr>
        <w:t xml:space="preserve"> decanoic acid (DA)</w:t>
      </w:r>
      <w:r w:rsidR="00582971" w:rsidRPr="00AD04DA">
        <w:rPr>
          <w:rFonts w:ascii="Times New Roman" w:hAnsi="Times New Roman" w:cs="Times New Roman"/>
          <w:sz w:val="24"/>
          <w:szCs w:val="24"/>
        </w:rPr>
        <w:t xml:space="preserve"> and octanoic acid </w:t>
      </w:r>
      <w:r w:rsidR="000A506A" w:rsidRPr="00AD04DA">
        <w:rPr>
          <w:rFonts w:ascii="Times New Roman" w:hAnsi="Times New Roman" w:cs="Times New Roman"/>
          <w:sz w:val="24"/>
          <w:szCs w:val="24"/>
        </w:rPr>
        <w:t xml:space="preserve">(OA) </w:t>
      </w:r>
      <w:r w:rsidR="00582971" w:rsidRPr="00AD04DA">
        <w:rPr>
          <w:rFonts w:ascii="Times New Roman" w:hAnsi="Times New Roman" w:cs="Times New Roman"/>
          <w:sz w:val="24"/>
          <w:szCs w:val="24"/>
        </w:rPr>
        <w:t>as the solvent</w:t>
      </w:r>
      <w:r w:rsidR="001045B6" w:rsidRPr="00AD04DA">
        <w:rPr>
          <w:rFonts w:ascii="Times New Roman" w:hAnsi="Times New Roman" w:cs="Times New Roman"/>
          <w:sz w:val="24"/>
          <w:szCs w:val="24"/>
        </w:rPr>
        <w:t>.</w:t>
      </w:r>
      <w:r w:rsidR="000A506A" w:rsidRPr="00AD04DA">
        <w:rPr>
          <w:rFonts w:ascii="Times New Roman" w:hAnsi="Times New Roman" w:cs="Times New Roman"/>
          <w:sz w:val="24"/>
          <w:szCs w:val="24"/>
        </w:rPr>
        <w:t xml:space="preserve"> They find that for OA, the thermal energy consumption ranges from 800 to 900 kWh/</w:t>
      </w:r>
      <w:r w:rsidR="000A506A" w:rsidRPr="00AD04DA">
        <w:rPr>
          <w:rFonts w:ascii="Times New Roman" w:hAnsi="Times New Roman" w:cs="Times New Roman"/>
          <w:sz w:val="24"/>
          <w:szCs w:val="24"/>
          <w:vertAlign w:val="superscript"/>
        </w:rPr>
        <w:t>3</w:t>
      </w:r>
      <w:r w:rsidR="000A506A" w:rsidRPr="00AD04DA">
        <w:rPr>
          <w:rFonts w:ascii="Times New Roman" w:hAnsi="Times New Roman" w:cs="Times New Roman"/>
          <w:sz w:val="24"/>
          <w:szCs w:val="24"/>
        </w:rPr>
        <w:t xml:space="preserve"> and for </w:t>
      </w:r>
      <w:r w:rsidR="00486CE7" w:rsidRPr="00AD04DA">
        <w:rPr>
          <w:rFonts w:ascii="Times New Roman" w:hAnsi="Times New Roman" w:cs="Times New Roman"/>
          <w:sz w:val="24"/>
          <w:szCs w:val="24"/>
        </w:rPr>
        <w:t>DA</w:t>
      </w:r>
      <w:r w:rsidR="006225D0" w:rsidRPr="00AD04DA">
        <w:rPr>
          <w:rFonts w:ascii="Times New Roman" w:hAnsi="Times New Roman" w:cs="Times New Roman"/>
          <w:sz w:val="24"/>
          <w:szCs w:val="24"/>
        </w:rPr>
        <w:t>, it ranges from 1740 to 2300 kWh/m</w:t>
      </w:r>
      <w:r w:rsidR="006225D0" w:rsidRPr="00AD04DA">
        <w:rPr>
          <w:rFonts w:ascii="Times New Roman" w:hAnsi="Times New Roman" w:cs="Times New Roman"/>
          <w:sz w:val="24"/>
          <w:szCs w:val="24"/>
          <w:vertAlign w:val="superscript"/>
        </w:rPr>
        <w:t>3</w:t>
      </w:r>
      <w:r w:rsidR="006225D0" w:rsidRPr="00AD04DA">
        <w:rPr>
          <w:rFonts w:ascii="Times New Roman" w:hAnsi="Times New Roman" w:cs="Times New Roman"/>
          <w:sz w:val="24"/>
          <w:szCs w:val="24"/>
        </w:rPr>
        <w:t xml:space="preserve"> without heat recovery. </w:t>
      </w:r>
      <w:r w:rsidR="008E51D8" w:rsidRPr="00AD04DA">
        <w:rPr>
          <w:rFonts w:ascii="Times New Roman" w:hAnsi="Times New Roman" w:cs="Times New Roman"/>
          <w:sz w:val="24"/>
          <w:szCs w:val="24"/>
        </w:rPr>
        <w:t>With heat recovery, the thermal energy consumption for OA has a range of 160 to 180 kWh/m</w:t>
      </w:r>
      <w:r w:rsidR="008E51D8" w:rsidRPr="00AD04DA">
        <w:rPr>
          <w:rFonts w:ascii="Times New Roman" w:hAnsi="Times New Roman" w:cs="Times New Roman"/>
          <w:sz w:val="24"/>
          <w:szCs w:val="24"/>
          <w:vertAlign w:val="superscript"/>
        </w:rPr>
        <w:t>3</w:t>
      </w:r>
      <w:r w:rsidR="008E51D8" w:rsidRPr="00AD04DA">
        <w:rPr>
          <w:rFonts w:ascii="Times New Roman" w:hAnsi="Times New Roman" w:cs="Times New Roman"/>
          <w:sz w:val="24"/>
          <w:szCs w:val="24"/>
        </w:rPr>
        <w:t>. For</w:t>
      </w:r>
      <w:r w:rsidR="00486CE7" w:rsidRPr="00AD04DA">
        <w:rPr>
          <w:rFonts w:ascii="Times New Roman" w:hAnsi="Times New Roman" w:cs="Times New Roman"/>
          <w:sz w:val="24"/>
          <w:szCs w:val="24"/>
        </w:rPr>
        <w:t xml:space="preserve"> DA</w:t>
      </w:r>
      <w:r w:rsidR="00055B1D" w:rsidRPr="00AD04DA">
        <w:rPr>
          <w:rFonts w:ascii="Times New Roman" w:hAnsi="Times New Roman" w:cs="Times New Roman"/>
          <w:sz w:val="24"/>
          <w:szCs w:val="24"/>
        </w:rPr>
        <w:t>,</w:t>
      </w:r>
      <w:r w:rsidR="00C50076" w:rsidRPr="00AD04DA">
        <w:rPr>
          <w:rFonts w:ascii="Times New Roman" w:hAnsi="Times New Roman" w:cs="Times New Roman"/>
          <w:sz w:val="24"/>
          <w:szCs w:val="24"/>
        </w:rPr>
        <w:t xml:space="preserve"> </w:t>
      </w:r>
      <w:r w:rsidR="008E51D8" w:rsidRPr="00AD04DA">
        <w:rPr>
          <w:rFonts w:ascii="Times New Roman" w:hAnsi="Times New Roman" w:cs="Times New Roman"/>
          <w:sz w:val="24"/>
          <w:szCs w:val="24"/>
        </w:rPr>
        <w:t>the thermal energy consumption range</w:t>
      </w:r>
      <w:r w:rsidR="00C50076" w:rsidRPr="00AD04DA">
        <w:rPr>
          <w:rFonts w:ascii="Times New Roman" w:hAnsi="Times New Roman" w:cs="Times New Roman"/>
          <w:sz w:val="24"/>
          <w:szCs w:val="24"/>
        </w:rPr>
        <w:t xml:space="preserve"> is</w:t>
      </w:r>
      <w:r w:rsidR="008E51D8" w:rsidRPr="00AD04DA">
        <w:rPr>
          <w:rFonts w:ascii="Times New Roman" w:hAnsi="Times New Roman" w:cs="Times New Roman"/>
          <w:sz w:val="24"/>
          <w:szCs w:val="24"/>
        </w:rPr>
        <w:t xml:space="preserve"> to 350 to 460 kWh/m</w:t>
      </w:r>
      <w:r w:rsidR="008E51D8" w:rsidRPr="00AD04DA">
        <w:rPr>
          <w:rFonts w:ascii="Times New Roman" w:hAnsi="Times New Roman" w:cs="Times New Roman"/>
          <w:sz w:val="24"/>
          <w:szCs w:val="24"/>
          <w:vertAlign w:val="superscript"/>
        </w:rPr>
        <w:t>3</w:t>
      </w:r>
      <w:r w:rsidR="00C50076" w:rsidRPr="00AD04DA">
        <w:rPr>
          <w:rFonts w:ascii="Times New Roman" w:hAnsi="Times New Roman" w:cs="Times New Roman"/>
          <w:sz w:val="24"/>
          <w:szCs w:val="24"/>
        </w:rPr>
        <w:t xml:space="preserve"> upon implementation of heat recovery</w:t>
      </w:r>
      <w:r w:rsidR="00C5007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{"citationID":"5zNYFhhZ","properties":{"formattedCitation":"\\super 59\\nosupersub{}","plainCitation":"59","noteIndex":0},"citationItems":[{"id":712,"uris":["http://zotero.org/users/8284751/items/SDNU2P73"],"itemData":{"id":712,"type":"article-journal","abstract":"Directional Solvent Extraction (DSE) is a novel alternative desalination technology to the traditional evaporation and membrane based desalination processes. This new process takes advantage of the fact that water is soluble in some solvents and its solubility increases with temperature. Furthermore, these solvents are insoluble in water and salts do not dissolve in them. These special characteristics of some “directional solvents” have been utilized in this new process to extract fresh water from seawater.","container-title":"Desalination","DOI":"10.1016/j.desal.2017.07.004","ISSN":"00119164","journalAbbreviation":"Desalination","language":"en","page":"114-124","source":"DOI.org (Crossref)","title":"Modeling of a continuous water desalination process using directional solvent extraction","volume":"420","author":[{"family":"Alotaibi","given":"Sorour"},{"family":"Ibrahim","given":"Osama M."},{"family":"Luo","given":"Shirui"},{"family":"Luo","given":"Tengfei"}],"issued":{"date-parts":[["2017",10]]}}}],"schema":"https://github.com/citation-style-language/schema/raw/master/csl-citation.json"} </w:instrText>
      </w:r>
      <w:r w:rsidR="00C50076"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59</w:t>
      </w:r>
      <w:r w:rsidR="00C50076" w:rsidRPr="00AD04DA">
        <w:rPr>
          <w:rFonts w:ascii="Times New Roman" w:hAnsi="Times New Roman" w:cs="Times New Roman"/>
          <w:sz w:val="24"/>
          <w:szCs w:val="24"/>
        </w:rPr>
        <w:fldChar w:fldCharType="end"/>
      </w:r>
      <w:r w:rsidR="008E51D8" w:rsidRPr="00AD04DA">
        <w:rPr>
          <w:rFonts w:ascii="Times New Roman" w:hAnsi="Times New Roman" w:cs="Times New Roman"/>
          <w:sz w:val="24"/>
          <w:szCs w:val="24"/>
        </w:rPr>
        <w:t>.</w:t>
      </w:r>
      <w:r w:rsidR="00372319" w:rsidRPr="00AD04DA">
        <w:rPr>
          <w:rFonts w:ascii="Times New Roman" w:hAnsi="Times New Roman" w:cs="Times New Roman"/>
          <w:sz w:val="24"/>
          <w:szCs w:val="24"/>
        </w:rPr>
        <w:t xml:space="preserve"> Figure 5 shows a continuous TSSE process with an optimum heat exchanger network.</w:t>
      </w:r>
    </w:p>
    <w:p w14:paraId="00A3BC0A" w14:textId="5F077D8C" w:rsidR="00D239BB" w:rsidRPr="00AD04DA" w:rsidRDefault="00372319" w:rsidP="00372319">
      <w:pPr>
        <w:spacing w:after="0"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noProof/>
          <w:color w:val="000000" w:themeColor="text1"/>
          <w:sz w:val="24"/>
          <w:szCs w:val="24"/>
        </w:rPr>
        <w:lastRenderedPageBreak/>
        <w:drawing>
          <wp:inline distT="0" distB="0" distL="0" distR="0" wp14:anchorId="516E1F0B" wp14:editId="7AC1653C">
            <wp:extent cx="4355835" cy="3484669"/>
            <wp:effectExtent l="0" t="0" r="698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67528" cy="3494023"/>
                    </a:xfrm>
                    <a:prstGeom prst="rect">
                      <a:avLst/>
                    </a:prstGeom>
                    <a:noFill/>
                  </pic:spPr>
                </pic:pic>
              </a:graphicData>
            </a:graphic>
          </wp:inline>
        </w:drawing>
      </w:r>
    </w:p>
    <w:p w14:paraId="3D685F45" w14:textId="1EC3552F" w:rsidR="00372319" w:rsidRPr="00AD04DA" w:rsidRDefault="00372319" w:rsidP="00372319">
      <w:pPr>
        <w:spacing w:line="240" w:lineRule="auto"/>
        <w:jc w:val="center"/>
        <w:rPr>
          <w:rFonts w:ascii="Times New Roman" w:hAnsi="Times New Roman" w:cs="Times New Roman"/>
          <w:color w:val="000000" w:themeColor="text1"/>
          <w:sz w:val="24"/>
          <w:szCs w:val="24"/>
        </w:rPr>
      </w:pPr>
      <w:r w:rsidRPr="00AD04DA">
        <w:rPr>
          <w:rFonts w:ascii="Times New Roman" w:hAnsi="Times New Roman" w:cs="Times New Roman"/>
          <w:b/>
          <w:bCs/>
          <w:color w:val="000000" w:themeColor="text1"/>
          <w:sz w:val="24"/>
          <w:szCs w:val="24"/>
        </w:rPr>
        <w:t xml:space="preserve">Figure 5: </w:t>
      </w:r>
      <w:r w:rsidRPr="00AD04DA">
        <w:rPr>
          <w:rFonts w:ascii="Times New Roman" w:hAnsi="Times New Roman" w:cs="Times New Roman"/>
          <w:color w:val="000000" w:themeColor="text1"/>
          <w:sz w:val="24"/>
          <w:szCs w:val="24"/>
        </w:rPr>
        <w:t xml:space="preserve">Example of a continuous TSSE process with an optimal heat recovery network. Figure from Alotaibi </w:t>
      </w:r>
      <w:r w:rsidRPr="00AD04DA">
        <w:rPr>
          <w:rFonts w:ascii="Times New Roman" w:hAnsi="Times New Roman" w:cs="Times New Roman"/>
          <w:i/>
          <w:iCs/>
          <w:color w:val="000000" w:themeColor="text1"/>
          <w:sz w:val="24"/>
          <w:szCs w:val="24"/>
        </w:rPr>
        <w:t>et al</w:t>
      </w:r>
      <w:r w:rsidRPr="00AD04DA">
        <w:rPr>
          <w:rFonts w:ascii="Times New Roman" w:hAnsi="Times New Roman" w:cs="Times New Roman"/>
          <w:i/>
          <w:iCs/>
          <w:color w:val="000000" w:themeColor="text1"/>
          <w:sz w:val="24"/>
          <w:szCs w:val="24"/>
        </w:rPr>
        <w:fldChar w:fldCharType="begin"/>
      </w:r>
      <w:r w:rsidR="00AE4CC3">
        <w:rPr>
          <w:rFonts w:ascii="Times New Roman" w:hAnsi="Times New Roman" w:cs="Times New Roman"/>
          <w:i/>
          <w:iCs/>
          <w:color w:val="000000" w:themeColor="text1"/>
          <w:sz w:val="24"/>
          <w:szCs w:val="24"/>
        </w:rPr>
        <w:instrText xml:space="preserve"> ADDIN ZOTERO_ITEM CSL_CITATION {"citationID":"5XLsZwxo","properties":{"formattedCitation":"\\super 59\\nosupersub{}","plainCitation":"59","noteIndex":0},"citationItems":[{"id":712,"uris":["http://zotero.org/users/8284751/items/SDNU2P73"],"itemData":{"id":712,"type":"article-journal","abstract":"Directional Solvent Extraction (DSE) is a novel alternative desalination technology to the traditional evaporation and membrane based desalination processes. This new process takes advantage of the fact that water is soluble in some solvents and its solubility increases with temperature. Furthermore, these solvents are insoluble in water and salts do not dissolve in them. These special characteristics of some “directional solvents” have been utilized in this new process to extract fresh water from seawater.","container-title":"Desalination","DOI":"10.1016/j.desal.2017.07.004","ISSN":"00119164","journalAbbreviation":"Desalination","language":"en","page":"114-124","source":"DOI.org (Crossref)","title":"Modeling of a continuous water desalination process using directional solvent extraction","volume":"420","author":[{"family":"Alotaibi","given":"Sorour"},{"family":"Ibrahim","given":"Osama M."},{"family":"Luo","given":"Shirui"},{"family":"Luo","given":"Tengfei"}],"issued":{"date-parts":[["2017",10]]}}}],"schema":"https://github.com/citation-style-language/schema/raw/master/csl-citation.json"} </w:instrText>
      </w:r>
      <w:r w:rsidRPr="00AD04DA">
        <w:rPr>
          <w:rFonts w:ascii="Times New Roman" w:hAnsi="Times New Roman" w:cs="Times New Roman"/>
          <w:i/>
          <w:iCs/>
          <w:color w:val="000000" w:themeColor="text1"/>
          <w:sz w:val="24"/>
          <w:szCs w:val="24"/>
        </w:rPr>
        <w:fldChar w:fldCharType="separate"/>
      </w:r>
      <w:r w:rsidR="00BC74F0" w:rsidRPr="00AD04DA">
        <w:rPr>
          <w:rFonts w:ascii="Times New Roman" w:hAnsi="Times New Roman" w:cs="Times New Roman"/>
          <w:sz w:val="24"/>
          <w:szCs w:val="24"/>
          <w:vertAlign w:val="superscript"/>
        </w:rPr>
        <w:t>59</w:t>
      </w:r>
      <w:r w:rsidRPr="00AD04DA">
        <w:rPr>
          <w:rFonts w:ascii="Times New Roman" w:hAnsi="Times New Roman" w:cs="Times New Roman"/>
          <w:i/>
          <w:iCs/>
          <w:color w:val="000000" w:themeColor="text1"/>
          <w:sz w:val="24"/>
          <w:szCs w:val="24"/>
        </w:rPr>
        <w:fldChar w:fldCharType="end"/>
      </w:r>
      <w:r w:rsidRPr="00AD04DA">
        <w:rPr>
          <w:rFonts w:ascii="Times New Roman" w:hAnsi="Times New Roman" w:cs="Times New Roman"/>
          <w:color w:val="000000" w:themeColor="text1"/>
          <w:sz w:val="24"/>
          <w:szCs w:val="24"/>
        </w:rPr>
        <w:t>.</w:t>
      </w:r>
    </w:p>
    <w:p w14:paraId="13DFBC73" w14:textId="77777777" w:rsidR="006079CC" w:rsidRPr="00AD04DA" w:rsidRDefault="006079CC" w:rsidP="00372319">
      <w:pPr>
        <w:spacing w:line="240" w:lineRule="auto"/>
        <w:jc w:val="center"/>
        <w:rPr>
          <w:rFonts w:ascii="Times New Roman" w:hAnsi="Times New Roman" w:cs="Times New Roman"/>
          <w:color w:val="000000" w:themeColor="text1"/>
          <w:sz w:val="24"/>
          <w:szCs w:val="24"/>
        </w:rPr>
      </w:pPr>
    </w:p>
    <w:p w14:paraId="78D9E8A7" w14:textId="2AE98706" w:rsidR="00D56710" w:rsidRPr="00AD04DA" w:rsidRDefault="00FA1FE0" w:rsidP="00D239BB">
      <w:pPr>
        <w:spacing w:after="0" w:line="480" w:lineRule="auto"/>
        <w:jc w:val="both"/>
        <w:rPr>
          <w:rFonts w:ascii="Times New Roman" w:hAnsi="Times New Roman" w:cs="Times New Roman"/>
          <w:color w:val="000000" w:themeColor="text1"/>
          <w:sz w:val="24"/>
          <w:szCs w:val="24"/>
        </w:rPr>
      </w:pPr>
      <w:r w:rsidRPr="00AD04DA">
        <w:rPr>
          <w:rFonts w:ascii="Times New Roman" w:hAnsi="Times New Roman" w:cs="Times New Roman"/>
          <w:sz w:val="24"/>
          <w:szCs w:val="24"/>
        </w:rPr>
        <w:tab/>
      </w:r>
      <w:r w:rsidR="00306CF8" w:rsidRPr="00AD04DA">
        <w:rPr>
          <w:rFonts w:ascii="Times New Roman" w:hAnsi="Times New Roman" w:cs="Times New Roman"/>
          <w:sz w:val="24"/>
          <w:szCs w:val="24"/>
        </w:rPr>
        <w:t>TSSE is a non-evaporative process</w:t>
      </w:r>
      <w:r w:rsidR="00306CF8"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{"citationID":"xR8gfsrI","properties":{"formattedCitation":"\\super 51\\nosupersub{}","plainCitation":"51","noteIndex":0},"citationItems":[{"id":681,"uris":["http://zotero.org/users/8284751/items/R5QC862F"],"itemData":{"id":681,"type":"article-journal","abstract":"Hypersaline brines are of growing environmental importance but are technologically under-served by today’s desalination methods. Temperature swing solvent extraction (TSSE) is a radically diﬀerent desalination technology that is membrane-less and not based on evaporative phase change. TSSE utilizes lowtemperature heat and a low-polarity solvent with temperature-dependent water solubility for the selective extraction of water over salt from saline feeds. This study demonstrates TSSE desalination of high-salinity brines simulated by NaCl solutions with three amine solvents: diisopropylamine (DIPA), N-ethylcyclohexylamine (ECHA), and N,N-dimethylcyclohexylamine (DMCHA). We show that TSSE can desalinate brines with salinities as high as ≈234000 ppm total dissolved solids (i.e., 4.0 M NaCl) and achieve salt removals up to 98.4%. Among the solvents, DIPA exhibited the highest water extraction eﬃciency whereas ECHA and DMCHA produced water with the lowest salt content and solvent residue content, respectively. Lastly, a high water recovery of &gt;50% was demonstrated for TSSE desalination of 1.5 M NaCl brine using DIPA in semibatch experiments with multiple extraction cycles. This study underscores the unique capabilities of TSSE for the desalination of hypersaline brines.","container-title":"Environmental Science &amp; Technology Letters","DOI":"10.1021/acs.estlett.9b00182","ISSN":"2328-8930, 2328-8930","issue":"6","journalAbbreviation":"Environ. Sci. Technol. Lett.","language":"en","page":"359-364","source":"DOI.org (Crossref)","title":"Membrane-less and Non-Evaporative Desalination of Hypersaline Brines by Temperature Swing Solvent Extraction","volume":"6","author":[{"family":"Boo","given":"Chanhee"},{"family":"Winton","given":"Robert K."},{"family":"Conway","given":"Kelly M."},{"family":"Yip","given":"Ngai Yin"}],"issued":{"date-parts":[["2019",6,11]]}}}],"schema":"https://github.com/citation-style-language/schema/raw/master/csl-citation.json"} </w:instrText>
      </w:r>
      <w:r w:rsidR="00306CF8" w:rsidRPr="00AD04DA">
        <w:rPr>
          <w:rFonts w:ascii="Times New Roman" w:hAnsi="Times New Roman" w:cs="Times New Roman"/>
          <w:sz w:val="24"/>
          <w:szCs w:val="24"/>
        </w:rPr>
        <w:fldChar w:fldCharType="separate"/>
      </w:r>
      <w:r w:rsidR="00855E07" w:rsidRPr="00AD04DA">
        <w:rPr>
          <w:rFonts w:ascii="Times New Roman" w:hAnsi="Times New Roman" w:cs="Times New Roman"/>
          <w:sz w:val="24"/>
          <w:szCs w:val="24"/>
          <w:vertAlign w:val="superscript"/>
        </w:rPr>
        <w:t>51</w:t>
      </w:r>
      <w:r w:rsidR="00306CF8" w:rsidRPr="00AD04DA">
        <w:rPr>
          <w:rFonts w:ascii="Times New Roman" w:hAnsi="Times New Roman" w:cs="Times New Roman"/>
          <w:sz w:val="24"/>
          <w:szCs w:val="24"/>
        </w:rPr>
        <w:fldChar w:fldCharType="end"/>
      </w:r>
      <w:r w:rsidR="00903E86" w:rsidRPr="00AD04DA">
        <w:rPr>
          <w:rFonts w:ascii="Times New Roman" w:hAnsi="Times New Roman" w:cs="Times New Roman"/>
          <w:sz w:val="24"/>
          <w:szCs w:val="24"/>
        </w:rPr>
        <w:t xml:space="preserve"> and has been shown feasible even when the top process temperature is limited to 55 °C</w:t>
      </w:r>
      <w:r w:rsidR="00903E8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{"citationID":"81YhN6aA","properties":{"formattedCitation":"\\super 50\\nosupersub{}","plainCitation":"50","noteIndex":0},"citationItems":[{"id":268,"uris":["http://zotero.org/users/8284751/items/V7HQE7DL"],"itemData":{"id":268,"type":"article-journal","abstract":"Arsenic (As) poisoning in water is a critical global problem. Current arsenic removal techniques involving chemical reaction, ion exchange, or membrane processes can be expensive, inaccessible, or infeasible for underdeveloped regions. Here, we demonstrate that by using a so-called a directional solvent extraction (DSE) process arsenic ions in water can be eﬀectively removed without membrane or chemical reaction, and this process promises to utilize low temperature heat (as low as 45 °C). We have tested feedwater with diﬀerent arsenic concentrations and arsenic ions in diﬀerent forms (As-III and As-V) commonly found in nature. It is demonstrated that DSE using decanoic acid as the directional solvent can purify contaminated water to meet the drinking water standard (arsenic concentration &lt;10 parts per billion, ppb), and the arsenic removal eﬃciencies are higher than 91% for As-III and 97% for As-V. DSE can potentially lead to eﬀective arsenic removal technologies with low resource settings.","container-title":"J. Chem. Eng. Data","language":"en","page":"9","source":"Zotero","title":"Direct Arsenic Removal from Water Using Non-Membrane, Low-Temperature Directional Solvent Extraction","author":[{"family":"Guo","given":"Jiaji"},{"family":"Luo","given":"Shirui"},{"family":"Liu","given":"Zeyu"},{"family":"Luo","given":"Tengfei"}],"issued":{"date-parts":[["2020"]]}}}],"schema":"https://github.com/citation-style-language/schema/raw/master/csl-citation.json"} </w:instrText>
      </w:r>
      <w:r w:rsidR="00903E86" w:rsidRPr="00AD04DA">
        <w:rPr>
          <w:rFonts w:ascii="Times New Roman" w:hAnsi="Times New Roman" w:cs="Times New Roman"/>
          <w:sz w:val="24"/>
          <w:szCs w:val="24"/>
        </w:rPr>
        <w:fldChar w:fldCharType="separate"/>
      </w:r>
      <w:r w:rsidR="00855E07" w:rsidRPr="00AD04DA">
        <w:rPr>
          <w:rFonts w:ascii="Times New Roman" w:hAnsi="Times New Roman" w:cs="Times New Roman"/>
          <w:sz w:val="24"/>
          <w:szCs w:val="24"/>
          <w:vertAlign w:val="superscript"/>
        </w:rPr>
        <w:t>50</w:t>
      </w:r>
      <w:r w:rsidR="00903E86" w:rsidRPr="00AD04DA">
        <w:rPr>
          <w:rFonts w:ascii="Times New Roman" w:hAnsi="Times New Roman" w:cs="Times New Roman"/>
          <w:sz w:val="24"/>
          <w:szCs w:val="24"/>
        </w:rPr>
        <w:fldChar w:fldCharType="end"/>
      </w:r>
      <w:r w:rsidR="00903E86" w:rsidRPr="00AD04DA">
        <w:rPr>
          <w:rFonts w:ascii="Times New Roman" w:hAnsi="Times New Roman" w:cs="Times New Roman"/>
          <w:sz w:val="24"/>
          <w:szCs w:val="24"/>
        </w:rPr>
        <w:t>.</w:t>
      </w:r>
      <w:r w:rsidR="00022992" w:rsidRPr="00AD04DA">
        <w:rPr>
          <w:rFonts w:ascii="Times New Roman" w:hAnsi="Times New Roman" w:cs="Times New Roman"/>
          <w:sz w:val="24"/>
          <w:szCs w:val="24"/>
        </w:rPr>
        <w:t xml:space="preserve"> </w:t>
      </w:r>
      <w:r w:rsidR="00055B1D" w:rsidRPr="00AD04DA">
        <w:rPr>
          <w:rFonts w:ascii="Times New Roman" w:hAnsi="Times New Roman" w:cs="Times New Roman"/>
          <w:sz w:val="24"/>
          <w:szCs w:val="24"/>
        </w:rPr>
        <w:t>As a result, a TSSE process could be powered by waste or another low-grade source of heat</w:t>
      </w:r>
      <w:r w:rsidR="005F5938" w:rsidRPr="00AD04DA">
        <w:rPr>
          <w:rFonts w:ascii="Times New Roman" w:hAnsi="Times New Roman" w:cs="Times New Roman"/>
          <w:sz w:val="24"/>
          <w:szCs w:val="24"/>
        </w:rPr>
        <w:t xml:space="preserve"> that could be considered inexpensive or free. This gives it a</w:t>
      </w:r>
      <w:r w:rsidR="00CC0C3E" w:rsidRPr="00AD04DA">
        <w:rPr>
          <w:rFonts w:ascii="Times New Roman" w:hAnsi="Times New Roman" w:cs="Times New Roman"/>
          <w:sz w:val="24"/>
          <w:szCs w:val="24"/>
        </w:rPr>
        <w:t xml:space="preserve"> commercial</w:t>
      </w:r>
      <w:r w:rsidR="005F5938" w:rsidRPr="00AD04DA">
        <w:rPr>
          <w:rFonts w:ascii="Times New Roman" w:hAnsi="Times New Roman" w:cs="Times New Roman"/>
          <w:sz w:val="24"/>
          <w:szCs w:val="24"/>
        </w:rPr>
        <w:t xml:space="preserve"> advantage over evaporative or pressure-driven </w:t>
      </w:r>
      <w:r w:rsidR="00F7399C" w:rsidRPr="00AD04DA">
        <w:rPr>
          <w:rFonts w:ascii="Times New Roman" w:hAnsi="Times New Roman" w:cs="Times New Roman"/>
          <w:sz w:val="24"/>
          <w:szCs w:val="24"/>
        </w:rPr>
        <w:t>processe</w:t>
      </w:r>
      <w:r w:rsidR="00CC2DCE" w:rsidRPr="00AD04DA">
        <w:rPr>
          <w:rFonts w:ascii="Times New Roman" w:hAnsi="Times New Roman" w:cs="Times New Roman"/>
          <w:sz w:val="24"/>
          <w:szCs w:val="24"/>
        </w:rPr>
        <w:t>s when applied in a setting with reliable sources of waste heat such as CFPP</w:t>
      </w:r>
      <w:r w:rsidR="00845D67">
        <w:rPr>
          <w:rFonts w:ascii="Times New Roman" w:hAnsi="Times New Roman" w:cs="Times New Roman"/>
          <w:sz w:val="24"/>
          <w:szCs w:val="24"/>
        </w:rPr>
        <w:t>s</w:t>
      </w:r>
      <w:r w:rsidR="00CC2DCE"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{"citationID":"PcsnNyyw","properties":{"formattedCitation":"\\super 60\\nosupersub{}","plainCitation":"60","noteIndex":0},"citationItems":[{"id":775,"uris":["http://zotero.org/users/8284751/items/ILDHA5C9"],"itemData":{"id":775,"type":"article-journal","abstract":"The reduction of wet desulfurization wastewater is one of the important tasks of coal-fired power plants, and it is important for achieving “zero emissions.” Evaporation and concentration (E&amp;C) with waste heat is an effective way to reduce wastewater. Here, two typical types of industrial desulfurization wastewater are used to study the change rule of pH and total dissolved solids during wastewater concentration in a circulating evaporation tower. The results indicate that with the increase of concentration ratio, the pH of desulfurization wastewater is decreased rapidly and then is gradually stabilized at 2–3 when SO2 or SO3 is contained in flue gas, and the increase in conductivity is less for wastewater with higher SO42− content. The characteristics of various ions are also analyzed, and the composition and microscopic morphology of the precipitates are characterized during concentration. The growth pattern of Ca2+ concentration is dependent on the ratio of Ca2+ and SO42− in raw wastewater. When the concentration ratio is 7.21, the insoluble and slightly soluble substances undergo precipitation and the solid content is approximately 20%, which can help realize the concentration and reduction of desulfurization wastewater.","container-title":"Environmental Science and Pollution Research","DOI":"10.1007/s11356-019-05297-6","ISSN":"0944-1344, 1614-7499","issue":"26","journalAbbreviation":"Environ Sci Pollut Res","language":"en","page":"27494-27504","source":"DOI.org (Crossref)","title":"Evaporation and concentration of desulfurization wastewater with waste heat from coal-fired power plants","volume":"26","author":[{"family":"Zheng","given":"Hao"},{"family":"Zheng","given":"Chenghang"},{"family":"Li","given":"Xiang"},{"family":"Xu","given":"Shiguo"},{"family":"Liu","given":"Shaojun"},{"family":"Zhang","given":"Youngxin"},{"family":"Weng","given":"Weiguo"},{"family":"Gao","given":"Xiang"}],"issued":{"date-parts":[["2019",9]]}}}],"schema":"https://github.com/citation-style-language/schema/raw/master/csl-citation.json"} </w:instrText>
      </w:r>
      <w:r w:rsidR="00CC2DCE"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60</w:t>
      </w:r>
      <w:r w:rsidR="00CC2DCE" w:rsidRPr="00AD04DA">
        <w:rPr>
          <w:rFonts w:ascii="Times New Roman" w:hAnsi="Times New Roman" w:cs="Times New Roman"/>
          <w:sz w:val="24"/>
          <w:szCs w:val="24"/>
        </w:rPr>
        <w:fldChar w:fldCharType="end"/>
      </w:r>
      <w:r w:rsidR="00CC2DCE" w:rsidRPr="00AD04DA">
        <w:rPr>
          <w:rFonts w:ascii="Times New Roman" w:hAnsi="Times New Roman" w:cs="Times New Roman"/>
          <w:sz w:val="24"/>
          <w:szCs w:val="24"/>
        </w:rPr>
        <w:t>.</w:t>
      </w:r>
      <w:r w:rsidR="00347C89" w:rsidRPr="00AD04DA">
        <w:rPr>
          <w:rFonts w:ascii="Times New Roman" w:hAnsi="Times New Roman" w:cs="Times New Roman"/>
          <w:sz w:val="24"/>
          <w:szCs w:val="24"/>
        </w:rPr>
        <w:t xml:space="preserve"> </w:t>
      </w:r>
    </w:p>
    <w:p w14:paraId="7467F448" w14:textId="7DA9F962" w:rsidR="00460E0E" w:rsidRPr="00AD04DA" w:rsidRDefault="00D55A95" w:rsidP="00460E0E">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A common drawback in solvent extraction processes is the need to deploy downstream operations to regenerate solvent before reuse</w:t>
      </w:r>
      <w:r w:rsidR="0077126C"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{"citationID":"NVsHkgHn","properties":{"formattedCitation":"\\super 61,62\\nosupersub{}","plainCitation":"61,62","noteIndex":0},"citationItems":[{"id":799,"uris":["http://zotero.org/users/8284751/items/E6QPLDSQ"],"itemData":{"id":799,"type":"article-journal","abstract":"Diverse and abundant applications of the eutectic solvents have appeared in the last years. Their promising tunable properties, eco-friendly character and the possibility of being prepared from numerous compounds have led to the publication of numerous papers addressing their use in diﬀerent areas. Terpenes and terpenoids have been employed in the formulation of eutectic solvents, though they also have been applied as solvents in extraction processes. For their hydrophobic nature, renewable character, low environmental impact, cost and being non-hazardous, they have also been proposed as possible substitutes of conventional solvents in the separation of organic compounds from aqueous streams, similarly to hydrophobic eutectic solvents. The present work reviews the application of eutectic solvents in liquid–liquid extraction and terpenes and terpenoids in extraction processes. It has been made a research in the current state-of-the-art in these ﬁelds, describing the proposed applications of the solvents. It has been highlighted the scale-up feasibility, solvent regeneration and reuse procedures and the comparison of the performance of eutectic solvents, terpenes and terpenoids in extraction with conventional organic solvents or ionic liquids. Ultimately, it has been also discussed the employ of predictive methods in extraction, the reliability of thermodynamic models in correlation of liquid–liquid equilibria and simulation of liquid–liquid extraction processes.","container-title":"Processes","DOI":"10.3390/pr8101220","ISSN":"2227-9717","issue":"10","journalAbbreviation":"Processes","language":"en","page":"1220","source":"DOI.org (Crossref)","title":"A Review of the Use of Eutectic Solvents, Terpenes and Terpenoids in Liquid–liquid Extraction Processes","volume":"8","author":[{"family":"Rodríguez-Llorente","given":"Diego"},{"family":"Cañada-Barcala","given":"Andrés"},{"family":"Álvarez-Torrellas","given":"Silvia"},{"family":"Águeda","given":"Vicente Ismael"},{"family":"García","given":"Juan"},{"family":"Larriba","given":"Marcos"}],"issued":{"date-parts":[["2020",9,30]]}}},{"id":801,"uris":["http://zotero.org/users/8284751/items/L9G4FT2J"],"itemData":{"id":801,"type":"article-journal","abstract":"Deep eutectic solvents are emerging green solvents that have potential in many separation processes. This study investigates the performance of choline-based deep eutectic solvents in the extraction of tocopherols and tocotrienols (collectively known as tocols) from palm oil, a major natural source of tocols. Deep eutectic solvents comprised of choline chloride salt and selected carboxylic acids as hydrogen bond donors were prepared and used in the extraction of tocols from crude palm oil by liquid–liquid extraction. Tocols concentration in the extracted product was at least double that in the control (8671 mg/kg compared to 3285 mg/kg, respectively). Increasing the amount of the deep eutectic solvents increased the tocols concentration in the extracted product up to 18,525 mg/kg, but the yields lowered from 4 % to less than 1 %. The tocols profile was significantly improved by the increase of the tocotrienols fraction in the products from 80.8 to 99.8 %. This study showed that unique interaction between the selected deep eutectic solvents with the tocols make it possible to selectively separate individual tocols in palm oil, where products with fractions rich in tocotrienols and low in tocopherols (particularly α-tocopherol) are favorable.","container-title":"Journal of the American Oil Chemists' Society","DOI":"10.1007/s11746-015-2720-6","ISSN":"0003-021X, 1558-9331","issue":"11-12","journalAbbreviation":"J Am Oil Chem Soc","language":"en","page":"1709-1716","source":"DOI.org (Crossref)","title":"Performance of Choline-Based Deep Eutectic Solvents in the Extraction of Tocols from Crude Palm Oil","volume":"92","author":[{"family":"Abdul Hadi","given":"Nu’man"},{"family":"Ng","given":"Mei Han"},{"family":"Choo","given":"Yuen May"},{"family":"Hashim","given":"Mohd Ali"},{"family":"Jayakumar","given":"Natesan Subramanian"}],"issued":{"date-parts":[["2015",12]]}}}],"schema":"https://github.com/citation-style-language/schema/raw/master/csl-citation.json"} </w:instrText>
      </w:r>
      <w:r w:rsidR="0077126C"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61,62</w:t>
      </w:r>
      <w:r w:rsidR="0077126C" w:rsidRPr="00AD04DA">
        <w:rPr>
          <w:rFonts w:ascii="Times New Roman" w:hAnsi="Times New Roman" w:cs="Times New Roman"/>
          <w:sz w:val="24"/>
          <w:szCs w:val="24"/>
        </w:rPr>
        <w:fldChar w:fldCharType="end"/>
      </w:r>
      <w:r w:rsidR="0077126C" w:rsidRPr="00AD04DA">
        <w:rPr>
          <w:rFonts w:ascii="Times New Roman" w:hAnsi="Times New Roman" w:cs="Times New Roman"/>
          <w:sz w:val="24"/>
          <w:szCs w:val="24"/>
        </w:rPr>
        <w:t>.</w:t>
      </w:r>
      <w:r w:rsidRPr="00AD04DA">
        <w:rPr>
          <w:rFonts w:ascii="Times New Roman" w:hAnsi="Times New Roman" w:cs="Times New Roman"/>
          <w:sz w:val="24"/>
          <w:szCs w:val="24"/>
        </w:rPr>
        <w:t xml:space="preserve"> </w:t>
      </w:r>
      <w:r w:rsidR="00BF3830" w:rsidRPr="00AD04DA">
        <w:rPr>
          <w:rFonts w:ascii="Times New Roman" w:hAnsi="Times New Roman" w:cs="Times New Roman"/>
          <w:sz w:val="24"/>
          <w:szCs w:val="24"/>
        </w:rPr>
        <w:t xml:space="preserve">In TSSE, </w:t>
      </w:r>
      <w:r w:rsidR="00200CC2" w:rsidRPr="00AD04DA">
        <w:rPr>
          <w:rFonts w:ascii="Times New Roman" w:hAnsi="Times New Roman" w:cs="Times New Roman"/>
          <w:sz w:val="24"/>
          <w:szCs w:val="24"/>
        </w:rPr>
        <w:t xml:space="preserve">the only necessary solvent regeneration is </w:t>
      </w:r>
      <w:r w:rsidR="00350C89" w:rsidRPr="00AD04DA">
        <w:rPr>
          <w:rFonts w:ascii="Times New Roman" w:hAnsi="Times New Roman" w:cs="Times New Roman"/>
          <w:sz w:val="24"/>
          <w:szCs w:val="24"/>
        </w:rPr>
        <w:t>to precipitate the water</w:t>
      </w:r>
      <w:r w:rsidR="00200CC2" w:rsidRPr="00AD04DA">
        <w:rPr>
          <w:rFonts w:ascii="Times New Roman" w:hAnsi="Times New Roman" w:cs="Times New Roman"/>
          <w:sz w:val="24"/>
          <w:szCs w:val="24"/>
        </w:rPr>
        <w:t xml:space="preserve">, which is already a </w:t>
      </w:r>
      <w:r w:rsidR="00C53747" w:rsidRPr="00AD04DA">
        <w:rPr>
          <w:rFonts w:ascii="Times New Roman" w:hAnsi="Times New Roman" w:cs="Times New Roman"/>
          <w:sz w:val="24"/>
          <w:szCs w:val="24"/>
        </w:rPr>
        <w:t>core</w:t>
      </w:r>
      <w:r w:rsidR="00200CC2" w:rsidRPr="00AD04DA">
        <w:rPr>
          <w:rFonts w:ascii="Times New Roman" w:hAnsi="Times New Roman" w:cs="Times New Roman"/>
          <w:sz w:val="24"/>
          <w:szCs w:val="24"/>
        </w:rPr>
        <w:t xml:space="preserve"> step in the process. </w:t>
      </w:r>
      <w:r w:rsidR="00B663B4" w:rsidRPr="00AD04DA">
        <w:rPr>
          <w:rFonts w:ascii="Times New Roman" w:hAnsi="Times New Roman" w:cs="Times New Roman"/>
          <w:sz w:val="24"/>
          <w:szCs w:val="24"/>
        </w:rPr>
        <w:t xml:space="preserve">In principle, the organic solvent will only dissolve water and small amounts of </w:t>
      </w:r>
      <w:r w:rsidR="00043239" w:rsidRPr="00AD04DA">
        <w:rPr>
          <w:rFonts w:ascii="Times New Roman" w:hAnsi="Times New Roman" w:cs="Times New Roman"/>
          <w:sz w:val="24"/>
          <w:szCs w:val="24"/>
        </w:rPr>
        <w:t xml:space="preserve">a solute that favors partition into the aqueous phase. </w:t>
      </w:r>
      <w:r w:rsidR="00350C89" w:rsidRPr="00AD04DA">
        <w:rPr>
          <w:rFonts w:ascii="Times New Roman" w:hAnsi="Times New Roman" w:cs="Times New Roman"/>
          <w:sz w:val="24"/>
          <w:szCs w:val="24"/>
        </w:rPr>
        <w:t>Therefore, the precipitation ste</w:t>
      </w:r>
      <w:r w:rsidR="002D3199" w:rsidRPr="00AD04DA">
        <w:rPr>
          <w:rFonts w:ascii="Times New Roman" w:hAnsi="Times New Roman" w:cs="Times New Roman"/>
          <w:sz w:val="24"/>
          <w:szCs w:val="24"/>
        </w:rPr>
        <w:t>p</w:t>
      </w:r>
      <w:r w:rsidR="00350C89" w:rsidRPr="00AD04DA">
        <w:rPr>
          <w:rFonts w:ascii="Times New Roman" w:hAnsi="Times New Roman" w:cs="Times New Roman"/>
          <w:sz w:val="24"/>
          <w:szCs w:val="24"/>
        </w:rPr>
        <w:t xml:space="preserve"> will remove the water and </w:t>
      </w:r>
      <w:r w:rsidR="00AF406E" w:rsidRPr="00AD04DA">
        <w:rPr>
          <w:rFonts w:ascii="Times New Roman" w:hAnsi="Times New Roman" w:cs="Times New Roman"/>
          <w:sz w:val="24"/>
          <w:szCs w:val="24"/>
        </w:rPr>
        <w:t xml:space="preserve">any </w:t>
      </w:r>
      <w:r w:rsidR="00350C89" w:rsidRPr="00AD04DA">
        <w:rPr>
          <w:rFonts w:ascii="Times New Roman" w:hAnsi="Times New Roman" w:cs="Times New Roman"/>
          <w:sz w:val="24"/>
          <w:szCs w:val="24"/>
        </w:rPr>
        <w:t xml:space="preserve">solute dissolved within the organic phase, allowing it to be returned directly to the </w:t>
      </w:r>
      <w:r w:rsidR="00317E70" w:rsidRPr="00AD04DA">
        <w:rPr>
          <w:rFonts w:ascii="Times New Roman" w:hAnsi="Times New Roman" w:cs="Times New Roman"/>
          <w:sz w:val="24"/>
          <w:szCs w:val="24"/>
        </w:rPr>
        <w:t>first equilibrium step</w:t>
      </w:r>
      <w:r w:rsidR="00663E9A"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{"citationID":"yc80w2Rz","properties":{"formattedCitation":"\\super 49\\nosupersub{}","plainCitation":"49","noteIndex":0},"citationItems":[{"id":256,"uris":["http://zotero.org/users/8284751/items/FIJMS6Q2"],"itemData":{"id":256,"type":"article-journal","language":"en","page":"4","source":"Zotero","title":"Very low temperature membrane-free desalination by directional solvent extraction","author":[{"family":"Bajpayee","given":"Anurag"},{"family":"Luo","given":"Tengfei"},{"family":"Muto","given":"Andrew"},{"family":"Chen","given":"Gang"}],"issued":{"date-parts":[["2011"]]}}}],"schema":"https://github.com/citation-style-language/schema/raw/master/csl-citation.json"} </w:instrText>
      </w:r>
      <w:r w:rsidR="00663E9A"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49</w:t>
      </w:r>
      <w:r w:rsidR="00663E9A" w:rsidRPr="00AD04DA">
        <w:rPr>
          <w:rFonts w:ascii="Times New Roman" w:hAnsi="Times New Roman" w:cs="Times New Roman"/>
          <w:sz w:val="24"/>
          <w:szCs w:val="24"/>
        </w:rPr>
        <w:fldChar w:fldCharType="end"/>
      </w:r>
      <w:r w:rsidR="00663E9A" w:rsidRPr="00AD04DA">
        <w:rPr>
          <w:rFonts w:ascii="Times New Roman" w:hAnsi="Times New Roman" w:cs="Times New Roman"/>
          <w:sz w:val="24"/>
          <w:szCs w:val="24"/>
        </w:rPr>
        <w:t xml:space="preserve">. The omission of </w:t>
      </w:r>
      <w:r w:rsidR="00663E9A" w:rsidRPr="00AD04DA">
        <w:rPr>
          <w:rFonts w:ascii="Times New Roman" w:hAnsi="Times New Roman" w:cs="Times New Roman"/>
          <w:sz w:val="24"/>
          <w:szCs w:val="24"/>
        </w:rPr>
        <w:lastRenderedPageBreak/>
        <w:t>downstream solvent regeneration reduce</w:t>
      </w:r>
      <w:r w:rsidR="00C13284" w:rsidRPr="00AD04DA">
        <w:rPr>
          <w:rFonts w:ascii="Times New Roman" w:hAnsi="Times New Roman" w:cs="Times New Roman"/>
          <w:sz w:val="24"/>
          <w:szCs w:val="24"/>
        </w:rPr>
        <w:t>s</w:t>
      </w:r>
      <w:r w:rsidR="00663E9A" w:rsidRPr="00AD04DA">
        <w:rPr>
          <w:rFonts w:ascii="Times New Roman" w:hAnsi="Times New Roman" w:cs="Times New Roman"/>
          <w:sz w:val="24"/>
          <w:szCs w:val="24"/>
        </w:rPr>
        <w:t xml:space="preserve"> the process complexity and eliminate</w:t>
      </w:r>
      <w:r w:rsidR="00C13284" w:rsidRPr="00AD04DA">
        <w:rPr>
          <w:rFonts w:ascii="Times New Roman" w:hAnsi="Times New Roman" w:cs="Times New Roman"/>
          <w:sz w:val="24"/>
          <w:szCs w:val="24"/>
        </w:rPr>
        <w:t>s</w:t>
      </w:r>
      <w:r w:rsidR="00663E9A" w:rsidRPr="00AD04DA">
        <w:rPr>
          <w:rFonts w:ascii="Times New Roman" w:hAnsi="Times New Roman" w:cs="Times New Roman"/>
          <w:sz w:val="24"/>
          <w:szCs w:val="24"/>
        </w:rPr>
        <w:t xml:space="preserve"> the associated capital and operating expenses</w:t>
      </w:r>
      <w:r w:rsidR="00317E70" w:rsidRPr="00AD04DA">
        <w:rPr>
          <w:rFonts w:ascii="Times New Roman" w:hAnsi="Times New Roman" w:cs="Times New Roman"/>
          <w:sz w:val="24"/>
          <w:szCs w:val="24"/>
        </w:rPr>
        <w:t>.</w:t>
      </w:r>
      <w:r w:rsidR="00CF019B" w:rsidRPr="00AD04DA">
        <w:rPr>
          <w:rFonts w:ascii="Times New Roman" w:hAnsi="Times New Roman" w:cs="Times New Roman"/>
          <w:sz w:val="24"/>
          <w:szCs w:val="24"/>
        </w:rPr>
        <w:t xml:space="preserve"> This also minimizes solvent losses</w:t>
      </w:r>
      <w:r w:rsidR="00C8153B" w:rsidRPr="00AD04DA">
        <w:rPr>
          <w:rFonts w:ascii="Times New Roman" w:hAnsi="Times New Roman" w:cs="Times New Roman"/>
          <w:sz w:val="24"/>
          <w:szCs w:val="24"/>
        </w:rPr>
        <w:t xml:space="preserve"> and the corresponding organic waste</w:t>
      </w:r>
      <w:r w:rsidR="004C7A28" w:rsidRPr="00AD04DA">
        <w:rPr>
          <w:rFonts w:ascii="Times New Roman" w:hAnsi="Times New Roman" w:cs="Times New Roman"/>
          <w:sz w:val="24"/>
          <w:szCs w:val="24"/>
        </w:rPr>
        <w:t>.</w:t>
      </w:r>
    </w:p>
    <w:p w14:paraId="08C322E5" w14:textId="1096BAED" w:rsidR="00D55A95" w:rsidRPr="00AD04DA" w:rsidRDefault="0044654B" w:rsidP="0020255F">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Another common drawback to solvent extraction is the environmental and toxicological impacts of the solvents</w:t>
      </w:r>
      <w:r w:rsidR="006B2F35"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{"citationID":"VEQwbPaq","properties":{"formattedCitation":"\\super 63,64\\nosupersub{}","plainCitation":"63,64","noteIndex":0},"citationItems":[{"id":812,"uris":["http://zotero.org/users/8284751/items/35WEPLJV"],"itemData":{"id":812,"type":"article-journal","container-title":"Journal of Chromatography A","DOI":"10.1016/j.chroma.2017.04.012","ISSN":"00219673","journalAbbreviation":"Journal of Chromatography A","language":"en","page":"1-23","source":"DOI.org (Crossref)","title":"Non-conventional solvents in liquid phase microextraction and aqueous biphasic systems","volume":"1500","author":[{"family":"An","given":"Jiwoo"},{"family":"Trujillo-Rodríguez","given":"María J."},{"family":"Pino","given":"Verónica"},{"family":"Anderson","given":"Jared L."}],"issued":{"date-parts":[["2017",6]]}}},{"id":813,"uris":["http://zotero.org/users/8284751/items/K27GQZ4B"],"itemData":{"id":813,"type":"article-journal","container-title":"TrAC Trends in Analytical Chemistry","DOI":"10.1016/j.trac.2010.02.016","ISSN":"01659936","issue":"7","journalAbbreviation":"TrAC Trends in Analytical Chemistry","language":"en","page":"617-628","source":"DOI.org (Crossref)","title":"Liquid-phase microextraction techniques within the framework of green chemistry","volume":"29","author":[{"family":"Pena-Pereira","given":"Francisco"},{"family":"Lavilla","given":"Isela"},{"family":"Bendicho","given":"Carlos"}],"issued":{"date-parts":[["2010",7]]}}}],"schema":"https://github.com/citation-style-language/schema/raw/master/csl-citation.json"} </w:instrText>
      </w:r>
      <w:r w:rsidR="006B2F35"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63,64</w:t>
      </w:r>
      <w:r w:rsidR="006B2F35" w:rsidRPr="00AD04DA">
        <w:rPr>
          <w:rFonts w:ascii="Times New Roman" w:hAnsi="Times New Roman" w:cs="Times New Roman"/>
          <w:sz w:val="24"/>
          <w:szCs w:val="24"/>
        </w:rPr>
        <w:fldChar w:fldCharType="end"/>
      </w:r>
      <w:r w:rsidRPr="00AD04DA">
        <w:rPr>
          <w:rFonts w:ascii="Times New Roman" w:hAnsi="Times New Roman" w:cs="Times New Roman"/>
          <w:sz w:val="24"/>
          <w:szCs w:val="24"/>
        </w:rPr>
        <w:t>.</w:t>
      </w:r>
      <w:r w:rsidR="00D07A02" w:rsidRPr="00AD04DA">
        <w:rPr>
          <w:rFonts w:ascii="Times New Roman" w:hAnsi="Times New Roman" w:cs="Times New Roman"/>
          <w:sz w:val="24"/>
          <w:szCs w:val="24"/>
        </w:rPr>
        <w:t xml:space="preserve"> </w:t>
      </w:r>
      <w:r w:rsidR="00B357AB" w:rsidRPr="00AD04DA">
        <w:rPr>
          <w:rFonts w:ascii="Times New Roman" w:hAnsi="Times New Roman" w:cs="Times New Roman"/>
          <w:sz w:val="24"/>
          <w:szCs w:val="24"/>
        </w:rPr>
        <w:t>In order to adhere to the principles of green chemistry</w:t>
      </w:r>
      <w:r w:rsidR="00B357AB"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{"citationID":"bTwUmYbV","properties":{"formattedCitation":"\\super 65\\nosupersub{}","plainCitation":"65","noteIndex":0},"citationItems":[{"id":815,"uris":["http://zotero.org/users/8284751/items/VFSPWHXW"],"itemData":{"id":815,"type":"article-journal","abstract":"The global impact of green chemistry and sustainability and the pivotal role of the\n              E\n              factor concept, over the last twenty five years, is reviewed.\n            \n          , \n            \n              The global impact, over the last 25 years, of the principles of green chemistry and sustainability, and the pivotal role of the\n              E\n              factor concept in driving resource efficiency and waste minimisation, in the chemical and allied industries, is reviewed. Following an introduction to the origins of green chemistry and the\n              E\n              factor concept, the various metrics for measuring greenness are discussed. It is emphasised that mass-based metrics such as atom economy,\n              E\n              factors and process mass intensity (PMI) need to be supplemented by metrics, in particular life cycle assessment, which measure the environmental impact of waste and, in order to assess sustainability, by metrics which measure economic viability. The role of catalysis in waste minimisation is discussed and illustrated with examples of green catalytic processes such as aerobic oxidations of alcohols, catalytic C–C bond formation and olefin metathesis. Solvent losses are a major source of waste in the pharmaceutical and fine chemical industries and solvent reduction and replacement strategies, including the possible use of neoteric solvents, such as ionic liquids and deep eutectic solvents, are reviewed. Biocatalysis has many benefits in the context of green and sustainable chemistry and this is illustrated with recent examples in the synthesis of active pharmaceutical ingredients. The importance of the transition from an unsustainable economy based on fossil resources to a sustainable bio-based economy is delineated, as part of the overarching transition from an unsustainable linear economy to a truly green and sustainable circular economy based on resource efficiency and waste minimisation by design.","container-title":"Green Chemistry","DOI":"10.1039/C6GC02157C","ISSN":"1463-9262, 1463-9270","issue":"1","journalAbbreviation":"Green Chem.","language":"en","page":"18-43","source":"DOI.org (Crossref)","title":"The E factor 25 years on: the rise of green chemistry and sustainability","title-short":"The E factor 25 years on","volume":"19","author":[{"family":"Sheldon","given":"Roger A."}],"issued":{"date-parts":[["2017"]]}}}],"schema":"https://github.com/citation-style-language/schema/raw/master/csl-citation.json"} </w:instrText>
      </w:r>
      <w:r w:rsidR="00B357AB"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65</w:t>
      </w:r>
      <w:r w:rsidR="00B357AB" w:rsidRPr="00AD04DA">
        <w:rPr>
          <w:rFonts w:ascii="Times New Roman" w:hAnsi="Times New Roman" w:cs="Times New Roman"/>
          <w:sz w:val="24"/>
          <w:szCs w:val="24"/>
        </w:rPr>
        <w:fldChar w:fldCharType="end"/>
      </w:r>
      <w:r w:rsidR="00B357AB" w:rsidRPr="00AD04DA">
        <w:rPr>
          <w:rFonts w:ascii="Times New Roman" w:hAnsi="Times New Roman" w:cs="Times New Roman"/>
          <w:sz w:val="24"/>
          <w:szCs w:val="24"/>
        </w:rPr>
        <w:t>, solvent extraction process development has emphasized the development of ionic liquids applied to solvent extraction processes</w:t>
      </w:r>
      <w:r w:rsidR="00B357AB"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{"citationID":"4hdbtE03","properties":{"formattedCitation":"\\super 66\\uc0\\u8211{}70\\nosupersub{}","plainCitation":"66–70","noteIndex":0},"citationItems":[{"id":825,"uris":["http://zotero.org/users/8284751/items/TTP35EKL"],"itemData":{"id":825,"type":"article-journal","container-title":"Chemical Reviews","DOI":"10.1021/acs.chemrev.7b00246","ISSN":"0009-2665, 1520-6890","issue":"10","journalAbbreviation":"Chem. Rev.","language":"en","page":"6633-6635","source":"DOI.org (Crossref)","title":"Introduction: Ionic Liquids","title-short":"Introduction","volume":"117","author":[{"family":"Lei","given":"Zhigang"},{"family":"Chen","given":"Biaohua"},{"family":"Koo","given":"Yoon-Mo"},{"family":"MacFarlane","given":"Douglas R."}],"issued":{"date-parts":[["2017",5,24]]}}},{"id":823,"uris":["http://zotero.org/users/8284751/items/XM2WEID3"],"itemData":{"id":823,"type":"article-journal","abstract":"Ionic liquids (ILs) have been proposed as promising media for the extraction and separation of bioactive compounds from the most diverse origins. This critical review oﬀers a compilation on the main results achieved by the use of ionicliquid-based processes in the extraction and separation/puriﬁcation of a large range of bioactive compounds (including small organic extractable compounds from biomass, lipids, and other hydrophobic compounds, proteins, amino acids, nucleic acids, and pharmaceuticals). ILs have been studied as solvents, cosolvents, cosurfactants, electrolytes, and adjuvants, as well as used in the creation of IL-supported materials for separation purposes. The IL-based processes hitherto reported, such as IL-based solid−liquid extractions, IL-based liquid−liquid extractions, IL-modiﬁed materials, and IL-based crystallization approaches, are here reviewed and compared in terms of extraction and separation performance. The key accomplishments and future challenges to the ﬁeld are discussed, with particular emphasis on the major lacunas found within the IL community dedicated to separation processes and by suggesting some steps to overcome the current limitations.","container-title":"Chemical Reviews","DOI":"10.1021/acs.chemrev.6b00550","ISSN":"0009-2665, 1520-6890","issue":"10","journalAbbreviation":"Chem. Rev.","language":"en","page":"6984-7052","source":"DOI.org (Crossref)","title":"Ionic-Liquid-Mediated Extraction and Separation Processes for Bioactive Compounds: Past, Present, and Future Trends","title-short":"Ionic-Liquid-Mediated Extraction and Separation Processes for Bioactive Compounds","volume":"117","author":[{"family":"Ventura","given":"Sónia P. M."},{"family":"Silva","given":"Francisca A.","non-dropping-particle":"e"},{"family":"Quental","given":"Maria V."},{"family":"Mondal","given":"Dibyendu"},{"family":"Freire","given":"Mara G."},{"family":"Coutinho","given":"João A. P."}],"issued":{"date-parts":[["2017",5,24]]}}},{"id":821,"uris":["http://zotero.org/users/8284751/items/ZYTIW4TH"],"itemData":{"id":821,"type":"article-journal","container-title":"Chemical Reviews","DOI":"10.1021/cr300497a","ISSN":"0009-2665, 1520-6890","issue":"2","journalAbbreviation":"Chem. Rev.","language":"en","page":"1289-1326","source":"DOI.org (Crossref)","title":"Gas Solubility in Ionic Liquids","volume":"114","author":[{"family":"Lei","given":"Zhigang"},{"family":"Dai","given":"Chengna"},{"family":"Chen","given":"Biaohua"}],"issued":{"date-parts":[["2014",1,22]]}}},{"id":822,"uris":["http://zotero.org/users/8284751/items/84FX4ZXK"],"itemData":{"id":822,"type":"article-journal","container-title":"Chemical Reviews","DOI":"10.1021/cr1003248","ISSN":"0009-2665, 1520-6890","issue":"5","journalAbbreviation":"Chem. Rev.","language":"en","page":"3508-3576","source":"DOI.org (Crossref)","title":"Room-Temperature Ionic Liquids: Solvents for Synthesis and Catalysis. 2","title-short":"Room-Temperature Ionic Liquids","volume":"111","author":[{"family":"Hallett","given":"Jason P."},{"family":"Welton","given":"Tom"}],"issued":{"date-parts":[["2011",5,11]]}}},{"id":824,"uris":["http://zotero.org/users/8284751/items/2CAU8K8V"],"itemData":{"id":824,"type":"article-journal","container-title":"ChemSusChem","DOI":"10.1002/cssc.201600987","ISSN":"18645631","issue":"2","journalAbbreviation":"ChemSusChem","language":"en","page":"324-352","source":"DOI.org (Crossref)","title":"Carbon Dioxide Capture with Ionic Liquids and Deep Eutectic Solvents: A New Generation of Sorbents","title-short":"Carbon Dioxide Capture with Ionic Liquids and Deep Eutectic Solvents","volume":"10","author":[{"family":"Sarmad","given":"Shokat"},{"family":"Mikkola","given":"Jyri-Pekka"},{"family":"Ji","given":"Xiaoyan"}],"issued":{"date-parts":[["2017",1,20]]}}}],"schema":"https://github.com/citation-style-language/schema/raw/master/csl-citation.json"} </w:instrText>
      </w:r>
      <w:r w:rsidR="00B357AB"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66–70</w:t>
      </w:r>
      <w:r w:rsidR="00B357AB" w:rsidRPr="00AD04DA">
        <w:rPr>
          <w:rFonts w:ascii="Times New Roman" w:hAnsi="Times New Roman" w:cs="Times New Roman"/>
          <w:sz w:val="24"/>
          <w:szCs w:val="24"/>
        </w:rPr>
        <w:fldChar w:fldCharType="end"/>
      </w:r>
      <w:r w:rsidR="00B357AB" w:rsidRPr="00AD04DA">
        <w:rPr>
          <w:rFonts w:ascii="Times New Roman" w:hAnsi="Times New Roman" w:cs="Times New Roman"/>
          <w:sz w:val="24"/>
          <w:szCs w:val="24"/>
        </w:rPr>
        <w:t>.</w:t>
      </w:r>
      <w:r w:rsidR="00271631" w:rsidRPr="00AD04DA">
        <w:rPr>
          <w:rFonts w:ascii="Times New Roman" w:hAnsi="Times New Roman" w:cs="Times New Roman"/>
          <w:sz w:val="24"/>
          <w:szCs w:val="24"/>
        </w:rPr>
        <w:t xml:space="preserve"> Ionic liquids are </w:t>
      </w:r>
      <w:r w:rsidR="00CE75B7" w:rsidRPr="00AD04DA">
        <w:rPr>
          <w:rFonts w:ascii="Times New Roman" w:hAnsi="Times New Roman" w:cs="Times New Roman"/>
          <w:sz w:val="24"/>
          <w:szCs w:val="24"/>
        </w:rPr>
        <w:t>compounds composed of ions but with a melting point below 100 °C</w:t>
      </w:r>
      <w:r w:rsidR="00755C17" w:rsidRPr="00AD04DA">
        <w:rPr>
          <w:rFonts w:ascii="Times New Roman" w:hAnsi="Times New Roman" w:cs="Times New Roman"/>
          <w:sz w:val="24"/>
          <w:szCs w:val="24"/>
        </w:rPr>
        <w:t>. They have low volatilities</w:t>
      </w:r>
      <w:r w:rsidR="00A37CD3" w:rsidRPr="00AD04DA">
        <w:rPr>
          <w:rFonts w:ascii="Times New Roman" w:hAnsi="Times New Roman" w:cs="Times New Roman"/>
          <w:sz w:val="24"/>
          <w:szCs w:val="24"/>
        </w:rPr>
        <w:t xml:space="preserve"> and are often solid at ambient temperatures, minimizing emissions and secondary pollution concerns</w:t>
      </w:r>
      <w:r w:rsidR="00AB0839" w:rsidRPr="00AD04DA">
        <w:rPr>
          <w:rFonts w:ascii="Times New Roman" w:hAnsi="Times New Roman" w:cs="Times New Roman"/>
          <w:sz w:val="24"/>
          <w:szCs w:val="24"/>
        </w:rPr>
        <w:t>.</w:t>
      </w:r>
      <w:r w:rsidR="00755C17" w:rsidRPr="00AD04DA">
        <w:rPr>
          <w:rFonts w:ascii="Times New Roman" w:hAnsi="Times New Roman" w:cs="Times New Roman"/>
          <w:sz w:val="24"/>
          <w:szCs w:val="24"/>
        </w:rPr>
        <w:t xml:space="preserve"> </w:t>
      </w:r>
      <w:r w:rsidR="00AB0839" w:rsidRPr="00AD04DA">
        <w:rPr>
          <w:rFonts w:ascii="Times New Roman" w:hAnsi="Times New Roman" w:cs="Times New Roman"/>
          <w:sz w:val="24"/>
          <w:szCs w:val="24"/>
        </w:rPr>
        <w:t>Ionic liquids</w:t>
      </w:r>
      <w:r w:rsidR="00755C17" w:rsidRPr="00AD04DA">
        <w:rPr>
          <w:rFonts w:ascii="Times New Roman" w:hAnsi="Times New Roman" w:cs="Times New Roman"/>
          <w:sz w:val="24"/>
          <w:szCs w:val="24"/>
        </w:rPr>
        <w:t xml:space="preserve"> can be developed to task-specific applications, making them a promising and green alternative to traditional solvents</w:t>
      </w:r>
      <w:r w:rsidR="00CE75B7"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{"citationID":"ngbFKNeT","properties":{"formattedCitation":"\\super 66,67\\nosupersub{}","plainCitation":"66,67","noteIndex":0},"citationItems":[{"id":825,"uris":["http://zotero.org/users/8284751/items/TTP35EKL"],"itemData":{"id":825,"type":"article-journal","container-title":"Chemical Reviews","DOI":"10.1021/acs.chemrev.7b00246","ISSN":"0009-2665, 1520-6890","issue":"10","journalAbbreviation":"Chem. Rev.","language":"en","page":"6633-6635","source":"DOI.org (Crossref)","title":"Introduction: Ionic Liquids","title-short":"Introduction","volume":"117","author":[{"family":"Lei","given":"Zhigang"},{"family":"Chen","given":"Biaohua"},{"family":"Koo","given":"Yoon-Mo"},{"family":"MacFarlane","given":"Douglas R."}],"issued":{"date-parts":[["2017",5,24]]}}},{"id":823,"uris":["http://zotero.org/users/8284751/items/XM2WEID3"],"itemData":{"id":823,"type":"article-journal","abstract":"Ionic liquids (ILs) have been proposed as promising media for the extraction and separation of bioactive compounds from the most diverse origins. This critical review oﬀers a compilation on the main results achieved by the use of ionicliquid-based processes in the extraction and separation/puriﬁcation of a large range of bioactive compounds (including small organic extractable compounds from biomass, lipids, and other hydrophobic compounds, proteins, amino acids, nucleic acids, and pharmaceuticals). ILs have been studied as solvents, cosolvents, cosurfactants, electrolytes, and adjuvants, as well as used in the creation of IL-supported materials for separation purposes. The IL-based processes hitherto reported, such as IL-based solid−liquid extractions, IL-based liquid−liquid extractions, IL-modiﬁed materials, and IL-based crystallization approaches, are here reviewed and compared in terms of extraction and separation performance. The key accomplishments and future challenges to the ﬁeld are discussed, with particular emphasis on the major lacunas found within the IL community dedicated to separation processes and by suggesting some steps to overcome the current limitations.","container-title":"Chemical Reviews","DOI":"10.1021/acs.chemrev.6b00550","ISSN":"0009-2665, 1520-6890","issue":"10","journalAbbreviation":"Chem. Rev.","language":"en","page":"6984-7052","source":"DOI.org (Crossref)","title":"Ionic-Liquid-Mediated Extraction and Separation Processes for Bioactive Compounds: Past, Present, and Future Trends","title-short":"Ionic-Liquid-Mediated Extraction and Separation Processes for Bioactive Compounds","volume":"117","author":[{"family":"Ventura","given":"Sónia P. M."},{"family":"Silva","given":"Francisca A.","non-dropping-particle":"e"},{"family":"Quental","given":"Maria V."},{"family":"Mondal","given":"Dibyendu"},{"family":"Freire","given":"Mara G."},{"family":"Coutinho","given":"João A. P."}],"issued":{"date-parts":[["2017",5,24]]}}}],"schema":"https://github.com/citation-style-language/schema/raw/master/csl-citation.json"} </w:instrText>
      </w:r>
      <w:r w:rsidR="00CE75B7"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66,67</w:t>
      </w:r>
      <w:r w:rsidR="00CE75B7" w:rsidRPr="00AD04DA">
        <w:rPr>
          <w:rFonts w:ascii="Times New Roman" w:hAnsi="Times New Roman" w:cs="Times New Roman"/>
          <w:sz w:val="24"/>
          <w:szCs w:val="24"/>
        </w:rPr>
        <w:fldChar w:fldCharType="end"/>
      </w:r>
      <w:r w:rsidR="00CE75B7" w:rsidRPr="00AD04DA">
        <w:rPr>
          <w:rFonts w:ascii="Times New Roman" w:hAnsi="Times New Roman" w:cs="Times New Roman"/>
          <w:sz w:val="24"/>
          <w:szCs w:val="24"/>
        </w:rPr>
        <w:t>.</w:t>
      </w:r>
      <w:r w:rsidR="00755C17" w:rsidRPr="00AD04DA">
        <w:rPr>
          <w:rFonts w:ascii="Times New Roman" w:hAnsi="Times New Roman" w:cs="Times New Roman"/>
          <w:sz w:val="24"/>
          <w:szCs w:val="24"/>
        </w:rPr>
        <w:t xml:space="preserve"> </w:t>
      </w:r>
      <w:r w:rsidR="0015662D" w:rsidRPr="00AD04DA">
        <w:rPr>
          <w:rFonts w:ascii="Times New Roman" w:hAnsi="Times New Roman" w:cs="Times New Roman"/>
          <w:sz w:val="24"/>
          <w:szCs w:val="24"/>
        </w:rPr>
        <w:t xml:space="preserve">Guo </w:t>
      </w:r>
      <w:r w:rsidR="0015662D" w:rsidRPr="00AD04DA">
        <w:rPr>
          <w:rFonts w:ascii="Times New Roman" w:hAnsi="Times New Roman" w:cs="Times New Roman"/>
          <w:i/>
          <w:iCs/>
          <w:sz w:val="24"/>
          <w:szCs w:val="24"/>
        </w:rPr>
        <w:t xml:space="preserve">et al </w:t>
      </w:r>
      <w:r w:rsidR="0015662D" w:rsidRPr="00AD04DA">
        <w:rPr>
          <w:rFonts w:ascii="Times New Roman" w:hAnsi="Times New Roman" w:cs="Times New Roman"/>
          <w:sz w:val="24"/>
          <w:szCs w:val="24"/>
        </w:rPr>
        <w:t xml:space="preserve">performed feasibility studies for ionic liquids in TSSE with molecular dynamics simulations and found that </w:t>
      </w:r>
      <w:r w:rsidR="00E86227" w:rsidRPr="00AD04DA">
        <w:rPr>
          <w:rFonts w:ascii="Times New Roman" w:hAnsi="Times New Roman" w:cs="Times New Roman"/>
          <w:sz w:val="24"/>
          <w:szCs w:val="24"/>
        </w:rPr>
        <w:t xml:space="preserve">1-ethyl-3-methylimidazolium with an amide anion </w:t>
      </w:r>
      <w:r w:rsidR="001042C7" w:rsidRPr="00AD04DA">
        <w:rPr>
          <w:rFonts w:ascii="Times New Roman" w:hAnsi="Times New Roman" w:cs="Times New Roman"/>
          <w:sz w:val="24"/>
          <w:szCs w:val="24"/>
        </w:rPr>
        <w:t>(</w:t>
      </w:r>
      <w:r w:rsidR="00E86227" w:rsidRPr="00AD04DA">
        <w:rPr>
          <w:rFonts w:ascii="Times New Roman" w:hAnsi="Times New Roman" w:cs="Times New Roman"/>
          <w:sz w:val="24"/>
          <w:szCs w:val="24"/>
        </w:rPr>
        <w:t>[</w:t>
      </w:r>
      <w:proofErr w:type="spellStart"/>
      <w:r w:rsidR="00E86227" w:rsidRPr="00AD04DA">
        <w:rPr>
          <w:rFonts w:ascii="Times New Roman" w:hAnsi="Times New Roman" w:cs="Times New Roman"/>
          <w:sz w:val="24"/>
          <w:szCs w:val="24"/>
        </w:rPr>
        <w:t>emim</w:t>
      </w:r>
      <w:proofErr w:type="spellEnd"/>
      <w:r w:rsidR="00E86227" w:rsidRPr="00AD04DA">
        <w:rPr>
          <w:rFonts w:ascii="Times New Roman" w:hAnsi="Times New Roman" w:cs="Times New Roman"/>
          <w:sz w:val="24"/>
          <w:szCs w:val="24"/>
        </w:rPr>
        <w:t>][Tf</w:t>
      </w:r>
      <w:r w:rsidR="00E86227" w:rsidRPr="00AD04DA">
        <w:rPr>
          <w:rFonts w:ascii="Times New Roman" w:hAnsi="Times New Roman" w:cs="Times New Roman"/>
          <w:sz w:val="24"/>
          <w:szCs w:val="24"/>
          <w:vertAlign w:val="subscript"/>
        </w:rPr>
        <w:t>2</w:t>
      </w:r>
      <w:r w:rsidR="00E86227" w:rsidRPr="00AD04DA">
        <w:rPr>
          <w:rFonts w:ascii="Times New Roman" w:hAnsi="Times New Roman" w:cs="Times New Roman"/>
          <w:sz w:val="24"/>
          <w:szCs w:val="24"/>
        </w:rPr>
        <w:t>N]</w:t>
      </w:r>
      <w:r w:rsidR="001042C7" w:rsidRPr="00AD04DA">
        <w:rPr>
          <w:rFonts w:ascii="Times New Roman" w:hAnsi="Times New Roman" w:cs="Times New Roman"/>
          <w:sz w:val="24"/>
          <w:szCs w:val="24"/>
        </w:rPr>
        <w:t>)</w:t>
      </w:r>
      <w:r w:rsidR="00E86227" w:rsidRPr="00AD04DA">
        <w:rPr>
          <w:rFonts w:ascii="Times New Roman" w:hAnsi="Times New Roman" w:cs="Times New Roman"/>
          <w:sz w:val="24"/>
          <w:szCs w:val="24"/>
        </w:rPr>
        <w:t xml:space="preserve"> was suitable for TSSE, giving a</w:t>
      </w:r>
      <w:r w:rsidR="00C00451" w:rsidRPr="00AD04DA">
        <w:rPr>
          <w:rFonts w:ascii="Times New Roman" w:hAnsi="Times New Roman" w:cs="Times New Roman"/>
          <w:sz w:val="24"/>
          <w:szCs w:val="24"/>
        </w:rPr>
        <w:t>n</w:t>
      </w:r>
      <w:r w:rsidR="00685336" w:rsidRPr="00AD04DA">
        <w:rPr>
          <w:rFonts w:ascii="Times New Roman" w:hAnsi="Times New Roman" w:cs="Times New Roman"/>
          <w:sz w:val="24"/>
          <w:szCs w:val="24"/>
        </w:rPr>
        <w:t xml:space="preserve"> NaCl rejection of 97.5 ± 0.8%</w:t>
      </w:r>
      <w:r w:rsidR="00E86227"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{"citationID":"oF6o3Gyg","properties":{"formattedCitation":"\\super 71\\nosupersub{}","plainCitation":"71","noteIndex":0},"citationItems":[{"id":781,"uris":["http://zotero.org/users/8284751/items/6VNQU3MR"],"itemData":{"id":781,"type":"article-journal","abstract":"Abstract\n            \n              Seawater desalination plays a critical role in addressing the global water shortage challenge. Directional Solvent Extraction (DSE) is an emerging non-membrane desalination technology that features the ability to utilize very low temperature waste heat (as low as 40 °C). This is enabled by the subtly balanced solubility properties of directional solvents, which do not dissolve in water but can dissolve water and reject salt ions. However, the low water yield of the state-of-the-art directional solvent (decanoic acid) significantly limits its throughput and energy efficiency. In this paper, we demonstrate that by using ionic liquid as a new directional solvent, saline water can be desalinated with much higher production rate and thus significantly lower the energy and exergy consumptions. The ionic liquid identified suitable for DSE is [emim][Tf\n              2\n              N], which has a much (~10×) higher water yield than the currently used decanoic acid. Using molecular dynamics simulations with Gibbs free energy calculations, we reveal that water dissolving in [emim][Tf\n              2\n              N] is energetically favorable, but it takes significant energy for [emim][Tf\n              2\n              N] ions to dissolve in water. Our findings may significantly advance the DSE technology as a solution to the challenges in the global water-energy nexus.","container-title":"Nature Communications","DOI":"10.1038/s41467-020-20706-y","ISSN":"2041-1723","issue":"1","journalAbbreviation":"Nat Commun","language":"en","page":"437","source":"DOI.org (Crossref)","title":"Ionic liquid enables highly efficient low temperature desalination by directional solvent extraction","volume":"12","author":[{"family":"Guo","given":"Jiaji"},{"family":"Tucker","given":"Zachary D."},{"family":"Wang","given":"Yu"},{"family":"Ashfeld","given":"Brandon L."},{"family":"Luo","given":"Tengfei"}],"issued":{"date-parts":[["2021",12]]}}}],"schema":"https://github.com/citation-style-language/schema/raw/master/csl-citation.json"} </w:instrText>
      </w:r>
      <w:r w:rsidR="00E86227"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71</w:t>
      </w:r>
      <w:r w:rsidR="00E86227" w:rsidRPr="00AD04DA">
        <w:rPr>
          <w:rFonts w:ascii="Times New Roman" w:hAnsi="Times New Roman" w:cs="Times New Roman"/>
          <w:sz w:val="24"/>
          <w:szCs w:val="24"/>
        </w:rPr>
        <w:fldChar w:fldCharType="end"/>
      </w:r>
      <w:r w:rsidR="00E86227" w:rsidRPr="00AD04DA">
        <w:rPr>
          <w:rFonts w:ascii="Times New Roman" w:hAnsi="Times New Roman" w:cs="Times New Roman"/>
          <w:sz w:val="24"/>
          <w:szCs w:val="24"/>
        </w:rPr>
        <w:t>.</w:t>
      </w:r>
      <w:r w:rsidR="00E702B0" w:rsidRPr="00AD04DA">
        <w:rPr>
          <w:rFonts w:ascii="Times New Roman" w:hAnsi="Times New Roman" w:cs="Times New Roman"/>
          <w:sz w:val="24"/>
          <w:szCs w:val="24"/>
        </w:rPr>
        <w:t xml:space="preserve"> Implementing ionic liquids for TSSE mitigates the volatile organic emission and toxic </w:t>
      </w:r>
      <w:r w:rsidR="00620EEF" w:rsidRPr="00AD04DA">
        <w:rPr>
          <w:rFonts w:ascii="Times New Roman" w:hAnsi="Times New Roman" w:cs="Times New Roman"/>
          <w:sz w:val="24"/>
          <w:szCs w:val="24"/>
        </w:rPr>
        <w:t xml:space="preserve">liquid </w:t>
      </w:r>
      <w:r w:rsidR="00E702B0" w:rsidRPr="00AD04DA">
        <w:rPr>
          <w:rFonts w:ascii="Times New Roman" w:hAnsi="Times New Roman" w:cs="Times New Roman"/>
          <w:sz w:val="24"/>
          <w:szCs w:val="24"/>
        </w:rPr>
        <w:t>waste concerns of other solvent extraction processes and would minimize the environmental impacts of TSSE.</w:t>
      </w:r>
    </w:p>
    <w:p w14:paraId="21792CC5" w14:textId="3423859C" w:rsidR="00460E0E" w:rsidRPr="00AD04DA" w:rsidRDefault="00D108FF" w:rsidP="0020255F">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A zero liquid discharge (ZLD) process is on</w:t>
      </w:r>
      <w:r w:rsidR="00730827" w:rsidRPr="00AD04DA">
        <w:rPr>
          <w:rFonts w:ascii="Times New Roman" w:hAnsi="Times New Roman" w:cs="Times New Roman"/>
          <w:sz w:val="24"/>
          <w:szCs w:val="24"/>
        </w:rPr>
        <w:t>e</w:t>
      </w:r>
      <w:r w:rsidRPr="00AD04DA">
        <w:rPr>
          <w:rFonts w:ascii="Times New Roman" w:hAnsi="Times New Roman" w:cs="Times New Roman"/>
          <w:sz w:val="24"/>
          <w:szCs w:val="24"/>
        </w:rPr>
        <w:t xml:space="preserve"> that achieves no liquid waste</w:t>
      </w:r>
      <w:r w:rsidR="003E6DC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{"citationID":"vbVx1Jff","properties":{"formattedCitation":"\\super 72\\nosupersub{}","plainCitation":"72","noteIndex":0},"citationItems":[{"id":803,"uris":["http://zotero.org/users/8284751/items/GDVPDJ4M"],"itemData":{"id":803,"type":"article-journal","abstract":"Zero liquid discharge (ZLD)</w:instrText>
      </w:r>
      <w:r w:rsidR="00AE4CC3">
        <w:rPr>
          <w:rFonts w:ascii="Times New Roman" w:hAnsi="Times New Roman" w:cs="Times New Roman" w:hint="eastAsia"/>
          <w:sz w:val="24"/>
          <w:szCs w:val="24"/>
        </w:rPr>
        <w:instrText></w:instrText>
      </w:r>
      <w:r w:rsidR="00AE4CC3">
        <w:rPr>
          <w:rFonts w:ascii="Times New Roman" w:hAnsi="Times New Roman" w:cs="Times New Roman"/>
          <w:sz w:val="24"/>
          <w:szCs w:val="24"/>
        </w:rPr>
        <w:instrText xml:space="preserve">a wastewater management strategy that eliminates liquid waste and maximizes water usage eﬃciency </w:instrText>
      </w:r>
      <w:r w:rsidR="00AE4CC3">
        <w:rPr>
          <w:rFonts w:ascii="Times New Roman" w:hAnsi="Times New Roman" w:cs="Times New Roman" w:hint="eastAsia"/>
          <w:sz w:val="24"/>
          <w:szCs w:val="24"/>
        </w:rPr>
        <w:instrText></w:instrText>
      </w:r>
      <w:r w:rsidR="00AE4CC3">
        <w:rPr>
          <w:rFonts w:ascii="Times New Roman" w:hAnsi="Times New Roman" w:cs="Times New Roman"/>
          <w:sz w:val="24"/>
          <w:szCs w:val="24"/>
        </w:rPr>
        <w:instrText xml:space="preserve"> has attracted renewed interest worldwide in recent years. Although implementation of ZLD reduces water pollution and augments water supply, the technology is constrained by high cost and intensive energy consumption. In this critical review, we discuss the drivers, incentives, technologies, and environmental impacts of ZLD. Within this framework, the global applications of ZLD in the United States and emerging economies such as China and India are examined. We highlight the evolution of ZLD from thermal- to membrane-based processes, and analyze the advantages and limitations of existing and emerging ZLD technologies. The potential environmental impacts of ZLD, notably greenhouse gas emission and generation of solid waste, are discussed and the prospects of ZLD technologies and research needs are highlighted.","container-title":"Environmental Science &amp; Technology","DOI":"10.1021/acs.est.6b01000","ISSN":"0013-936X, 1520-5851","issue":"13","journalAbbreviation":"Environ. Sci. Technol.","language":"en","page":"6846-6855","source":"DOI.org (Crossref)","title":"The Global Rise of Zero Liquid Discharge for Wastewater Management: Drivers, Technologies, and Future Directions","title-short":"The Global Rise of Zero Liquid Discharge for Wastewater Management","volume":"50","author":[{"family":"Tong","given":"Tiezheng"},{"family":"Elimelech","given":"Menachem"}],"issued":{"date-parts":[["2016",7,5]]}}}],"schema":"https://github.com/citation-style-language/schema/raw/master/csl-citation.json"} </w:instrText>
      </w:r>
      <w:r w:rsidR="003E6DC6"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72</w:t>
      </w:r>
      <w:r w:rsidR="003E6DC6" w:rsidRPr="00AD04DA">
        <w:rPr>
          <w:rFonts w:ascii="Times New Roman" w:hAnsi="Times New Roman" w:cs="Times New Roman"/>
          <w:sz w:val="24"/>
          <w:szCs w:val="24"/>
        </w:rPr>
        <w:fldChar w:fldCharType="end"/>
      </w:r>
      <w:r w:rsidR="003E6DC6" w:rsidRPr="00AD04DA">
        <w:rPr>
          <w:rFonts w:ascii="Times New Roman" w:hAnsi="Times New Roman" w:cs="Times New Roman"/>
          <w:sz w:val="24"/>
          <w:szCs w:val="24"/>
        </w:rPr>
        <w:t xml:space="preserve">. ZLD processes reduce </w:t>
      </w:r>
      <w:r w:rsidR="00F865D0" w:rsidRPr="00AD04DA">
        <w:rPr>
          <w:rFonts w:ascii="Times New Roman" w:hAnsi="Times New Roman" w:cs="Times New Roman"/>
          <w:sz w:val="24"/>
          <w:szCs w:val="24"/>
        </w:rPr>
        <w:t>the volume and environmental impacts of waste</w:t>
      </w:r>
      <w:r w:rsidR="00730827" w:rsidRPr="00AD04DA">
        <w:rPr>
          <w:rFonts w:ascii="Times New Roman" w:hAnsi="Times New Roman" w:cs="Times New Roman"/>
          <w:sz w:val="24"/>
          <w:szCs w:val="24"/>
        </w:rPr>
        <w:t>, since s</w:t>
      </w:r>
      <w:r w:rsidR="003E6DC6" w:rsidRPr="00AD04DA">
        <w:rPr>
          <w:rFonts w:ascii="Times New Roman" w:hAnsi="Times New Roman" w:cs="Times New Roman"/>
          <w:sz w:val="24"/>
          <w:szCs w:val="24"/>
        </w:rPr>
        <w:t>olid wastes are more readily disposed of in landfills and treated to recover valuable minerals</w:t>
      </w:r>
      <w:r w:rsidR="003E6DC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{"citationID":"zPowo26X","properties":{"formattedCitation":"\\super 72,73\\nosupersub{}","plainCitation":"72,73","noteIndex":0},"citationItems":[{"id":803,"uris":["http://zotero.org/users/8284751/items/GDVPDJ4M"],"itemData":{"id":803,"type":"article-journal","abstract":"Zero liquid discharge (ZLD)</w:instrText>
      </w:r>
      <w:r w:rsidR="00AE4CC3">
        <w:rPr>
          <w:rFonts w:ascii="Times New Roman" w:hAnsi="Times New Roman" w:cs="Times New Roman" w:hint="eastAsia"/>
          <w:sz w:val="24"/>
          <w:szCs w:val="24"/>
        </w:rPr>
        <w:instrText></w:instrText>
      </w:r>
      <w:r w:rsidR="00AE4CC3">
        <w:rPr>
          <w:rFonts w:ascii="Times New Roman" w:hAnsi="Times New Roman" w:cs="Times New Roman"/>
          <w:sz w:val="24"/>
          <w:szCs w:val="24"/>
        </w:rPr>
        <w:instrText xml:space="preserve">a wastewater management strategy that eliminates liquid waste and maximizes water usage eﬃciency </w:instrText>
      </w:r>
      <w:r w:rsidR="00AE4CC3">
        <w:rPr>
          <w:rFonts w:ascii="Times New Roman" w:hAnsi="Times New Roman" w:cs="Times New Roman" w:hint="eastAsia"/>
          <w:sz w:val="24"/>
          <w:szCs w:val="24"/>
        </w:rPr>
        <w:instrText></w:instrText>
      </w:r>
      <w:r w:rsidR="00AE4CC3">
        <w:rPr>
          <w:rFonts w:ascii="Times New Roman" w:hAnsi="Times New Roman" w:cs="Times New Roman"/>
          <w:sz w:val="24"/>
          <w:szCs w:val="24"/>
        </w:rPr>
        <w:instrText xml:space="preserve"> has attracted renewed interest worldwide in recent years. Although implementation of ZLD reduces water pollution and augments water supply, the technology is constrained by high cost and intensive energy consumption. In this critical review, we discuss the drivers, incentives, technologies, and environmental impacts of ZLD. Within this framework, the global applications of ZLD in the United States and emerging economies such as China and India are examined. We highlight the evolution of ZLD from thermal- to membrane-based processes, and analyze the advantages and limitations of existing and emerging ZLD technologies. The potential environmental impacts of ZLD, notably greenhouse gas emission and generation of solid waste, are discussed and the prospects of ZLD technologies and research needs are highlighted.","container-title":"Environmental Science &amp; Technology","DOI":"10.1021/acs.est.6b01000","ISSN":"0013-936X, 1520-5851","issue":"13","journalAbbreviation":"Environ. Sci. Technol.","language":"en","page":"6846-6855","source":"DOI.org (Crossref)","title":"The Global Rise of Zero Liquid Discharge for Wastewater Management: Drivers, Technologies, and Future Directions","title-short":"The Global Rise of Zero Liquid Discharge for Wastewater Management","volume":"50","author":[{"family":"Tong","given":"Tiezheng"},{"family":"Elimelech","given":"Menachem"}],"issued":{"date-parts":[["2016",7,5]]}}},{"id":186,"uris":["http://zotero.org/users/8284751/items/G4HT9L6Y"],"itemData":{"id":186,"type":"article-journal","abstract":"In this study, a five-stage stepwise precipitation process, including pre-sedimentation, magnesium removal, gypsum precipitation, ettringite precipitation and calcium removal, was proposed as a softening pretreatment for zero liquid discharge system for flue gas desulfurization wastewater. Batch tests and long-term bench-scale experiment showed that magnesium, sulfate and calcium were efficiently removed with efficiencies all above 98.0%, leaving a clean effluent majorly containing NaCl and NaOH. The precipitated CaSO4, CaCO3, Mg(OH)2 and ettringite were completely separated by stepwise precipitation, and the purity of Mg(OH)2 and ettringite were further enhanced by washing and soaking treatment. CaSO4 and CaCO3 can be directly recycled as gypsum product and desulfurizing agent within the power plant, while Mg(OH)2 and ettringite presented proper particle size and excellent thermal properties as a synergistic flame retardant. The flame retardancy of ethylene vinyl acetate copolymer were greatly improved when blended with recovered Mg(OH)2 and ettringite, and possessed better performance by blending them together because ettringite could act as a dispersing and compatible agent of Mg(OH)2, and relieve the intensity of smoke releasing. Chemical sludge recovery compensates the total cost of the five-stage process by 45.0%, and makes the process technically versatile, economically beneficial and environmentally friendly without solid waste production.","container-title":"Journal of Hazardous Materials","DOI":"10.1016/j.jhazmat.2021.126054","ISSN":"03043894","journalAbbreviation":"Journal of Hazardous Materials","language":"en","page":"126054","source":"DOI.org (Crossref)","title":"Recovering chemical sludge from the zero liquid discharge system of ﬂue gas desulfurization wastewater as flame retardants by a stepwise precipitation process","volume":"417","author":[{"family":"Guo","given":"Jiaming"},{"family":"Zhou","given":"Zhen"},{"family":"Ming","given":"Qiang"},{"family":"Sun","given":"Dongqi"},{"family":"Li","given":"Fei"},{"family":"Xi","given":"Jiafu"},{"family":"Wu","given":"Qiong"},{"family":"Yang","given":"Jian"},{"family":"Xia","given":"Qing"},{"family":"Zhao","given":"Xiaodan"}],"issued":{"date-parts":[["2021",9]]}}}],"schema":"https://github.com/citation-style-language/schema/raw/master/csl-citation.json"} </w:instrText>
      </w:r>
      <w:r w:rsidR="003E6DC6"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72,73</w:t>
      </w:r>
      <w:r w:rsidR="003E6DC6" w:rsidRPr="00AD04DA">
        <w:rPr>
          <w:rFonts w:ascii="Times New Roman" w:hAnsi="Times New Roman" w:cs="Times New Roman"/>
          <w:sz w:val="24"/>
          <w:szCs w:val="24"/>
        </w:rPr>
        <w:fldChar w:fldCharType="end"/>
      </w:r>
      <w:r w:rsidR="003E6DC6" w:rsidRPr="00AD04DA">
        <w:rPr>
          <w:rFonts w:ascii="Times New Roman" w:hAnsi="Times New Roman" w:cs="Times New Roman"/>
          <w:sz w:val="24"/>
          <w:szCs w:val="24"/>
        </w:rPr>
        <w:t>.</w:t>
      </w:r>
      <w:r w:rsidR="00F26D65" w:rsidRPr="00AD04DA">
        <w:rPr>
          <w:rFonts w:ascii="Times New Roman" w:hAnsi="Times New Roman" w:cs="Times New Roman"/>
          <w:sz w:val="24"/>
          <w:szCs w:val="24"/>
        </w:rPr>
        <w:t xml:space="preserve"> Other ZLD technologies typically involve evaporative systems followed by crystallizers to dewater brines into slurries</w:t>
      </w:r>
      <w:r w:rsidR="00F26D65"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{"citationID":"jFbRnc9m","properties":{"formattedCitation":"\\super 74,75\\nosupersub{}","plainCitation":"74,75","noteIndex":0},"citationItems":[{"id":805,"uris":["http://zotero.org/users/8284751/items/QJIQMDFM"],"itemData":{"id":805,"type":"article-journal","abstract":"Zero liquid discharge (ZLD) aims to minimize liquid waste generation whilst extend water supply, and this industrial strategy has attracted renewed interest worldwide in recent years. In spite of the advantages such as reduced water pollution and resource recovery from waste, there are several challenges to overcome prior to wider applications of ZLD. This study will examine the main processes involved in ZLD, and analyze their limitations and potential solutions. This study also differs from past reviews on the subject, by providing a summary of the challenges that were found light of in prevalent studies. To fulﬁll the sustainable vision, future research that can bridge the gap between the theoretical study and industrial practice is highlighted.","container-title":"Water","DOI":"10.3390/w13202852","ISSN":"2073-4441","issue":"20","journalAbbreviation":"Water","language":"en","page":"2852","source":"DOI.org (Crossref)","title":"Making Waves: Zero Liquid Discharge for Sustainable Industrial Effluent Management","title-short":"Making Waves","volume":"13","author":[{"family":"Liang","given":"Yinglin"},{"family":"Lin","given":"Xin"},{"family":"Kong","given":"Xiangtong"},{"family":"Duan","given":"Qiushi"},{"family":"Wang","given":"Pan"},{"family":"Mei","given":"Xiaojie"},{"family":"Ma","given":"Jinxing"}],"issued":{"date-parts":[["2021",10,13]]}}},{"id":808,"uris":["http://zotero.org/users/8284751/items/DCSNMD9J"],"itemData":{"id":808,"type":"article-journal","abstract":"In recent years, reverse osmosis (RO) has grown as an alternative to traditional potable water sources. A major disadvantage of the RO process is the huge amount of brine and its negative impact as a result of its high salinity. This brine is usually discharged to inland water bodies or to the sea and constitutes a threat to ecosystems and species, such as Posidonia oceanica in the Mediterranean Sea; thus, further research is needed for introducing environmentally friendly and economically viable management options for RO brines.","container-title":"Desalination","DOI":"10.1016/j.desal.2013.12.038","ISSN":"00119164","journalAbbreviation":"Desalination","language":"en","page":"32-49","source":"DOI.org (Crossref)","title":"Comparative study of brine management technologies for desalination plants","volume":"336","author":[{"family":"Morillo","given":"José"},{"family":"Usero","given":"José"},{"family":"Rosado","given":"Daniel"},{"family":"El Bakouri","given":"Hicham"},{"family":"Riaza","given":"Abel"},{"family":"Bernaola","given":"Francisco-Javier"}],"issued":{"date-parts":[["2014",3]]}}}],"schema":"https://github.com/citation-style-language/schema/raw/master/csl-citation.json"} </w:instrText>
      </w:r>
      <w:r w:rsidR="00F26D65"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74,75</w:t>
      </w:r>
      <w:r w:rsidR="00F26D65" w:rsidRPr="00AD04DA">
        <w:rPr>
          <w:rFonts w:ascii="Times New Roman" w:hAnsi="Times New Roman" w:cs="Times New Roman"/>
          <w:sz w:val="24"/>
          <w:szCs w:val="24"/>
        </w:rPr>
        <w:fldChar w:fldCharType="end"/>
      </w:r>
      <w:r w:rsidR="00F26D65" w:rsidRPr="00AD04DA">
        <w:rPr>
          <w:rFonts w:ascii="Times New Roman" w:hAnsi="Times New Roman" w:cs="Times New Roman"/>
          <w:sz w:val="24"/>
          <w:szCs w:val="24"/>
        </w:rPr>
        <w:t>.</w:t>
      </w:r>
      <w:r w:rsidR="003E6DC6" w:rsidRPr="00AD04DA">
        <w:rPr>
          <w:rFonts w:ascii="Times New Roman" w:hAnsi="Times New Roman" w:cs="Times New Roman"/>
          <w:sz w:val="24"/>
          <w:szCs w:val="24"/>
        </w:rPr>
        <w:t xml:space="preserve"> </w:t>
      </w:r>
      <w:r w:rsidR="00460E0E" w:rsidRPr="00AD04DA">
        <w:rPr>
          <w:rFonts w:ascii="Times New Roman" w:hAnsi="Times New Roman" w:cs="Times New Roman"/>
          <w:sz w:val="24"/>
          <w:szCs w:val="24"/>
        </w:rPr>
        <w:t xml:space="preserve">Boo </w:t>
      </w:r>
      <w:r w:rsidR="00460E0E" w:rsidRPr="00AD04DA">
        <w:rPr>
          <w:rFonts w:ascii="Times New Roman" w:hAnsi="Times New Roman" w:cs="Times New Roman"/>
          <w:i/>
          <w:iCs/>
          <w:sz w:val="24"/>
          <w:szCs w:val="24"/>
        </w:rPr>
        <w:t xml:space="preserve">et al </w:t>
      </w:r>
      <w:r w:rsidR="00E72D85" w:rsidRPr="00AD04DA">
        <w:rPr>
          <w:rFonts w:ascii="Times New Roman" w:hAnsi="Times New Roman" w:cs="Times New Roman"/>
          <w:sz w:val="24"/>
          <w:szCs w:val="24"/>
        </w:rPr>
        <w:t xml:space="preserve">have shown that TSSE with </w:t>
      </w:r>
      <w:r w:rsidR="00E632CD" w:rsidRPr="00AD04DA">
        <w:rPr>
          <w:rFonts w:ascii="Times New Roman" w:hAnsi="Times New Roman" w:cs="Times New Roman"/>
          <w:sz w:val="24"/>
          <w:szCs w:val="24"/>
        </w:rPr>
        <w:t xml:space="preserve">diisopropylamine </w:t>
      </w:r>
      <w:r w:rsidR="00486CE7" w:rsidRPr="00AD04DA">
        <w:rPr>
          <w:rFonts w:ascii="Times New Roman" w:hAnsi="Times New Roman" w:cs="Times New Roman"/>
          <w:sz w:val="24"/>
          <w:szCs w:val="24"/>
        </w:rPr>
        <w:t>(DPA)</w:t>
      </w:r>
      <w:r w:rsidR="00E72D85" w:rsidRPr="00AD04DA">
        <w:rPr>
          <w:rFonts w:ascii="Times New Roman" w:hAnsi="Times New Roman" w:cs="Times New Roman"/>
          <w:sz w:val="24"/>
          <w:szCs w:val="24"/>
        </w:rPr>
        <w:t xml:space="preserve"> can attain </w:t>
      </w:r>
      <w:r w:rsidR="003E6DC6" w:rsidRPr="00AD04DA">
        <w:rPr>
          <w:rFonts w:ascii="Times New Roman" w:hAnsi="Times New Roman" w:cs="Times New Roman"/>
          <w:sz w:val="24"/>
          <w:szCs w:val="24"/>
        </w:rPr>
        <w:t>ZLD</w:t>
      </w:r>
      <w:r w:rsidR="00E72D85" w:rsidRPr="00AD04DA">
        <w:rPr>
          <w:rFonts w:ascii="Times New Roman" w:hAnsi="Times New Roman" w:cs="Times New Roman"/>
          <w:sz w:val="24"/>
          <w:szCs w:val="24"/>
        </w:rPr>
        <w:t xml:space="preserve"> of high salinity brines given a sufficiently high solvent to water ratio. </w:t>
      </w:r>
      <w:r w:rsidR="00E75346" w:rsidRPr="00AD04DA">
        <w:rPr>
          <w:rFonts w:ascii="Times New Roman" w:hAnsi="Times New Roman" w:cs="Times New Roman"/>
          <w:sz w:val="24"/>
          <w:szCs w:val="24"/>
        </w:rPr>
        <w:t xml:space="preserve">In ZLD TSSE, the water absorbs entirely into the solvent. However, two phases are </w:t>
      </w:r>
      <w:r w:rsidR="00A972CA" w:rsidRPr="00AD04DA">
        <w:rPr>
          <w:rFonts w:ascii="Times New Roman" w:hAnsi="Times New Roman" w:cs="Times New Roman"/>
          <w:sz w:val="24"/>
          <w:szCs w:val="24"/>
        </w:rPr>
        <w:t>still present</w:t>
      </w:r>
      <w:r w:rsidR="00E75346" w:rsidRPr="00AD04DA">
        <w:rPr>
          <w:rFonts w:ascii="Times New Roman" w:hAnsi="Times New Roman" w:cs="Times New Roman"/>
          <w:sz w:val="24"/>
          <w:szCs w:val="24"/>
        </w:rPr>
        <w:t xml:space="preserve">: a single liquid organic phase and </w:t>
      </w:r>
      <w:r w:rsidR="00E75346" w:rsidRPr="00AD04DA">
        <w:rPr>
          <w:rFonts w:ascii="Times New Roman" w:hAnsi="Times New Roman" w:cs="Times New Roman"/>
          <w:sz w:val="24"/>
          <w:szCs w:val="24"/>
        </w:rPr>
        <w:lastRenderedPageBreak/>
        <w:t>a solid salt precipitate</w:t>
      </w:r>
      <w:r w:rsidR="00E7534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{"citationID":"lePOVbqP","properties":{"formattedCitation":"\\super 76\\nosupersub{}","plainCitation":"76","noteIndex":0},"citationItems":[{"id":782,"uris":["http://zotero.org/users/8284751/items/IGN55MC2"],"itemData":{"id":782,"type":"article-journal","abstract":"Zero liquid discharge (ZLD) of hypersaline brines is technically and energetically challenging. This study demonstrates ZLD of ultrahigh-salinity brines using temperature swing solvent extraction (TSSE), a membrane-less and nonevaporative desalination technology. TSSE utilizes a low-polarity solvent to extract water from brine and then releases the water as a product with the application of low-temperature heat. Complete extraction of water from a hypersaline feed, simulated by 5.0 M NaCl solution (≈292 g/L TDS), was achieved using diisopropylamine solvent. Practically all of the salt is precipitated as mineral solid waste and the product water contains &lt;5% of NaCl relative to the hypersaline feed brine. Consistent ZLD performance of high salt removals and product water quality was maintained in three repeated semibatch TSSE cycles, highlighting recyclability of the solvent. The practical applicability of the technique for actual ﬁeld samples was demonstrated by ZLD of an irrigation drainage water concentrate. This study establishes the potential of TSSE as a more sustainable alternative to current thermal evaporation methods for zero liquid discharge of ultrahigh-salinity brines.","container-title":"Environmental Science &amp; Technology","DOI":"10.1021/acs.est.0c02555","ISSN":"0013-936X, 1520-5851","issue":"14","journalAbbreviation":"Environ. Sci. Technol.","language":"en","page":"9124-9131","source":"DOI.org (Crossref)","title":"Zero Liquid Discharge of Ultrahigh-Salinity Brines with Temperature Swing Solvent Extraction","volume":"54","author":[{"family":"Boo","given":"Chanhee"},{"family":"Billinge","given":"Ian H."},{"family":"Chen","given":"Xi"},{"family":"Shah","given":"Kinnari M."},{"family":"Yip","given":"Ngai Yin"}],"issued":{"date-parts":[["2020",7,21]]}}}],"schema":"https://github.com/citation-style-language/schema/raw/master/csl-citation.json"} </w:instrText>
      </w:r>
      <w:r w:rsidR="00E75346"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76</w:t>
      </w:r>
      <w:r w:rsidR="00E75346" w:rsidRPr="00AD04DA">
        <w:rPr>
          <w:rFonts w:ascii="Times New Roman" w:hAnsi="Times New Roman" w:cs="Times New Roman"/>
          <w:sz w:val="24"/>
          <w:szCs w:val="24"/>
        </w:rPr>
        <w:fldChar w:fldCharType="end"/>
      </w:r>
      <w:r w:rsidR="00E75346" w:rsidRPr="00AD04DA">
        <w:rPr>
          <w:rFonts w:ascii="Times New Roman" w:hAnsi="Times New Roman" w:cs="Times New Roman"/>
          <w:sz w:val="24"/>
          <w:szCs w:val="24"/>
        </w:rPr>
        <w:t xml:space="preserve">. </w:t>
      </w:r>
      <w:r w:rsidR="00201596" w:rsidRPr="00AD04DA">
        <w:rPr>
          <w:rFonts w:ascii="Times New Roman" w:hAnsi="Times New Roman" w:cs="Times New Roman"/>
          <w:sz w:val="24"/>
          <w:szCs w:val="24"/>
        </w:rPr>
        <w:t>By separating the liquid solvent and solid precipitate, solid salt and freshwater are recovered with no liquid waste.</w:t>
      </w:r>
    </w:p>
    <w:p w14:paraId="59D6472D" w14:textId="3B48BDD5" w:rsidR="00857926" w:rsidRPr="00AD04DA" w:rsidRDefault="00857926" w:rsidP="00857926">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The low operating temperatures and temperature swings of TSSE open opportunities for heat recovery networks and waste heat integration</w:t>
      </w:r>
      <w:r w:rsidR="007C797A" w:rsidRPr="00AD04DA">
        <w:rPr>
          <w:rFonts w:ascii="Times New Roman" w:hAnsi="Times New Roman" w:cs="Times New Roman"/>
          <w:sz w:val="24"/>
          <w:szCs w:val="24"/>
        </w:rPr>
        <w:t xml:space="preserve">. Designs that take advantage of these opportunities reduce the requisite energy input and allow for inexpensive or free waste heat to minimize or eliminate the thermal energy costs of TSSE. The omission of </w:t>
      </w:r>
      <w:r w:rsidR="00645CB9" w:rsidRPr="00AD04DA">
        <w:rPr>
          <w:rFonts w:ascii="Times New Roman" w:hAnsi="Times New Roman" w:cs="Times New Roman"/>
          <w:sz w:val="24"/>
          <w:szCs w:val="24"/>
        </w:rPr>
        <w:t xml:space="preserve">solvent regeneration reduces the cost and complexity of TSSE compared to other </w:t>
      </w:r>
      <w:r w:rsidR="008E7B8D" w:rsidRPr="00AD04DA">
        <w:rPr>
          <w:rFonts w:ascii="Times New Roman" w:hAnsi="Times New Roman" w:cs="Times New Roman"/>
          <w:sz w:val="24"/>
          <w:szCs w:val="24"/>
        </w:rPr>
        <w:t xml:space="preserve">solvent extraction processes, and </w:t>
      </w:r>
      <w:r w:rsidR="00C36E3C" w:rsidRPr="00AD04DA">
        <w:rPr>
          <w:rFonts w:ascii="Times New Roman" w:hAnsi="Times New Roman" w:cs="Times New Roman"/>
          <w:sz w:val="24"/>
          <w:szCs w:val="24"/>
        </w:rPr>
        <w:t xml:space="preserve">development and adoption of </w:t>
      </w:r>
      <w:r w:rsidR="008E7B8D" w:rsidRPr="00AD04DA">
        <w:rPr>
          <w:rFonts w:ascii="Times New Roman" w:hAnsi="Times New Roman" w:cs="Times New Roman"/>
          <w:sz w:val="24"/>
          <w:szCs w:val="24"/>
        </w:rPr>
        <w:t xml:space="preserve">ionic liquids would minimize its environmental impacts. </w:t>
      </w:r>
      <w:r w:rsidR="00362651" w:rsidRPr="00AD04DA">
        <w:rPr>
          <w:rFonts w:ascii="Times New Roman" w:hAnsi="Times New Roman" w:cs="Times New Roman"/>
          <w:sz w:val="24"/>
          <w:szCs w:val="24"/>
        </w:rPr>
        <w:t xml:space="preserve">The potential to attain ZLD of brines would further simplify waste handling and reduce its environmental impact. Altogether, these commercial advantages make TSSE </w:t>
      </w:r>
      <w:r w:rsidR="00101560" w:rsidRPr="00AD04DA">
        <w:rPr>
          <w:rFonts w:ascii="Times New Roman" w:hAnsi="Times New Roman" w:cs="Times New Roman"/>
          <w:sz w:val="24"/>
          <w:szCs w:val="24"/>
        </w:rPr>
        <w:t>a promising desalination process with the potential for minimal environmental impac</w:t>
      </w:r>
      <w:r w:rsidR="007E5289" w:rsidRPr="00AD04DA">
        <w:rPr>
          <w:rFonts w:ascii="Times New Roman" w:hAnsi="Times New Roman" w:cs="Times New Roman"/>
          <w:sz w:val="24"/>
          <w:szCs w:val="24"/>
        </w:rPr>
        <w:t>t</w:t>
      </w:r>
      <w:r w:rsidR="00101560" w:rsidRPr="00AD04DA">
        <w:rPr>
          <w:rFonts w:ascii="Times New Roman" w:hAnsi="Times New Roman" w:cs="Times New Roman"/>
          <w:sz w:val="24"/>
          <w:szCs w:val="24"/>
        </w:rPr>
        <w:t>.</w:t>
      </w:r>
    </w:p>
    <w:p w14:paraId="6DF5E33F" w14:textId="59C8C60B" w:rsidR="00E87BB0" w:rsidRPr="00AD04DA" w:rsidRDefault="007B43EC" w:rsidP="00DA670F">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It has been shown that TSSE is capable of achieving high (&gt; 98%) rejections of all major ions in seawater, including Na</w:t>
      </w:r>
      <w:r w:rsidRPr="00AD04DA">
        <w:rPr>
          <w:rFonts w:ascii="Times New Roman" w:hAnsi="Times New Roman" w:cs="Times New Roman"/>
          <w:sz w:val="24"/>
          <w:szCs w:val="24"/>
          <w:vertAlign w:val="superscript"/>
        </w:rPr>
        <w:t>+</w:t>
      </w:r>
      <w:r w:rsidRPr="00AD04DA">
        <w:rPr>
          <w:rFonts w:ascii="Times New Roman" w:hAnsi="Times New Roman" w:cs="Times New Roman"/>
          <w:sz w:val="24"/>
          <w:szCs w:val="24"/>
        </w:rPr>
        <w:t>, K</w:t>
      </w:r>
      <w:r w:rsidRPr="00AD04DA">
        <w:rPr>
          <w:rFonts w:ascii="Times New Roman" w:hAnsi="Times New Roman" w:cs="Times New Roman"/>
          <w:sz w:val="24"/>
          <w:szCs w:val="24"/>
          <w:vertAlign w:val="superscript"/>
        </w:rPr>
        <w:t>+</w:t>
      </w:r>
      <w:r w:rsidRPr="00AD04DA">
        <w:rPr>
          <w:rFonts w:ascii="Times New Roman" w:hAnsi="Times New Roman" w:cs="Times New Roman"/>
          <w:sz w:val="24"/>
          <w:szCs w:val="24"/>
        </w:rPr>
        <w:t>, Ca</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Mg</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Cl</w:t>
      </w:r>
      <w:r w:rsidRPr="00AD04DA">
        <w:rPr>
          <w:rFonts w:ascii="Times New Roman" w:hAnsi="Times New Roman" w:cs="Times New Roman"/>
          <w:sz w:val="24"/>
          <w:szCs w:val="24"/>
          <w:vertAlign w:val="superscript"/>
        </w:rPr>
        <w:t>-</w:t>
      </w:r>
      <w:r w:rsidRPr="00AD04DA">
        <w:rPr>
          <w:rFonts w:ascii="Times New Roman" w:hAnsi="Times New Roman" w:cs="Times New Roman"/>
          <w:sz w:val="24"/>
          <w:szCs w:val="24"/>
        </w:rPr>
        <w:t>, and SO</w:t>
      </w:r>
      <w:r w:rsidRPr="00AD04DA">
        <w:rPr>
          <w:rFonts w:ascii="Times New Roman" w:hAnsi="Times New Roman" w:cs="Times New Roman"/>
          <w:sz w:val="24"/>
          <w:szCs w:val="24"/>
          <w:vertAlign w:val="subscript"/>
        </w:rPr>
        <w:t>4</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even in the presence of multiple monovalent and divalent cations</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{"citationID":"aYD59B0E","properties":{"formattedCitation":"\\super 77\\nosupersub{}","plainCitation":"77","noteIndex":0},"citationItems":[{"id":254,"uris":["http://zotero.org/users/8284751/items/4RBKW9A8"],"itemData":{"id":254,"type":"article-journal","container-title":"Applied Physics Letters","DOI":"10.1063/1.4861835","ISSN":"0003-6951, 1077-3118","issue":"2","journalAbbreviation":"Appl. Phys. Lett.","language":"en","page":"024102","source":"DOI.org (Crossref)","title":"Exceptional ion rejection ability of directional solvent for non-membrane desalination","volume":"104","author":[{"family":"Rish","given":"Daniel"},{"family":"Luo","given":"Shirui"},{"family":"Kurtz","given":"Brien"},{"family":"Luo","given":"Tengfei"}],"issued":{"date-parts":[["2014",1,13]]}}}],"schema":"https://github.com/citation-style-language/schema/raw/master/csl-citation.json"} </w:instrText>
      </w:r>
      <w:r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77</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It has also been demonstrated that a single pass of TSSE can achieve removal efficiencies as high as 91% for As-III and 97% for As-V</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{"citationID":"XktFDVpy","properties":{"formattedCitation":"\\super 50\\nosupersub{}","plainCitation":"50","noteIndex":0},"citationItems":[{"id":268,"uris":["http://zotero.org/users/8284751/items/V7HQE7DL"],"itemData":{"id":268,"type":"article-journal","abstract":"Arsenic (As) poisoning in water is a critical global problem. Current arsenic removal techniques involving chemical reaction, ion exchange, or membrane processes can be expensive, inaccessible, or infeasible for underdeveloped regions. Here, we demonstrate that by using a so-called a directional solvent extraction (DSE) process arsenic ions in water can be eﬀectively removed without membrane or chemical reaction, and this process promises to utilize low temperature heat (as low as 45 °C). We have tested feedwater with diﬀerent arsenic concentrations and arsenic ions in diﬀerent forms (As-III and As-V) commonly found in nature. It is demonstrated that DSE using decanoic acid as the directional solvent can purify contaminated water to meet the drinking water standard (arsenic concentration &lt;10 parts per billion, ppb), and the arsenic removal eﬃciencies are higher than 91% for As-III and 97% for As-V. DSE can potentially lead to eﬀective arsenic removal technologies with low resource settings.","container-title":"J. Chem. Eng. Data","language":"en","page":"9","source":"Zotero","title":"Direct Arsenic Removal from Water Using Non-Membrane, Low-Temperature Directional Solvent Extraction","author":[{"family":"Guo","given":"Jiaji"},{"family":"Luo","given":"Shirui"},{"family":"Liu","given":"Zeyu"},{"family":"Luo","given":"Tengfei"}],"issued":{"date-parts":[["2020"]]}}}],"schema":"https://github.com/citation-style-language/schema/raw/master/csl-citation.json"} </w:instrText>
      </w:r>
      <w:r w:rsidRPr="00AD04DA">
        <w:rPr>
          <w:rFonts w:ascii="Times New Roman" w:hAnsi="Times New Roman" w:cs="Times New Roman"/>
          <w:sz w:val="24"/>
          <w:szCs w:val="24"/>
        </w:rPr>
        <w:fldChar w:fldCharType="separate"/>
      </w:r>
      <w:r w:rsidR="00855E07" w:rsidRPr="00AD04DA">
        <w:rPr>
          <w:rFonts w:ascii="Times New Roman" w:hAnsi="Times New Roman" w:cs="Times New Roman"/>
          <w:sz w:val="24"/>
          <w:szCs w:val="24"/>
          <w:vertAlign w:val="superscript"/>
        </w:rPr>
        <w:t>50</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xml:space="preserve">. </w:t>
      </w:r>
      <w:r w:rsidR="00486CE7" w:rsidRPr="00AD04DA">
        <w:rPr>
          <w:rFonts w:ascii="Times New Roman" w:hAnsi="Times New Roman" w:cs="Times New Roman"/>
          <w:sz w:val="24"/>
          <w:szCs w:val="24"/>
        </w:rPr>
        <w:t>Experimental and simulated TSSE has primarily included DPA</w:t>
      </w:r>
      <w:r w:rsidR="00885B28"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{"citationID":"38vaEj6N","properties":{"formattedCitation":"\\super 51,52,76,78,79\\nosupersub{}","plainCitation":"51,52,76,78,79","noteIndex":0},"citationItems":[{"id":681,"uris":["http://zotero.org/users/8284751/items/R5QC862F"],"itemData":{"id":681,"type":"article-journal","abstract":"Hypersaline brines are of growing environmental importance but are technologically under-served by today’s desalination methods. Temperature swing solvent extraction (TSSE) is a radically diﬀerent desalination technology that is membrane-less and not based on evaporative phase change. TSSE utilizes lowtemperature heat and a low-polarity solvent with temperature-dependent water solubility for the selective extraction of water over salt from saline feeds. This study demonstrates TSSE desalination of high-salinity brines simulated by NaCl solutions with three amine solvents: diisopropylamine (DIPA), N-ethylcyclohexylamine (ECHA), and N,N-dimethylcyclohexylamine (DMCHA). We show that TSSE can desalinate brines with salinities as high as ≈234000 ppm total dissolved solids (i.e., 4.0 M NaCl) and achieve salt removals up to 98.4%. Among the solvents, DIPA exhibited the highest water extraction eﬃciency whereas ECHA and DMCHA produced water with the lowest salt content and solvent residue content, respectively. Lastly, a high water recovery of &gt;50% was demonstrated for TSSE desalination of 1.5 M NaCl brine using DIPA in semibatch experiments with multiple extraction cycles. This study underscores the unique capabilities of TSSE for the desalination of hypersaline brines.","container-title":"Environmental Science &amp; Technology Letters","DOI":"10.1021/acs.estlett.9b00182","ISSN":"2328-8930, 2328-8930","issue":"6","journalAbbreviation":"Environ. Sci. Technol. Lett.","language":"en","page":"359-364","source":"DOI.org (Crossref)","title":"Membrane-less and Non-Evaporative Desalination of Hypersaline Brines by Temperature Swing Solvent Extraction","volume":"6","author":[{"family":"Boo","given":"Chanhee"},{"family":"Winton","given":"Robert K."},{"family":"Conway","given":"Kelly M."},{"family":"Yip","given":"Ngai Yin"}],"issued":{"date-parts":[["2019",6,11]]}}},{"id":253,"uris":["http://zotero.org/users/8284751/items/8F2I567F"],"itemData":{"id":253,"type":"article-journal","abstract":"Solvent extraction desalination has shown to be a promising energy-efﬁcient technique when compared to separation processes usually employed. Despite the remarkable impact of the organic solvent’s molecular characteristics on this process, few studies have been carried out so far to explicitly ascertain the inﬂuence of these characteristics on the solubility of water in the solvent. Here, we assess the viability of four different imidazole-based solvents and compare them to an amine compound for solvent extraction desalination of high salinity brines. All-atom molecular simulations of pure solvent and watersolvent bulk mixtures are used to ascertain the inﬂuence of the solvents’ molecular structures on solvent–solvent and solvent–water interaction. Our results show that water solubilization in imidazolebased solvents is an endothermic process, while for a secondary amine (diisopropylamine) it is an exothermic process. We show that imidazole-based solvents can be designed to provide characteristics favorable to brine desalination.","container-title":"Chemical Engineering Science","DOI":"10.1016/j.ces.2021.116866","ISSN":"00092509","journalAbbreviation":"Chemical Engineering Science","language":"en","page":"116866","source":"DOI.org (Crossref)","title":"Molecular aspects of temperature swing solvent extraction for brine desalination using imidazole-based solvents","volume":"247","author":[{"family":"Barbosa","given":"Gabriel D."},{"family":"Bara","given":"Jason E."},{"family":"Weinman","given":"Steven T."},{"family":"Turner","given":"C. Heath"}],"issued":{"date-parts":[["2022",1]]}}},{"id":782,"uris":["http://zotero.org/users/8284751/items/IGN55MC2"],"itemData":{"id":782,"type":"article-journal","abstract":"Zero liquid discharge (ZLD) of hypersaline brines is technically and energetically challenging. This study demonstrates ZLD of ultrahigh-salinity brines using temperature swing solvent extraction (TSSE), a membrane-less and nonevaporative desalination technology. TSSE utilizes a low-polarity solvent to extract water from brine and then releases the water as a product with the application of low-temperature heat. Complete extraction of water from a hypersaline feed, simulated by 5.0 M NaCl solution (≈292 g/L TDS), was achieved using diisopropylamine solvent. Practically all of the salt is precipitated as mineral solid waste and the product water contains &lt;5% of NaCl relative to the hypersaline feed brine. Consistent ZLD performance of high salt removals and product water quality was maintained in three repeated semibatch TSSE cycles, highlighting recyclability of the solvent. The practical applicability of the technique for actual ﬁeld samples was demonstrated by ZLD of an irrigation drainage water concentrate. This study establishes the potential of TSSE as a more sustainable alternative to current thermal evaporation methods for zero liquid discharge of ultrahigh-salinity brines.","container-title":"Environmental Science &amp; Technology","DOI":"10.1021/acs.est.0c02555","ISSN":"0013-936X, 1520-5851","issue":"14","journalAbbreviation":"Environ. Sci. Technol.","language":"en","page":"9124-9131","source":"DOI.org (Crossref)","title":"Zero Liquid Discharge of Ultrahigh-Salinity Brines with Temperature Swing Solvent Extraction","volume":"54","author":[{"family":"Boo","given":"Chanhee"},{"family":"Billinge","given":"Ian H."},{"family":"Chen","given":"Xi"},{"family":"Shah","given":"Kinnari M."},{"family":"Yip","given":"Ngai Yin"}],"issued":{"date-parts":[["2020",7,21]]}}},{"id":835,"uris":["http://zotero.org/users/8284751/items/AXVR6KQC"],"itemData":{"id":835,"type":"article-journal","abstract":"All-atom molecular dynamics simulations are used to understand the structural and thermodynamic behavior of water in a biphasic system composed of a brine solution in contact with two diﬀerent amine-based solvents, diisopropylamine (DiPA) and tripropylamine. As compared to the bulk brine solution, the biphasic system leads to signiﬁcant salt aggregation and crystallization, and this behavior is observed over a relatively broad range of temperatures, from 278 to 343 K. In general, there are stronger hydrogen bond interactions between DiPA and water, leading to more favorable solvation and reduced diﬀusion rates. Detailed analysis of the solvation behavior is provided by using thermodynamic integration to calculate the free energy of water solvation in diﬀerent brine and solvent mixtures. This also indicates a stronger interaction of water with the DiPA solvent, and this occurs mainly via interactions of the oxygen atoms in water with the nitrogen atoms of the solvent molecules. Overall, the structural and thermodynamic analyses in this study provide a better molecular-level understanding of solvent-based desalination of high-salinity brines.","container-title":"Industrial &amp; Engineering Chemistry Research","DOI":"10.1021/acs.iecr.1c01057","ISSN":"0888-5885, 1520-5045","issue":"21","journalAbbreviation":"Ind. Eng. Chem. Res.","language":"en","page":"7917-7925","source":"DOI.org (Crossref)","title":"Molecular Simulation of High-Salinity Brines in Contact with Diisopropylamine and Tripropylamine Solvents","volume":"60","author":[{"family":"Sappidi","given":"Praveenkumar"},{"family":"Barbosa","given":"Gabriel"},{"family":"Rabideau","given":"Brooks D."},{"family":"Weinman","given":"Steven T."},{"family":"Turner","given":"C. Heath"}],"issued":{"date-parts":[["2021",6,2]]}}},{"id":837,"uris":["http://zotero.org/users/8284751/items/MBSYPH4Y"],"itemData":{"id":837,"type":"article-journal","abstract":"The performance of solution absorption systems is signiﬁcantly inﬂuenced by the energy consumed during the solution regeneration process when it is applied for water and heat recovery from lowtemperature ﬂue gas. Solvent extraction is a non-evaporative technology without phase change that features water solubility sensitive to temperature, which has advantages in energy consumption. In this paper, the high-concentration CaCl2 solution is selected as the liquid desiccant and the feasibility of three amines used for water extraction is explored. The results show that diisopropylamine has the highest water recovery efﬁciency of 4.1% and that N,N-dimethylcyclohexylamine has the highest salt removal efﬁciency of &gt;99%. The inﬂuence of the stirring intensity and volume ratio on the water recovery performance is also researched with diisopropylamine as the solvent. Simulation results show that compared with the evaporative regeneration method, the energy consumption of the solvent extraction method is reduced by 22.7e51.6%. A coefﬁcient of performance (COP) of 1.71 is achieved in the novel solution absorption system, which utilizes solvent extraction for solution regeneration.","container-title":"Energy","DOI":"10.1016/j.energy.2021.123062","ISSN":"03605442","journalAbbreviation":"Energy","language":"en","page":"123062","source":"DOI.org (Crossref)","title":"Non-evaporative solvent extraction technology applied to water and heat recovery from low-temperature flue gas: Parametric analysis and feasibility evaluation","title-short":"Non-evaporative solvent extraction technology applied to water and heat recovery from low-temperature flue gas","volume":"244","author":[{"family":"Zhang","given":"Hao"},{"family":"Lai","given":"Yanhua"},{"family":"Yang","given":"Xiao"},{"family":"Li","given":"Chang"},{"family":"Dong","given":"Yong"}],"issued":{"date-parts":[["2022",4]]}}}],"schema":"https://github.com/citation-style-language/schema/raw/master/csl-citation.json"} </w:instrText>
      </w:r>
      <w:r w:rsidR="00885B28" w:rsidRPr="00AD04DA">
        <w:rPr>
          <w:rFonts w:ascii="Times New Roman" w:hAnsi="Times New Roman" w:cs="Times New Roman"/>
          <w:sz w:val="24"/>
          <w:szCs w:val="24"/>
        </w:rPr>
        <w:fldChar w:fldCharType="separate"/>
      </w:r>
      <w:r w:rsidR="00855E07" w:rsidRPr="00AD04DA">
        <w:rPr>
          <w:rFonts w:ascii="Times New Roman" w:hAnsi="Times New Roman" w:cs="Times New Roman"/>
          <w:sz w:val="24"/>
          <w:szCs w:val="24"/>
          <w:vertAlign w:val="superscript"/>
        </w:rPr>
        <w:t>51,52,76,78,79</w:t>
      </w:r>
      <w:r w:rsidR="00885B28" w:rsidRPr="00AD04DA">
        <w:rPr>
          <w:rFonts w:ascii="Times New Roman" w:hAnsi="Times New Roman" w:cs="Times New Roman"/>
          <w:sz w:val="24"/>
          <w:szCs w:val="24"/>
        </w:rPr>
        <w:fldChar w:fldCharType="end"/>
      </w:r>
      <w:r w:rsidR="00486CE7" w:rsidRPr="00AD04DA">
        <w:rPr>
          <w:rFonts w:ascii="Times New Roman" w:hAnsi="Times New Roman" w:cs="Times New Roman"/>
          <w:sz w:val="24"/>
          <w:szCs w:val="24"/>
        </w:rPr>
        <w:t xml:space="preserve"> and DA</w:t>
      </w:r>
      <w:r w:rsidR="00885B28"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{"citationID":"NVfWgrYc","properties":{"formattedCitation":"\\super 49,50,59,71,77\\nosupersub{}","plainCitation":"49,50,59,71,77","noteIndex":0},"citationItems":[{"id":256,"uris":["http://zotero.org/users/8284751/items/FIJMS6Q2"],"itemData":{"id":256,"type":"article-journal","language":"en","page":"4","source":"Zotero","title":"Very low temperature membrane-free desalination by directional solvent extraction","author":[{"family":"Bajpayee","given":"Anurag"},{"family":"Luo","given":"Tengfei"},{"family":"Muto","given":"Andrew"},{"family":"Chen","given":"Gang"}],"issued":{"date-parts":[["2011"]]}}},{"id":268,"uris":["http://zotero.org/users/8284751/items/V7HQE7DL"],"itemData":{"id":268,"type":"article-journal","abstract":"Arsenic (As) poisoning in water is a critical global problem. Current arsenic removal techniques involving chemical reaction, ion exchange, or membrane processes can be expensive, inaccessible, or infeasible for underdeveloped regions. Here, we demonstrate that by using a so-called a directional solvent extraction (DSE) process arsenic ions in water can be eﬀectively removed without membrane or chemical reaction, and this process promises to utilize low temperature heat (as low as 45 °C). We have tested feedwater with diﬀerent arsenic concentrations and arsenic ions in diﬀerent forms (As-III and As-V) commonly found in nature. It is demonstrated that DSE using decanoic acid as the directional solvent can purify contaminated water to meet the drinking water standard (arsenic concentration &lt;10 parts per billion, ppb), and the arsenic removal eﬃciencies are higher than 91% for As-III and 97% for As-V. DSE can potentially lead to eﬀective arsenic removal technologies with low resource settings.","container-title":"J. Chem. Eng. Data","language":"en","page":"9","source":"Zotero","title":"Direct Arsenic Removal from Water Using Non-Membrane, Low-Temperature Directional Solvent Extraction","author":[{"family":"Guo","given":"Jiaji"},{"family":"Luo","given":"Shirui"},{"family":"Liu","given":"Zeyu"},{"family":"Luo","given":"Tengfei"}],"issued":{"date-parts":[["2020"]]}}},{"id":712,"uris":["http://zotero.org/users/8284751/items/SDNU2P73"],"itemData":{"id":712,"type":"article-journal","abstract":"Directional Solvent Extraction (DSE) is a novel alternative desalination technology to the traditional evaporation and membrane based desalination processes. This new process takes advantage of the fact that water is soluble in some solvents and its solubility increases with temperature. Furthermore, these solvents are insoluble in water and salts do not dissolve in them. These special characteristics of some “directional solvents” have been utilized in this new process to extract fresh water from seawater.","container-title":"Desalination","DOI":"10.1016/j.desal.2017.07.004","ISSN":"00119164","journalAbbreviation":"Desalination","language":"en","page":"114-124","source":"DOI.org (Crossref)","title":"Modeling of a continuous water desalination process using directional solvent extraction","volume":"420","author":[{"family":"Alotaibi","given":"Sorour"},{"family":"Ibrahim","given":"Osama M."},{"family":"Luo","given":"Shirui"},{"family":"Luo","given":"Tengfei"}],"issued":{"date-parts":[["2017",10]]}}},{"id":781,"uris":["http://zotero.org/users/8284751/items/6VNQU3MR"],"itemData":{"id":781,"type":"article-journal","abstract":"Abstract\n            \n              Seawater desalination plays a critical role in addressing the global water shortage challenge. Directional Solvent Extraction (DSE) is an emerging non-membrane desalination technology that features the ability to utilize very low temperature waste heat (as low as 40 °C). This is enabled by the subtly balanced solubility properties of directional solvents, which do not dissolve in water but can dissolve water and reject salt ions. However, the low water yield of the state-of-the-art directional solvent (decanoic acid) significantly limits its throughput and energy efficiency. In this paper, we demonstrate that by using ionic liquid as a new directional solvent, saline water can be desalinated with much higher production rate and thus significantly lower the energy and exergy consumptions. The ionic liquid identified suitable for DSE is [emim][Tf\n              2\n              N], which has a much (~10×) higher water yield than the currently used decanoic acid. Using molecular dynamics simulations with Gibbs free energy calculations, we reveal that water dissolving in [emim][Tf\n              2\n              N] is energetically favorable, but it takes significant energy for [emim][Tf\n              2\n              N] ions to dissolve in water. Our findings may significantly advance the DSE technology as a solution to the challenges in the global water-energy nexus.","container-title":"Nature Communications","DOI":"10.1038/s41467-020-20706-y","ISSN":"2041-1723","issue":"1","journalAbbreviation":"Nat Commun","language":"en","page":"437","source":"DOI.org (Crossref)","title":"Ionic liquid enables highly efficient low temperature desalination by directional solvent extraction","volume":"12","author":[{"family":"Guo","given":"Jiaji"},{"family":"Tucker","given":"Zachary D."},{"family":"Wang","given":"Yu"},{"family":"Ashfeld","given":"Brandon L."},{"family":"Luo","given":"Tengfei"}],"issued":{"date-parts":[["2021",12]]}}},{"id":254,"uris":["http://zotero.org/users/8284751/items/4RBKW9A8"],"itemData":{"id":254,"type":"article-journal","container-title":"Applied Physics Letters","DOI":"10.1063/1.4861835","ISSN":"0003-6951, 1077-3118","issue":"2","journalAbbreviation":"Appl. Phys. Lett.","language":"en","page":"024102","source":"DOI.org (Crossref)","title":"Exceptional ion rejection ability of directional solvent for non-membrane desalination","volume":"104","author":[{"family":"Rish","given":"Daniel"},{"family":"Luo","given":"Shirui"},{"family":"Kurtz","given":"Brien"},{"family":"Luo","given":"Tengfei"}],"issued":{"date-parts":[["2014",1,13]]}}}],"schema":"https://github.com/citation-style-language/schema/raw/master/csl-citation.json"} </w:instrText>
      </w:r>
      <w:r w:rsidR="00885B28" w:rsidRPr="00AD04DA">
        <w:rPr>
          <w:rFonts w:ascii="Times New Roman" w:hAnsi="Times New Roman" w:cs="Times New Roman"/>
          <w:sz w:val="24"/>
          <w:szCs w:val="24"/>
        </w:rPr>
        <w:fldChar w:fldCharType="separate"/>
      </w:r>
      <w:r w:rsidR="00855E07" w:rsidRPr="00AD04DA">
        <w:rPr>
          <w:rFonts w:ascii="Times New Roman" w:hAnsi="Times New Roman" w:cs="Times New Roman"/>
          <w:sz w:val="24"/>
          <w:szCs w:val="24"/>
          <w:vertAlign w:val="superscript"/>
        </w:rPr>
        <w:t>49,50,59,71,77</w:t>
      </w:r>
      <w:r w:rsidR="00885B28" w:rsidRPr="00AD04DA">
        <w:rPr>
          <w:rFonts w:ascii="Times New Roman" w:hAnsi="Times New Roman" w:cs="Times New Roman"/>
          <w:sz w:val="24"/>
          <w:szCs w:val="24"/>
        </w:rPr>
        <w:fldChar w:fldCharType="end"/>
      </w:r>
      <w:r w:rsidR="00885B28" w:rsidRPr="00AD04DA">
        <w:rPr>
          <w:rFonts w:ascii="Times New Roman" w:hAnsi="Times New Roman" w:cs="Times New Roman"/>
          <w:sz w:val="24"/>
          <w:szCs w:val="24"/>
        </w:rPr>
        <w:t xml:space="preserve"> over a range of ionic solutes.</w:t>
      </w:r>
      <w:r w:rsidR="00486CE7" w:rsidRPr="00AD04DA">
        <w:rPr>
          <w:rFonts w:ascii="Times New Roman" w:hAnsi="Times New Roman" w:cs="Times New Roman"/>
          <w:sz w:val="24"/>
          <w:szCs w:val="24"/>
        </w:rPr>
        <w:t xml:space="preserve"> </w:t>
      </w:r>
      <w:r w:rsidRPr="00AD04DA">
        <w:rPr>
          <w:rFonts w:ascii="Times New Roman" w:hAnsi="Times New Roman" w:cs="Times New Roman"/>
          <w:sz w:val="24"/>
          <w:szCs w:val="24"/>
        </w:rPr>
        <w:t>However, no attempt has been made to study TSSE performance for producing freshwater from selenium-containing wastewaters</w:t>
      </w:r>
      <w:r w:rsidR="004F0EA6" w:rsidRPr="00AD04DA">
        <w:rPr>
          <w:rFonts w:ascii="Times New Roman" w:hAnsi="Times New Roman" w:cs="Times New Roman"/>
          <w:sz w:val="24"/>
          <w:szCs w:val="24"/>
        </w:rPr>
        <w:t>, and comparative studies between DA and DPA have not been performed.</w:t>
      </w:r>
    </w:p>
    <w:p w14:paraId="06BE890F" w14:textId="6FEC77D0" w:rsidR="00372845" w:rsidRPr="003B2AC9" w:rsidRDefault="002B16D5" w:rsidP="0091356D">
      <w:pPr>
        <w:pStyle w:val="Heading2"/>
        <w:spacing w:before="0" w:line="480" w:lineRule="auto"/>
        <w:ind w:firstLine="720"/>
        <w:rPr>
          <w:rFonts w:ascii="Times New Roman" w:hAnsi="Times New Roman" w:cs="Times New Roman"/>
          <w:color w:val="000000" w:themeColor="text1"/>
          <w:sz w:val="28"/>
          <w:szCs w:val="28"/>
        </w:rPr>
      </w:pPr>
      <w:bookmarkStart w:id="6" w:name="_Toc100753458"/>
      <w:r w:rsidRPr="00453BA5">
        <w:rPr>
          <w:rFonts w:ascii="Times New Roman" w:hAnsi="Times New Roman" w:cs="Times New Roman"/>
          <w:color w:val="000000" w:themeColor="text1"/>
          <w:sz w:val="28"/>
          <w:szCs w:val="28"/>
        </w:rPr>
        <w:t>1</w:t>
      </w:r>
      <w:r w:rsidR="00372845" w:rsidRPr="00453BA5">
        <w:rPr>
          <w:rFonts w:ascii="Times New Roman" w:hAnsi="Times New Roman" w:cs="Times New Roman"/>
          <w:color w:val="000000" w:themeColor="text1"/>
          <w:sz w:val="28"/>
          <w:szCs w:val="28"/>
        </w:rPr>
        <w:t>.</w:t>
      </w:r>
      <w:r w:rsidR="00CB4ADB" w:rsidRPr="00453BA5">
        <w:rPr>
          <w:rFonts w:ascii="Times New Roman" w:hAnsi="Times New Roman" w:cs="Times New Roman"/>
          <w:color w:val="000000" w:themeColor="text1"/>
          <w:sz w:val="28"/>
          <w:szCs w:val="28"/>
        </w:rPr>
        <w:t>4</w:t>
      </w:r>
      <w:r w:rsidR="00372845" w:rsidRPr="00453BA5">
        <w:rPr>
          <w:rFonts w:ascii="Times New Roman" w:hAnsi="Times New Roman" w:cs="Times New Roman"/>
          <w:color w:val="000000" w:themeColor="text1"/>
          <w:sz w:val="28"/>
          <w:szCs w:val="28"/>
        </w:rPr>
        <w:t xml:space="preserve"> </w:t>
      </w:r>
      <w:bookmarkEnd w:id="6"/>
      <w:r w:rsidR="00DA670F" w:rsidRPr="00453BA5">
        <w:rPr>
          <w:rFonts w:ascii="Times New Roman" w:hAnsi="Times New Roman" w:cs="Times New Roman"/>
          <w:color w:val="000000" w:themeColor="text1"/>
          <w:sz w:val="28"/>
          <w:szCs w:val="28"/>
        </w:rPr>
        <w:t>Hypothesis and Scope</w:t>
      </w:r>
    </w:p>
    <w:p w14:paraId="34DD6B22" w14:textId="09126BED" w:rsidR="00890590" w:rsidRPr="00AD04DA" w:rsidRDefault="00890590" w:rsidP="00890590">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The purpose of this research was to </w:t>
      </w:r>
      <w:r w:rsidR="00453BA5">
        <w:rPr>
          <w:rFonts w:ascii="Times New Roman" w:hAnsi="Times New Roman" w:cs="Times New Roman"/>
          <w:sz w:val="24"/>
          <w:szCs w:val="24"/>
        </w:rPr>
        <w:t>investigate</w:t>
      </w:r>
      <w:r w:rsidRPr="00AD04DA">
        <w:rPr>
          <w:rFonts w:ascii="Times New Roman" w:hAnsi="Times New Roman" w:cs="Times New Roman"/>
          <w:sz w:val="24"/>
          <w:szCs w:val="24"/>
        </w:rPr>
        <w:t xml:space="preserve"> TSSE applied to FGD wastewater and to gain insight into fundamental questions regarding the TSSE process. </w:t>
      </w:r>
      <w:r w:rsidR="005E7353" w:rsidRPr="00AD04DA">
        <w:rPr>
          <w:rFonts w:ascii="Times New Roman" w:hAnsi="Times New Roman" w:cs="Times New Roman"/>
          <w:sz w:val="24"/>
          <w:szCs w:val="24"/>
        </w:rPr>
        <w:t xml:space="preserve">First, the advantages and tradeoffs of DA and DPA as process solvents were investigated. This information was used to gain insight </w:t>
      </w:r>
      <w:r w:rsidR="005E7353" w:rsidRPr="00AD04DA">
        <w:rPr>
          <w:rFonts w:ascii="Times New Roman" w:hAnsi="Times New Roman" w:cs="Times New Roman"/>
          <w:sz w:val="24"/>
          <w:szCs w:val="24"/>
        </w:rPr>
        <w:lastRenderedPageBreak/>
        <w:t xml:space="preserve">onto the existence of a tradeoff between solute rejection and water recovery for TSSE, then the influence of structural differences in these solvents on TSSE performance was considered. The ability of TSSE to reject selenate and selenite was investigated, </w:t>
      </w:r>
      <w:r w:rsidR="00937B35">
        <w:rPr>
          <w:rFonts w:ascii="Times New Roman" w:hAnsi="Times New Roman" w:cs="Times New Roman"/>
          <w:sz w:val="24"/>
          <w:szCs w:val="24"/>
        </w:rPr>
        <w:t>and</w:t>
      </w:r>
      <w:r w:rsidR="005E7353" w:rsidRPr="00AD04DA">
        <w:rPr>
          <w:rFonts w:ascii="Times New Roman" w:hAnsi="Times New Roman" w:cs="Times New Roman"/>
          <w:sz w:val="24"/>
          <w:szCs w:val="24"/>
        </w:rPr>
        <w:t xml:space="preserve"> the role of the structural differences of these anions on TSSE performance was considered. Selenite, selenate, and chloride rejections are compared to study how differences in ion properties effect solute partition. A mixed system was studied to determine whether individual ion concentration or total feed ionic strength was more influential on process performance.</w:t>
      </w:r>
      <w:r w:rsidR="004D76E7" w:rsidRPr="00AD04DA">
        <w:rPr>
          <w:rFonts w:ascii="Times New Roman" w:hAnsi="Times New Roman" w:cs="Times New Roman"/>
          <w:sz w:val="24"/>
          <w:szCs w:val="24"/>
        </w:rPr>
        <w:t xml:space="preserve"> Finally, the results of extraction of a synthetic FGD wastewater sample are considered to judge the feasibility of TSSE in FGD wastewater treatment.</w:t>
      </w:r>
    </w:p>
    <w:p w14:paraId="7B9D44E1" w14:textId="1E8A25EB" w:rsidR="00191798" w:rsidRPr="00AD04DA" w:rsidRDefault="00AD5658" w:rsidP="00DA670F">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 xml:space="preserve">In this study, </w:t>
      </w:r>
      <w:r w:rsidR="00191798" w:rsidRPr="00AD04DA">
        <w:rPr>
          <w:rFonts w:ascii="Times New Roman" w:hAnsi="Times New Roman" w:cs="Times New Roman"/>
          <w:sz w:val="24"/>
          <w:szCs w:val="24"/>
        </w:rPr>
        <w:t xml:space="preserve">free energy of solvation simulations </w:t>
      </w:r>
      <w:proofErr w:type="gramStart"/>
      <w:r w:rsidR="00191798" w:rsidRPr="00AD04DA">
        <w:rPr>
          <w:rFonts w:ascii="Times New Roman" w:hAnsi="Times New Roman" w:cs="Times New Roman"/>
          <w:sz w:val="24"/>
          <w:szCs w:val="24"/>
        </w:rPr>
        <w:t>were</w:t>
      </w:r>
      <w:proofErr w:type="gramEnd"/>
      <w:r w:rsidR="00191798" w:rsidRPr="00AD04DA">
        <w:rPr>
          <w:rFonts w:ascii="Times New Roman" w:hAnsi="Times New Roman" w:cs="Times New Roman"/>
          <w:sz w:val="24"/>
          <w:szCs w:val="24"/>
        </w:rPr>
        <w:t xml:space="preserve"> performed for a sodium cation and chloride anion in water, then these results were compared to the free energy </w:t>
      </w:r>
      <w:r w:rsidR="00F51CBF" w:rsidRPr="00AD04DA">
        <w:rPr>
          <w:rFonts w:ascii="Times New Roman" w:hAnsi="Times New Roman" w:cs="Times New Roman"/>
          <w:sz w:val="24"/>
          <w:szCs w:val="24"/>
        </w:rPr>
        <w:t xml:space="preserve">of solvation of these species in decanoic acid </w:t>
      </w:r>
      <w:r w:rsidR="008A077B" w:rsidRPr="00AD04DA">
        <w:rPr>
          <w:rFonts w:ascii="Times New Roman" w:hAnsi="Times New Roman" w:cs="Times New Roman"/>
          <w:sz w:val="24"/>
          <w:szCs w:val="24"/>
        </w:rPr>
        <w:t>to determine in which phase dissolved ions would be more stable.</w:t>
      </w:r>
    </w:p>
    <w:p w14:paraId="505F4C1C" w14:textId="597CD578" w:rsidR="00B7549E" w:rsidRPr="00AD04DA" w:rsidRDefault="00F51CBF" w:rsidP="00F51CBF">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 xml:space="preserve">Next, </w:t>
      </w:r>
      <w:r w:rsidR="00BE4DC1" w:rsidRPr="00AD04DA">
        <w:rPr>
          <w:rFonts w:ascii="Times New Roman" w:hAnsi="Times New Roman" w:cs="Times New Roman"/>
          <w:sz w:val="24"/>
          <w:szCs w:val="24"/>
        </w:rPr>
        <w:t>a</w:t>
      </w:r>
      <w:r w:rsidR="00782240" w:rsidRPr="00AD04DA">
        <w:rPr>
          <w:rFonts w:ascii="Times New Roman" w:hAnsi="Times New Roman" w:cs="Times New Roman"/>
          <w:sz w:val="24"/>
          <w:szCs w:val="24"/>
        </w:rPr>
        <w:t xml:space="preserve"> series of NaCl in water trials were performed at varied NaCl concentrations with DA and DPA as the process solvent.</w:t>
      </w:r>
      <w:r w:rsidR="00EC2593" w:rsidRPr="00AD04DA">
        <w:rPr>
          <w:rFonts w:ascii="Times New Roman" w:hAnsi="Times New Roman" w:cs="Times New Roman"/>
          <w:sz w:val="24"/>
          <w:szCs w:val="24"/>
        </w:rPr>
        <w:t xml:space="preserve"> Each feed was extracted three times with the same solvent to validate that no additional regeneration steps wer</w:t>
      </w:r>
      <w:r w:rsidR="00930909" w:rsidRPr="00AD04DA">
        <w:rPr>
          <w:rFonts w:ascii="Times New Roman" w:hAnsi="Times New Roman" w:cs="Times New Roman"/>
          <w:sz w:val="24"/>
          <w:szCs w:val="24"/>
        </w:rPr>
        <w:t>e necessary.</w:t>
      </w:r>
      <w:r w:rsidR="00782240" w:rsidRPr="00AD04DA">
        <w:rPr>
          <w:rFonts w:ascii="Times New Roman" w:hAnsi="Times New Roman" w:cs="Times New Roman"/>
          <w:sz w:val="24"/>
          <w:szCs w:val="24"/>
        </w:rPr>
        <w:t xml:space="preserve"> </w:t>
      </w:r>
      <w:r w:rsidR="0091751F" w:rsidRPr="00AD04DA">
        <w:rPr>
          <w:rFonts w:ascii="Times New Roman" w:hAnsi="Times New Roman" w:cs="Times New Roman"/>
          <w:sz w:val="24"/>
          <w:szCs w:val="24"/>
        </w:rPr>
        <w:t>The NaCl studies are performed to compare the solute rejection and water recovery as a function of concentration for each solvent</w:t>
      </w:r>
      <w:r w:rsidR="00066E6B" w:rsidRPr="00AD04DA">
        <w:rPr>
          <w:rFonts w:ascii="Times New Roman" w:hAnsi="Times New Roman" w:cs="Times New Roman"/>
          <w:sz w:val="24"/>
          <w:szCs w:val="24"/>
        </w:rPr>
        <w:t xml:space="preserve"> for saline solutions.</w:t>
      </w:r>
    </w:p>
    <w:p w14:paraId="70EAFCF0" w14:textId="1A3684EA" w:rsidR="002B5DED" w:rsidRPr="00AD04DA" w:rsidRDefault="002261EB" w:rsidP="009C647F">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B434F1" w:rsidRPr="00AD04DA">
        <w:rPr>
          <w:rFonts w:ascii="Times New Roman" w:hAnsi="Times New Roman" w:cs="Times New Roman"/>
          <w:sz w:val="24"/>
          <w:szCs w:val="24"/>
        </w:rPr>
        <w:t>Next</w:t>
      </w:r>
      <w:r w:rsidRPr="00AD04DA">
        <w:rPr>
          <w:rFonts w:ascii="Times New Roman" w:hAnsi="Times New Roman" w:cs="Times New Roman"/>
          <w:sz w:val="24"/>
          <w:szCs w:val="24"/>
        </w:rPr>
        <w:t xml:space="preserve">, </w:t>
      </w:r>
      <w:r w:rsidR="00B434F1" w:rsidRPr="00AD04DA">
        <w:rPr>
          <w:rFonts w:ascii="Times New Roman" w:hAnsi="Times New Roman" w:cs="Times New Roman"/>
          <w:sz w:val="24"/>
          <w:szCs w:val="24"/>
        </w:rPr>
        <w:t>a</w:t>
      </w:r>
      <w:r w:rsidRPr="00AD04DA">
        <w:rPr>
          <w:rFonts w:ascii="Times New Roman" w:hAnsi="Times New Roman" w:cs="Times New Roman"/>
          <w:sz w:val="24"/>
          <w:szCs w:val="24"/>
        </w:rPr>
        <w:t xml:space="preserve"> sodium selenate</w:t>
      </w:r>
      <w:r w:rsidR="00B434F1" w:rsidRPr="00AD04DA">
        <w:rPr>
          <w:rFonts w:ascii="Times New Roman" w:hAnsi="Times New Roman" w:cs="Times New Roman"/>
          <w:sz w:val="24"/>
          <w:szCs w:val="24"/>
        </w:rPr>
        <w:t xml:space="preserve"> study</w:t>
      </w:r>
      <w:r w:rsidRPr="00AD04DA">
        <w:rPr>
          <w:rFonts w:ascii="Times New Roman" w:hAnsi="Times New Roman" w:cs="Times New Roman"/>
          <w:sz w:val="24"/>
          <w:szCs w:val="24"/>
        </w:rPr>
        <w:t xml:space="preserve"> and </w:t>
      </w:r>
      <w:r w:rsidR="00B434F1" w:rsidRPr="00AD04DA">
        <w:rPr>
          <w:rFonts w:ascii="Times New Roman" w:hAnsi="Times New Roman" w:cs="Times New Roman"/>
          <w:sz w:val="24"/>
          <w:szCs w:val="24"/>
        </w:rPr>
        <w:t xml:space="preserve">a </w:t>
      </w:r>
      <w:r w:rsidRPr="00AD04DA">
        <w:rPr>
          <w:rFonts w:ascii="Times New Roman" w:hAnsi="Times New Roman" w:cs="Times New Roman"/>
          <w:sz w:val="24"/>
          <w:szCs w:val="24"/>
        </w:rPr>
        <w:t xml:space="preserve">sodium selenite in </w:t>
      </w:r>
      <w:r w:rsidR="00F62A51" w:rsidRPr="00AD04DA">
        <w:rPr>
          <w:rFonts w:ascii="Times New Roman" w:hAnsi="Times New Roman" w:cs="Times New Roman"/>
          <w:sz w:val="24"/>
          <w:szCs w:val="24"/>
        </w:rPr>
        <w:t>aqueous feed</w:t>
      </w:r>
      <w:r w:rsidRPr="00AD04DA">
        <w:rPr>
          <w:rFonts w:ascii="Times New Roman" w:hAnsi="Times New Roman" w:cs="Times New Roman"/>
          <w:sz w:val="24"/>
          <w:szCs w:val="24"/>
        </w:rPr>
        <w:t xml:space="preserve"> s</w:t>
      </w:r>
      <w:r w:rsidR="00B434F1" w:rsidRPr="00AD04DA">
        <w:rPr>
          <w:rFonts w:ascii="Times New Roman" w:hAnsi="Times New Roman" w:cs="Times New Roman"/>
          <w:sz w:val="24"/>
          <w:szCs w:val="24"/>
        </w:rPr>
        <w:t>tudy</w:t>
      </w:r>
      <w:r w:rsidRPr="00AD04DA">
        <w:rPr>
          <w:rFonts w:ascii="Times New Roman" w:hAnsi="Times New Roman" w:cs="Times New Roman"/>
          <w:sz w:val="24"/>
          <w:szCs w:val="24"/>
        </w:rPr>
        <w:t xml:space="preserve"> were performed with both process solvents</w:t>
      </w:r>
      <w:r w:rsidR="001917A6" w:rsidRPr="00AD04DA">
        <w:rPr>
          <w:rFonts w:ascii="Times New Roman" w:hAnsi="Times New Roman" w:cs="Times New Roman"/>
          <w:sz w:val="24"/>
          <w:szCs w:val="24"/>
        </w:rPr>
        <w:t>.</w:t>
      </w:r>
      <w:r w:rsidR="00B434F1" w:rsidRPr="00AD04DA">
        <w:rPr>
          <w:rFonts w:ascii="Times New Roman" w:hAnsi="Times New Roman" w:cs="Times New Roman"/>
          <w:sz w:val="24"/>
          <w:szCs w:val="24"/>
        </w:rPr>
        <w:t xml:space="preserve"> Finally, extraction of a synthetic FGD wastewater stream containing selenate and NaCl was performed with both solvents. The</w:t>
      </w:r>
      <w:r w:rsidR="000F19BB" w:rsidRPr="00AD04DA">
        <w:rPr>
          <w:rFonts w:ascii="Times New Roman" w:hAnsi="Times New Roman" w:cs="Times New Roman"/>
          <w:sz w:val="24"/>
          <w:szCs w:val="24"/>
        </w:rPr>
        <w:t xml:space="preserve"> </w:t>
      </w:r>
      <w:r w:rsidR="00BC6737" w:rsidRPr="00AD04DA">
        <w:rPr>
          <w:rFonts w:ascii="Times New Roman" w:hAnsi="Times New Roman" w:cs="Times New Roman"/>
          <w:sz w:val="24"/>
          <w:szCs w:val="24"/>
        </w:rPr>
        <w:t>results are</w:t>
      </w:r>
      <w:r w:rsidR="000F19BB" w:rsidRPr="00AD04DA">
        <w:rPr>
          <w:rFonts w:ascii="Times New Roman" w:hAnsi="Times New Roman" w:cs="Times New Roman"/>
          <w:sz w:val="24"/>
          <w:szCs w:val="24"/>
        </w:rPr>
        <w:t xml:space="preserve"> used</w:t>
      </w:r>
      <w:r w:rsidRPr="00AD04DA">
        <w:rPr>
          <w:rFonts w:ascii="Times New Roman" w:hAnsi="Times New Roman" w:cs="Times New Roman"/>
          <w:sz w:val="24"/>
          <w:szCs w:val="24"/>
        </w:rPr>
        <w:t xml:space="preserve"> to </w:t>
      </w:r>
      <w:r w:rsidR="00BC6737" w:rsidRPr="00AD04DA">
        <w:rPr>
          <w:rFonts w:ascii="Times New Roman" w:hAnsi="Times New Roman" w:cs="Times New Roman"/>
          <w:sz w:val="24"/>
          <w:szCs w:val="24"/>
        </w:rPr>
        <w:t>discuss</w:t>
      </w:r>
      <w:r w:rsidRPr="00AD04DA">
        <w:rPr>
          <w:rFonts w:ascii="Times New Roman" w:hAnsi="Times New Roman" w:cs="Times New Roman"/>
          <w:sz w:val="24"/>
          <w:szCs w:val="24"/>
        </w:rPr>
        <w:t xml:space="preserve"> the </w:t>
      </w:r>
      <w:r w:rsidR="000F19BB" w:rsidRPr="00AD04DA">
        <w:rPr>
          <w:rFonts w:ascii="Times New Roman" w:hAnsi="Times New Roman" w:cs="Times New Roman"/>
          <w:sz w:val="24"/>
          <w:szCs w:val="24"/>
        </w:rPr>
        <w:t xml:space="preserve">potential of TSSE to treat </w:t>
      </w:r>
      <w:r w:rsidR="004028CD" w:rsidRPr="00AD04DA">
        <w:rPr>
          <w:rFonts w:ascii="Times New Roman" w:hAnsi="Times New Roman" w:cs="Times New Roman"/>
          <w:sz w:val="24"/>
          <w:szCs w:val="24"/>
        </w:rPr>
        <w:t>selenium containing</w:t>
      </w:r>
      <w:r w:rsidR="00B23334" w:rsidRPr="00AD04DA">
        <w:rPr>
          <w:rFonts w:ascii="Times New Roman" w:hAnsi="Times New Roman" w:cs="Times New Roman"/>
          <w:sz w:val="24"/>
          <w:szCs w:val="24"/>
        </w:rPr>
        <w:t xml:space="preserve"> </w:t>
      </w:r>
      <w:r w:rsidR="000F19BB" w:rsidRPr="00AD04DA">
        <w:rPr>
          <w:rFonts w:ascii="Times New Roman" w:hAnsi="Times New Roman" w:cs="Times New Roman"/>
          <w:sz w:val="24"/>
          <w:szCs w:val="24"/>
        </w:rPr>
        <w:t>FGD wastewater.</w:t>
      </w:r>
    </w:p>
    <w:p w14:paraId="0288439B" w14:textId="6445F0CD" w:rsidR="00FA7A66" w:rsidRPr="004206BA" w:rsidRDefault="002B16D5" w:rsidP="00FC0029">
      <w:pPr>
        <w:pStyle w:val="Heading1"/>
        <w:spacing w:before="0" w:line="480" w:lineRule="auto"/>
        <w:rPr>
          <w:rFonts w:ascii="Times New Roman" w:hAnsi="Times New Roman" w:cs="Times New Roman"/>
          <w:color w:val="000000" w:themeColor="text1"/>
        </w:rPr>
      </w:pPr>
      <w:bookmarkStart w:id="7" w:name="_Toc100753459"/>
      <w:r w:rsidRPr="004206BA">
        <w:rPr>
          <w:rFonts w:ascii="Times New Roman" w:hAnsi="Times New Roman" w:cs="Times New Roman"/>
          <w:color w:val="000000" w:themeColor="text1"/>
        </w:rPr>
        <w:lastRenderedPageBreak/>
        <w:t>2</w:t>
      </w:r>
      <w:r w:rsidR="00FA7A66" w:rsidRPr="004206BA">
        <w:rPr>
          <w:rFonts w:ascii="Times New Roman" w:hAnsi="Times New Roman" w:cs="Times New Roman"/>
          <w:color w:val="000000" w:themeColor="text1"/>
        </w:rPr>
        <w:t>. Experimental</w:t>
      </w:r>
      <w:bookmarkEnd w:id="7"/>
    </w:p>
    <w:p w14:paraId="7BB28FCD" w14:textId="6210A1EF" w:rsidR="00372845" w:rsidRPr="004206BA" w:rsidRDefault="002B16D5" w:rsidP="0091356D">
      <w:pPr>
        <w:pStyle w:val="Heading2"/>
        <w:spacing w:before="0" w:line="480" w:lineRule="auto"/>
        <w:ind w:firstLine="720"/>
        <w:rPr>
          <w:rFonts w:ascii="Times New Roman" w:hAnsi="Times New Roman" w:cs="Times New Roman"/>
          <w:color w:val="000000" w:themeColor="text1"/>
          <w:sz w:val="28"/>
          <w:szCs w:val="28"/>
        </w:rPr>
      </w:pPr>
      <w:bookmarkStart w:id="8" w:name="_Toc100753460"/>
      <w:r w:rsidRPr="004206BA">
        <w:rPr>
          <w:rFonts w:ascii="Times New Roman" w:hAnsi="Times New Roman" w:cs="Times New Roman"/>
          <w:color w:val="000000" w:themeColor="text1"/>
          <w:sz w:val="28"/>
          <w:szCs w:val="28"/>
        </w:rPr>
        <w:t>2</w:t>
      </w:r>
      <w:r w:rsidR="00372845" w:rsidRPr="004206BA">
        <w:rPr>
          <w:rFonts w:ascii="Times New Roman" w:hAnsi="Times New Roman" w:cs="Times New Roman"/>
          <w:color w:val="000000" w:themeColor="text1"/>
          <w:sz w:val="28"/>
          <w:szCs w:val="28"/>
        </w:rPr>
        <w:t>.1 Chemicals</w:t>
      </w:r>
      <w:bookmarkEnd w:id="8"/>
    </w:p>
    <w:p w14:paraId="77D5AB48" w14:textId="7D365BA1" w:rsidR="004F5014" w:rsidRPr="00AD04DA" w:rsidRDefault="004F5014" w:rsidP="00FC0029">
      <w:pPr>
        <w:spacing w:after="0" w:line="480" w:lineRule="auto"/>
        <w:jc w:val="both"/>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Diisopropylamine (C</w:t>
      </w:r>
      <w:r w:rsidRPr="00AD04DA">
        <w:rPr>
          <w:rFonts w:ascii="Times New Roman" w:hAnsi="Times New Roman" w:cs="Times New Roman"/>
          <w:color w:val="000000" w:themeColor="text1"/>
          <w:sz w:val="24"/>
          <w:szCs w:val="24"/>
          <w:vertAlign w:val="subscript"/>
        </w:rPr>
        <w:t>6</w:t>
      </w:r>
      <w:r w:rsidRPr="00AD04DA">
        <w:rPr>
          <w:rFonts w:ascii="Times New Roman" w:hAnsi="Times New Roman" w:cs="Times New Roman"/>
          <w:color w:val="000000" w:themeColor="text1"/>
          <w:sz w:val="24"/>
          <w:szCs w:val="24"/>
        </w:rPr>
        <w:t>H</w:t>
      </w:r>
      <w:r w:rsidRPr="00AD04DA">
        <w:rPr>
          <w:rFonts w:ascii="Times New Roman" w:hAnsi="Times New Roman" w:cs="Times New Roman"/>
          <w:color w:val="000000" w:themeColor="text1"/>
          <w:sz w:val="24"/>
          <w:szCs w:val="24"/>
          <w:vertAlign w:val="subscript"/>
        </w:rPr>
        <w:t>15</w:t>
      </w:r>
      <w:r w:rsidRPr="00AD04DA">
        <w:rPr>
          <w:rFonts w:ascii="Times New Roman" w:hAnsi="Times New Roman" w:cs="Times New Roman"/>
          <w:color w:val="000000" w:themeColor="text1"/>
          <w:sz w:val="24"/>
          <w:szCs w:val="24"/>
        </w:rPr>
        <w:t>N, ≥99.5%), sodium selenate (Na</w:t>
      </w:r>
      <w:r w:rsidRPr="00AD04DA">
        <w:rPr>
          <w:rFonts w:ascii="Times New Roman" w:hAnsi="Times New Roman" w:cs="Times New Roman"/>
          <w:color w:val="000000" w:themeColor="text1"/>
          <w:sz w:val="24"/>
          <w:szCs w:val="24"/>
          <w:vertAlign w:val="subscript"/>
        </w:rPr>
        <w:t>2</w:t>
      </w:r>
      <w:r w:rsidRPr="00AD04DA">
        <w:rPr>
          <w:rFonts w:ascii="Times New Roman" w:hAnsi="Times New Roman" w:cs="Times New Roman"/>
          <w:color w:val="000000" w:themeColor="text1"/>
          <w:sz w:val="24"/>
          <w:szCs w:val="24"/>
        </w:rPr>
        <w:t>SeO</w:t>
      </w:r>
      <w:r w:rsidRPr="00AD04DA">
        <w:rPr>
          <w:rFonts w:ascii="Times New Roman" w:hAnsi="Times New Roman" w:cs="Times New Roman"/>
          <w:color w:val="000000" w:themeColor="text1"/>
          <w:sz w:val="24"/>
          <w:szCs w:val="24"/>
          <w:vertAlign w:val="subscript"/>
        </w:rPr>
        <w:t>4</w:t>
      </w:r>
      <w:r w:rsidRPr="00AD04DA">
        <w:rPr>
          <w:rFonts w:ascii="Times New Roman" w:hAnsi="Times New Roman" w:cs="Times New Roman"/>
          <w:color w:val="000000" w:themeColor="text1"/>
          <w:sz w:val="24"/>
          <w:szCs w:val="24"/>
        </w:rPr>
        <w:t>, BioXtra), sodium selenite (Na</w:t>
      </w:r>
      <w:r w:rsidRPr="00AD04DA">
        <w:rPr>
          <w:rFonts w:ascii="Times New Roman" w:hAnsi="Times New Roman" w:cs="Times New Roman"/>
          <w:color w:val="000000" w:themeColor="text1"/>
          <w:sz w:val="24"/>
          <w:szCs w:val="24"/>
          <w:vertAlign w:val="subscript"/>
        </w:rPr>
        <w:t>2</w:t>
      </w:r>
      <w:r w:rsidRPr="00AD04DA">
        <w:rPr>
          <w:rFonts w:ascii="Times New Roman" w:hAnsi="Times New Roman" w:cs="Times New Roman"/>
          <w:color w:val="000000" w:themeColor="text1"/>
          <w:sz w:val="24"/>
          <w:szCs w:val="24"/>
        </w:rPr>
        <w:t>SeO</w:t>
      </w:r>
      <w:r w:rsidRPr="00AD04DA">
        <w:rPr>
          <w:rFonts w:ascii="Times New Roman" w:hAnsi="Times New Roman" w:cs="Times New Roman"/>
          <w:color w:val="000000" w:themeColor="text1"/>
          <w:sz w:val="24"/>
          <w:szCs w:val="24"/>
          <w:vertAlign w:val="subscript"/>
        </w:rPr>
        <w:t>3</w:t>
      </w:r>
      <w:r w:rsidRPr="00AD04DA">
        <w:rPr>
          <w:rFonts w:ascii="Times New Roman" w:hAnsi="Times New Roman" w:cs="Times New Roman"/>
          <w:color w:val="000000" w:themeColor="text1"/>
          <w:sz w:val="24"/>
          <w:szCs w:val="24"/>
        </w:rPr>
        <w:t xml:space="preserve">, 99%), and selenium standard for ICP-MS (1 mg/L Se in nitric acid) were purchased from MilliporeSigma. Sodium chloride (NaCl, certified ACS, crystalline) was purchased from Fisher chemical. Deionized water (DI) was collected from a Milli-Q EQ 7000 ultrapure water purification system. </w:t>
      </w:r>
    </w:p>
    <w:p w14:paraId="296621C1" w14:textId="1E5C83FF" w:rsidR="00B05856" w:rsidRPr="002343A2" w:rsidRDefault="002B16D5" w:rsidP="0091356D">
      <w:pPr>
        <w:pStyle w:val="Heading2"/>
        <w:spacing w:before="0" w:line="480" w:lineRule="auto"/>
        <w:ind w:firstLine="720"/>
        <w:rPr>
          <w:rFonts w:ascii="Times New Roman" w:hAnsi="Times New Roman" w:cs="Times New Roman"/>
          <w:color w:val="000000" w:themeColor="text1"/>
          <w:sz w:val="28"/>
          <w:szCs w:val="28"/>
        </w:rPr>
      </w:pPr>
      <w:bookmarkStart w:id="9" w:name="_Toc100753461"/>
      <w:r w:rsidRPr="002343A2">
        <w:rPr>
          <w:rFonts w:ascii="Times New Roman" w:hAnsi="Times New Roman" w:cs="Times New Roman"/>
          <w:color w:val="000000" w:themeColor="text1"/>
          <w:sz w:val="28"/>
          <w:szCs w:val="28"/>
        </w:rPr>
        <w:t>2</w:t>
      </w:r>
      <w:r w:rsidR="00B05856" w:rsidRPr="002343A2">
        <w:rPr>
          <w:rFonts w:ascii="Times New Roman" w:hAnsi="Times New Roman" w:cs="Times New Roman"/>
          <w:color w:val="000000" w:themeColor="text1"/>
          <w:sz w:val="28"/>
          <w:szCs w:val="28"/>
        </w:rPr>
        <w:t>.2 Preparation of Stock Solutions</w:t>
      </w:r>
      <w:bookmarkEnd w:id="9"/>
    </w:p>
    <w:p w14:paraId="70544C7E" w14:textId="50D5ED1A" w:rsidR="00445F91" w:rsidRPr="00AD04DA" w:rsidRDefault="00445F91" w:rsidP="00445F91">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TSSE was performed </w:t>
      </w:r>
      <w:r w:rsidR="002F6812" w:rsidRPr="00AD04DA">
        <w:rPr>
          <w:rFonts w:ascii="Times New Roman" w:hAnsi="Times New Roman" w:cs="Times New Roman"/>
          <w:sz w:val="24"/>
          <w:szCs w:val="24"/>
        </w:rPr>
        <w:t>on six different feeds with two different solvents. NaCl only feeds with concentrations 3.5 weight % (</w:t>
      </w:r>
      <w:r w:rsidR="00CB43B3" w:rsidRPr="00AD04DA">
        <w:rPr>
          <w:rFonts w:ascii="Times New Roman" w:hAnsi="Times New Roman" w:cs="Times New Roman"/>
          <w:sz w:val="24"/>
          <w:szCs w:val="24"/>
        </w:rPr>
        <w:t>w/w%</w:t>
      </w:r>
      <w:r w:rsidR="002F6812" w:rsidRPr="00AD04DA">
        <w:rPr>
          <w:rFonts w:ascii="Times New Roman" w:hAnsi="Times New Roman" w:cs="Times New Roman"/>
          <w:sz w:val="24"/>
          <w:szCs w:val="24"/>
        </w:rPr>
        <w:t xml:space="preserve">), 1.0 M, and 4.0 M NaCl were extracted. </w:t>
      </w:r>
      <w:r w:rsidR="005B5C76" w:rsidRPr="00AD04DA">
        <w:rPr>
          <w:rFonts w:ascii="Times New Roman" w:hAnsi="Times New Roman" w:cs="Times New Roman"/>
          <w:sz w:val="24"/>
          <w:szCs w:val="24"/>
        </w:rPr>
        <w:t>Then,</w:t>
      </w:r>
      <w:r w:rsidR="008663AB" w:rsidRPr="00AD04DA">
        <w:rPr>
          <w:rFonts w:ascii="Times New Roman" w:hAnsi="Times New Roman" w:cs="Times New Roman"/>
          <w:sz w:val="24"/>
          <w:szCs w:val="24"/>
        </w:rPr>
        <w:t xml:space="preserve"> TSSE was performed on a</w:t>
      </w:r>
      <w:r w:rsidR="005B5C76" w:rsidRPr="00AD04DA">
        <w:rPr>
          <w:rFonts w:ascii="Times New Roman" w:hAnsi="Times New Roman" w:cs="Times New Roman"/>
          <w:sz w:val="24"/>
          <w:szCs w:val="24"/>
        </w:rPr>
        <w:t xml:space="preserve"> feed of 500 parts per million (ppm) SeO</w:t>
      </w:r>
      <w:r w:rsidR="005B5C76" w:rsidRPr="00AD04DA">
        <w:rPr>
          <w:rFonts w:ascii="Times New Roman" w:hAnsi="Times New Roman" w:cs="Times New Roman"/>
          <w:sz w:val="24"/>
          <w:szCs w:val="24"/>
          <w:vertAlign w:val="subscript"/>
        </w:rPr>
        <w:t>4</w:t>
      </w:r>
      <w:r w:rsidR="005B5C76" w:rsidRPr="00AD04DA">
        <w:rPr>
          <w:rFonts w:ascii="Times New Roman" w:hAnsi="Times New Roman" w:cs="Times New Roman"/>
          <w:sz w:val="24"/>
          <w:szCs w:val="24"/>
          <w:vertAlign w:val="superscript"/>
        </w:rPr>
        <w:t>2-</w:t>
      </w:r>
      <w:r w:rsidR="005B5C76" w:rsidRPr="00AD04DA">
        <w:rPr>
          <w:rFonts w:ascii="Times New Roman" w:hAnsi="Times New Roman" w:cs="Times New Roman"/>
          <w:sz w:val="24"/>
          <w:szCs w:val="24"/>
        </w:rPr>
        <w:t xml:space="preserve"> </w:t>
      </w:r>
      <w:r w:rsidR="008663AB" w:rsidRPr="00AD04DA">
        <w:rPr>
          <w:rFonts w:ascii="Times New Roman" w:hAnsi="Times New Roman" w:cs="Times New Roman"/>
          <w:sz w:val="24"/>
          <w:szCs w:val="24"/>
          <w:vertAlign w:val="subscript"/>
        </w:rPr>
        <w:t xml:space="preserve"> </w:t>
      </w:r>
      <w:r w:rsidR="008663AB" w:rsidRPr="00AD04DA">
        <w:rPr>
          <w:rFonts w:ascii="Times New Roman" w:hAnsi="Times New Roman" w:cs="Times New Roman"/>
          <w:sz w:val="24"/>
          <w:szCs w:val="24"/>
        </w:rPr>
        <w:t xml:space="preserve">and a feed </w:t>
      </w:r>
      <w:r w:rsidR="00DF4F83">
        <w:rPr>
          <w:rFonts w:ascii="Times New Roman" w:hAnsi="Times New Roman" w:cs="Times New Roman"/>
          <w:sz w:val="24"/>
          <w:szCs w:val="24"/>
        </w:rPr>
        <w:t>of</w:t>
      </w:r>
      <w:r w:rsidR="008663AB" w:rsidRPr="00AD04DA">
        <w:rPr>
          <w:rFonts w:ascii="Times New Roman" w:hAnsi="Times New Roman" w:cs="Times New Roman"/>
          <w:sz w:val="24"/>
          <w:szCs w:val="24"/>
        </w:rPr>
        <w:t xml:space="preserve"> 500 ppm SeO</w:t>
      </w:r>
      <w:r w:rsidR="008663AB" w:rsidRPr="00AD04DA">
        <w:rPr>
          <w:rFonts w:ascii="Times New Roman" w:hAnsi="Times New Roman" w:cs="Times New Roman"/>
          <w:sz w:val="24"/>
          <w:szCs w:val="24"/>
          <w:vertAlign w:val="subscript"/>
        </w:rPr>
        <w:t>3</w:t>
      </w:r>
      <w:r w:rsidR="008663AB" w:rsidRPr="00AD04DA">
        <w:rPr>
          <w:rFonts w:ascii="Times New Roman" w:hAnsi="Times New Roman" w:cs="Times New Roman"/>
          <w:sz w:val="24"/>
          <w:szCs w:val="24"/>
          <w:vertAlign w:val="superscript"/>
        </w:rPr>
        <w:t>2-</w:t>
      </w:r>
      <w:r w:rsidR="00714CEE" w:rsidRPr="00AD04DA">
        <w:rPr>
          <w:rFonts w:ascii="Times New Roman" w:hAnsi="Times New Roman" w:cs="Times New Roman"/>
          <w:sz w:val="24"/>
          <w:szCs w:val="24"/>
        </w:rPr>
        <w:t>.</w:t>
      </w:r>
      <w:r w:rsidR="008663AB" w:rsidRPr="00AD04DA">
        <w:rPr>
          <w:rFonts w:ascii="Times New Roman" w:hAnsi="Times New Roman" w:cs="Times New Roman"/>
          <w:sz w:val="24"/>
          <w:szCs w:val="24"/>
        </w:rPr>
        <w:t xml:space="preserve"> Finally, TSSE was performed on a synthetic FGD wastewater stream containing 20 g L</w:t>
      </w:r>
      <w:r w:rsidR="008663AB" w:rsidRPr="00AD04DA">
        <w:rPr>
          <w:rFonts w:ascii="Times New Roman" w:hAnsi="Times New Roman" w:cs="Times New Roman"/>
          <w:sz w:val="24"/>
          <w:szCs w:val="24"/>
          <w:vertAlign w:val="superscript"/>
        </w:rPr>
        <w:t>-1</w:t>
      </w:r>
      <w:r w:rsidR="008663AB" w:rsidRPr="00AD04DA">
        <w:rPr>
          <w:rFonts w:ascii="Times New Roman" w:hAnsi="Times New Roman" w:cs="Times New Roman"/>
          <w:sz w:val="24"/>
          <w:szCs w:val="24"/>
        </w:rPr>
        <w:t xml:space="preserve"> Cl</w:t>
      </w:r>
      <w:r w:rsidR="008663AB" w:rsidRPr="00AD04DA">
        <w:rPr>
          <w:rFonts w:ascii="Times New Roman" w:hAnsi="Times New Roman" w:cs="Times New Roman"/>
          <w:sz w:val="24"/>
          <w:szCs w:val="24"/>
          <w:vertAlign w:val="superscript"/>
        </w:rPr>
        <w:t>-</w:t>
      </w:r>
      <w:r w:rsidR="008663AB" w:rsidRPr="00AD04DA">
        <w:rPr>
          <w:rFonts w:ascii="Times New Roman" w:hAnsi="Times New Roman" w:cs="Times New Roman"/>
          <w:sz w:val="24"/>
          <w:szCs w:val="24"/>
        </w:rPr>
        <w:t xml:space="preserve"> from NaCl and 500 ppm SeO</w:t>
      </w:r>
      <w:r w:rsidR="008663AB" w:rsidRPr="00AD04DA">
        <w:rPr>
          <w:rFonts w:ascii="Times New Roman" w:hAnsi="Times New Roman" w:cs="Times New Roman"/>
          <w:sz w:val="24"/>
          <w:szCs w:val="24"/>
          <w:vertAlign w:val="subscript"/>
        </w:rPr>
        <w:t>4</w:t>
      </w:r>
      <w:r w:rsidR="008663AB" w:rsidRPr="00AD04DA">
        <w:rPr>
          <w:rFonts w:ascii="Times New Roman" w:hAnsi="Times New Roman" w:cs="Times New Roman"/>
          <w:sz w:val="24"/>
          <w:szCs w:val="24"/>
          <w:vertAlign w:val="superscript"/>
        </w:rPr>
        <w:t>2-</w:t>
      </w:r>
      <w:r w:rsidR="008663AB" w:rsidRPr="00AD04DA">
        <w:rPr>
          <w:rFonts w:ascii="Times New Roman" w:hAnsi="Times New Roman" w:cs="Times New Roman"/>
          <w:sz w:val="24"/>
          <w:szCs w:val="24"/>
        </w:rPr>
        <w:t>.</w:t>
      </w:r>
      <w:r w:rsidR="00C56408" w:rsidRPr="00AD04DA">
        <w:rPr>
          <w:rFonts w:ascii="Times New Roman" w:hAnsi="Times New Roman" w:cs="Times New Roman"/>
          <w:sz w:val="24"/>
          <w:szCs w:val="24"/>
        </w:rPr>
        <w:t xml:space="preserve"> </w:t>
      </w:r>
      <w:r w:rsidR="00877841" w:rsidRPr="00AD04DA">
        <w:rPr>
          <w:rFonts w:ascii="Times New Roman" w:hAnsi="Times New Roman" w:cs="Times New Roman"/>
          <w:sz w:val="24"/>
          <w:szCs w:val="24"/>
        </w:rPr>
        <w:t>Each feed was extracted with DA and DPA.</w:t>
      </w:r>
    </w:p>
    <w:p w14:paraId="79D8E897" w14:textId="45545CC6" w:rsidR="00802C22" w:rsidRPr="00AD04DA" w:rsidRDefault="00F905E1" w:rsidP="00717ECC">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Stock</w:t>
      </w:r>
      <w:r w:rsidR="000954EE" w:rsidRPr="00AD04DA">
        <w:rPr>
          <w:rFonts w:ascii="Times New Roman" w:hAnsi="Times New Roman" w:cs="Times New Roman"/>
          <w:sz w:val="24"/>
          <w:szCs w:val="24"/>
        </w:rPr>
        <w:t xml:space="preserve"> solutions</w:t>
      </w:r>
      <w:r w:rsidR="00D448FF" w:rsidRPr="00AD04DA">
        <w:rPr>
          <w:rFonts w:ascii="Times New Roman" w:hAnsi="Times New Roman" w:cs="Times New Roman"/>
          <w:sz w:val="24"/>
          <w:szCs w:val="24"/>
        </w:rPr>
        <w:t xml:space="preserve"> of each feed</w:t>
      </w:r>
      <w:r w:rsidR="000954EE" w:rsidRPr="00AD04DA">
        <w:rPr>
          <w:rFonts w:ascii="Times New Roman" w:hAnsi="Times New Roman" w:cs="Times New Roman"/>
          <w:sz w:val="24"/>
          <w:szCs w:val="24"/>
        </w:rPr>
        <w:t xml:space="preserve"> were prepared </w:t>
      </w:r>
      <w:r w:rsidR="00FC0029" w:rsidRPr="00AD04DA">
        <w:rPr>
          <w:rFonts w:ascii="Times New Roman" w:hAnsi="Times New Roman" w:cs="Times New Roman"/>
          <w:sz w:val="24"/>
          <w:szCs w:val="24"/>
        </w:rPr>
        <w:t xml:space="preserve">in </w:t>
      </w:r>
      <w:r w:rsidR="00114ADC" w:rsidRPr="00AD04DA">
        <w:rPr>
          <w:rFonts w:ascii="Times New Roman" w:hAnsi="Times New Roman" w:cs="Times New Roman"/>
          <w:sz w:val="24"/>
          <w:szCs w:val="24"/>
        </w:rPr>
        <w:t>sufficient</w:t>
      </w:r>
      <w:r w:rsidR="00FC0029" w:rsidRPr="00AD04DA">
        <w:rPr>
          <w:rFonts w:ascii="Times New Roman" w:hAnsi="Times New Roman" w:cs="Times New Roman"/>
          <w:sz w:val="24"/>
          <w:szCs w:val="24"/>
        </w:rPr>
        <w:t xml:space="preserve"> volumes such that </w:t>
      </w:r>
      <w:r w:rsidR="00D448FF" w:rsidRPr="00AD04DA">
        <w:rPr>
          <w:rFonts w:ascii="Times New Roman" w:hAnsi="Times New Roman" w:cs="Times New Roman"/>
          <w:sz w:val="24"/>
          <w:szCs w:val="24"/>
        </w:rPr>
        <w:t>a single feed solution</w:t>
      </w:r>
      <w:r w:rsidR="00FC0029" w:rsidRPr="00AD04DA">
        <w:rPr>
          <w:rFonts w:ascii="Times New Roman" w:hAnsi="Times New Roman" w:cs="Times New Roman"/>
          <w:sz w:val="24"/>
          <w:szCs w:val="24"/>
        </w:rPr>
        <w:t xml:space="preserve"> could </w:t>
      </w:r>
      <w:r w:rsidR="00B364E3" w:rsidRPr="00AD04DA">
        <w:rPr>
          <w:rFonts w:ascii="Times New Roman" w:hAnsi="Times New Roman" w:cs="Times New Roman"/>
          <w:sz w:val="24"/>
          <w:szCs w:val="24"/>
        </w:rPr>
        <w:t>provide the samples</w:t>
      </w:r>
      <w:r w:rsidR="004C7AB9" w:rsidRPr="00AD04DA">
        <w:rPr>
          <w:rFonts w:ascii="Times New Roman" w:hAnsi="Times New Roman" w:cs="Times New Roman"/>
          <w:sz w:val="24"/>
          <w:szCs w:val="24"/>
        </w:rPr>
        <w:t xml:space="preserve"> for</w:t>
      </w:r>
      <w:r w:rsidR="00FC0029" w:rsidRPr="00AD04DA">
        <w:rPr>
          <w:rFonts w:ascii="Times New Roman" w:hAnsi="Times New Roman" w:cs="Times New Roman"/>
          <w:sz w:val="24"/>
          <w:szCs w:val="24"/>
        </w:rPr>
        <w:t xml:space="preserve"> all trials. The appropriate amount of solute to achieve the target feed concentration was weighed, then dissolved into 200 mL DI. Stock solutions were stored in sealed containers in a refrigerator to </w:t>
      </w:r>
      <w:r w:rsidR="00877841" w:rsidRPr="00AD04DA">
        <w:rPr>
          <w:rFonts w:ascii="Times New Roman" w:hAnsi="Times New Roman" w:cs="Times New Roman"/>
          <w:sz w:val="24"/>
          <w:szCs w:val="24"/>
        </w:rPr>
        <w:t>prevent</w:t>
      </w:r>
      <w:r w:rsidR="00FC0029" w:rsidRPr="00AD04DA">
        <w:rPr>
          <w:rFonts w:ascii="Times New Roman" w:hAnsi="Times New Roman" w:cs="Times New Roman"/>
          <w:sz w:val="24"/>
          <w:szCs w:val="24"/>
        </w:rPr>
        <w:t xml:space="preserve"> water evaporation any resulting concentration change.</w:t>
      </w:r>
      <w:r w:rsidR="002159B6" w:rsidRPr="00AD04DA">
        <w:rPr>
          <w:rFonts w:ascii="Times New Roman" w:hAnsi="Times New Roman" w:cs="Times New Roman"/>
          <w:sz w:val="24"/>
          <w:szCs w:val="24"/>
        </w:rPr>
        <w:t xml:space="preserve"> The solutions were allowed to reach room temperature before each use.</w:t>
      </w:r>
      <w:r w:rsidR="00F256A2" w:rsidRPr="00AD04DA">
        <w:rPr>
          <w:rFonts w:ascii="Times New Roman" w:hAnsi="Times New Roman" w:cs="Times New Roman"/>
          <w:sz w:val="24"/>
          <w:szCs w:val="24"/>
        </w:rPr>
        <w:t xml:space="preserve"> Target and actual compositions of all stock solutions can be found in Table A1 in Appendix A: Tabulated Data.</w:t>
      </w:r>
    </w:p>
    <w:p w14:paraId="08B18FFB" w14:textId="6C3000FF" w:rsidR="00B05856" w:rsidRPr="005F1717" w:rsidRDefault="002B16D5" w:rsidP="0091356D">
      <w:pPr>
        <w:pStyle w:val="Heading2"/>
        <w:spacing w:before="0" w:line="480" w:lineRule="auto"/>
        <w:ind w:firstLine="720"/>
        <w:rPr>
          <w:rFonts w:ascii="Times New Roman" w:hAnsi="Times New Roman" w:cs="Times New Roman"/>
          <w:color w:val="000000" w:themeColor="text1"/>
          <w:sz w:val="28"/>
          <w:szCs w:val="28"/>
        </w:rPr>
      </w:pPr>
      <w:bookmarkStart w:id="10" w:name="_Toc100753462"/>
      <w:r w:rsidRPr="005F1717">
        <w:rPr>
          <w:rFonts w:ascii="Times New Roman" w:hAnsi="Times New Roman" w:cs="Times New Roman"/>
          <w:color w:val="000000" w:themeColor="text1"/>
          <w:sz w:val="28"/>
          <w:szCs w:val="28"/>
        </w:rPr>
        <w:t>2</w:t>
      </w:r>
      <w:r w:rsidR="00372845" w:rsidRPr="005F1717">
        <w:rPr>
          <w:rFonts w:ascii="Times New Roman" w:hAnsi="Times New Roman" w:cs="Times New Roman"/>
          <w:color w:val="000000" w:themeColor="text1"/>
          <w:sz w:val="28"/>
          <w:szCs w:val="28"/>
        </w:rPr>
        <w:t>.</w:t>
      </w:r>
      <w:r w:rsidR="000954EE" w:rsidRPr="005F1717">
        <w:rPr>
          <w:rFonts w:ascii="Times New Roman" w:hAnsi="Times New Roman" w:cs="Times New Roman"/>
          <w:color w:val="000000" w:themeColor="text1"/>
          <w:sz w:val="28"/>
          <w:szCs w:val="28"/>
        </w:rPr>
        <w:t>3</w:t>
      </w:r>
      <w:r w:rsidR="00372845" w:rsidRPr="005F1717">
        <w:rPr>
          <w:rFonts w:ascii="Times New Roman" w:hAnsi="Times New Roman" w:cs="Times New Roman"/>
          <w:color w:val="000000" w:themeColor="text1"/>
          <w:sz w:val="28"/>
          <w:szCs w:val="28"/>
        </w:rPr>
        <w:t xml:space="preserve"> Experimental Procedure for Decanoic Acid</w:t>
      </w:r>
      <w:bookmarkEnd w:id="10"/>
    </w:p>
    <w:p w14:paraId="10ACFD24" w14:textId="79DB4D9F" w:rsidR="00B05856" w:rsidRPr="00AD04DA" w:rsidRDefault="00FC0029" w:rsidP="00A87ACD">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The experimental procedure for </w:t>
      </w:r>
      <w:r w:rsidR="00297381" w:rsidRPr="00AD04DA">
        <w:rPr>
          <w:rFonts w:ascii="Times New Roman" w:hAnsi="Times New Roman" w:cs="Times New Roman"/>
          <w:sz w:val="24"/>
          <w:szCs w:val="24"/>
        </w:rPr>
        <w:t xml:space="preserve">studies in which </w:t>
      </w:r>
      <w:r w:rsidRPr="00AD04DA">
        <w:rPr>
          <w:rFonts w:ascii="Times New Roman" w:hAnsi="Times New Roman" w:cs="Times New Roman"/>
          <w:sz w:val="24"/>
          <w:szCs w:val="24"/>
        </w:rPr>
        <w:t xml:space="preserve">DA was </w:t>
      </w:r>
      <w:r w:rsidR="00297381" w:rsidRPr="00AD04DA">
        <w:rPr>
          <w:rFonts w:ascii="Times New Roman" w:hAnsi="Times New Roman" w:cs="Times New Roman"/>
          <w:sz w:val="24"/>
          <w:szCs w:val="24"/>
        </w:rPr>
        <w:t xml:space="preserve">the solvent was </w:t>
      </w:r>
      <w:r w:rsidRPr="00AD04DA">
        <w:rPr>
          <w:rFonts w:ascii="Times New Roman" w:hAnsi="Times New Roman" w:cs="Times New Roman"/>
          <w:sz w:val="24"/>
          <w:szCs w:val="24"/>
        </w:rPr>
        <w:t xml:space="preserve">based on previous work by Guo </w:t>
      </w:r>
      <w:r w:rsidRPr="00AD04DA">
        <w:rPr>
          <w:rFonts w:ascii="Times New Roman" w:hAnsi="Times New Roman" w:cs="Times New Roman"/>
          <w:i/>
          <w:iCs/>
          <w:sz w:val="24"/>
          <w:szCs w:val="24"/>
        </w:rPr>
        <w:t>et al</w:t>
      </w:r>
      <w:r w:rsidRPr="00AD04DA">
        <w:rPr>
          <w:rFonts w:ascii="Times New Roman" w:hAnsi="Times New Roman" w:cs="Times New Roman"/>
          <w:i/>
          <w:iCs/>
          <w:sz w:val="24"/>
          <w:szCs w:val="24"/>
        </w:rPr>
        <w:fldChar w:fldCharType="begin"/>
      </w:r>
      <w:r w:rsidR="00AE4CC3">
        <w:rPr>
          <w:rFonts w:ascii="Times New Roman" w:hAnsi="Times New Roman" w:cs="Times New Roman"/>
          <w:i/>
          <w:iCs/>
          <w:sz w:val="24"/>
          <w:szCs w:val="24"/>
        </w:rPr>
        <w:instrText xml:space="preserve"> ADDIN ZOTERO_ITEM CSL_CITATION {"citationID":"61j35ot5","properties":{"formattedCitation":"\\super 50\\nosupersub{}","plainCitation":"50","noteIndex":0},"citationItems":[{"id":268,"uris":["http://zotero.org/users/8284751/items/V7HQE7DL"],"itemData":{"id":268,"type":"article-journal","abstract":"Arsenic (As) poisoning in water is a critical global problem. Current arsenic removal techniques involving chemical reaction, ion exchange, or membrane processes can be expensive, inaccessible, or infeasible for underdeveloped regions. Here, we demonstrate that by using a so-called a directional solvent extraction (DSE) process arsenic ions in water can be eﬀectively removed without membrane or chemical reaction, and this process promises to utilize low temperature heat (as low as 45 °C). We have tested feedwater with diﬀerent arsenic concentrations and arsenic ions in diﬀerent forms (As-III and As-V) commonly found in nature. It is demonstrated that DSE using decanoic acid as the directional solvent can purify contaminated water to meet the drinking water standard (arsenic concentration &lt;10 parts per billion, ppb), and the arsenic removal eﬃciencies are higher than 91% for As-III and 97% for As-V. DSE can potentially lead to eﬀective arsenic removal technologies with low resource settings.","container-title":"J. Chem. Eng. Data","language":"en","page":"9","source":"Zotero","title":"Direct Arsenic Removal from Water Using Non-Membrane, Low-Temperature Directional Solvent Extraction","author":[{"family":"Guo","given":"Jiaji"},{"family":"Luo","given":"Shirui"},{"family":"Liu","given":"Zeyu"},{"family":"Luo","given":"Tengfei"}],"issued":{"date-parts":[["2020"]]}}}],"schema":"https://github.com/citation-style-language/schema/raw/master/csl-citation.json"} </w:instrText>
      </w:r>
      <w:r w:rsidRPr="00AD04DA">
        <w:rPr>
          <w:rFonts w:ascii="Times New Roman" w:hAnsi="Times New Roman" w:cs="Times New Roman"/>
          <w:i/>
          <w:iCs/>
          <w:sz w:val="24"/>
          <w:szCs w:val="24"/>
        </w:rPr>
        <w:fldChar w:fldCharType="separate"/>
      </w:r>
      <w:r w:rsidR="00855E07" w:rsidRPr="00AD04DA">
        <w:rPr>
          <w:rFonts w:ascii="Times New Roman" w:hAnsi="Times New Roman" w:cs="Times New Roman"/>
          <w:sz w:val="24"/>
          <w:szCs w:val="24"/>
          <w:vertAlign w:val="superscript"/>
        </w:rPr>
        <w:t>50</w:t>
      </w:r>
      <w:r w:rsidRPr="00AD04DA">
        <w:rPr>
          <w:rFonts w:ascii="Times New Roman" w:hAnsi="Times New Roman" w:cs="Times New Roman"/>
          <w:i/>
          <w:iCs/>
          <w:sz w:val="24"/>
          <w:szCs w:val="24"/>
        </w:rPr>
        <w:fldChar w:fldCharType="end"/>
      </w:r>
      <w:r w:rsidRPr="00AD04DA">
        <w:rPr>
          <w:rFonts w:ascii="Times New Roman" w:hAnsi="Times New Roman" w:cs="Times New Roman"/>
          <w:sz w:val="24"/>
          <w:szCs w:val="24"/>
        </w:rPr>
        <w:t xml:space="preserve">. </w:t>
      </w:r>
      <w:r w:rsidR="002159B6" w:rsidRPr="00AD04DA">
        <w:rPr>
          <w:rFonts w:ascii="Times New Roman" w:hAnsi="Times New Roman" w:cs="Times New Roman"/>
          <w:sz w:val="24"/>
          <w:szCs w:val="24"/>
        </w:rPr>
        <w:t xml:space="preserve">10 g DA </w:t>
      </w:r>
      <w:r w:rsidR="009718D5" w:rsidRPr="00AD04DA">
        <w:rPr>
          <w:rFonts w:ascii="Times New Roman" w:hAnsi="Times New Roman" w:cs="Times New Roman"/>
          <w:sz w:val="24"/>
          <w:szCs w:val="24"/>
        </w:rPr>
        <w:t>w</w:t>
      </w:r>
      <w:r w:rsidR="002159B6" w:rsidRPr="00AD04DA">
        <w:rPr>
          <w:rFonts w:ascii="Times New Roman" w:hAnsi="Times New Roman" w:cs="Times New Roman"/>
          <w:sz w:val="24"/>
          <w:szCs w:val="24"/>
        </w:rPr>
        <w:t>as weighed on a balance.</w:t>
      </w:r>
      <w:r w:rsidR="00D566FF" w:rsidRPr="00AD04DA">
        <w:rPr>
          <w:rFonts w:ascii="Times New Roman" w:hAnsi="Times New Roman" w:cs="Times New Roman"/>
          <w:sz w:val="24"/>
          <w:szCs w:val="24"/>
        </w:rPr>
        <w:t xml:space="preserve"> The actual weights for all DA trials can be found in Table A2 in Appendix A: Tabulated Data.</w:t>
      </w:r>
      <w:r w:rsidR="002159B6" w:rsidRPr="00AD04DA">
        <w:rPr>
          <w:rFonts w:ascii="Times New Roman" w:hAnsi="Times New Roman" w:cs="Times New Roman"/>
          <w:sz w:val="24"/>
          <w:szCs w:val="24"/>
        </w:rPr>
        <w:t xml:space="preserve"> Since DA is solid at room temperature, the DA </w:t>
      </w:r>
      <w:r w:rsidR="002159B6" w:rsidRPr="00AD04DA">
        <w:rPr>
          <w:rFonts w:ascii="Times New Roman" w:hAnsi="Times New Roman" w:cs="Times New Roman"/>
          <w:sz w:val="24"/>
          <w:szCs w:val="24"/>
        </w:rPr>
        <w:lastRenderedPageBreak/>
        <w:t>was transferred into a beaker and heated in an oven at 60 °C until completely melted. 10 mL feed solution</w:t>
      </w:r>
      <w:r w:rsidR="005A3993" w:rsidRPr="00AD04DA">
        <w:rPr>
          <w:rFonts w:ascii="Times New Roman" w:hAnsi="Times New Roman" w:cs="Times New Roman"/>
          <w:sz w:val="24"/>
          <w:szCs w:val="24"/>
        </w:rPr>
        <w:t xml:space="preserve"> at ambient temperature (~24 °</w:t>
      </w:r>
      <w:r w:rsidR="00AA77FF" w:rsidRPr="00AD04DA">
        <w:rPr>
          <w:rFonts w:ascii="Times New Roman" w:hAnsi="Times New Roman" w:cs="Times New Roman"/>
          <w:sz w:val="24"/>
          <w:szCs w:val="24"/>
        </w:rPr>
        <w:t>C</w:t>
      </w:r>
      <w:r w:rsidR="005A3993" w:rsidRPr="00AD04DA">
        <w:rPr>
          <w:rFonts w:ascii="Times New Roman" w:hAnsi="Times New Roman" w:cs="Times New Roman"/>
          <w:sz w:val="24"/>
          <w:szCs w:val="24"/>
        </w:rPr>
        <w:t>)</w:t>
      </w:r>
      <w:r w:rsidR="002159B6" w:rsidRPr="00AD04DA">
        <w:rPr>
          <w:rFonts w:ascii="Times New Roman" w:hAnsi="Times New Roman" w:cs="Times New Roman"/>
          <w:sz w:val="24"/>
          <w:szCs w:val="24"/>
        </w:rPr>
        <w:t xml:space="preserve"> was added to a glass vial, followed by the addition of the melted DA. The vial was </w:t>
      </w:r>
      <w:r w:rsidR="007C67CF" w:rsidRPr="00AD04DA">
        <w:rPr>
          <w:rFonts w:ascii="Times New Roman" w:hAnsi="Times New Roman" w:cs="Times New Roman"/>
          <w:sz w:val="24"/>
          <w:szCs w:val="24"/>
        </w:rPr>
        <w:t xml:space="preserve">shaken vigorously, then </w:t>
      </w:r>
      <w:r w:rsidR="002159B6" w:rsidRPr="00AD04DA">
        <w:rPr>
          <w:rFonts w:ascii="Times New Roman" w:hAnsi="Times New Roman" w:cs="Times New Roman"/>
          <w:sz w:val="24"/>
          <w:szCs w:val="24"/>
        </w:rPr>
        <w:t>placed into an oil bath at T</w:t>
      </w:r>
      <w:r w:rsidR="002159B6" w:rsidRPr="00AD04DA">
        <w:rPr>
          <w:rFonts w:ascii="Times New Roman" w:hAnsi="Times New Roman" w:cs="Times New Roman"/>
          <w:sz w:val="24"/>
          <w:szCs w:val="24"/>
          <w:vertAlign w:val="subscript"/>
        </w:rPr>
        <w:t>H</w:t>
      </w:r>
      <w:r w:rsidR="002159B6" w:rsidRPr="00AD04DA">
        <w:rPr>
          <w:rFonts w:ascii="Times New Roman" w:hAnsi="Times New Roman" w:cs="Times New Roman"/>
          <w:sz w:val="24"/>
          <w:szCs w:val="24"/>
        </w:rPr>
        <w:t xml:space="preserve"> of 80 °C </w:t>
      </w:r>
      <w:r w:rsidR="007C67CF" w:rsidRPr="00AD04DA">
        <w:rPr>
          <w:rFonts w:ascii="Times New Roman" w:hAnsi="Times New Roman" w:cs="Times New Roman"/>
          <w:sz w:val="24"/>
          <w:szCs w:val="24"/>
        </w:rPr>
        <w:t xml:space="preserve">for </w:t>
      </w:r>
      <w:r w:rsidR="00B466C0" w:rsidRPr="00AD04DA">
        <w:rPr>
          <w:rFonts w:ascii="Times New Roman" w:hAnsi="Times New Roman" w:cs="Times New Roman"/>
          <w:sz w:val="24"/>
          <w:szCs w:val="24"/>
        </w:rPr>
        <w:t xml:space="preserve">24 hours. Following the draw </w:t>
      </w:r>
      <w:r w:rsidR="00D566FF" w:rsidRPr="00AD04DA">
        <w:rPr>
          <w:rFonts w:ascii="Times New Roman" w:hAnsi="Times New Roman" w:cs="Times New Roman"/>
          <w:sz w:val="24"/>
          <w:szCs w:val="24"/>
        </w:rPr>
        <w:t>step</w:t>
      </w:r>
      <w:r w:rsidR="00B466C0" w:rsidRPr="00AD04DA">
        <w:rPr>
          <w:rFonts w:ascii="Times New Roman" w:hAnsi="Times New Roman" w:cs="Times New Roman"/>
          <w:sz w:val="24"/>
          <w:szCs w:val="24"/>
        </w:rPr>
        <w:t xml:space="preserve">, the water-rich organic phase, which was the light phase of the solution, </w:t>
      </w:r>
      <w:r w:rsidR="00555C07" w:rsidRPr="00AD04DA">
        <w:rPr>
          <w:rFonts w:ascii="Times New Roman" w:hAnsi="Times New Roman" w:cs="Times New Roman"/>
          <w:sz w:val="24"/>
          <w:szCs w:val="24"/>
        </w:rPr>
        <w:t xml:space="preserve">was pipetted into a </w:t>
      </w:r>
      <w:r w:rsidR="004263FE" w:rsidRPr="00AD04DA">
        <w:rPr>
          <w:rFonts w:ascii="Times New Roman" w:hAnsi="Times New Roman" w:cs="Times New Roman"/>
          <w:sz w:val="24"/>
          <w:szCs w:val="24"/>
        </w:rPr>
        <w:t>test tube</w:t>
      </w:r>
      <w:r w:rsidR="00555C07" w:rsidRPr="00AD04DA">
        <w:rPr>
          <w:rFonts w:ascii="Times New Roman" w:hAnsi="Times New Roman" w:cs="Times New Roman"/>
          <w:sz w:val="24"/>
          <w:szCs w:val="24"/>
        </w:rPr>
        <w:t xml:space="preserve">. A thin layer of DA was intentionally not transferred to ensure no feed was drawn into the pipet. The </w:t>
      </w:r>
      <w:r w:rsidR="004263FE" w:rsidRPr="00AD04DA">
        <w:rPr>
          <w:rFonts w:ascii="Times New Roman" w:hAnsi="Times New Roman" w:cs="Times New Roman"/>
          <w:sz w:val="24"/>
          <w:szCs w:val="24"/>
        </w:rPr>
        <w:t>test tube</w:t>
      </w:r>
      <w:r w:rsidR="00555C07" w:rsidRPr="00AD04DA">
        <w:rPr>
          <w:rFonts w:ascii="Times New Roman" w:hAnsi="Times New Roman" w:cs="Times New Roman"/>
          <w:sz w:val="24"/>
          <w:szCs w:val="24"/>
        </w:rPr>
        <w:t xml:space="preserve"> was placed into an oil bath at T</w:t>
      </w:r>
      <w:r w:rsidR="00555C07" w:rsidRPr="00AD04DA">
        <w:rPr>
          <w:rFonts w:ascii="Times New Roman" w:hAnsi="Times New Roman" w:cs="Times New Roman"/>
          <w:sz w:val="24"/>
          <w:szCs w:val="24"/>
          <w:vertAlign w:val="subscript"/>
        </w:rPr>
        <w:t xml:space="preserve">C </w:t>
      </w:r>
      <w:r w:rsidR="00555C07" w:rsidRPr="00AD04DA">
        <w:rPr>
          <w:rFonts w:ascii="Times New Roman" w:hAnsi="Times New Roman" w:cs="Times New Roman"/>
          <w:sz w:val="24"/>
          <w:szCs w:val="24"/>
        </w:rPr>
        <w:t xml:space="preserve">of 35 °C for 72 hours to allow </w:t>
      </w:r>
      <w:r w:rsidR="0074189D" w:rsidRPr="00AD04DA">
        <w:rPr>
          <w:rFonts w:ascii="Times New Roman" w:hAnsi="Times New Roman" w:cs="Times New Roman"/>
          <w:sz w:val="24"/>
          <w:szCs w:val="24"/>
        </w:rPr>
        <w:t>an aqueous phase to precipitate from the organic</w:t>
      </w:r>
      <w:r w:rsidR="00555C07" w:rsidRPr="00AD04DA">
        <w:rPr>
          <w:rFonts w:ascii="Times New Roman" w:hAnsi="Times New Roman" w:cs="Times New Roman"/>
          <w:sz w:val="24"/>
          <w:szCs w:val="24"/>
        </w:rPr>
        <w:t xml:space="preserve">. </w:t>
      </w:r>
      <w:r w:rsidR="001A2778" w:rsidRPr="00AD04DA">
        <w:rPr>
          <w:rFonts w:ascii="Times New Roman" w:hAnsi="Times New Roman" w:cs="Times New Roman"/>
          <w:sz w:val="24"/>
          <w:szCs w:val="24"/>
        </w:rPr>
        <w:t>After precipitation, the DA was pipetted back into the original vial and the extraction process was repeated two more times for a total of three extractions per feed. The volume of the product water was determined</w:t>
      </w:r>
      <w:r w:rsidR="00B81544" w:rsidRPr="00AD04DA">
        <w:rPr>
          <w:rFonts w:ascii="Times New Roman" w:hAnsi="Times New Roman" w:cs="Times New Roman"/>
          <w:sz w:val="24"/>
          <w:szCs w:val="24"/>
        </w:rPr>
        <w:t>.</w:t>
      </w:r>
      <w:r w:rsidR="00A87ACD" w:rsidRPr="00AD04DA">
        <w:rPr>
          <w:rFonts w:ascii="Times New Roman" w:hAnsi="Times New Roman" w:cs="Times New Roman"/>
          <w:sz w:val="24"/>
          <w:szCs w:val="24"/>
        </w:rPr>
        <w:t xml:space="preserve"> </w:t>
      </w:r>
      <w:r w:rsidR="00D54809" w:rsidRPr="00AD04DA">
        <w:rPr>
          <w:rFonts w:ascii="Times New Roman" w:hAnsi="Times New Roman" w:cs="Times New Roman"/>
          <w:sz w:val="24"/>
          <w:szCs w:val="24"/>
        </w:rPr>
        <w:t xml:space="preserve">Figure </w:t>
      </w:r>
      <w:r w:rsidR="00AA33FB" w:rsidRPr="00AD04DA">
        <w:rPr>
          <w:rFonts w:ascii="Times New Roman" w:hAnsi="Times New Roman" w:cs="Times New Roman"/>
          <w:sz w:val="24"/>
          <w:szCs w:val="24"/>
        </w:rPr>
        <w:t>6</w:t>
      </w:r>
      <w:r w:rsidR="00D54809" w:rsidRPr="00AD04DA">
        <w:rPr>
          <w:rFonts w:ascii="Times New Roman" w:hAnsi="Times New Roman" w:cs="Times New Roman"/>
          <w:sz w:val="24"/>
          <w:szCs w:val="24"/>
        </w:rPr>
        <w:t xml:space="preserve"> shows the procedure with temperatures labeled for DA trials.</w:t>
      </w:r>
    </w:p>
    <w:p w14:paraId="4EDDD00B" w14:textId="3A0D78B9" w:rsidR="00174544" w:rsidRPr="00AD04DA" w:rsidRDefault="00D54809" w:rsidP="00D54809">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drawing>
          <wp:inline distT="0" distB="0" distL="0" distR="0" wp14:anchorId="5002D474" wp14:editId="4C9638CA">
            <wp:extent cx="4896469" cy="3009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8660" cy="3011247"/>
                    </a:xfrm>
                    <a:prstGeom prst="rect">
                      <a:avLst/>
                    </a:prstGeom>
                    <a:noFill/>
                  </pic:spPr>
                </pic:pic>
              </a:graphicData>
            </a:graphic>
          </wp:inline>
        </w:drawing>
      </w:r>
    </w:p>
    <w:p w14:paraId="31DD14CB" w14:textId="4B387F5B" w:rsidR="00D54809" w:rsidRPr="00AD04DA" w:rsidRDefault="00D54809" w:rsidP="00D54809">
      <w:pPr>
        <w:spacing w:line="48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AA33FB" w:rsidRPr="00AD04DA">
        <w:rPr>
          <w:rFonts w:ascii="Times New Roman" w:hAnsi="Times New Roman" w:cs="Times New Roman"/>
          <w:b/>
          <w:bCs/>
          <w:sz w:val="24"/>
          <w:szCs w:val="24"/>
        </w:rPr>
        <w:t>6</w:t>
      </w:r>
      <w:r w:rsidRPr="00AD04DA">
        <w:rPr>
          <w:rFonts w:ascii="Times New Roman" w:hAnsi="Times New Roman" w:cs="Times New Roman"/>
          <w:b/>
          <w:bCs/>
          <w:sz w:val="24"/>
          <w:szCs w:val="24"/>
        </w:rPr>
        <w:t xml:space="preserve">: </w:t>
      </w:r>
      <w:r w:rsidRPr="00AD04DA">
        <w:rPr>
          <w:rFonts w:ascii="Times New Roman" w:hAnsi="Times New Roman" w:cs="Times New Roman"/>
          <w:sz w:val="24"/>
          <w:szCs w:val="24"/>
        </w:rPr>
        <w:t>TSSE process for DA. The draw step is performed at 80 °C and the precipitation at 35 °C.</w:t>
      </w:r>
    </w:p>
    <w:p w14:paraId="517A9243" w14:textId="77777777" w:rsidR="002A6AE1" w:rsidRPr="00AD04DA" w:rsidRDefault="002A6AE1" w:rsidP="00D54809">
      <w:pPr>
        <w:spacing w:line="480" w:lineRule="auto"/>
        <w:jc w:val="center"/>
        <w:rPr>
          <w:rFonts w:ascii="Times New Roman" w:hAnsi="Times New Roman" w:cs="Times New Roman"/>
          <w:sz w:val="24"/>
          <w:szCs w:val="24"/>
        </w:rPr>
      </w:pPr>
    </w:p>
    <w:p w14:paraId="1BEAC9E6" w14:textId="778472F9" w:rsidR="00B05856" w:rsidRPr="001A5DA0" w:rsidRDefault="002B16D5" w:rsidP="0091356D">
      <w:pPr>
        <w:pStyle w:val="Heading2"/>
        <w:spacing w:before="0" w:line="480" w:lineRule="auto"/>
        <w:ind w:firstLine="720"/>
        <w:jc w:val="both"/>
        <w:rPr>
          <w:rFonts w:ascii="Times New Roman" w:hAnsi="Times New Roman" w:cs="Times New Roman"/>
          <w:color w:val="000000" w:themeColor="text1"/>
          <w:sz w:val="28"/>
          <w:szCs w:val="28"/>
        </w:rPr>
      </w:pPr>
      <w:bookmarkStart w:id="11" w:name="_Toc100753463"/>
      <w:r w:rsidRPr="001A5DA0">
        <w:rPr>
          <w:rFonts w:ascii="Times New Roman" w:hAnsi="Times New Roman" w:cs="Times New Roman"/>
          <w:color w:val="000000" w:themeColor="text1"/>
          <w:sz w:val="28"/>
          <w:szCs w:val="28"/>
        </w:rPr>
        <w:lastRenderedPageBreak/>
        <w:t>2</w:t>
      </w:r>
      <w:r w:rsidR="00372845" w:rsidRPr="001A5DA0">
        <w:rPr>
          <w:rFonts w:ascii="Times New Roman" w:hAnsi="Times New Roman" w:cs="Times New Roman"/>
          <w:color w:val="000000" w:themeColor="text1"/>
          <w:sz w:val="28"/>
          <w:szCs w:val="28"/>
        </w:rPr>
        <w:t>.</w:t>
      </w:r>
      <w:r w:rsidR="000954EE" w:rsidRPr="001A5DA0">
        <w:rPr>
          <w:rFonts w:ascii="Times New Roman" w:hAnsi="Times New Roman" w:cs="Times New Roman"/>
          <w:color w:val="000000" w:themeColor="text1"/>
          <w:sz w:val="28"/>
          <w:szCs w:val="28"/>
        </w:rPr>
        <w:t>4</w:t>
      </w:r>
      <w:r w:rsidR="00372845" w:rsidRPr="001A5DA0">
        <w:rPr>
          <w:rFonts w:ascii="Times New Roman" w:hAnsi="Times New Roman" w:cs="Times New Roman"/>
          <w:color w:val="000000" w:themeColor="text1"/>
          <w:sz w:val="28"/>
          <w:szCs w:val="28"/>
        </w:rPr>
        <w:t xml:space="preserve"> Experimental Procedure for Diisopropylamine</w:t>
      </w:r>
      <w:bookmarkEnd w:id="11"/>
    </w:p>
    <w:p w14:paraId="020FE1FC" w14:textId="685483E6" w:rsidR="00DF5994" w:rsidRPr="00AD04DA" w:rsidRDefault="00297381" w:rsidP="00017450">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The experimental procedure for studies in which diisopropylamine (DPA) was the solvent was based on previous work by Boo </w:t>
      </w:r>
      <w:r w:rsidRPr="00AD04DA">
        <w:rPr>
          <w:rFonts w:ascii="Times New Roman" w:hAnsi="Times New Roman" w:cs="Times New Roman"/>
          <w:i/>
          <w:iCs/>
          <w:sz w:val="24"/>
          <w:szCs w:val="24"/>
        </w:rPr>
        <w:t>et al</w:t>
      </w:r>
      <w:r w:rsidRPr="00AD04DA">
        <w:rPr>
          <w:rFonts w:ascii="Times New Roman" w:hAnsi="Times New Roman" w:cs="Times New Roman"/>
          <w:i/>
          <w:iCs/>
          <w:sz w:val="24"/>
          <w:szCs w:val="24"/>
        </w:rPr>
        <w:fldChar w:fldCharType="begin"/>
      </w:r>
      <w:r w:rsidR="00AE4CC3">
        <w:rPr>
          <w:rFonts w:ascii="Times New Roman" w:hAnsi="Times New Roman" w:cs="Times New Roman"/>
          <w:i/>
          <w:iCs/>
          <w:sz w:val="24"/>
          <w:szCs w:val="24"/>
        </w:rPr>
        <w:instrText xml:space="preserve"> ADDIN ZOTERO_ITEM CSL_CITATION {"citationID":"wlFh0iSW","properties":{"formattedCitation":"\\super 51\\nosupersub{}","plainCitation":"51","noteIndex":0},"citationItems":[{"id":681,"uris":["http://zotero.org/users/8284751/items/R5QC862F"],"itemData":{"id":681,"type":"article-journal","abstract":"Hypersaline brines are of growing environmental importance but are technologically under-served by today’s desalination methods. Temperature swing solvent extraction (TSSE) is a radically diﬀerent desalination technology that is membrane-less and not based on evaporative phase change. TSSE utilizes lowtemperature heat and a low-polarity solvent with temperature-dependent water solubility for the selective extraction of water over salt from saline feeds. This study demonstrates TSSE desalination of high-salinity brines simulated by NaCl solutions with three amine solvents: diisopropylamine (DIPA), N-ethylcyclohexylamine (ECHA), and N,N-dimethylcyclohexylamine (DMCHA). We show that TSSE can desalinate brines with salinities as high as ≈234000 ppm total dissolved solids (i.e., 4.0 M NaCl) and achieve salt removals up to 98.4%. Among the solvents, DIPA exhibited the highest water extraction eﬃciency whereas ECHA and DMCHA produced water with the lowest salt content and solvent residue content, respectively. Lastly, a high water recovery of &gt;50% was demonstrated for TSSE desalination of 1.5 M NaCl brine using DIPA in semibatch experiments with multiple extraction cycles. This study underscores the unique capabilities of TSSE for the desalination of hypersaline brines.","container-title":"Environmental Science &amp; Technology Letters","DOI":"10.1021/acs.estlett.9b00182","ISSN":"2328-8930, 2328-8930","issue":"6","journalAbbreviation":"Environ. Sci. Technol. Lett.","language":"en","page":"359-364","source":"DOI.org (Crossref)","title":"Membrane-less and Non-Evaporative Desalination of Hypersaline Brines by Temperature Swing Solvent Extraction","volume":"6","author":[{"family":"Boo","given":"Chanhee"},{"family":"Winton","given":"Robert K."},{"family":"Conway","given":"Kelly M."},{"family":"Yip","given":"Ngai Yin"}],"issued":{"date-parts":[["2019",6,11]]}}}],"schema":"https://github.com/citation-style-language/schema/raw/master/csl-citation.json"} </w:instrText>
      </w:r>
      <w:r w:rsidRPr="00AD04DA">
        <w:rPr>
          <w:rFonts w:ascii="Times New Roman" w:hAnsi="Times New Roman" w:cs="Times New Roman"/>
          <w:i/>
          <w:iCs/>
          <w:sz w:val="24"/>
          <w:szCs w:val="24"/>
        </w:rPr>
        <w:fldChar w:fldCharType="separate"/>
      </w:r>
      <w:r w:rsidR="00855E07" w:rsidRPr="00AD04DA">
        <w:rPr>
          <w:rFonts w:ascii="Times New Roman" w:hAnsi="Times New Roman" w:cs="Times New Roman"/>
          <w:sz w:val="24"/>
          <w:szCs w:val="24"/>
          <w:vertAlign w:val="superscript"/>
        </w:rPr>
        <w:t>51</w:t>
      </w:r>
      <w:r w:rsidRPr="00AD04DA">
        <w:rPr>
          <w:rFonts w:ascii="Times New Roman" w:hAnsi="Times New Roman" w:cs="Times New Roman"/>
          <w:i/>
          <w:iCs/>
          <w:sz w:val="24"/>
          <w:szCs w:val="24"/>
        </w:rPr>
        <w:fldChar w:fldCharType="end"/>
      </w:r>
      <w:r w:rsidRPr="00AD04DA">
        <w:rPr>
          <w:rFonts w:ascii="Times New Roman" w:hAnsi="Times New Roman" w:cs="Times New Roman"/>
          <w:sz w:val="24"/>
          <w:szCs w:val="24"/>
        </w:rPr>
        <w:t xml:space="preserve">. </w:t>
      </w:r>
      <w:r w:rsidR="00611D77" w:rsidRPr="00AD04DA">
        <w:rPr>
          <w:rFonts w:ascii="Times New Roman" w:hAnsi="Times New Roman" w:cs="Times New Roman"/>
          <w:sz w:val="24"/>
          <w:szCs w:val="24"/>
        </w:rPr>
        <w:t xml:space="preserve">10 mL feed solution was added to a glass vial with 10 </w:t>
      </w:r>
      <w:r w:rsidR="00683818" w:rsidRPr="00AD04DA">
        <w:rPr>
          <w:rFonts w:ascii="Times New Roman" w:hAnsi="Times New Roman" w:cs="Times New Roman"/>
          <w:sz w:val="24"/>
          <w:szCs w:val="24"/>
        </w:rPr>
        <w:t>mL</w:t>
      </w:r>
      <w:r w:rsidR="00611D77" w:rsidRPr="00AD04DA">
        <w:rPr>
          <w:rFonts w:ascii="Times New Roman" w:hAnsi="Times New Roman" w:cs="Times New Roman"/>
          <w:sz w:val="24"/>
          <w:szCs w:val="24"/>
        </w:rPr>
        <w:t xml:space="preserve"> DPA. The vials were shaken gently, then placed in an oil bath at T</w:t>
      </w:r>
      <w:r w:rsidR="00611D77" w:rsidRPr="00AD04DA">
        <w:rPr>
          <w:rFonts w:ascii="Times New Roman" w:hAnsi="Times New Roman" w:cs="Times New Roman"/>
          <w:sz w:val="24"/>
          <w:szCs w:val="24"/>
          <w:vertAlign w:val="subscript"/>
        </w:rPr>
        <w:t xml:space="preserve">C </w:t>
      </w:r>
      <w:r w:rsidR="00611D77" w:rsidRPr="00AD04DA">
        <w:rPr>
          <w:rFonts w:ascii="Times New Roman" w:hAnsi="Times New Roman" w:cs="Times New Roman"/>
          <w:sz w:val="24"/>
          <w:szCs w:val="24"/>
        </w:rPr>
        <w:t>of 15 °C for 2h.</w:t>
      </w:r>
      <w:r w:rsidR="00F32634" w:rsidRPr="00AD04DA">
        <w:rPr>
          <w:rFonts w:ascii="Times New Roman" w:hAnsi="Times New Roman" w:cs="Times New Roman"/>
          <w:sz w:val="24"/>
          <w:szCs w:val="24"/>
        </w:rPr>
        <w:t xml:space="preserve"> Next, the water-rich organic phase, which was the light phase of the sample, was carefully pipetted into a separate glass vial. A layer of DPA was intentionally not transferred to avoid drawing feed into the pipet. </w:t>
      </w:r>
      <w:r w:rsidR="004263FE" w:rsidRPr="00AD04DA">
        <w:rPr>
          <w:rFonts w:ascii="Times New Roman" w:hAnsi="Times New Roman" w:cs="Times New Roman"/>
          <w:sz w:val="24"/>
          <w:szCs w:val="24"/>
        </w:rPr>
        <w:t>The new vial was placed in an oil bath at T</w:t>
      </w:r>
      <w:r w:rsidR="004263FE" w:rsidRPr="00AD04DA">
        <w:rPr>
          <w:rFonts w:ascii="Times New Roman" w:hAnsi="Times New Roman" w:cs="Times New Roman"/>
          <w:sz w:val="24"/>
          <w:szCs w:val="24"/>
          <w:vertAlign w:val="subscript"/>
        </w:rPr>
        <w:t>H</w:t>
      </w:r>
      <w:r w:rsidR="004263FE" w:rsidRPr="00AD04DA">
        <w:rPr>
          <w:rFonts w:ascii="Times New Roman" w:hAnsi="Times New Roman" w:cs="Times New Roman"/>
          <w:sz w:val="24"/>
          <w:szCs w:val="24"/>
        </w:rPr>
        <w:t xml:space="preserve"> of 65 °C to drive precipitation. After </w:t>
      </w:r>
      <w:r w:rsidR="008B2FCE" w:rsidRPr="00AD04DA">
        <w:rPr>
          <w:rFonts w:ascii="Times New Roman" w:hAnsi="Times New Roman" w:cs="Times New Roman"/>
          <w:sz w:val="24"/>
          <w:szCs w:val="24"/>
        </w:rPr>
        <w:t>two</w:t>
      </w:r>
      <w:r w:rsidR="004263FE" w:rsidRPr="00AD04DA">
        <w:rPr>
          <w:rFonts w:ascii="Times New Roman" w:hAnsi="Times New Roman" w:cs="Times New Roman"/>
          <w:sz w:val="24"/>
          <w:szCs w:val="24"/>
        </w:rPr>
        <w:t xml:space="preserve"> hours, the DPA was pipetted back into the original vial and the extraction process was repeated two more times for a total of three extractions per feed. The volume of product water was determined.</w:t>
      </w:r>
      <w:r w:rsidR="00017450" w:rsidRPr="00AD04DA">
        <w:rPr>
          <w:rFonts w:ascii="Times New Roman" w:hAnsi="Times New Roman" w:cs="Times New Roman"/>
          <w:sz w:val="24"/>
          <w:szCs w:val="24"/>
        </w:rPr>
        <w:t xml:space="preserve"> </w:t>
      </w:r>
      <w:r w:rsidR="00565786" w:rsidRPr="00AD04DA">
        <w:rPr>
          <w:rFonts w:ascii="Times New Roman" w:hAnsi="Times New Roman" w:cs="Times New Roman"/>
          <w:sz w:val="24"/>
          <w:szCs w:val="24"/>
        </w:rPr>
        <w:t xml:space="preserve">Figure </w:t>
      </w:r>
      <w:r w:rsidR="00AA33FB" w:rsidRPr="00AD04DA">
        <w:rPr>
          <w:rFonts w:ascii="Times New Roman" w:hAnsi="Times New Roman" w:cs="Times New Roman"/>
          <w:sz w:val="24"/>
          <w:szCs w:val="24"/>
        </w:rPr>
        <w:t>7</w:t>
      </w:r>
      <w:r w:rsidR="00565786" w:rsidRPr="00AD04DA">
        <w:rPr>
          <w:rFonts w:ascii="Times New Roman" w:hAnsi="Times New Roman" w:cs="Times New Roman"/>
          <w:sz w:val="24"/>
          <w:szCs w:val="24"/>
        </w:rPr>
        <w:t xml:space="preserve"> shows the procedure with temperatures labeled for DPA trials.</w:t>
      </w:r>
    </w:p>
    <w:p w14:paraId="0BA76B06" w14:textId="0F1B2CBF" w:rsidR="00174544" w:rsidRPr="00AD04DA" w:rsidRDefault="00565786" w:rsidP="00565786">
      <w:pPr>
        <w:spacing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drawing>
          <wp:inline distT="0" distB="0" distL="0" distR="0" wp14:anchorId="270F7536" wp14:editId="3262B088">
            <wp:extent cx="4038600" cy="248256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41517" cy="2484354"/>
                    </a:xfrm>
                    <a:prstGeom prst="rect">
                      <a:avLst/>
                    </a:prstGeom>
                    <a:noFill/>
                  </pic:spPr>
                </pic:pic>
              </a:graphicData>
            </a:graphic>
          </wp:inline>
        </w:drawing>
      </w:r>
    </w:p>
    <w:p w14:paraId="2641F3F3" w14:textId="05FAC6F9" w:rsidR="002A6AE1" w:rsidRPr="00AD04DA" w:rsidRDefault="00565786" w:rsidP="00017450">
      <w:pPr>
        <w:spacing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AA33FB" w:rsidRPr="00AD04DA">
        <w:rPr>
          <w:rFonts w:ascii="Times New Roman" w:hAnsi="Times New Roman" w:cs="Times New Roman"/>
          <w:b/>
          <w:bCs/>
          <w:sz w:val="24"/>
          <w:szCs w:val="24"/>
        </w:rPr>
        <w:t>7</w:t>
      </w:r>
      <w:r w:rsidRPr="00AD04DA">
        <w:rPr>
          <w:rFonts w:ascii="Times New Roman" w:hAnsi="Times New Roman" w:cs="Times New Roman"/>
          <w:b/>
          <w:bCs/>
          <w:sz w:val="24"/>
          <w:szCs w:val="24"/>
        </w:rPr>
        <w:t>:</w:t>
      </w:r>
      <w:r w:rsidRPr="00AD04DA">
        <w:rPr>
          <w:rFonts w:ascii="Times New Roman" w:hAnsi="Times New Roman" w:cs="Times New Roman"/>
          <w:sz w:val="24"/>
          <w:szCs w:val="24"/>
        </w:rPr>
        <w:t xml:space="preserve"> TSSE process for DPA. The draw step is performed at 15 °C and the precipitation at 65 °C.</w:t>
      </w:r>
    </w:p>
    <w:p w14:paraId="00AFE3A0" w14:textId="74ACE213" w:rsidR="00017450" w:rsidRPr="00AD04DA" w:rsidRDefault="00017450" w:rsidP="00017450">
      <w:pPr>
        <w:spacing w:line="240" w:lineRule="auto"/>
        <w:jc w:val="center"/>
        <w:rPr>
          <w:rFonts w:ascii="Times New Roman" w:hAnsi="Times New Roman" w:cs="Times New Roman"/>
          <w:sz w:val="24"/>
          <w:szCs w:val="24"/>
        </w:rPr>
      </w:pPr>
    </w:p>
    <w:p w14:paraId="2769F86D" w14:textId="36E07020" w:rsidR="00017450" w:rsidRPr="00AD04DA" w:rsidRDefault="00017450" w:rsidP="00017450">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For DPA and DA</w:t>
      </w:r>
      <w:r w:rsidR="00C55EFA" w:rsidRPr="00AD04DA">
        <w:rPr>
          <w:rFonts w:ascii="Times New Roman" w:hAnsi="Times New Roman" w:cs="Times New Roman"/>
          <w:sz w:val="24"/>
          <w:szCs w:val="24"/>
        </w:rPr>
        <w:t xml:space="preserve"> extracted</w:t>
      </w:r>
      <w:r w:rsidRPr="00AD04DA">
        <w:rPr>
          <w:rFonts w:ascii="Times New Roman" w:hAnsi="Times New Roman" w:cs="Times New Roman"/>
          <w:sz w:val="24"/>
          <w:szCs w:val="24"/>
        </w:rPr>
        <w:t xml:space="preserve"> samples, chemical analysis of the product water was conducted as soon as possible. When necessary, the product water samples were stored in a sealed container </w:t>
      </w:r>
      <w:r w:rsidRPr="00AD04DA">
        <w:rPr>
          <w:rFonts w:ascii="Times New Roman" w:hAnsi="Times New Roman" w:cs="Times New Roman"/>
          <w:sz w:val="24"/>
          <w:szCs w:val="24"/>
        </w:rPr>
        <w:lastRenderedPageBreak/>
        <w:t>in the refrigerator. All trials were repeated three times, and the results are reported as mean ± standard deviation.</w:t>
      </w:r>
    </w:p>
    <w:p w14:paraId="42B8DFAC" w14:textId="001AFBFE" w:rsidR="00372845" w:rsidRPr="00D006C9" w:rsidRDefault="002B16D5" w:rsidP="0091356D">
      <w:pPr>
        <w:pStyle w:val="Heading2"/>
        <w:spacing w:before="0" w:line="480" w:lineRule="auto"/>
        <w:ind w:firstLine="720"/>
        <w:rPr>
          <w:rFonts w:ascii="Times New Roman" w:hAnsi="Times New Roman" w:cs="Times New Roman"/>
          <w:color w:val="000000" w:themeColor="text1"/>
          <w:sz w:val="28"/>
          <w:szCs w:val="28"/>
        </w:rPr>
      </w:pPr>
      <w:bookmarkStart w:id="12" w:name="_Toc100753464"/>
      <w:r w:rsidRPr="00D006C9">
        <w:rPr>
          <w:rFonts w:ascii="Times New Roman" w:hAnsi="Times New Roman" w:cs="Times New Roman"/>
          <w:color w:val="000000" w:themeColor="text1"/>
          <w:sz w:val="28"/>
          <w:szCs w:val="28"/>
        </w:rPr>
        <w:t>2</w:t>
      </w:r>
      <w:r w:rsidR="00372845" w:rsidRPr="00D006C9">
        <w:rPr>
          <w:rFonts w:ascii="Times New Roman" w:hAnsi="Times New Roman" w:cs="Times New Roman"/>
          <w:color w:val="000000" w:themeColor="text1"/>
          <w:sz w:val="28"/>
          <w:szCs w:val="28"/>
        </w:rPr>
        <w:t>.</w:t>
      </w:r>
      <w:r w:rsidR="000954EE" w:rsidRPr="00D006C9">
        <w:rPr>
          <w:rFonts w:ascii="Times New Roman" w:hAnsi="Times New Roman" w:cs="Times New Roman"/>
          <w:color w:val="000000" w:themeColor="text1"/>
          <w:sz w:val="28"/>
          <w:szCs w:val="28"/>
        </w:rPr>
        <w:t>5</w:t>
      </w:r>
      <w:r w:rsidR="00372845" w:rsidRPr="00D006C9">
        <w:rPr>
          <w:rFonts w:ascii="Times New Roman" w:hAnsi="Times New Roman" w:cs="Times New Roman"/>
          <w:color w:val="000000" w:themeColor="text1"/>
          <w:sz w:val="28"/>
          <w:szCs w:val="28"/>
        </w:rPr>
        <w:t xml:space="preserve"> </w:t>
      </w:r>
      <w:r w:rsidR="006B29A6" w:rsidRPr="00D006C9">
        <w:rPr>
          <w:rFonts w:ascii="Times New Roman" w:hAnsi="Times New Roman" w:cs="Times New Roman"/>
          <w:color w:val="000000" w:themeColor="text1"/>
          <w:sz w:val="28"/>
          <w:szCs w:val="28"/>
        </w:rPr>
        <w:t>Conductivity Measurements</w:t>
      </w:r>
      <w:bookmarkEnd w:id="12"/>
    </w:p>
    <w:p w14:paraId="3DECCC15" w14:textId="1F725A7C" w:rsidR="00EC3E3F" w:rsidRPr="00AD04DA" w:rsidRDefault="00EC3E3F" w:rsidP="00EC3E3F">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The NaCl concentration of the product water was determined via conductivity measurements with a Thermo scientific Orion Star A212 Conductivity Benchtop Meter.</w:t>
      </w:r>
      <w:r w:rsidR="00414ABF" w:rsidRPr="00AD04DA">
        <w:rPr>
          <w:rFonts w:ascii="Times New Roman" w:hAnsi="Times New Roman" w:cs="Times New Roman"/>
          <w:sz w:val="24"/>
          <w:szCs w:val="24"/>
        </w:rPr>
        <w:t xml:space="preserve"> A calibration curve was created with calibration standards. </w:t>
      </w:r>
    </w:p>
    <w:p w14:paraId="18DE2DF3" w14:textId="2DEB3A14" w:rsidR="001E434D" w:rsidRPr="00AD04DA" w:rsidRDefault="000F3DAA" w:rsidP="00243CA1">
      <w:pPr>
        <w:spacing w:after="0" w:line="480" w:lineRule="auto"/>
        <w:jc w:val="both"/>
        <w:rPr>
          <w:rFonts w:ascii="Times New Roman" w:eastAsiaTheme="minorEastAsia" w:hAnsi="Times New Roman" w:cs="Times New Roman"/>
          <w:color w:val="000000" w:themeColor="text1"/>
          <w:sz w:val="24"/>
          <w:szCs w:val="24"/>
        </w:rPr>
      </w:pPr>
      <w:r w:rsidRPr="00AD04DA">
        <w:rPr>
          <w:rFonts w:ascii="Times New Roman" w:eastAsiaTheme="minorEastAsia" w:hAnsi="Times New Roman" w:cs="Times New Roman"/>
          <w:sz w:val="24"/>
          <w:szCs w:val="24"/>
        </w:rPr>
        <w:tab/>
        <w:t>DPA in the product water created interference in conductivity readings. To ensure</w:t>
      </w:r>
      <w:r w:rsidR="00BC5EF8" w:rsidRPr="00AD04DA">
        <w:rPr>
          <w:rFonts w:ascii="Times New Roman" w:eastAsiaTheme="minorEastAsia" w:hAnsi="Times New Roman" w:cs="Times New Roman"/>
          <w:sz w:val="24"/>
          <w:szCs w:val="24"/>
        </w:rPr>
        <w:t xml:space="preserve"> reliable</w:t>
      </w:r>
      <w:r w:rsidRPr="00AD04DA">
        <w:rPr>
          <w:rFonts w:ascii="Times New Roman" w:eastAsiaTheme="minorEastAsia" w:hAnsi="Times New Roman" w:cs="Times New Roman"/>
          <w:sz w:val="24"/>
          <w:szCs w:val="24"/>
        </w:rPr>
        <w:t xml:space="preserve"> </w:t>
      </w:r>
      <w:r w:rsidR="00163CA1" w:rsidRPr="00AD04DA">
        <w:rPr>
          <w:rFonts w:ascii="Times New Roman" w:eastAsiaTheme="minorEastAsia" w:hAnsi="Times New Roman" w:cs="Times New Roman"/>
          <w:sz w:val="24"/>
          <w:szCs w:val="24"/>
        </w:rPr>
        <w:t xml:space="preserve">NaCl concentration </w:t>
      </w:r>
      <w:r w:rsidR="00BC5EF8" w:rsidRPr="00AD04DA">
        <w:rPr>
          <w:rFonts w:ascii="Times New Roman" w:eastAsiaTheme="minorEastAsia" w:hAnsi="Times New Roman" w:cs="Times New Roman"/>
          <w:sz w:val="24"/>
          <w:szCs w:val="24"/>
        </w:rPr>
        <w:t>results</w:t>
      </w:r>
      <w:r w:rsidR="00163CA1" w:rsidRPr="00AD04DA">
        <w:rPr>
          <w:rFonts w:ascii="Times New Roman" w:eastAsiaTheme="minorEastAsia" w:hAnsi="Times New Roman" w:cs="Times New Roman"/>
          <w:sz w:val="24"/>
          <w:szCs w:val="24"/>
        </w:rPr>
        <w:t>,</w:t>
      </w:r>
      <w:r w:rsidRPr="00AD04DA">
        <w:rPr>
          <w:rFonts w:ascii="Times New Roman" w:eastAsiaTheme="minorEastAsia" w:hAnsi="Times New Roman" w:cs="Times New Roman"/>
          <w:sz w:val="24"/>
          <w:szCs w:val="24"/>
        </w:rPr>
        <w:t xml:space="preserve"> an additional calibration curve was generated. </w:t>
      </w:r>
      <w:r w:rsidR="00D20069" w:rsidRPr="00AD04DA">
        <w:rPr>
          <w:rFonts w:ascii="Times New Roman" w:eastAsiaTheme="minorEastAsia" w:hAnsi="Times New Roman" w:cs="Times New Roman"/>
          <w:sz w:val="24"/>
          <w:szCs w:val="24"/>
        </w:rPr>
        <w:t>To generate the additional calibration</w:t>
      </w:r>
      <w:r w:rsidRPr="00AD04DA">
        <w:rPr>
          <w:rFonts w:ascii="Times New Roman" w:eastAsiaTheme="minorEastAsia" w:hAnsi="Times New Roman" w:cs="Times New Roman"/>
          <w:sz w:val="24"/>
          <w:szCs w:val="24"/>
        </w:rPr>
        <w:t xml:space="preserve"> curve</w:t>
      </w:r>
      <w:r w:rsidR="00D20069" w:rsidRPr="00AD04DA">
        <w:rPr>
          <w:rFonts w:ascii="Times New Roman" w:eastAsiaTheme="minorEastAsia" w:hAnsi="Times New Roman" w:cs="Times New Roman"/>
          <w:sz w:val="24"/>
          <w:szCs w:val="24"/>
        </w:rPr>
        <w:t>, 1 mL of standards</w:t>
      </w:r>
      <w:r w:rsidRPr="00AD04DA">
        <w:rPr>
          <w:rFonts w:ascii="Times New Roman" w:eastAsiaTheme="minorEastAsia" w:hAnsi="Times New Roman" w:cs="Times New Roman"/>
          <w:sz w:val="24"/>
          <w:szCs w:val="24"/>
        </w:rPr>
        <w:t xml:space="preserve"> were brought to equilibrium with DPA at 65 °C</w:t>
      </w:r>
      <w:r w:rsidR="00750382" w:rsidRPr="00AD04DA">
        <w:rPr>
          <w:rFonts w:ascii="Times New Roman" w:eastAsiaTheme="minorEastAsia" w:hAnsi="Times New Roman" w:cs="Times New Roman"/>
          <w:sz w:val="24"/>
          <w:szCs w:val="24"/>
        </w:rPr>
        <w:t>, then the standards were diluted to 50 mL</w:t>
      </w:r>
      <w:r w:rsidRPr="00AD04DA">
        <w:rPr>
          <w:rFonts w:ascii="Times New Roman" w:eastAsiaTheme="minorEastAsia" w:hAnsi="Times New Roman" w:cs="Times New Roman"/>
          <w:sz w:val="24"/>
          <w:szCs w:val="24"/>
        </w:rPr>
        <w:t xml:space="preserve"> </w:t>
      </w:r>
      <w:r w:rsidR="00750382" w:rsidRPr="00AD04DA">
        <w:rPr>
          <w:rFonts w:ascii="Times New Roman" w:eastAsiaTheme="minorEastAsia" w:hAnsi="Times New Roman" w:cs="Times New Roman"/>
          <w:sz w:val="24"/>
          <w:szCs w:val="24"/>
        </w:rPr>
        <w:t xml:space="preserve">with DI </w:t>
      </w:r>
      <w:r w:rsidRPr="00AD04DA">
        <w:rPr>
          <w:rFonts w:ascii="Times New Roman" w:eastAsiaTheme="minorEastAsia" w:hAnsi="Times New Roman" w:cs="Times New Roman"/>
          <w:sz w:val="24"/>
          <w:szCs w:val="24"/>
        </w:rPr>
        <w:t>to approximate the DPA content of the product water samples</w:t>
      </w:r>
      <w:r w:rsidR="00750382" w:rsidRPr="00AD04DA">
        <w:rPr>
          <w:rFonts w:ascii="Times New Roman" w:eastAsiaTheme="minorEastAsia" w:hAnsi="Times New Roman" w:cs="Times New Roman"/>
          <w:sz w:val="24"/>
          <w:szCs w:val="24"/>
        </w:rPr>
        <w:t xml:space="preserve">. </w:t>
      </w:r>
    </w:p>
    <w:p w14:paraId="20A0851A" w14:textId="646F99E2" w:rsidR="00F75AAE" w:rsidRPr="00AD04DA" w:rsidRDefault="008A4407" w:rsidP="00C40D4E">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Samples were diluted to 50 mL with DI before measurement</w:t>
      </w:r>
      <w:r w:rsidR="00C14CDF" w:rsidRPr="00AD04DA">
        <w:rPr>
          <w:rFonts w:ascii="Times New Roman" w:hAnsi="Times New Roman" w:cs="Times New Roman"/>
          <w:sz w:val="24"/>
          <w:szCs w:val="24"/>
        </w:rPr>
        <w:t xml:space="preserve"> to fully submerge the sensor. </w:t>
      </w:r>
      <w:r w:rsidR="00C40D4E" w:rsidRPr="00AD04DA">
        <w:rPr>
          <w:rFonts w:ascii="Times New Roman" w:hAnsi="Times New Roman" w:cs="Times New Roman"/>
          <w:sz w:val="24"/>
          <w:szCs w:val="24"/>
        </w:rPr>
        <w:t xml:space="preserve">The calibration curve was used to calculate the NaCl concentration of the </w:t>
      </w:r>
      <w:r w:rsidR="00991930" w:rsidRPr="00AD04DA">
        <w:rPr>
          <w:rFonts w:ascii="Times New Roman" w:hAnsi="Times New Roman" w:cs="Times New Roman"/>
          <w:sz w:val="24"/>
          <w:szCs w:val="24"/>
        </w:rPr>
        <w:t>diluted sample, then a mass balance was used to calculate the concentration of the sample before dilution. The pre-dilution concentration was used to calculate</w:t>
      </w:r>
      <w:r w:rsidR="001055CE" w:rsidRPr="00AD04DA">
        <w:rPr>
          <w:rFonts w:ascii="Times New Roman" w:hAnsi="Times New Roman" w:cs="Times New Roman"/>
          <w:sz w:val="24"/>
          <w:szCs w:val="24"/>
        </w:rPr>
        <w:t xml:space="preserve"> solute</w:t>
      </w:r>
      <w:r w:rsidR="00991930" w:rsidRPr="00AD04DA">
        <w:rPr>
          <w:rFonts w:ascii="Times New Roman" w:hAnsi="Times New Roman" w:cs="Times New Roman"/>
          <w:sz w:val="24"/>
          <w:szCs w:val="24"/>
        </w:rPr>
        <w:t xml:space="preserve"> rejection.</w:t>
      </w:r>
    </w:p>
    <w:p w14:paraId="4E850844" w14:textId="4A23FB76" w:rsidR="006B29A6" w:rsidRPr="00C10532" w:rsidRDefault="002B16D5" w:rsidP="0091356D">
      <w:pPr>
        <w:pStyle w:val="Heading2"/>
        <w:spacing w:line="480" w:lineRule="auto"/>
        <w:ind w:firstLine="720"/>
        <w:rPr>
          <w:rFonts w:ascii="Times New Roman" w:hAnsi="Times New Roman" w:cs="Times New Roman"/>
          <w:color w:val="000000" w:themeColor="text1"/>
          <w:sz w:val="28"/>
          <w:szCs w:val="28"/>
        </w:rPr>
      </w:pPr>
      <w:bookmarkStart w:id="13" w:name="_Toc100753465"/>
      <w:r w:rsidRPr="00C10532">
        <w:rPr>
          <w:rFonts w:ascii="Times New Roman" w:hAnsi="Times New Roman" w:cs="Times New Roman"/>
          <w:color w:val="000000" w:themeColor="text1"/>
          <w:sz w:val="28"/>
          <w:szCs w:val="28"/>
        </w:rPr>
        <w:t>2</w:t>
      </w:r>
      <w:r w:rsidR="006B29A6" w:rsidRPr="00C10532">
        <w:rPr>
          <w:rFonts w:ascii="Times New Roman" w:hAnsi="Times New Roman" w:cs="Times New Roman"/>
          <w:color w:val="000000" w:themeColor="text1"/>
          <w:sz w:val="28"/>
          <w:szCs w:val="28"/>
        </w:rPr>
        <w:t>.6 ICP-MS Measurements</w:t>
      </w:r>
      <w:bookmarkEnd w:id="13"/>
    </w:p>
    <w:p w14:paraId="143E9105" w14:textId="352A9429" w:rsidR="006750CC" w:rsidRPr="00AD04DA" w:rsidRDefault="006750CC" w:rsidP="006750CC">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Selenium measurements were conducted with a PerkinElmer NexION2000 Inductively Coupled Plasma Mass Spectrometer (ICP-MS) with Single Cell analysis </w:t>
      </w:r>
      <w:r w:rsidR="00B214DF" w:rsidRPr="00AD04DA">
        <w:rPr>
          <w:rFonts w:ascii="Times New Roman" w:hAnsi="Times New Roman" w:cs="Times New Roman"/>
          <w:sz w:val="24"/>
          <w:szCs w:val="24"/>
        </w:rPr>
        <w:t>capability</w:t>
      </w:r>
      <w:r w:rsidRPr="00AD04DA">
        <w:rPr>
          <w:rFonts w:ascii="Times New Roman" w:hAnsi="Times New Roman" w:cs="Times New Roman"/>
          <w:sz w:val="24"/>
          <w:szCs w:val="24"/>
        </w:rPr>
        <w:t xml:space="preserve"> through the University of Oklahoma Mass Spectroscopy, Proteomics, &amp; Metabolomics (MSPM) Core.</w:t>
      </w:r>
      <w:r w:rsidR="00502B38" w:rsidRPr="00AD04DA">
        <w:rPr>
          <w:rFonts w:ascii="Times New Roman" w:hAnsi="Times New Roman" w:cs="Times New Roman"/>
          <w:sz w:val="24"/>
          <w:szCs w:val="24"/>
        </w:rPr>
        <w:t xml:space="preserve"> </w:t>
      </w:r>
      <w:r w:rsidR="00AE051C" w:rsidRPr="00AD04DA">
        <w:rPr>
          <w:rFonts w:ascii="Times New Roman" w:hAnsi="Times New Roman" w:cs="Times New Roman"/>
          <w:sz w:val="24"/>
          <w:szCs w:val="24"/>
        </w:rPr>
        <w:t>The system was calibrated with c</w:t>
      </w:r>
      <w:r w:rsidR="00502B38" w:rsidRPr="00AD04DA">
        <w:rPr>
          <w:rFonts w:ascii="Times New Roman" w:hAnsi="Times New Roman" w:cs="Times New Roman"/>
          <w:sz w:val="24"/>
          <w:szCs w:val="24"/>
        </w:rPr>
        <w:t xml:space="preserve">ommercial 1 mg/L in </w:t>
      </w:r>
      <w:r w:rsidR="001A467B" w:rsidRPr="00AD04DA">
        <w:rPr>
          <w:rFonts w:ascii="Times New Roman" w:hAnsi="Times New Roman" w:cs="Times New Roman"/>
          <w:sz w:val="24"/>
          <w:szCs w:val="24"/>
        </w:rPr>
        <w:t xml:space="preserve">2 w/w% </w:t>
      </w:r>
      <w:r w:rsidR="00502B38" w:rsidRPr="00AD04DA">
        <w:rPr>
          <w:rFonts w:ascii="Times New Roman" w:hAnsi="Times New Roman" w:cs="Times New Roman"/>
          <w:sz w:val="24"/>
          <w:szCs w:val="24"/>
        </w:rPr>
        <w:t xml:space="preserve">nitric acid selenium standards. </w:t>
      </w:r>
      <w:r w:rsidR="00FB00D2" w:rsidRPr="00AD04DA">
        <w:rPr>
          <w:rFonts w:ascii="Times New Roman" w:hAnsi="Times New Roman" w:cs="Times New Roman"/>
          <w:sz w:val="24"/>
          <w:szCs w:val="24"/>
        </w:rPr>
        <w:t>T</w:t>
      </w:r>
      <w:r w:rsidR="00C65A76" w:rsidRPr="00AD04DA">
        <w:rPr>
          <w:rFonts w:ascii="Times New Roman" w:hAnsi="Times New Roman" w:cs="Times New Roman"/>
          <w:sz w:val="24"/>
          <w:szCs w:val="24"/>
        </w:rPr>
        <w:t>hree</w:t>
      </w:r>
      <w:r w:rsidR="00FB00D2" w:rsidRPr="00AD04DA">
        <w:rPr>
          <w:rFonts w:ascii="Times New Roman" w:hAnsi="Times New Roman" w:cs="Times New Roman"/>
          <w:sz w:val="24"/>
          <w:szCs w:val="24"/>
        </w:rPr>
        <w:t xml:space="preserve"> calibration curves were generated </w:t>
      </w:r>
      <w:r w:rsidR="00AB4CC2" w:rsidRPr="00AD04DA">
        <w:rPr>
          <w:rFonts w:ascii="Times New Roman" w:hAnsi="Times New Roman" w:cs="Times New Roman"/>
          <w:sz w:val="24"/>
          <w:szCs w:val="24"/>
        </w:rPr>
        <w:t xml:space="preserve">with the commercial standard at 1000 parts per billion (ppb). Additional calibration data was collected with the commercial standard diluted with 2 w/w% nitric acid </w:t>
      </w:r>
      <w:r w:rsidR="00AB4CC2" w:rsidRPr="00AD04DA">
        <w:rPr>
          <w:rFonts w:ascii="Times New Roman" w:hAnsi="Times New Roman" w:cs="Times New Roman"/>
          <w:sz w:val="24"/>
          <w:szCs w:val="24"/>
        </w:rPr>
        <w:lastRenderedPageBreak/>
        <w:t>solution to 500, 100, 50, and 10 ppb Se.</w:t>
      </w:r>
      <w:r w:rsidR="004B2855" w:rsidRPr="00AD04DA">
        <w:rPr>
          <w:rFonts w:ascii="Times New Roman" w:hAnsi="Times New Roman" w:cs="Times New Roman"/>
          <w:sz w:val="24"/>
          <w:szCs w:val="24"/>
        </w:rPr>
        <w:t xml:space="preserve"> All calibration solutions were spiked with 25 ppb Yttrium as background to ensure consistency between readings.</w:t>
      </w:r>
    </w:p>
    <w:p w14:paraId="42CBED99" w14:textId="6CCAAE56" w:rsidR="00DB43A3" w:rsidRPr="00AD04DA" w:rsidRDefault="00F54DC7" w:rsidP="006750CC">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9934A2" w:rsidRPr="00AD04DA">
        <w:rPr>
          <w:rFonts w:ascii="Times New Roman" w:hAnsi="Times New Roman" w:cs="Times New Roman"/>
          <w:sz w:val="24"/>
          <w:szCs w:val="24"/>
        </w:rPr>
        <w:t xml:space="preserve">All readings were conducted </w:t>
      </w:r>
      <w:r w:rsidR="00780062" w:rsidRPr="00AD04DA">
        <w:rPr>
          <w:rFonts w:ascii="Times New Roman" w:hAnsi="Times New Roman" w:cs="Times New Roman"/>
          <w:sz w:val="24"/>
          <w:szCs w:val="24"/>
        </w:rPr>
        <w:t>under</w:t>
      </w:r>
      <w:r w:rsidR="004A7C04" w:rsidRPr="00AD04DA">
        <w:rPr>
          <w:rFonts w:ascii="Times New Roman" w:hAnsi="Times New Roman" w:cs="Times New Roman"/>
          <w:sz w:val="24"/>
          <w:szCs w:val="24"/>
        </w:rPr>
        <w:t xml:space="preserve"> argon</w:t>
      </w:r>
      <w:r w:rsidR="003A70B1" w:rsidRPr="00AD04DA">
        <w:rPr>
          <w:rFonts w:ascii="Times New Roman" w:hAnsi="Times New Roman" w:cs="Times New Roman"/>
          <w:sz w:val="24"/>
          <w:szCs w:val="24"/>
        </w:rPr>
        <w:t>, which was ionized at the plasma torch with the introduced experimental samples</w:t>
      </w:r>
      <w:r w:rsidR="009934A2" w:rsidRPr="00AD04DA">
        <w:rPr>
          <w:rFonts w:ascii="Times New Roman" w:hAnsi="Times New Roman" w:cs="Times New Roman"/>
          <w:sz w:val="24"/>
          <w:szCs w:val="24"/>
        </w:rPr>
        <w:t xml:space="preserve">. </w:t>
      </w:r>
      <w:r w:rsidR="008C3AFE" w:rsidRPr="00AD04DA">
        <w:rPr>
          <w:rFonts w:ascii="Times New Roman" w:hAnsi="Times New Roman" w:cs="Times New Roman"/>
          <w:sz w:val="24"/>
          <w:szCs w:val="24"/>
        </w:rPr>
        <w:t>Argon forms a dimer, Ar</w:t>
      </w:r>
      <w:r w:rsidR="008C3AFE" w:rsidRPr="00AD04DA">
        <w:rPr>
          <w:rFonts w:ascii="Times New Roman" w:hAnsi="Times New Roman" w:cs="Times New Roman"/>
          <w:sz w:val="24"/>
          <w:szCs w:val="24"/>
          <w:vertAlign w:val="subscript"/>
        </w:rPr>
        <w:t>2</w:t>
      </w:r>
      <w:r w:rsidR="008C3AFE" w:rsidRPr="00AD04DA">
        <w:rPr>
          <w:rFonts w:ascii="Times New Roman" w:hAnsi="Times New Roman" w:cs="Times New Roman"/>
          <w:sz w:val="24"/>
          <w:szCs w:val="24"/>
        </w:rPr>
        <w:t xml:space="preserve">, with molar mass 79.2 atomic units (au). </w:t>
      </w:r>
      <w:r w:rsidR="005D0556" w:rsidRPr="00AD04DA">
        <w:rPr>
          <w:rFonts w:ascii="Times New Roman" w:hAnsi="Times New Roman" w:cs="Times New Roman"/>
          <w:sz w:val="24"/>
          <w:szCs w:val="24"/>
        </w:rPr>
        <w:t>This is very similar to the molar mass of Selenium, 78.92 au.</w:t>
      </w:r>
      <w:r w:rsidR="00813241" w:rsidRPr="00AD04DA">
        <w:rPr>
          <w:rFonts w:ascii="Times New Roman" w:hAnsi="Times New Roman" w:cs="Times New Roman"/>
          <w:sz w:val="24"/>
          <w:szCs w:val="24"/>
        </w:rPr>
        <w:t xml:space="preserve"> For the first calibration curve and SeO</w:t>
      </w:r>
      <w:r w:rsidR="00813241" w:rsidRPr="00AD04DA">
        <w:rPr>
          <w:rFonts w:ascii="Times New Roman" w:hAnsi="Times New Roman" w:cs="Times New Roman"/>
          <w:sz w:val="24"/>
          <w:szCs w:val="24"/>
          <w:vertAlign w:val="subscript"/>
        </w:rPr>
        <w:t>4</w:t>
      </w:r>
      <w:r w:rsidR="00813241" w:rsidRPr="00AD04DA">
        <w:rPr>
          <w:rFonts w:ascii="Times New Roman" w:hAnsi="Times New Roman" w:cs="Times New Roman"/>
          <w:sz w:val="24"/>
          <w:szCs w:val="24"/>
          <w:vertAlign w:val="superscript"/>
        </w:rPr>
        <w:t>2-</w:t>
      </w:r>
      <w:r w:rsidR="00813241" w:rsidRPr="00AD04DA">
        <w:rPr>
          <w:rFonts w:ascii="Times New Roman" w:hAnsi="Times New Roman" w:cs="Times New Roman"/>
          <w:sz w:val="24"/>
          <w:szCs w:val="24"/>
        </w:rPr>
        <w:t xml:space="preserve"> in DA samples, ammonia was introduced in the collision cell in the instrument to remove interferent Ar</w:t>
      </w:r>
      <w:r w:rsidR="00813241" w:rsidRPr="00AD04DA">
        <w:rPr>
          <w:rFonts w:ascii="Times New Roman" w:hAnsi="Times New Roman" w:cs="Times New Roman"/>
          <w:sz w:val="24"/>
          <w:szCs w:val="24"/>
          <w:vertAlign w:val="subscript"/>
        </w:rPr>
        <w:t>2</w:t>
      </w:r>
      <w:r w:rsidR="00813241" w:rsidRPr="00AD04DA">
        <w:rPr>
          <w:rFonts w:ascii="Times New Roman" w:hAnsi="Times New Roman" w:cs="Times New Roman"/>
          <w:sz w:val="24"/>
          <w:szCs w:val="24"/>
        </w:rPr>
        <w:t xml:space="preserve"> dimers. In the second calibration curve </w:t>
      </w:r>
      <w:r w:rsidR="002B1735" w:rsidRPr="00AD04DA">
        <w:rPr>
          <w:rFonts w:ascii="Times New Roman" w:hAnsi="Times New Roman" w:cs="Times New Roman"/>
          <w:sz w:val="24"/>
          <w:szCs w:val="24"/>
        </w:rPr>
        <w:t>and the remaining selenate and selenite</w:t>
      </w:r>
      <w:r w:rsidR="00813241" w:rsidRPr="00AD04DA">
        <w:rPr>
          <w:rFonts w:ascii="Times New Roman" w:hAnsi="Times New Roman" w:cs="Times New Roman"/>
          <w:sz w:val="24"/>
          <w:szCs w:val="24"/>
        </w:rPr>
        <w:t xml:space="preserve"> measurements, </w:t>
      </w:r>
      <w:r w:rsidR="007A336A" w:rsidRPr="00AD04DA">
        <w:rPr>
          <w:rFonts w:ascii="Times New Roman" w:hAnsi="Times New Roman" w:cs="Times New Roman"/>
          <w:sz w:val="24"/>
          <w:szCs w:val="24"/>
        </w:rPr>
        <w:t>helium</w:t>
      </w:r>
      <w:r w:rsidR="00813241" w:rsidRPr="00AD04DA">
        <w:rPr>
          <w:rFonts w:ascii="Times New Roman" w:hAnsi="Times New Roman" w:cs="Times New Roman"/>
          <w:sz w:val="24"/>
          <w:szCs w:val="24"/>
        </w:rPr>
        <w:t xml:space="preserve"> was introduced in the collision cell instead.</w:t>
      </w:r>
      <w:r w:rsidR="00D27FC3" w:rsidRPr="00AD04DA">
        <w:rPr>
          <w:rFonts w:ascii="Times New Roman" w:hAnsi="Times New Roman" w:cs="Times New Roman"/>
          <w:sz w:val="24"/>
          <w:szCs w:val="24"/>
        </w:rPr>
        <w:t xml:space="preserve"> </w:t>
      </w:r>
      <w:r w:rsidR="0026653D" w:rsidRPr="00AD04DA">
        <w:rPr>
          <w:rFonts w:ascii="Times New Roman" w:hAnsi="Times New Roman" w:cs="Times New Roman"/>
          <w:sz w:val="24"/>
          <w:szCs w:val="24"/>
        </w:rPr>
        <w:t>The third calibration curve was generated under identical conditions to the second. This calibration curve was used for synthetic FGD wastewater and was generated</w:t>
      </w:r>
      <w:r w:rsidR="00E3219A" w:rsidRPr="00AD04DA">
        <w:rPr>
          <w:rFonts w:ascii="Times New Roman" w:hAnsi="Times New Roman" w:cs="Times New Roman"/>
          <w:sz w:val="24"/>
          <w:szCs w:val="24"/>
        </w:rPr>
        <w:t xml:space="preserve"> to ensure accurate readings</w:t>
      </w:r>
      <w:r w:rsidR="0026653D" w:rsidRPr="00AD04DA">
        <w:rPr>
          <w:rFonts w:ascii="Times New Roman" w:hAnsi="Times New Roman" w:cs="Times New Roman"/>
          <w:sz w:val="24"/>
          <w:szCs w:val="24"/>
        </w:rPr>
        <w:t xml:space="preserve"> because the results were collected on a different day. </w:t>
      </w:r>
      <w:r w:rsidR="009A35CA" w:rsidRPr="00AD04DA">
        <w:rPr>
          <w:rFonts w:ascii="Times New Roman" w:hAnsi="Times New Roman" w:cs="Times New Roman"/>
          <w:sz w:val="24"/>
          <w:szCs w:val="24"/>
        </w:rPr>
        <w:t>Calibration curves for ICP-MS measurements can be found in Appendix C: Calibration Curves.</w:t>
      </w:r>
    </w:p>
    <w:p w14:paraId="4FA45F57" w14:textId="39A6722D" w:rsidR="00F54DC7" w:rsidRPr="00AD04DA" w:rsidRDefault="00060594" w:rsidP="006750CC">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All samples were diluted with 2 w/w% nitric acid spiked with 25 ppb Yttrium before ICP-MS analysis. </w:t>
      </w:r>
      <w:r w:rsidR="009E2473" w:rsidRPr="00AD04DA">
        <w:rPr>
          <w:rFonts w:ascii="Times New Roman" w:hAnsi="Times New Roman" w:cs="Times New Roman"/>
          <w:sz w:val="24"/>
          <w:szCs w:val="24"/>
        </w:rPr>
        <w:t>The solutions were diluted to</w:t>
      </w:r>
      <w:r w:rsidR="00C009D8" w:rsidRPr="00AD04DA">
        <w:rPr>
          <w:rFonts w:ascii="Times New Roman" w:hAnsi="Times New Roman" w:cs="Times New Roman"/>
          <w:sz w:val="24"/>
          <w:szCs w:val="24"/>
        </w:rPr>
        <w:t xml:space="preserve"> </w:t>
      </w:r>
      <w:r w:rsidR="006833D4" w:rsidRPr="00AD04DA">
        <w:rPr>
          <w:rFonts w:ascii="Times New Roman" w:hAnsi="Times New Roman" w:cs="Times New Roman"/>
          <w:sz w:val="24"/>
          <w:szCs w:val="24"/>
        </w:rPr>
        <w:t>maintain the Se concentration within the calibration curv</w:t>
      </w:r>
      <w:r w:rsidR="002E5276" w:rsidRPr="00AD04DA">
        <w:rPr>
          <w:rFonts w:ascii="Times New Roman" w:hAnsi="Times New Roman" w:cs="Times New Roman"/>
          <w:sz w:val="24"/>
          <w:szCs w:val="24"/>
        </w:rPr>
        <w:t xml:space="preserve">e. For all DPA measurements, 1 microliter of product water was diluted in </w:t>
      </w:r>
      <w:r w:rsidR="000D51CF" w:rsidRPr="00AD04DA">
        <w:rPr>
          <w:rFonts w:ascii="Times New Roman" w:hAnsi="Times New Roman" w:cs="Times New Roman"/>
          <w:sz w:val="24"/>
          <w:szCs w:val="24"/>
        </w:rPr>
        <w:t xml:space="preserve">3 mL nitric acid solution. </w:t>
      </w:r>
      <w:r w:rsidR="00C61596" w:rsidRPr="00AD04DA">
        <w:rPr>
          <w:rFonts w:ascii="Times New Roman" w:hAnsi="Times New Roman" w:cs="Times New Roman"/>
          <w:sz w:val="24"/>
          <w:szCs w:val="24"/>
        </w:rPr>
        <w:t>DA samples were diluted to an estimated 0.5 ppm Se using the volume of product water recovered and an assumed rejection of 98%</w:t>
      </w:r>
      <w:r w:rsidR="00E26EF8" w:rsidRPr="00AD04DA">
        <w:rPr>
          <w:rFonts w:ascii="Times New Roman" w:hAnsi="Times New Roman" w:cs="Times New Roman"/>
          <w:sz w:val="24"/>
          <w:szCs w:val="24"/>
        </w:rPr>
        <w:t>. Dilution details for DA ICP-MS measurements can be found in Table A9 in Appendix A: Tabulated Data.</w:t>
      </w:r>
    </w:p>
    <w:p w14:paraId="0B29194E" w14:textId="77777777" w:rsidR="003878B7" w:rsidRPr="00C10532" w:rsidRDefault="003878B7" w:rsidP="003878B7">
      <w:pPr>
        <w:pStyle w:val="Heading2"/>
        <w:spacing w:before="0" w:line="480" w:lineRule="auto"/>
        <w:ind w:firstLine="720"/>
        <w:rPr>
          <w:rFonts w:ascii="Times New Roman" w:hAnsi="Times New Roman" w:cs="Times New Roman"/>
          <w:color w:val="000000" w:themeColor="text1"/>
          <w:sz w:val="28"/>
          <w:szCs w:val="28"/>
        </w:rPr>
      </w:pPr>
      <w:bookmarkStart w:id="14" w:name="_Toc100653132"/>
      <w:bookmarkStart w:id="15" w:name="_Toc100753466"/>
      <w:r w:rsidRPr="00C10532">
        <w:rPr>
          <w:rFonts w:ascii="Times New Roman" w:hAnsi="Times New Roman" w:cs="Times New Roman"/>
          <w:color w:val="000000" w:themeColor="text1"/>
          <w:sz w:val="28"/>
          <w:szCs w:val="28"/>
        </w:rPr>
        <w:t>2.7 Simulation Details</w:t>
      </w:r>
      <w:bookmarkEnd w:id="14"/>
      <w:bookmarkEnd w:id="15"/>
    </w:p>
    <w:p w14:paraId="42BC8866" w14:textId="5FA578AD" w:rsidR="003878B7" w:rsidRPr="00AD04DA" w:rsidRDefault="003878B7" w:rsidP="003878B7">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Free energy of solvation calculations were performed with Groningen Machine for Chemical Simulation (GROMACS) package version 2021.3 with the coupling factor method</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{"citationID":"Vyq6Xwd9","properties":{"formattedCitation":"\\super 80\\nosupersub{}","plainCitation":"80","noteIndex":0},"citationItems":[{"id":791,"uris":["http://zotero.org/users/8284751/items/DI45Z5T4"],"itemData":{"id":791,"type":"article-journal","language":"en","page":"29","source":"Zotero","title":"Computational Alchemy","author":[{"family":"Straatsma","given":"T P"},{"family":"McCammon","given":"J A"}]}}],"schema":"https://github.com/citation-style-language/schema/raw/master/csl-citation.json"}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80</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xml:space="preserve">. The free energy of solvation for an ion is defined as the free energy change from its configuration in a solid crystalline lattice to its free energy dissolved in solution. There are two distinct steps in this </w:t>
      </w:r>
      <w:r w:rsidRPr="00AD04DA">
        <w:rPr>
          <w:rFonts w:ascii="Times New Roman" w:hAnsi="Times New Roman" w:cs="Times New Roman"/>
          <w:sz w:val="24"/>
          <w:szCs w:val="24"/>
        </w:rPr>
        <w:lastRenderedPageBreak/>
        <w:t>process: 1) breaking the lattice and 2) dissolution. When comparing the free energy between an ion in different solutions, the first step, breaking the lattice, is unaffected by the choice of solvent. The free energy change of a specific ion after step one but before dissolution into any solution regardless of the liquid is therefore equivalent, and the lattice energy can be excluded from simulations</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{"citationID":"HS0ZaQxR","properties":{"formattedCitation":"\\super 50,71,80\\nosupersub{}","plainCitation":"50,71,80","noteIndex":0},"citationItems":[{"id":268,"uris":["http://zotero.org/users/8284751/items/V7HQE7DL"],"itemData":{"id":268,"type":"article-journal","abstract":"Arsenic (As) poisoning in water is a critical global problem. Current arsenic removal techniques involving chemical reaction, ion exchange, or membrane processes can be expensive, inaccessible, or infeasible for underdeveloped regions. Here, we demonstrate that by using a so-called a directional solvent extraction (DSE) process arsenic ions in water can be eﬀectively removed without membrane or chemical reaction, and this process promises to utilize low temperature heat (as low as 45 °C). We have tested feedwater with diﬀerent arsenic concentrations and arsenic ions in diﬀerent forms (As-III and As-V) commonly found in nature. It is demonstrated that DSE using decanoic acid as the directional solvent can purify contaminated water to meet the drinking water standard (arsenic concentration &lt;10 parts per billion, ppb), and the arsenic removal eﬃciencies are higher than 91% for As-III and 97% for As-V. DSE can potentially lead to eﬀective arsenic removal technologies with low resource settings.","container-title":"J. Chem. Eng. Data","language":"en","page":"9","source":"Zotero","title":"Direct Arsenic Removal from Water Using Non-Membrane, Low-Temperature Directional Solvent Extraction","author":[{"family":"Guo","given":"Jiaji"},{"family":"Luo","given":"Shirui"},{"family":"Liu","given":"Zeyu"},{"family":"Luo","given":"Tengfei"}],"issued":{"date-parts":[["2020"]]}}},{"id":791,"uris":["http://zotero.org/users/8284751/items/DI45Z5T4"],"itemData":{"id":791,"type":"article-journal","language":"en","page":"29","source":"Zotero","title":"Computational Alchemy","author":[{"family":"Straatsma","given":"T P"},{"family":"McCammon","given":"J A"}]}},{"id":781,"uris":["http://zotero.org/users/8284751/items/6VNQU3MR"],"itemData":{"id":781,"type":"article-journal","abstract":"Abstract\n            \n              Seawater desalination plays a critical role in addressing the global water shortage challenge. Directional Solvent Extraction (DSE) is an emerging non-membrane desalination technology that features the ability to utilize very low temperature waste heat (as low as 40 °C). This is enabled by the subtly balanced solubility properties of directional solvents, which do not dissolve in water but can dissolve water and reject salt ions. However, the low water yield of the state-of-the-art directional solvent (decanoic acid) significantly limits its throughput and energy efficiency. In this paper, we demonstrate that by using ionic liquid as a new directional solvent, saline water can be desalinated with much higher production rate and thus significantly lower the energy and exergy consumptions. The ionic liquid identified suitable for DSE is [emim][Tf\n              2\n              N], which has a much (~10×) higher water yield than the currently used decanoic acid. Using molecular dynamics simulations with Gibbs free energy calculations, we reveal that water dissolving in [emim][Tf\n              2\n              N] is energetically favorable, but it takes significant energy for [emim][Tf\n              2\n              N] ions to dissolve in water. Our findings may significantly advance the DSE technology as a solution to the challenges in the global water-energy nexus.","container-title":"Nature Communications","DOI":"10.1038/s41467-020-20706-y","ISSN":"2041-1723","issue":"1","journalAbbreviation":"Nat Commun","language":"en","page":"437","source":"DOI.org (Crossref)","title":"Ionic liquid enables highly efficient low temperature desalination by directional solvent extraction","volume":"12","author":[{"family":"Guo","given":"Jiaji"},{"family":"Tucker","given":"Zachary D."},{"family":"Wang","given":"Yu"},{"family":"Ashfeld","given":"Brandon L."},{"family":"Luo","given":"Tengfei"}],"issued":{"date-parts":[["2021",12]]}}}],"schema":"https://github.com/citation-style-language/schema/raw/master/csl-citation.json"} </w:instrText>
      </w:r>
      <w:r w:rsidRPr="00AD04DA">
        <w:rPr>
          <w:rFonts w:ascii="Times New Roman" w:hAnsi="Times New Roman" w:cs="Times New Roman"/>
          <w:sz w:val="24"/>
          <w:szCs w:val="24"/>
        </w:rPr>
        <w:fldChar w:fldCharType="separate"/>
      </w:r>
      <w:r w:rsidR="00855E07" w:rsidRPr="00AD04DA">
        <w:rPr>
          <w:rFonts w:ascii="Times New Roman" w:hAnsi="Times New Roman" w:cs="Times New Roman"/>
          <w:sz w:val="24"/>
          <w:szCs w:val="24"/>
          <w:vertAlign w:val="superscript"/>
        </w:rPr>
        <w:t>50,71,80</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w:t>
      </w:r>
    </w:p>
    <w:p w14:paraId="55C97A55" w14:textId="470D3AAF" w:rsidR="003878B7" w:rsidRPr="00AD04DA" w:rsidRDefault="003878B7" w:rsidP="003878B7">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When simulating the free energy difference between an ion in two liquids, it is therefore sufficient to calculate the free energy difference from an ion in solution to an ion in a vacuum (i.e., the ion is no longer associated with the crystalline lattice but not yet interacting with the solvent). The free energy difference between the non-interacting and fully interacting states can be calculated by thermodynamic integration with the coupling factor method, shown in Equation </w:t>
      </w:r>
      <w:r w:rsidR="00A123C7" w:rsidRPr="00AD04DA">
        <w:rPr>
          <w:rFonts w:ascii="Times New Roman" w:hAnsi="Times New Roman" w:cs="Times New Roman"/>
          <w:sz w:val="24"/>
          <w:szCs w:val="24"/>
        </w:rPr>
        <w:t>1</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{"citationID":"qHaOy1Xl","properties":{"formattedCitation":"\\super 80,81\\nosupersub{}","plainCitation":"80,81","noteIndex":0},"citationItems":[{"id":791,"uris":["http://zotero.org/users/8284751/items/DI45Z5T4"],"itemData":{"id":791,"type":"article-journal","language":"en","page":"29","source":"Zotero","title":"Computational Alchemy","author":[{"family":"Straatsma","given":"T P"},{"family":"McCammon","given":"J A"}]}},{"id":788,"uris":["http://zotero.org/users/8284751/items/ULBA3WUR"],"itemData":{"id":788,"type":"webpage","title":"Free energy calculations — GROMACS 2022 documentation","URL":"https://manual.gromacs.org/documentation/current/reference-manual/algorithms/free-energy-calculations.html","accessed":{"date-parts":[["2022",3,30]]}}}],"schema":"https://github.com/citation-style-language/schema/raw/master/csl-citation.json"}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80,81</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xml:space="preserve">. </w:t>
      </w:r>
    </w:p>
    <w:p w14:paraId="2D670172" w14:textId="77777777" w:rsidR="003878B7" w:rsidRPr="00AD04DA" w:rsidRDefault="003878B7" w:rsidP="00EF43D9">
      <w:pPr>
        <w:keepNext/>
        <w:spacing w:after="0" w:line="480" w:lineRule="auto"/>
        <w:jc w:val="both"/>
        <w:rPr>
          <w:rFonts w:ascii="Times New Roman" w:hAnsi="Times New Roman" w:cs="Times New Roman"/>
          <w:sz w:val="24"/>
          <w:szCs w:val="24"/>
        </w:rPr>
      </w:pPr>
      <m:oMathPara>
        <m:oMath>
          <m:r>
            <w:rPr>
              <w:rFonts w:ascii="Cambria Math" w:hAnsi="Cambria Math" w:cs="Times New Roman"/>
              <w:sz w:val="24"/>
              <w:szCs w:val="24"/>
            </w:rPr>
            <m:t>ΔG=</m:t>
          </m:r>
          <m:nary>
            <m:naryPr>
              <m:limLoc m:val="undOvr"/>
              <m:ctrlPr>
                <w:rPr>
                  <w:rFonts w:ascii="Cambria Math" w:hAnsi="Cambria Math" w:cs="Times New Roman"/>
                  <w:i/>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1</m:t>
                  </m:r>
                </m:sub>
              </m:sSub>
            </m:sub>
            <m:sup>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2</m:t>
                  </m:r>
                </m:sub>
              </m:sSub>
            </m:sup>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∂H(λ)</m:t>
                      </m:r>
                    </m:num>
                    <m:den>
                      <m:r>
                        <w:rPr>
                          <w:rFonts w:ascii="Cambria Math" w:hAnsi="Cambria Math" w:cs="Times New Roman"/>
                          <w:sz w:val="24"/>
                          <w:szCs w:val="24"/>
                        </w:rPr>
                        <m:t>∂λ</m:t>
                      </m:r>
                    </m:den>
                  </m:f>
                </m:e>
              </m:d>
              <m:r>
                <w:rPr>
                  <w:rFonts w:ascii="Cambria Math" w:hAnsi="Cambria Math" w:cs="Times New Roman"/>
                  <w:sz w:val="24"/>
                  <w:szCs w:val="24"/>
                </w:rPr>
                <m:t>dλ</m:t>
              </m:r>
            </m:e>
          </m:nary>
        </m:oMath>
      </m:oMathPara>
    </w:p>
    <w:p w14:paraId="6DC79639" w14:textId="56F66784" w:rsidR="00EF43D9" w:rsidRPr="00AD04DA" w:rsidRDefault="00EF43D9" w:rsidP="00EF43D9">
      <w:pPr>
        <w:pStyle w:val="Caption"/>
        <w:jc w:val="right"/>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 xml:space="preserve">Equation </w:t>
      </w:r>
      <w:r w:rsidR="00055319" w:rsidRPr="00AD04DA">
        <w:rPr>
          <w:rFonts w:ascii="Times New Roman" w:hAnsi="Times New Roman" w:cs="Times New Roman"/>
          <w:color w:val="000000" w:themeColor="text1"/>
          <w:sz w:val="24"/>
          <w:szCs w:val="24"/>
        </w:rPr>
        <w:t>1</w:t>
      </w:r>
    </w:p>
    <w:p w14:paraId="63AF41D6" w14:textId="7A358FB1" w:rsidR="003878B7" w:rsidRPr="00AD04DA" w:rsidRDefault="003878B7" w:rsidP="003878B7">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In this method, the Hamiltonian of the system is adjusted by step changes to the coupling factor λ. At λ = 0, the molecule is fully interacting with the solvent, including Van der Waals and coulombic interactions. At λ = 1, though the ion is still surrounded by solvent in the simulated box, the nonbonding interactions have been turned off and the molecule functionally exists in a vacuum</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{"citationID":"WfH078Fr","properties":{"formattedCitation":"\\super 80,82\\nosupersub{}","plainCitation":"80,82","noteIndex":0},"citationItems":[{"id":791,"uris":["http://zotero.org/users/8284751/items/DI45Z5T4"],"itemData":{"id":791,"type":"article-journal","language":"en","page":"29","source":"Zotero","title":"Computational Alchemy","author":[{"family":"Straatsma","given":"T P"},{"family":"McCammon","given":"J A"}]}},{"id":794,"uris":["http://zotero.org/users/8284751/items/6W39XDGQ"],"itemData":{"id":794,"type":"webpage","title":"Free energy interactions — GROMACS 2019.1 documentation","URL":"https://manual.gromacs.org/2019.1/reference-manual/functions/free-energy-interactions.html#soft-core-interactions","accessed":{"date-parts":[["2022",3,30]]}}}],"schema":"https://github.com/citation-style-language/schema/raw/master/csl-citation.json"}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80,82</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w:t>
      </w:r>
    </w:p>
    <w:p w14:paraId="557D9D43" w14:textId="253CA24E" w:rsidR="003878B7" w:rsidRDefault="003878B7" w:rsidP="003878B7">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At values 0 &lt; λ &lt; 1, the system is in a nonphysical state in which nonbonding interactions are </w:t>
      </w:r>
      <w:r w:rsidR="004D544E">
        <w:rPr>
          <w:rFonts w:ascii="Times New Roman" w:hAnsi="Times New Roman" w:cs="Times New Roman"/>
          <w:sz w:val="24"/>
          <w:szCs w:val="24"/>
        </w:rPr>
        <w:t>dampened</w:t>
      </w:r>
      <w:r w:rsidRPr="00AD04DA">
        <w:rPr>
          <w:rFonts w:ascii="Times New Roman" w:hAnsi="Times New Roman" w:cs="Times New Roman"/>
          <w:sz w:val="24"/>
          <w:szCs w:val="24"/>
        </w:rPr>
        <w:t xml:space="preserve">, slowly decoupling the ion from the solution as λ moves from zero to one. This nonphysical state is governed by “soft core” potentials that depend on λ, shown in Equation </w:t>
      </w:r>
      <w:r w:rsidR="00A123C7" w:rsidRPr="00AD04DA">
        <w:rPr>
          <w:rFonts w:ascii="Times New Roman" w:hAnsi="Times New Roman" w:cs="Times New Roman"/>
          <w:sz w:val="24"/>
          <w:szCs w:val="24"/>
        </w:rPr>
        <w:t>2</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{"citationID":"6iE7NHtK","properties":{"formattedCitation":"\\super 82\\nosupersub{}","plainCitation":"82","noteIndex":0},"citationItems":[{"id":794,"uris":["http://zotero.org/users/8284751/items/6W39XDGQ"],"itemData":{"id":794,"type":"webpage","title":"Free energy interactions — GROMACS 2019.1 documentation","URL":"https://manual.gromacs.org/2019.1/reference-manual/functions/free-energy-interactions.html#soft-core-interactions","accessed":{"date-parts":[["2022",3,30]]}}}],"schema":"https://github.com/citation-style-language/schema/raw/master/csl-citation.json"}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82</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w:t>
      </w:r>
    </w:p>
    <w:p w14:paraId="04473791" w14:textId="77777777" w:rsidR="00E7275D" w:rsidRPr="00AD04DA" w:rsidRDefault="00E7275D" w:rsidP="003878B7">
      <w:pPr>
        <w:spacing w:after="0" w:line="480" w:lineRule="auto"/>
        <w:jc w:val="both"/>
        <w:rPr>
          <w:rFonts w:ascii="Times New Roman" w:hAnsi="Times New Roman" w:cs="Times New Roman"/>
          <w:sz w:val="24"/>
          <w:szCs w:val="24"/>
        </w:rPr>
      </w:pPr>
    </w:p>
    <w:p w14:paraId="4F06EA1B" w14:textId="77777777" w:rsidR="003878B7" w:rsidRPr="00AD04DA" w:rsidRDefault="004878EE" w:rsidP="003878B7">
      <w:pPr>
        <w:spacing w:after="0" w:line="48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SC</m:t>
              </m:r>
            </m:sub>
          </m:sSub>
          <m:d>
            <m:dPr>
              <m:ctrlPr>
                <w:rPr>
                  <w:rFonts w:ascii="Cambria Math" w:hAnsi="Cambria Math" w:cs="Times New Roman"/>
                  <w:i/>
                  <w:sz w:val="24"/>
                  <w:szCs w:val="24"/>
                </w:rPr>
              </m:ctrlPr>
            </m:dPr>
            <m:e>
              <m:r>
                <w:rPr>
                  <w:rFonts w:ascii="Cambria Math" w:hAnsi="Cambria Math" w:cs="Times New Roman"/>
                  <w:sz w:val="24"/>
                  <w:szCs w:val="24"/>
                </w:rPr>
                <m:t>r</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1-λ</m:t>
              </m:r>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A</m:t>
              </m:r>
            </m:sup>
          </m:sSup>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A</m:t>
                  </m:r>
                </m:sub>
              </m:sSub>
            </m:e>
          </m:d>
          <m:r>
            <w:rPr>
              <w:rFonts w:ascii="Cambria Math" w:eastAsiaTheme="minorEastAsia" w:hAnsi="Cambria Math" w:cs="Times New Roman"/>
              <w:sz w:val="24"/>
              <w:szCs w:val="24"/>
            </w:rPr>
            <m:t>+λ</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B</m:t>
              </m:r>
            </m:sup>
          </m:sSup>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B</m:t>
                  </m:r>
                </m:sub>
              </m:sSub>
            </m:e>
          </m:d>
        </m:oMath>
      </m:oMathPara>
    </w:p>
    <w:p w14:paraId="574FF4AF" w14:textId="77777777" w:rsidR="003878B7" w:rsidRPr="00AD04DA" w:rsidRDefault="004878EE" w:rsidP="003878B7">
      <w:pPr>
        <w:spacing w:after="0"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A</m:t>
                      </m:r>
                    </m:sub>
                    <m:sup>
                      <m:r>
                        <w:rPr>
                          <w:rFonts w:ascii="Cambria Math" w:eastAsiaTheme="minorEastAsia" w:hAnsi="Cambria Math" w:cs="Times New Roman"/>
                          <w:sz w:val="24"/>
                          <w:szCs w:val="24"/>
                        </w:rPr>
                        <m:t>6</m:t>
                      </m:r>
                    </m:sup>
                  </m:sSub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λ</m:t>
                      </m:r>
                    </m:e>
                    <m:sup>
                      <m:r>
                        <w:rPr>
                          <w:rFonts w:ascii="Cambria Math" w:eastAsiaTheme="minorEastAsia" w:hAnsi="Cambria Math" w:cs="Times New Roman"/>
                          <w:sz w:val="24"/>
                          <w:szCs w:val="24"/>
                        </w:rPr>
                        <m:t>P</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6</m:t>
                      </m:r>
                    </m:sup>
                  </m:sSup>
                </m:e>
              </m:d>
            </m:e>
            <m:sup>
              <m:r>
                <w:rPr>
                  <w:rFonts w:ascii="Cambria Math" w:eastAsiaTheme="minorEastAsia" w:hAnsi="Cambria Math" w:cs="Times New Roman"/>
                  <w:sz w:val="24"/>
                  <w:szCs w:val="24"/>
                </w:rPr>
                <m:t>1/6</m:t>
              </m:r>
            </m:sup>
          </m:sSup>
        </m:oMath>
      </m:oMathPara>
    </w:p>
    <w:p w14:paraId="316AC67A" w14:textId="77777777" w:rsidR="003878B7" w:rsidRPr="00AD04DA" w:rsidRDefault="004878EE" w:rsidP="00EF43D9">
      <w:pPr>
        <w:keepNext/>
        <w:spacing w:after="0"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B</m:t>
                      </m:r>
                    </m:sub>
                    <m:sup>
                      <m:r>
                        <w:rPr>
                          <w:rFonts w:ascii="Cambria Math" w:eastAsiaTheme="minorEastAsia" w:hAnsi="Cambria Math" w:cs="Times New Roman"/>
                          <w:sz w:val="24"/>
                          <w:szCs w:val="24"/>
                        </w:rPr>
                        <m:t>6</m:t>
                      </m:r>
                    </m:sup>
                  </m:sSubSup>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1-λ</m:t>
                          </m:r>
                        </m:e>
                      </m:d>
                    </m:e>
                    <m:sup>
                      <m:r>
                        <w:rPr>
                          <w:rFonts w:ascii="Cambria Math" w:eastAsiaTheme="minorEastAsia" w:hAnsi="Cambria Math" w:cs="Times New Roman"/>
                          <w:sz w:val="24"/>
                          <w:szCs w:val="24"/>
                        </w:rPr>
                        <m:t>P</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6</m:t>
                      </m:r>
                    </m:sup>
                  </m:sSup>
                </m:e>
              </m:d>
            </m:e>
            <m:sup>
              <m:r>
                <w:rPr>
                  <w:rFonts w:ascii="Cambria Math" w:eastAsiaTheme="minorEastAsia" w:hAnsi="Cambria Math" w:cs="Times New Roman"/>
                  <w:sz w:val="24"/>
                  <w:szCs w:val="24"/>
                </w:rPr>
                <m:t>1/6</m:t>
              </m:r>
            </m:sup>
          </m:sSup>
        </m:oMath>
      </m:oMathPara>
    </w:p>
    <w:p w14:paraId="0AEBA434" w14:textId="14C3E090" w:rsidR="00EF43D9" w:rsidRPr="00AD04DA" w:rsidRDefault="00EF43D9" w:rsidP="00EF43D9">
      <w:pPr>
        <w:pStyle w:val="Caption"/>
        <w:jc w:val="right"/>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 xml:space="preserve">Equation </w:t>
      </w:r>
      <w:r w:rsidR="00055319" w:rsidRPr="00AD04DA">
        <w:rPr>
          <w:rFonts w:ascii="Times New Roman" w:hAnsi="Times New Roman" w:cs="Times New Roman"/>
          <w:color w:val="000000" w:themeColor="text1"/>
          <w:sz w:val="24"/>
          <w:szCs w:val="24"/>
        </w:rPr>
        <w:t>2</w:t>
      </w:r>
    </w:p>
    <w:p w14:paraId="684CF52F" w14:textId="374FC909" w:rsidR="003878B7" w:rsidRPr="00AD04DA" w:rsidRDefault="003878B7" w:rsidP="003878B7">
      <w:pPr>
        <w:spacing w:after="0" w:line="480" w:lineRule="auto"/>
        <w:jc w:val="both"/>
        <w:rPr>
          <w:rFonts w:ascii="Times New Roman" w:eastAsiaTheme="minorEastAsia" w:hAnsi="Times New Roman" w:cs="Times New Roman"/>
          <w:sz w:val="24"/>
          <w:szCs w:val="24"/>
        </w:rPr>
      </w:pPr>
      <w:r w:rsidRPr="00AD04DA">
        <w:rPr>
          <w:rFonts w:ascii="Times New Roman" w:eastAsiaTheme="minorEastAsia" w:hAnsi="Times New Roman" w:cs="Times New Roman"/>
          <w:sz w:val="24"/>
          <w:szCs w:val="24"/>
        </w:rPr>
        <w:t xml:space="preserve">where α and p are input parameters and σ is the interaction radius. Equation </w:t>
      </w:r>
      <w:r w:rsidR="00A123C7" w:rsidRPr="00AD04DA">
        <w:rPr>
          <w:rFonts w:ascii="Times New Roman" w:eastAsiaTheme="minorEastAsia" w:hAnsi="Times New Roman" w:cs="Times New Roman"/>
          <w:sz w:val="24"/>
          <w:szCs w:val="24"/>
        </w:rPr>
        <w:t>2</w:t>
      </w:r>
      <w:r w:rsidRPr="00AD04DA">
        <w:rPr>
          <w:rFonts w:ascii="Times New Roman" w:eastAsiaTheme="minorEastAsia" w:hAnsi="Times New Roman" w:cs="Times New Roman"/>
          <w:sz w:val="24"/>
          <w:szCs w:val="24"/>
        </w:rPr>
        <w:t xml:space="preserve"> demonstrates that at λ = 0 and 1, the system is described by the physical, “hard-core” potentials at states A and B. At intermediate states, the “soft-core” potential describes the system</w:t>
      </w:r>
      <w:r w:rsidRPr="00AD04DA">
        <w:rPr>
          <w:rFonts w:ascii="Times New Roman" w:eastAsiaTheme="minorEastAsia" w:hAnsi="Times New Roman" w:cs="Times New Roman"/>
          <w:sz w:val="24"/>
          <w:szCs w:val="24"/>
        </w:rPr>
        <w:fldChar w:fldCharType="begin"/>
      </w:r>
      <w:r w:rsidR="00AE4CC3">
        <w:rPr>
          <w:rFonts w:ascii="Times New Roman" w:eastAsiaTheme="minorEastAsia" w:hAnsi="Times New Roman" w:cs="Times New Roman"/>
          <w:sz w:val="24"/>
          <w:szCs w:val="24"/>
        </w:rPr>
        <w:instrText xml:space="preserve"> ADDIN ZOTERO_ITEM CSL_CITATION {"citationID":"caDrkaZ7","properties":{"formattedCitation":"\\super 82\\nosupersub{}","plainCitation":"82","noteIndex":0},"citationItems":[{"id":794,"uris":["http://zotero.org/users/8284751/items/6W39XDGQ"],"itemData":{"id":794,"type":"webpage","title":"Free energy interactions — GROMACS 2019.1 documentation","URL":"https://manual.gromacs.org/2019.1/reference-manual/functions/free-energy-interactions.html#soft-core-interactions","accessed":{"date-parts":[["2022",3,30]]}}}],"schema":"https://github.com/citation-style-language/schema/raw/master/csl-citation.json"} </w:instrText>
      </w:r>
      <w:r w:rsidRPr="00AD04DA">
        <w:rPr>
          <w:rFonts w:ascii="Times New Roman" w:eastAsiaTheme="minorEastAsia" w:hAnsi="Times New Roman" w:cs="Times New Roman"/>
          <w:sz w:val="24"/>
          <w:szCs w:val="24"/>
        </w:rPr>
        <w:fldChar w:fldCharType="separate"/>
      </w:r>
      <w:r w:rsidRPr="00AD04DA">
        <w:rPr>
          <w:rFonts w:ascii="Times New Roman" w:hAnsi="Times New Roman" w:cs="Times New Roman"/>
          <w:sz w:val="24"/>
          <w:szCs w:val="24"/>
          <w:vertAlign w:val="superscript"/>
        </w:rPr>
        <w:t>82</w:t>
      </w:r>
      <w:r w:rsidRPr="00AD04DA">
        <w:rPr>
          <w:rFonts w:ascii="Times New Roman" w:eastAsiaTheme="minorEastAsia" w:hAnsi="Times New Roman" w:cs="Times New Roman"/>
          <w:sz w:val="24"/>
          <w:szCs w:val="24"/>
        </w:rPr>
        <w:fldChar w:fldCharType="end"/>
      </w:r>
      <w:r w:rsidRPr="00AD04DA">
        <w:rPr>
          <w:rFonts w:ascii="Times New Roman" w:eastAsiaTheme="minorEastAsia" w:hAnsi="Times New Roman" w:cs="Times New Roman"/>
          <w:sz w:val="24"/>
          <w:szCs w:val="24"/>
        </w:rPr>
        <w:t>.</w:t>
      </w:r>
    </w:p>
    <w:p w14:paraId="6B66F51F" w14:textId="01C48F18" w:rsidR="003878B7" w:rsidRPr="00AD04DA" w:rsidRDefault="003878B7" w:rsidP="003878B7">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Simulations are performed for a list of lambdas, then trapezoidal numerical thermodynamic integration is performed to estimate the free energy released at each step as the solute is decoupled from the system. The free energy of solvation is the opposite of this value</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{"citationID":"Kqtt96PM","properties":{"formattedCitation":"\\super 80\\uc0\\u8211{}82\\nosupersub{}","plainCitation":"80–82","noteIndex":0},"citationItems":[{"id":791,"uris":["http://zotero.org/users/8284751/items/DI45Z5T4"],"itemData":{"id":791,"type":"article-journal","language":"en","page":"29","source":"Zotero","title":"Computational Alchemy","author":[{"family":"Straatsma","given":"T P"},{"family":"McCammon","given":"J A"}]}},{"id":788,"uris":["http://zotero.org/users/8284751/items/ULBA3WUR"],"itemData":{"id":788,"type":"webpage","title":"Free energy calculations — GROMACS 2022 documentation","URL":"https://manual.gromacs.org/documentation/current/reference-manual/algorithms/free-energy-calculations.html","accessed":{"date-parts":[["2022",3,30]]}}},{"id":794,"uris":["http://zotero.org/users/8284751/items/6W39XDGQ"],"itemData":{"id":794,"type":"webpage","title":"Free energy interactions — GROMACS 2019.1 documentation","URL":"https://manual.gromacs.org/2019.1/reference-manual/functions/free-energy-interactions.html#soft-core-interactions","accessed":{"date-parts":[["2022",3,30]]}}}],"schema":"https://github.com/citation-style-language/schema/raw/master/csl-citation.json"}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80–82</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xml:space="preserve">. The errors are computed by block averaging. The built-in GROMACS function </w:t>
      </w:r>
      <w:r w:rsidRPr="00AD04DA">
        <w:rPr>
          <w:rFonts w:ascii="Times New Roman" w:hAnsi="Times New Roman" w:cs="Times New Roman"/>
          <w:i/>
          <w:iCs/>
          <w:sz w:val="24"/>
          <w:szCs w:val="24"/>
        </w:rPr>
        <w:t xml:space="preserve">bar </w:t>
      </w:r>
      <w:r w:rsidRPr="00AD04DA">
        <w:rPr>
          <w:rFonts w:ascii="Times New Roman" w:hAnsi="Times New Roman" w:cs="Times New Roman"/>
          <w:sz w:val="24"/>
          <w:szCs w:val="24"/>
        </w:rPr>
        <w:t xml:space="preserve">computes the free energy and error using the simulation output </w:t>
      </w:r>
      <w:r w:rsidRPr="00AD04DA">
        <w:rPr>
          <w:rFonts w:ascii="Times New Roman" w:hAnsi="Times New Roman" w:cs="Times New Roman"/>
          <w:i/>
          <w:iCs/>
          <w:sz w:val="24"/>
          <w:szCs w:val="24"/>
        </w:rPr>
        <w:t>.</w:t>
      </w:r>
      <w:proofErr w:type="spellStart"/>
      <w:r w:rsidRPr="00AD04DA">
        <w:rPr>
          <w:rFonts w:ascii="Times New Roman" w:hAnsi="Times New Roman" w:cs="Times New Roman"/>
          <w:i/>
          <w:iCs/>
          <w:sz w:val="24"/>
          <w:szCs w:val="24"/>
        </w:rPr>
        <w:t>xvg</w:t>
      </w:r>
      <w:proofErr w:type="spellEnd"/>
      <w:r w:rsidRPr="00AD04DA">
        <w:rPr>
          <w:rFonts w:ascii="Times New Roman" w:hAnsi="Times New Roman" w:cs="Times New Roman"/>
          <w:sz w:val="24"/>
          <w:szCs w:val="24"/>
        </w:rPr>
        <w:t xml:space="preserve"> files</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{"citationID":"ZUn9ac4n","properties":{"formattedCitation":"\\super 83\\nosupersub{}","plainCitation":"83","noteIndex":0},"citationItems":[{"id":797,"uris":["http://zotero.org/users/8284751/items/D5Y9FNJN"],"itemData":{"id":797,"type":"document","publisher":"GROMACS","source":"Zotero","title":"GROMACS Documentation","URL":"https://manual.gromacs.org/current/index.html"}}],"schema":"https://github.com/citation-style-language/schema/raw/master/csl-citation.json"}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83</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w:t>
      </w:r>
    </w:p>
    <w:p w14:paraId="67D6996D" w14:textId="301E0562" w:rsidR="003878B7" w:rsidRPr="00AD04DA" w:rsidRDefault="003878B7" w:rsidP="003878B7">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Sodium and chloride ions were modeled with the all-atom optimized potential for liquid simulation (OPLS-aa) model</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{"citationID":"wU9crnHz","properties":{"formattedCitation":"\\super 84\\nosupersub{}","plainCitation":"84","noteIndex":0},"citationItems":[{"id":839,"uris":["http://zotero.org/users/8284751/items/LQGWT7L5"],"itemData":{"id":839,"type":"article-journal","abstract":"The parametrization and testing of the OPLS all-atom force field for organic molecules and peptides are described. Parameters for both torsional and nonbonded energetics have been derived, while the bond stretching and angle bending parameters have been adopted mostly from the AMBER all-atom force field. The torsional parameters were determined by fitting to rotational energy profiles obtained from ab initio molecular orbital calculations at the RHF/6-31G*//RHF/6-31G* level for more than 50 organic molecules and ions. The quality of the fits was high with average errors for conformational energies of less than 0.2 kcal/mol. The force-field results for molecular structures are also demonstrated to closely match the ab initio predictions. The nonbonded parameters were developed in conjunction with Monte Carlo statistical mechanics simulations by computing thermodynamic and structural properties for 34 pure organic liquids including alkanes, alkenes, alcohols, ethers, acetals, thiols, sulfides, disulfides, aldehydes, ketones, and amides. Average errors in comparison with experimental data are 2% for heats of vaporization and densities. The Monte Carlo simulations included sampling all internal and intermolecular degrees of freedom. It is found that such non-polar and monofunctional systems do not show significant condensed-phase effects on internal energies in going from the gas phase to the pure liquids.","container-title":"Journal of the American Chemical Society","DOI":"10.1021/ja9621760","ISSN":"0002-7863, 1520-5126","issue":"45","journalAbbreviation":"J. Am. Chem. Soc.","language":"en","page":"11225-11236","source":"DOI.org (Crossref)","title":"Development and Testing of the OPLS All-Atom Force Field on Conformational Energetics and Properties of Organic Liquids","volume":"118","author":[{"family":"Jorgensen","given":"William L."},{"family":"Maxwell","given":"David S."},{"family":"Tirado-Rives","given":"Julian"}],"issued":{"date-parts":[["1996",11,13]]}}}],"schema":"https://github.com/citation-style-language/schema/raw/master/csl-citation.json"}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84</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Water was simulated by the extended simple point charge (SPC/E) model</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{"citationID":"55nF159G","properties":{"formattedCitation":"\\super 85\\nosupersub{}","plainCitation":"85","noteIndex":0},"citationItems":[{"id":841,"uris":["http://zotero.org/users/8284751/items/PZC9ZCZM"],"itemData":{"id":841,"type":"article-journal","container-title":"The Journal of Physical Chemistry","DOI":"10.1021/j100308a038","ISSN":"0022-3654, 1541-5740","issue":"24","journalAbbreviation":"J. Phys. Chem.","language":"en","page":"6269-6271","source":"DOI.org (Crossref)","title":"The missing term in effective pair potentials","volume":"91","author":[{"family":"Berendsen","given":"H. J. C."},{"family":"Grigera","given":"J. R."},{"family":"Straatsma","given":"T. P."}],"issued":{"date-parts":[["1987",11]]}}}],"schema":"https://github.com/citation-style-language/schema/raw/master/csl-citation.json"}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85</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Decanoic acid was modeled using the GROMOS54A7</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{"citationID":"0Lgdt7i4","properties":{"formattedCitation":"\\super 86\\nosupersub{}","plainCitation":"86","noteIndex":0},"citationItems":[{"id":846,"uris":["http://zotero.org/users/8284751/items/LSGL7M34"],"itemData":{"id":846,"type":"article-journal","container-title":"European Biophysics Journal","page":"843-856","title":"Definition and testing of the GROMOS force-field versions 54A7 and 54B7","volume":"40","author":[{"family":"Schmid","given":"N"},{"family":"Eichenberger","given":"AP"},{"family":"Choutko","given":"A"},{"family":"Riniker","given":"S"},{"family":"Winger","given":"M"},{"family":"Mark","given":"AE"},{"family":"Gunsteren","given":"WF","non-dropping-particle":"van"}],"issued":{"date-parts":[["2011"]]}}}],"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86</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xml:space="preserve"> forcefield and </w:t>
      </w:r>
      <w:r w:rsidRPr="00AD04DA">
        <w:rPr>
          <w:rFonts w:ascii="Times New Roman" w:hAnsi="Times New Roman" w:cs="Times New Roman"/>
          <w:i/>
          <w:iCs/>
          <w:sz w:val="24"/>
          <w:szCs w:val="24"/>
        </w:rPr>
        <w:t>.</w:t>
      </w:r>
      <w:proofErr w:type="spellStart"/>
      <w:r w:rsidRPr="00AD04DA">
        <w:rPr>
          <w:rFonts w:ascii="Times New Roman" w:hAnsi="Times New Roman" w:cs="Times New Roman"/>
          <w:i/>
          <w:iCs/>
          <w:sz w:val="24"/>
          <w:szCs w:val="24"/>
        </w:rPr>
        <w:t>itp</w:t>
      </w:r>
      <w:proofErr w:type="spellEnd"/>
      <w:r w:rsidRPr="00AD04DA">
        <w:rPr>
          <w:rFonts w:ascii="Times New Roman" w:hAnsi="Times New Roman" w:cs="Times New Roman"/>
          <w:i/>
          <w:iCs/>
          <w:sz w:val="24"/>
          <w:szCs w:val="24"/>
        </w:rPr>
        <w:t xml:space="preserve"> </w:t>
      </w:r>
      <w:r w:rsidRPr="00AD04DA">
        <w:rPr>
          <w:rFonts w:ascii="Times New Roman" w:hAnsi="Times New Roman" w:cs="Times New Roman"/>
          <w:sz w:val="24"/>
          <w:szCs w:val="24"/>
        </w:rPr>
        <w:t>and .</w:t>
      </w:r>
      <w:proofErr w:type="spellStart"/>
      <w:r w:rsidRPr="00AD04DA">
        <w:rPr>
          <w:rFonts w:ascii="Times New Roman" w:hAnsi="Times New Roman" w:cs="Times New Roman"/>
          <w:i/>
          <w:iCs/>
          <w:sz w:val="24"/>
          <w:szCs w:val="24"/>
        </w:rPr>
        <w:t>pdb</w:t>
      </w:r>
      <w:proofErr w:type="spellEnd"/>
      <w:r w:rsidRPr="00AD04DA">
        <w:rPr>
          <w:rFonts w:ascii="Times New Roman" w:hAnsi="Times New Roman" w:cs="Times New Roman"/>
          <w:sz w:val="24"/>
          <w:szCs w:val="24"/>
        </w:rPr>
        <w:t xml:space="preserve"> files provided by Automated Topology Builder and Repository</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{"citationID":"kHKlzbXv","properties":{"formattedCitation":"\\super 87\\nosupersub{}","plainCitation":"87","noteIndex":0},"citationItems":[{"id":844,"uris":["http://zotero.org/users/8284751/items/4AJFE6W9"],"itemData":{"id":844,"type":"article-journal","container-title":"Journal of Computer-Aided Molecular Design","DOI":"10.1007/s10822-014-9713-7","ISSN":"0920-654X, 1573-4951","issue":"3","journalAbbreviation":"J Comput Aided Mol Des","language":"en","page":"221-233","source":"DOI.org (Crossref)","title":"Testing and validation of the Automated Topology Builder (ATB) version 2.0: prediction of hydration free enthalpies","title-short":"Testing and validation of the Automated Topology Builder (ATB) version 2.0","volume":"28","author":[{"family":"Koziara","given":"Katarzyna B."},{"family":"Stroet","given":"Martin"},{"family":"Malde","given":"Alpeshkumar K."},{"family":"Mark","given":"Alan E."}],"issued":{"date-parts":[["2014",3]]}}}],"schema":"https://github.com/citation-style-language/schema/raw/master/csl-citation.json"}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87</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Selenium parameters are not available in any GROMACS forcefields. To simulate selenate, a sulfate molecule was taken from CHARMM-GUI small molecule database</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{"citationID":"2BBBKIDh","properties":{"formattedCitation":"\\super 88\\uc0\\u8211{}90\\nosupersub{}","plainCitation":"88–90","noteIndex":0},"citationItems":[{"id":850,"uris":["http://zotero.org/users/8284751/items/KV7XERNT"],"itemData":{"id":850,"type":"article-journal","abstract":"CHARMM (Chemistry at HARvard Molecular Mechanics) is a highly versatile and widely used molecular simulation program. It has been developed over the last three decades with a primary focus on molecules of biological interest, including proteins, peptides, lipids, nucleic acids, carbohydrates, and small molecule ligands, as they occur in solution, crystals, and membrane environments. For the study of such systems, the program provides a large suite of computational tools that include numerous conformational and path sampling methods, free energy estimators, molecular minimization, dynamics, and analysis techniques, and model-building capabilities. The CHARMM program is applicable to problems involving a much broader class of many-particle systems. Calculations with CHARMM can be performed using a number of different energy functions and models, from mixed quantum mechanical-molecular mechanical force ﬁelds, to all-atom classical potential energy functions with explicit solvent and various boundary conditions, to implicit solvent and membrane models. The program has been ported to numerous platforms in both serial and parallel architectures. This article provides an overview of the program as it exists today with an emphasis on developments since the publication of the original CHARMM article in 1983.","container-title":"Journal of Computational Chemistry","DOI":"10.1002/jcc.21287","ISSN":"0192-8651, 1096-987X","issue":"10","journalAbbreviation":"J. Comput. Chem.","language":"en","page":"1545-1614","source":"DOI.org (Crossref)","title":"CHARMM: The biomolecular simulation program","title-short":"CHARMM","volume":"30","author":[{"family":"Brooks","given":"B. R."},{"family":"Brooks","given":"C. L."},{"family":"Mackerell","given":"A. D."},{"family":"Nilsson","given":"L."},{"family":"Petrella","given":"R. J."},{"family":"Roux","given":"B."},{"family":"Won","given":"Y."},{"family":"Archontis","given":"G."},{"family":"Bartels","given":"C."},{"family":"Boresch","given":"S."},{"family":"Caflisch","given":"A."},{"family":"Caves","given":"L."},{"family":"Cui","given":"Q."},{"family":"Dinner","given":"A. R."},{"family":"Feig","given":"M."},{"family":"Fischer","given":"S."},{"family":"Gao","given":"J."},{"family":"Hodoscek","given":"M."},{"family":"Im","given":"W."},{"family":"Kuczera","given":"K."},{"family":"Lazaridis","given":"T."},{"family":"Ma","given":"J."},{"family":"Ovchinnikov","given":"V."},{"family":"Paci","given":"E."},{"family":"Pastor","given":"R. W."},{"family":"Post","given":"C. B."},{"family":"Pu","given":"J. Z."},{"family":"Schaefer","given":"M."},{"family":"Tidor","given":"B."},{"family":"Venable","given":"R. M."},{"family":"Woodcock","given":"H. L."},{"family":"Wu","given":"X."},{"family":"Yang","given":"W."},{"family":"York","given":"D. M."},{"family":"Karplus","given":"M."}],"issued":{"date-parts":[["2009",7,30]]}}},{"id":851,"uris":["http://zotero.org/users/8284751/items/4HMNG76T"],"itemData":{"id":851,"type":"article-journal","abstract":"Proper treatment of nonbonded interactions is essential for the accuracy of molecular dynamics (MD) simulations, especially in studies of lipid bilayers. The use of the CHARMM36 force ﬁeld (C36 FF) in diﬀerent MD simulation programs can result in disagreements with published simulations performed with CHARMM due to diﬀerences in the protocols used to treat the long-range and 14 nonbonded interactions. In this study, we systematically test the use of the C36 lipid FF in NAMD, GROMACS, AMBER, OpenMM, and CHARMM/OpenMM. A wide range of Lennard-Jones (LJ) cutoﬀ schemes and integrator algorithms were tested to ﬁnd the optimal simulation protocol to best match bilayer properties of six lipids with varying acyl chain saturation and head groups. MD simulations of a 1,2-dipalmitoyl-sn-phosphatidylcholine (DPPC) bilayer were used to obtain the optimal protocol for each program. MD simulations with all programs were found to reasonably match the DPPC bilayer properties (surface area per lipid, chain order parameters, and area compressibility modulus) obtained using the standard protocol used in CHARMM as well as from experiments. The optimal simulation protocol was then applied to the other ﬁve lipid simulations and resulted in excellent agreement between results from most simulation programs as well as with experimental data. AMBER compared least favorably with the expected membrane properties, which appears to be due to its use of the hardtruncation in the LJ potential versus a force-based switching function used to smooth the LJ potential as it approaches the cutoﬀ distance. The optimal simulation protocol for each program has been implemented in CHARMM-GUI. This protocol is expected to be applicable to the remainder of the additive C36 FF including the proteins, nucleic acids, carbohydrates, and small molecules.","container-title":"Journal of Chemical Theory and Computation","DOI":"10.1021/acs.jctc.5b00935","ISSN":"1549-9618, 1549-9626","issue":"1","journalAbbreviation":"J. Chem. Theory Comput.","language":"en","page":"405-413","source":"DOI.org (Crossref)","title":"CHARMM-GUI Input Generator for NAMD, GROMACS, AMBER, OpenMM, and CHARMM/OpenMM Simulations Using the CHARMM36 Additive Force Field","volume":"12","author":[{"family":"Lee","given":"Jumin"},{"family":"Cheng","given":"Xi"},{"family":"Swails","given":"Jason M."},{"family":"Yeom","given":"Min Sun"},{"family":"Eastman","given":"Peter K."},{"family":"Lemkul","given":"Justin A."},{"family":"Wei","given":"Shuai"},{"family":"Buckner","given":"Joshua"},{"family":"Jeong","given":"Jong Cheol"},{"family":"Qi","given":"Yifei"},{"family":"Jo","given":"Sunhwan"},{"family":"Pande","given":"Vijay S."},{"family":"Case","given":"David A."},{"family":"Brooks","given":"Charles L."},{"family":"MacKerell","given":"Alexander D."},{"family":"Klauda","given":"Jeffery B."},{"family":"Im","given":"Wonpil"}],"issued":{"date-parts":[["2016",1,12]]}}},{"id":854,"uris":["http://zotero.org/users/8284751/items/AR2QVJ67"],"itemData":{"id":854,"type":"article-journal","container-title":"Journal of Computational Chemistry","DOI":"10.1002/jcc.20945","ISSN":"01928651","issue":"11","journalAbbreviation":"J. Comput. Chem.","language":"en","page":"1859-1865","source":"DOI.org (Crossref)","title":"CHARMM-GUI: A web-based graphical user interface for CHARMM","title-short":"CHARMM-GUI","volume":"29","author":[{"family":"Jo","given":"Sunhwan"},{"family":"Kim","given":"Taehoon"},{"family":"Iyer","given":"Vidyashankara G."},{"family":"Im","given":"Wonpil"}],"issued":{"date-parts":[["2008",8]]}}}],"schema":"https://github.com/citation-style-language/schema/raw/master/csl-citation.json"}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88–90</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xml:space="preserve"> due to its structural similarity to selenate</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{"citationID":"CmyClbCy","properties":{"formattedCitation":"\\super 43\\nosupersub{}","plainCitation":"43","noteIndex":0},"citationItems":[{"id":769,"uris":["http://zotero.org/users/8284751/items/D66XGCME"],"itemData":{"id":769,"type":"article-journal","abstract":"In the present study, we explore a new application of Barite (BaSO4) as a sequestering phase for selenite (Se(IV)) and selenate (Se(VI)) ions from aqueous solutions because of the low solubility and high stability of Barite with its ability to selectively incorporate a large amount of various ions. The uptake of Se(IV) and Se(VI) during coprecipitation with Barite was investigated through batch experiments to understand the factors controlling eﬀective removal of Se(IV) and Se(VI) from polluted water to Barite. The factors include (i) chemical aﬃnity related to the degree of surface complexation between Barite surface and Se(IV)/ Se(VI) ion and (ii) structural similarity related to the structural geometry of incorporated ions into the substituted site. The uptake of Se(IV) by Barite is dependent on pH, coexistent calcium ion, and sulfate concentration in the initial solution, possibly due to their eﬀects on the chemical aﬃnity and structural similarity. On the other hand, the uptake of Se(VI) by Barite was strongly dependent on sulfate concentration in the initial solution, which is only related to the structural similarity. This study describes the mechanisms for Se distribution between Barite and water, thereby providing a good estimate of its ability to eﬀectively remove Se(IV) and Se(VI) from aqueous solutions under optimized experimental parameters examined here.","container-title":"Environmental Science &amp; Technology","DOI":"10.1021/acs.est.7b01219","ISSN":"0013-936X, 1520-5851","issue":"16","journalAbbreviation":"Environ. Sci. Technol.","language":"en","page":"9194-9201","source":"DOI.org (Crossref)","title":"Effective Removal of Selenite and Selenate Ions from Aqueous Solution by Barite","volume":"51","author":[{"family":"Tokunaga","given":"Kohei"},{"family":"Takahashi","given":"Yoshio"}],"issued":{"date-parts":[["2017",8,15]]}}}],"schema":"https://github.com/citation-style-language/schema/raw/master/csl-citation.json"}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43</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The bond lengths of sulfate were scaled by 1.1 to approximate a selenate anion</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{"citationID":"0b4YPn4W","properties":{"formattedCitation":"\\super 91,92\\nosupersub{}","plainCitation":"91,92","noteIndex":0},"citationItems":[{"id":858,"uris":["http://zotero.org/users/8284751/items/T2QVGR2C"],"itemData":{"id":858,"type":"article-journal","abstract":"Observed S - O bond lengths for sulfate tetrahedral oxyanions isolated from crystalline solids correlate with the tetrahedral angles impressed upon these ions by their environments. An algorithm is presented which can account for more than 90 percent of the S - O bond length variations from a consideration only of the average of the three angles common to each bond. Extended Htickel molecular orbital theory serves to rationalize these correlations by relating changes in bond overlap population (i.e., bond strength) to angular distortions of sulfate ions observed in a large number of natural and synthetic compounds.","container-title":"Physics and Chemistry of Minerals","DOI":"10.1007/BF00307979","ISSN":"0342-1791, 1432-2021","issue":"1","journalAbbreviation":"Phys Chem Minerals","language":"en","page":"53-69","source":"DOI.org (Crossref)","title":"Tetrahedral bond length variations in sulfates","volume":"1","author":[{"family":"Louisnathan","given":"S. John"},{"family":"Hill","given":"Roderick J."},{"family":"Gibbs","given":"G. V."}],"issued":{"date-parts":[["1977"]]}}},{"id":856,"uris":["http://zotero.org/users/8284751/items/MQD4SS69"],"itemData":{"id":856,"type":"article-journal","abstract":"The selenite ion has an asymmetric hydration sphere with loosely electrostatically bound water molecules outside the free electron pair.\n          , \n            \n              The structure and hydrogen bonding of the hydrated selenite, SeO\n              3\n              2−\n              , and selenate, SeO\n              4\n              2−\n              , ions have been studied in aqueous solution by large angle X-ray scattering (LAXS), EXAFS and double difference infrared (DDIR) spectroscopy. The mean Se–O bond distances are 1.709(2) and 1.657(2) Å, respectively, as determined by LAXS, and 1.701(3) and 1.643(3) Å by EXAFS. These bond distances are slightly longer than the mean distances found in the solid state, 1.691 and 1.634 Å, respectively. The structures of HSeO\n              3\n              −\n              , H\n              2\n              SeO\n              3\n              and HSeO\n              4\n              −\n              in aqueous solution have been determined by EXAFS giving the same Se–O bond distances as for the selenite and selenate ions, respectively. The mean Se</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distance to the water molecules hydrogen binding to selenite oxygens is 3.87(2) Å, and it is 4.36(8) Å to those clustered outside the lone electron-pair. The selenate ion has a symmetric hydration shell with only one Se</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distance, 3.94(2) Å. The mean Se–O</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angle in the hydrated selenite ion is 114.5°, and the large temperature factor of the Se</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distance strongly indicates equilibrium between two and three water molecules hydrogen bound to the selenite oxygens. The mean Se–O</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 xml:space="preserve">O\n              w\n              angle in the hydrated selenate ion is 120° which strongly indicates that two water molecules hydrogen bind to the selenate oxygens. The DDIR spectra show peaks for the affected water bound to the selenite and selenate ions at 2491 ± 2 and 2480 ± 39 cm\n              −1\n              , respectively, compared to 2509 cm\n              −1\n              in pure water. This shows that the selenite and selenate ions shall be regarded as weak structure makers.","container-title":"Dalton Trans.","DOI":"10.1039/C3DT53468E","ISSN":"1477-9226, 1477-9234","issue":"17","journalAbbreviation":"Dalton Trans.","language":"en","page":"6315-6321","source":"DOI.org (Crossref)","title":"Structure and hydrogen bonding of the hydrated selenite and selenate ions in aqueous solution","volume":"43","author":[{"family":"Eklund","given":"Lars"},{"family":"Persson","given":"Ingmar"}],"issued":{"date-parts":[["2014"]]}}}],"schema":"https://github.com/citation-style-language/schema/raw/master/csl-citation.json"}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91,92</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The approximated selenate molecule was modeled with the GROMOS96 forcefield</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{"citationID":"aJrxYZq3","properties":{"formattedCitation":"\\super 93,94\\nosupersub{}","plainCitation":"93,94","noteIndex":0},"citationItems":[{"id":862,"uris":["http://zotero.org/users/8284751/items/7I9UXMIW"],"itemData":{"id":862,"type":"article-journal","container-title":"The Journal of Physical Chemistry A","DOI":"10.1021/jp984217f","ISSN":"1089-5639, 1520-5215","issue":"19","journalAbbreviation":"J. Phys. Chem. A","language":"en","page":"3596-3607","source":"DOI.org (Crossref)","title":"The GROMOS Biomolecular Simulation Program Package","volume":"103","author":[{"family":"Scott","given":"Walter R. P."},{"family":"Hünenberger","given":"Philippe H."},{"family":"Tironi","given":"Ilario G."},{"family":"Mark","given":"Alan E."},{"family":"Billeter","given":"Salomon R."},{"family":"Fennen","given":"Jens"},{"family":"Torda","given":"Andrew E."},{"family":"Huber","given":"Thomas"},{"family":"Krüger","given":"Peter"},{"family":"Gunsteren","given":"Wilfred F.","non-dropping-particle":"van"}],"issued":{"date-parts":[["1999",5,1]]}}},{"id":861,"uris":["http://zotero.org/users/8284751/items/G4TBPNNY"],"itemData":{"id":861,"type":"article-journal","abstract":"Successive parameterizations of the GROMOS force ﬁeld have been used successfully to simulate biomolecular systems over a long period of time. The continuing expansion of computational power with time makes it possible to compute ever more properties for an increasing variety of molecular systems with greater precision. This has led to recurrent parameterizations of the GROMOS force ﬁeld all aimed at achieving better agreement with experimental data. Here we report the results of the latest, extensive reparameterization of the GROMOS force ﬁeld. In contrast to the parameterization of other biomolecular force ﬁelds, this parameterization of the GROMOS force ﬁeld is based primarily on reproducing the free enthalpies of hydration and apolar solvation for a range of compounds. This approach was chosen because the relative free enthalpy of solvation between polar and apolar environments is a key property in many biomolecular processes of interest, such as protein folding, biomolecular association, membrane formation, and transport over membranes. The newest parameter sets, 53A5 and 53A6, were optimized by ﬁrst ﬁtting to reproduce the thermodynamic properties of pure liquids of a range of small polar molecules and the solvation free enthalpies of amino acid analogs in cyclohexane (53A5). The partial charges were then adjusted to reproduce the hydration free enthalpies in water (53A6). Both parameter sets are fully documented, and the differences between these and previous parameter sets are discussed.","container-title":"Journal of Computational Chemistry","DOI":"10.1002/jcc.20090","ISSN":"0192-8651, 1096-987X","issue":"13","journalAbbreviation":"J. Comput. Chem.","language":"en","page":"1656-1676","source":"DOI.org (Crossref)","title":"A biomolecular force field based on the free enthalpy of hydration and solvation: The GROMOS force-field parameter sets 53A5 and 53A6","title-short":"A biomolecular force field based on the free enthalpy of hydration and solvation","volume":"25","author":[{"family":"Oostenbrink","given":"Chris"},{"family":"Villa","given":"Alessandra"},{"family":"Mark","given":"Alan E."},{"family":"Van Gunsteren","given":"Wilfred F."}],"issued":{"date-parts":[["2004",10]]}}}],"schema":"https://github.com/citation-style-language/schema/raw/master/csl-citation.json"}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93,94</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w:t>
      </w:r>
    </w:p>
    <w:p w14:paraId="2EC8CB7B" w14:textId="3C1C1E6E" w:rsidR="003878B7" w:rsidRPr="00AD04DA" w:rsidRDefault="003878B7" w:rsidP="003878B7">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In each simulation, the system first underwent steepest descents minimization. The system was equilibrated at constant volume (NVT ensemble) for 100 ps. A second equilibration was performed at constant pressure (NPT ensemble) for 100 ps. Finally, the production MD run under the NPT ensemble was performed over 1 ns where ∂H/∂λ data was collected and time averaged. </w:t>
      </w:r>
      <w:r w:rsidRPr="00AD04DA">
        <w:rPr>
          <w:rFonts w:ascii="Times New Roman" w:hAnsi="Times New Roman" w:cs="Times New Roman"/>
          <w:sz w:val="24"/>
          <w:szCs w:val="24"/>
        </w:rPr>
        <w:lastRenderedPageBreak/>
        <w:t>Long range interactions were handled by the Fast Particle-Mesh Ewald (PME)</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{"citationID":"gX3ZoU0u","properties":{"formattedCitation":"\\super 95\\nosupersub{}","plainCitation":"95","noteIndex":0},"citationItems":[{"id":864,"uris":["http://zotero.org/users/8284751/items/QN24HGMH"],"itemData":{"id":864,"type":"article-journal","container-title":"The Journal of Chemical Physics","DOI":"10.1063/1.464397","ISSN":"0021-9606, 1089-7690","issue":"12","journalAbbreviation":"The Journal of Chemical Physics","language":"en","page":"10089-10092","source":"DOI.org (Crossref)","title":"Particle mesh Ewald: An &lt;i&gt;N&lt;/i&gt; </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 xml:space="preserve">log( &lt;i&gt;N&lt;/i&gt; ) method for Ewald sums in large systems","title-short":"Particle mesh Ewald","volume":"98","author":[{"family":"Darden","given":"Tom"},{"family":"York","given":"Darrin"},{"family":"Pedersen","given":"Lee"}],"issued":{"date-parts":[["1993",6,15]]}}}],"schema":"https://github.com/citation-style-language/schema/raw/master/csl-citation.json"}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95</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xml:space="preserve"> method while a cut-off radius was used for short range van der Waals and coulombic forces.</w:t>
      </w:r>
    </w:p>
    <w:p w14:paraId="4176F1DA" w14:textId="77777777" w:rsidR="003878B7" w:rsidRPr="00AD04DA" w:rsidRDefault="003878B7" w:rsidP="006750CC">
      <w:pPr>
        <w:spacing w:after="0" w:line="480" w:lineRule="auto"/>
        <w:jc w:val="both"/>
        <w:rPr>
          <w:rFonts w:ascii="Times New Roman" w:hAnsi="Times New Roman" w:cs="Times New Roman"/>
          <w:sz w:val="24"/>
          <w:szCs w:val="24"/>
        </w:rPr>
      </w:pPr>
    </w:p>
    <w:p w14:paraId="578D97A1" w14:textId="5AB912B0" w:rsidR="00515CE6" w:rsidRPr="00E77369" w:rsidRDefault="002B16D5" w:rsidP="00BE4DC1">
      <w:pPr>
        <w:pStyle w:val="Heading1"/>
        <w:spacing w:before="0" w:line="480" w:lineRule="auto"/>
        <w:rPr>
          <w:rFonts w:ascii="Times New Roman" w:hAnsi="Times New Roman" w:cs="Times New Roman"/>
        </w:rPr>
      </w:pPr>
      <w:bookmarkStart w:id="16" w:name="_Toc100753467"/>
      <w:r w:rsidRPr="00E77369">
        <w:rPr>
          <w:rFonts w:ascii="Times New Roman" w:hAnsi="Times New Roman" w:cs="Times New Roman"/>
          <w:color w:val="000000" w:themeColor="text1"/>
        </w:rPr>
        <w:t>3</w:t>
      </w:r>
      <w:r w:rsidR="00FA7A66" w:rsidRPr="00E77369">
        <w:rPr>
          <w:rFonts w:ascii="Times New Roman" w:hAnsi="Times New Roman" w:cs="Times New Roman"/>
          <w:color w:val="000000" w:themeColor="text1"/>
        </w:rPr>
        <w:t>. Results</w:t>
      </w:r>
      <w:bookmarkEnd w:id="16"/>
    </w:p>
    <w:p w14:paraId="3293C372" w14:textId="0A23B1FF" w:rsidR="003A6949" w:rsidRPr="00E77369" w:rsidRDefault="003A6949" w:rsidP="00AB23FC">
      <w:pPr>
        <w:pStyle w:val="Heading2"/>
        <w:spacing w:before="0" w:line="480" w:lineRule="auto"/>
        <w:ind w:firstLine="720"/>
        <w:rPr>
          <w:rFonts w:ascii="Times New Roman" w:hAnsi="Times New Roman" w:cs="Times New Roman"/>
          <w:color w:val="000000" w:themeColor="text1"/>
          <w:sz w:val="28"/>
          <w:szCs w:val="28"/>
        </w:rPr>
      </w:pPr>
      <w:bookmarkStart w:id="17" w:name="_Toc100753468"/>
      <w:r w:rsidRPr="00E77369">
        <w:rPr>
          <w:rFonts w:ascii="Times New Roman" w:hAnsi="Times New Roman" w:cs="Times New Roman"/>
          <w:color w:val="000000" w:themeColor="text1"/>
          <w:sz w:val="28"/>
          <w:szCs w:val="28"/>
        </w:rPr>
        <w:t>3.1 Simulation Results</w:t>
      </w:r>
      <w:bookmarkEnd w:id="17"/>
    </w:p>
    <w:p w14:paraId="16702F79" w14:textId="3C8997F4" w:rsidR="00471EE2" w:rsidRPr="00AD04DA" w:rsidRDefault="007F67EC" w:rsidP="00471EE2">
      <w:pPr>
        <w:spacing w:after="0" w:line="480" w:lineRule="auto"/>
        <w:jc w:val="both"/>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 xml:space="preserve">Free energy of solvation simulations gave a value of -381.54 ± 0.19 kJ/mol for the sodium cation. This value </w:t>
      </w:r>
      <w:r w:rsidR="00857B88" w:rsidRPr="00AD04DA">
        <w:rPr>
          <w:rFonts w:ascii="Times New Roman" w:hAnsi="Times New Roman" w:cs="Times New Roman"/>
          <w:color w:val="000000" w:themeColor="text1"/>
          <w:sz w:val="24"/>
          <w:szCs w:val="24"/>
        </w:rPr>
        <w:t>is comparable to</w:t>
      </w:r>
      <w:r w:rsidRPr="00AD04DA">
        <w:rPr>
          <w:rFonts w:ascii="Times New Roman" w:hAnsi="Times New Roman" w:cs="Times New Roman"/>
          <w:color w:val="000000" w:themeColor="text1"/>
          <w:sz w:val="24"/>
          <w:szCs w:val="24"/>
        </w:rPr>
        <w:t xml:space="preserve"> Shi</w:t>
      </w:r>
      <w:r w:rsidRPr="00AD04DA">
        <w:rPr>
          <w:rFonts w:ascii="Times New Roman" w:hAnsi="Times New Roman" w:cs="Times New Roman"/>
          <w:i/>
          <w:iCs/>
          <w:color w:val="000000" w:themeColor="text1"/>
          <w:sz w:val="24"/>
          <w:szCs w:val="24"/>
        </w:rPr>
        <w:t xml:space="preserve"> et al</w:t>
      </w:r>
      <w:r w:rsidRPr="00AD04DA">
        <w:rPr>
          <w:rFonts w:ascii="Times New Roman" w:hAnsi="Times New Roman" w:cs="Times New Roman"/>
          <w:color w:val="000000" w:themeColor="text1"/>
          <w:sz w:val="24"/>
          <w:szCs w:val="24"/>
        </w:rPr>
        <w:t xml:space="preserve">, who report a value of </w:t>
      </w:r>
      <w:r w:rsidR="00857B88" w:rsidRPr="00AD04DA">
        <w:rPr>
          <w:rFonts w:ascii="Times New Roman" w:hAnsi="Times New Roman" w:cs="Times New Roman"/>
          <w:color w:val="000000" w:themeColor="text1"/>
          <w:sz w:val="24"/>
          <w:szCs w:val="24"/>
        </w:rPr>
        <w:t>-92.8 kcal/mol (-388.28 kJ/mol)</w:t>
      </w:r>
      <w:r w:rsidR="00857B88" w:rsidRPr="00AD04DA">
        <w:rPr>
          <w:rFonts w:ascii="Times New Roman" w:hAnsi="Times New Roman" w:cs="Times New Roman"/>
          <w:color w:val="000000" w:themeColor="text1"/>
          <w:sz w:val="24"/>
          <w:szCs w:val="24"/>
        </w:rPr>
        <w:fldChar w:fldCharType="begin"/>
      </w:r>
      <w:r w:rsidR="00AE4CC3">
        <w:rPr>
          <w:rFonts w:ascii="Times New Roman" w:hAnsi="Times New Roman" w:cs="Times New Roman"/>
          <w:color w:val="000000" w:themeColor="text1"/>
          <w:sz w:val="24"/>
          <w:szCs w:val="24"/>
        </w:rPr>
        <w:instrText xml:space="preserve"> ADDIN ZOTERO_ITEM CSL_CITATION {"citationID":"QwsG965Q","properties":{"formattedCitation":"\\super 96\\nosupersub{}","plainCitation":"96","noteIndex":0},"citationItems":[{"id":898,"uris":["http://zotero.org/users/8284751/items/292PCSKN"],"itemData":{"id":898,"type":"article-journal","abstract":"Significance\n            Establishing an absolute free energy scale for single-ion hydration has been an elusive goal of condensed-phase chemistry for nearly a century. In this paper, a zero for the free energy scale is determined by employing quasi-chemical theory and quantum mechanical simulations of the sodium ion in water. The simulation results produce an accurate estimate of the effective surface potential of water by comparison of the computed “bulk” hydration free energy with experimental values for the “real” hydration free energy. This work provides a firm quantitative footing for studies of interfacial specific ion structure, thermodynamics, and kinetics in fields as diverse as colloid science, electrochemistry, biophysics, and energy storage materials.\n          , \n            \n              With a goal of determining an absolute free energy scale for ion hydration, quasi-chemical theory and ab initio quantum mechanical simulations are employed to obtain an accurate value for the bulk hydration free energy of the Na\n              +\n              ion. The free energy is partitioned into three parts: 1) the inner-shell or chemical contribution that includes direct interactions of the ion with nearby waters, 2) the packing free energy that is the work to produce a cavity of size\n              \n                \n                  λ\n                \n              \n              in water, and 3) the long-range contribution that involves all interactions outside the inner shell. The interfacial potential contribution to the free energy resides in the long-range term. By averaging cation and anion data for that contribution, cumulant terms of all odd orders in the electrostatic potential are removed. The computed total is then the bulk hydration free energy. Comparison with the experimentally derived real hydration free energy produces an effective surface potential of water in the range −0.4 to −0.5 V. The result is consistent with a variety of experiments concerning acid–base chemistry, ion distributions near hydrophobic interfaces, and electric fields near the surface of water droplets.","container-title":"Proceedings of the National Academy of Sciences","DOI":"10.1073/pnas.2017214117","ISSN":"0027-8424, 1091-6490","issue":"48","journalAbbreviation":"Proc. Natl. Acad. Sci. U.S.A.","language":"en","page":"30151-30158","source":"DOI.org (Crossref)","title":"Absolute ion hydration free energy scale and the surface potential of water via quantum simulation","volume":"117","author":[{"family":"Shi","given":"Yu"},{"family":"Beck","given":"Thomas L."}],"issued":{"date-parts":[["2020",12]]}}}],"schema":"https://github.com/citation-style-language/schema/raw/master/csl-citation.json"} </w:instrText>
      </w:r>
      <w:r w:rsidR="00857B88" w:rsidRPr="00AD04DA">
        <w:rPr>
          <w:rFonts w:ascii="Times New Roman" w:hAnsi="Times New Roman" w:cs="Times New Roman"/>
          <w:color w:val="000000" w:themeColor="text1"/>
          <w:sz w:val="24"/>
          <w:szCs w:val="24"/>
        </w:rPr>
        <w:fldChar w:fldCharType="separate"/>
      </w:r>
      <w:r w:rsidR="00857B88" w:rsidRPr="00AD04DA">
        <w:rPr>
          <w:rFonts w:ascii="Times New Roman" w:hAnsi="Times New Roman" w:cs="Times New Roman"/>
          <w:sz w:val="24"/>
          <w:szCs w:val="24"/>
          <w:vertAlign w:val="superscript"/>
        </w:rPr>
        <w:t>96</w:t>
      </w:r>
      <w:r w:rsidR="00857B88" w:rsidRPr="00AD04DA">
        <w:rPr>
          <w:rFonts w:ascii="Times New Roman" w:hAnsi="Times New Roman" w:cs="Times New Roman"/>
          <w:color w:val="000000" w:themeColor="text1"/>
          <w:sz w:val="24"/>
          <w:szCs w:val="24"/>
        </w:rPr>
        <w:fldChar w:fldCharType="end"/>
      </w:r>
      <w:r w:rsidR="00857B88" w:rsidRPr="00AD04DA">
        <w:rPr>
          <w:rFonts w:ascii="Times New Roman" w:hAnsi="Times New Roman" w:cs="Times New Roman"/>
          <w:color w:val="000000" w:themeColor="text1"/>
          <w:sz w:val="24"/>
          <w:szCs w:val="24"/>
        </w:rPr>
        <w:t>.</w:t>
      </w:r>
      <w:r w:rsidR="00AA5179" w:rsidRPr="00AD04DA">
        <w:rPr>
          <w:rFonts w:ascii="Times New Roman" w:hAnsi="Times New Roman" w:cs="Times New Roman"/>
          <w:color w:val="000000" w:themeColor="text1"/>
          <w:sz w:val="24"/>
          <w:szCs w:val="24"/>
        </w:rPr>
        <w:t xml:space="preserve"> For the chloride anion, a value of </w:t>
      </w:r>
      <w:r w:rsidR="00ED636E" w:rsidRPr="00AD04DA">
        <w:rPr>
          <w:rFonts w:ascii="Times New Roman" w:hAnsi="Times New Roman" w:cs="Times New Roman"/>
          <w:color w:val="000000" w:themeColor="text1"/>
          <w:sz w:val="24"/>
          <w:szCs w:val="24"/>
        </w:rPr>
        <w:t>-</w:t>
      </w:r>
      <w:r w:rsidR="00AA5179" w:rsidRPr="00AD04DA">
        <w:rPr>
          <w:rFonts w:ascii="Times New Roman" w:hAnsi="Times New Roman" w:cs="Times New Roman"/>
          <w:color w:val="000000" w:themeColor="text1"/>
          <w:sz w:val="24"/>
          <w:szCs w:val="24"/>
        </w:rPr>
        <w:t>370.54 ± 3.06 kJ/mol was obtained. This agrees with the value of -89.22 ± 3.12 kcal/mol (</w:t>
      </w:r>
      <w:r w:rsidR="00ED636E" w:rsidRPr="00AD04DA">
        <w:rPr>
          <w:rFonts w:ascii="Times New Roman" w:hAnsi="Times New Roman" w:cs="Times New Roman"/>
          <w:color w:val="000000" w:themeColor="text1"/>
          <w:sz w:val="24"/>
          <w:szCs w:val="24"/>
        </w:rPr>
        <w:t>-</w:t>
      </w:r>
      <w:r w:rsidR="00AA5179" w:rsidRPr="00AD04DA">
        <w:rPr>
          <w:rFonts w:ascii="Times New Roman" w:hAnsi="Times New Roman" w:cs="Times New Roman"/>
          <w:color w:val="000000" w:themeColor="text1"/>
          <w:sz w:val="24"/>
          <w:szCs w:val="24"/>
        </w:rPr>
        <w:t xml:space="preserve">373.30 ± 13.05 kJ/mol) reported by Smith </w:t>
      </w:r>
      <w:r w:rsidR="00AA5179" w:rsidRPr="00AD04DA">
        <w:rPr>
          <w:rFonts w:ascii="Times New Roman" w:hAnsi="Times New Roman" w:cs="Times New Roman"/>
          <w:i/>
          <w:iCs/>
          <w:color w:val="000000" w:themeColor="text1"/>
          <w:sz w:val="24"/>
          <w:szCs w:val="24"/>
        </w:rPr>
        <w:t>et al</w:t>
      </w:r>
      <w:r w:rsidR="00AA5179" w:rsidRPr="00AD04DA">
        <w:rPr>
          <w:rFonts w:ascii="Times New Roman" w:hAnsi="Times New Roman" w:cs="Times New Roman"/>
          <w:i/>
          <w:iCs/>
          <w:color w:val="000000" w:themeColor="text1"/>
          <w:sz w:val="24"/>
          <w:szCs w:val="24"/>
        </w:rPr>
        <w:fldChar w:fldCharType="begin"/>
      </w:r>
      <w:r w:rsidR="00AE4CC3">
        <w:rPr>
          <w:rFonts w:ascii="Times New Roman" w:hAnsi="Times New Roman" w:cs="Times New Roman"/>
          <w:i/>
          <w:iCs/>
          <w:color w:val="000000" w:themeColor="text1"/>
          <w:sz w:val="24"/>
          <w:szCs w:val="24"/>
        </w:rPr>
        <w:instrText xml:space="preserve"> ADDIN ZOTERO_ITEM CSL_CITATION {"citationID":"xQbfu338","properties":{"formattedCitation":"\\super 97\\nosupersub{}","plainCitation":"97","noteIndex":0},"citationItems":[{"id":900,"uris":["http://zotero.org/users/8284751/items/HGAZIAS9"],"itemData":{"id":900,"type":"article-journal","container-title":"The Journal of Chemical Physics","DOI":"10.1063/1.1953578","ISSN":"0021-9606, 1089-7690","issue":"3","journalAbbreviation":"The Journal of Chemical Physics","language":"en","page":"034706","source":"DOI.org (Crossref)","title":"Free energy of solvation of simple ions: Molecular-dynamics study of solvation of Cl− and Na+ in the ice/water interface","title-short":"Free energy of solvation of simple ions","volume":"123","author":[{"family":"Smith","given":"E. J."},{"family":"Bryk","given":"T."},{"family":"Haymet","given":"A. D. J."}],"issued":{"date-parts":[["2005",7,15]]}}}],"schema":"https://github.com/citation-style-language/schema/raw/master/csl-citation.json"} </w:instrText>
      </w:r>
      <w:r w:rsidR="00AA5179" w:rsidRPr="00AD04DA">
        <w:rPr>
          <w:rFonts w:ascii="Times New Roman" w:hAnsi="Times New Roman" w:cs="Times New Roman"/>
          <w:i/>
          <w:iCs/>
          <w:color w:val="000000" w:themeColor="text1"/>
          <w:sz w:val="24"/>
          <w:szCs w:val="24"/>
        </w:rPr>
        <w:fldChar w:fldCharType="separate"/>
      </w:r>
      <w:r w:rsidR="00AA5179" w:rsidRPr="00AD04DA">
        <w:rPr>
          <w:rFonts w:ascii="Times New Roman" w:hAnsi="Times New Roman" w:cs="Times New Roman"/>
          <w:sz w:val="24"/>
          <w:szCs w:val="24"/>
          <w:vertAlign w:val="superscript"/>
        </w:rPr>
        <w:t>97</w:t>
      </w:r>
      <w:r w:rsidR="00AA5179" w:rsidRPr="00AD04DA">
        <w:rPr>
          <w:rFonts w:ascii="Times New Roman" w:hAnsi="Times New Roman" w:cs="Times New Roman"/>
          <w:i/>
          <w:iCs/>
          <w:color w:val="000000" w:themeColor="text1"/>
          <w:sz w:val="24"/>
          <w:szCs w:val="24"/>
        </w:rPr>
        <w:fldChar w:fldCharType="end"/>
      </w:r>
      <w:r w:rsidR="00AA5179" w:rsidRPr="00AD04DA">
        <w:rPr>
          <w:rFonts w:ascii="Times New Roman" w:hAnsi="Times New Roman" w:cs="Times New Roman"/>
          <w:color w:val="000000" w:themeColor="text1"/>
          <w:sz w:val="24"/>
          <w:szCs w:val="24"/>
        </w:rPr>
        <w:t>.</w:t>
      </w:r>
    </w:p>
    <w:p w14:paraId="14DBD1FB" w14:textId="0FAE4E3C" w:rsidR="00FB120D" w:rsidRPr="00AD04DA" w:rsidRDefault="009909BB" w:rsidP="00471EE2">
      <w:pPr>
        <w:spacing w:after="0" w:line="480" w:lineRule="auto"/>
        <w:jc w:val="both"/>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ab/>
      </w:r>
      <w:r w:rsidR="00F81867" w:rsidRPr="00AD04DA">
        <w:rPr>
          <w:rFonts w:ascii="Times New Roman" w:hAnsi="Times New Roman" w:cs="Times New Roman"/>
          <w:color w:val="000000" w:themeColor="text1"/>
          <w:sz w:val="24"/>
          <w:szCs w:val="24"/>
        </w:rPr>
        <w:t>A sodium and chloride ion in DA were simulated by</w:t>
      </w:r>
      <w:r w:rsidR="00BA6A89" w:rsidRPr="00AD04DA">
        <w:rPr>
          <w:rFonts w:ascii="Times New Roman" w:hAnsi="Times New Roman" w:cs="Times New Roman"/>
          <w:color w:val="000000" w:themeColor="text1"/>
          <w:sz w:val="24"/>
          <w:szCs w:val="24"/>
        </w:rPr>
        <w:t xml:space="preserve"> </w:t>
      </w:r>
      <w:proofErr w:type="spellStart"/>
      <w:r w:rsidR="00BA6A89" w:rsidRPr="00AD04DA">
        <w:rPr>
          <w:rFonts w:ascii="Times New Roman" w:hAnsi="Times New Roman" w:cs="Times New Roman"/>
          <w:color w:val="000000" w:themeColor="text1"/>
          <w:sz w:val="24"/>
          <w:szCs w:val="24"/>
        </w:rPr>
        <w:t>Rish</w:t>
      </w:r>
      <w:proofErr w:type="spellEnd"/>
      <w:r w:rsidR="00F81867" w:rsidRPr="00AD04DA">
        <w:rPr>
          <w:rFonts w:ascii="Times New Roman" w:hAnsi="Times New Roman" w:cs="Times New Roman"/>
          <w:color w:val="000000" w:themeColor="text1"/>
          <w:sz w:val="24"/>
          <w:szCs w:val="24"/>
        </w:rPr>
        <w:t xml:space="preserve"> </w:t>
      </w:r>
      <w:r w:rsidR="00F81867" w:rsidRPr="00AD04DA">
        <w:rPr>
          <w:rFonts w:ascii="Times New Roman" w:hAnsi="Times New Roman" w:cs="Times New Roman"/>
          <w:i/>
          <w:iCs/>
          <w:color w:val="000000" w:themeColor="text1"/>
          <w:sz w:val="24"/>
          <w:szCs w:val="24"/>
        </w:rPr>
        <w:t>et al</w:t>
      </w:r>
      <w:r w:rsidR="00F81867" w:rsidRPr="00AD04DA">
        <w:rPr>
          <w:rFonts w:ascii="Times New Roman" w:hAnsi="Times New Roman" w:cs="Times New Roman"/>
          <w:i/>
          <w:iCs/>
          <w:color w:val="000000" w:themeColor="text1"/>
          <w:sz w:val="24"/>
          <w:szCs w:val="24"/>
        </w:rPr>
        <w:fldChar w:fldCharType="begin"/>
      </w:r>
      <w:r w:rsidR="00AE4CC3">
        <w:rPr>
          <w:rFonts w:ascii="Times New Roman" w:hAnsi="Times New Roman" w:cs="Times New Roman"/>
          <w:i/>
          <w:iCs/>
          <w:color w:val="000000" w:themeColor="text1"/>
          <w:sz w:val="24"/>
          <w:szCs w:val="24"/>
        </w:rPr>
        <w:instrText xml:space="preserve"> ADDIN ZOTERO_ITEM CSL_CITATION {"citationID":"bGHMA0mJ","properties":{"formattedCitation":"\\super 77\\nosupersub{}","plainCitation":"77","noteIndex":0},"citationItems":[{"id":254,"uris":["http://zotero.org/users/8284751/items/4RBKW9A8"],"itemData":{"id":254,"type":"article-journal","container-title":"Applied Physics Letters","DOI":"10.1063/1.4861835","ISSN":"0003-6951, 1077-3118","issue":"2","journalAbbreviation":"Appl. Phys. Lett.","language":"en","page":"024102","source":"DOI.org (Crossref)","title":"Exceptional ion rejection ability of directional solvent for non-membrane desalination","volume":"104","author":[{"family":"Rish","given":"Daniel"},{"family":"Luo","given":"Shirui"},{"family":"Kurtz","given":"Brien"},{"family":"Luo","given":"Tengfei"}],"issued":{"date-parts":[["2014",1,13]]}}}],"schema":"https://github.com/citation-style-language/schema/raw/master/csl-citation.json"} </w:instrText>
      </w:r>
      <w:r w:rsidR="00F81867" w:rsidRPr="00AD04DA">
        <w:rPr>
          <w:rFonts w:ascii="Times New Roman" w:hAnsi="Times New Roman" w:cs="Times New Roman"/>
          <w:i/>
          <w:iCs/>
          <w:color w:val="000000" w:themeColor="text1"/>
          <w:sz w:val="24"/>
          <w:szCs w:val="24"/>
        </w:rPr>
        <w:fldChar w:fldCharType="separate"/>
      </w:r>
      <w:r w:rsidR="00F81867" w:rsidRPr="00AD04DA">
        <w:rPr>
          <w:rFonts w:ascii="Times New Roman" w:hAnsi="Times New Roman" w:cs="Times New Roman"/>
          <w:sz w:val="24"/>
          <w:szCs w:val="24"/>
          <w:vertAlign w:val="superscript"/>
        </w:rPr>
        <w:t>77</w:t>
      </w:r>
      <w:r w:rsidR="00F81867" w:rsidRPr="00AD04DA">
        <w:rPr>
          <w:rFonts w:ascii="Times New Roman" w:hAnsi="Times New Roman" w:cs="Times New Roman"/>
          <w:i/>
          <w:iCs/>
          <w:color w:val="000000" w:themeColor="text1"/>
          <w:sz w:val="24"/>
          <w:szCs w:val="24"/>
        </w:rPr>
        <w:fldChar w:fldCharType="end"/>
      </w:r>
      <w:r w:rsidR="00F81867" w:rsidRPr="00AD04DA">
        <w:rPr>
          <w:rFonts w:ascii="Times New Roman" w:hAnsi="Times New Roman" w:cs="Times New Roman"/>
          <w:color w:val="000000" w:themeColor="text1"/>
          <w:sz w:val="24"/>
          <w:szCs w:val="24"/>
        </w:rPr>
        <w:t xml:space="preserve">. </w:t>
      </w:r>
      <w:r w:rsidR="00BA6A89" w:rsidRPr="00AD04DA">
        <w:rPr>
          <w:rFonts w:ascii="Times New Roman" w:hAnsi="Times New Roman" w:cs="Times New Roman"/>
          <w:color w:val="000000" w:themeColor="text1"/>
          <w:sz w:val="24"/>
          <w:szCs w:val="24"/>
        </w:rPr>
        <w:t xml:space="preserve">They obtain a value of approximately -300 kJ/mol for sodium in DA and -270 kJ/mol for chloride. Figure </w:t>
      </w:r>
      <w:r w:rsidR="000F1813" w:rsidRPr="00AD04DA">
        <w:rPr>
          <w:rFonts w:ascii="Times New Roman" w:hAnsi="Times New Roman" w:cs="Times New Roman"/>
          <w:color w:val="000000" w:themeColor="text1"/>
          <w:sz w:val="24"/>
          <w:szCs w:val="24"/>
        </w:rPr>
        <w:t>8</w:t>
      </w:r>
      <w:r w:rsidR="00BA6A89" w:rsidRPr="00AD04DA">
        <w:rPr>
          <w:rFonts w:ascii="Times New Roman" w:hAnsi="Times New Roman" w:cs="Times New Roman"/>
          <w:color w:val="000000" w:themeColor="text1"/>
          <w:sz w:val="24"/>
          <w:szCs w:val="24"/>
        </w:rPr>
        <w:t xml:space="preserve"> shows the free energy of sodium and chloride ions in water and DA.</w:t>
      </w:r>
    </w:p>
    <w:p w14:paraId="484D0852" w14:textId="6E28500A" w:rsidR="00ED636E" w:rsidRPr="00AD04DA" w:rsidRDefault="007B683B" w:rsidP="00ED636E">
      <w:pPr>
        <w:spacing w:after="0"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noProof/>
          <w:color w:val="000000" w:themeColor="text1"/>
          <w:sz w:val="24"/>
          <w:szCs w:val="24"/>
        </w:rPr>
        <w:drawing>
          <wp:inline distT="0" distB="0" distL="0" distR="0" wp14:anchorId="1B937A42" wp14:editId="2C63C1BD">
            <wp:extent cx="5284381" cy="3021582"/>
            <wp:effectExtent l="0" t="0" r="0" b="7620"/>
            <wp:docPr id="1" name="Chart 1">
              <a:extLst xmlns:a="http://schemas.openxmlformats.org/drawingml/2006/main">
                <a:ext uri="{FF2B5EF4-FFF2-40B4-BE49-F238E27FC236}">
                  <a16:creationId xmlns:a16="http://schemas.microsoft.com/office/drawing/2014/main" id="{D76BAE88-7CEA-4C4E-A5A6-D989FAEF84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C22F04" w14:textId="0420BBF7" w:rsidR="00ED636E" w:rsidRPr="00AD04DA" w:rsidRDefault="00ED636E" w:rsidP="00ED636E">
      <w:pPr>
        <w:spacing w:after="0" w:line="480" w:lineRule="auto"/>
        <w:jc w:val="center"/>
        <w:rPr>
          <w:rFonts w:ascii="Times New Roman" w:hAnsi="Times New Roman" w:cs="Times New Roman"/>
          <w:color w:val="000000" w:themeColor="text1"/>
          <w:sz w:val="24"/>
          <w:szCs w:val="24"/>
        </w:rPr>
      </w:pPr>
      <w:r w:rsidRPr="00AD04DA">
        <w:rPr>
          <w:rFonts w:ascii="Times New Roman" w:hAnsi="Times New Roman" w:cs="Times New Roman"/>
          <w:b/>
          <w:bCs/>
          <w:color w:val="000000" w:themeColor="text1"/>
          <w:sz w:val="24"/>
          <w:szCs w:val="24"/>
        </w:rPr>
        <w:t xml:space="preserve">Figure </w:t>
      </w:r>
      <w:r w:rsidR="000F1813" w:rsidRPr="00AD04DA">
        <w:rPr>
          <w:rFonts w:ascii="Times New Roman" w:hAnsi="Times New Roman" w:cs="Times New Roman"/>
          <w:b/>
          <w:bCs/>
          <w:color w:val="000000" w:themeColor="text1"/>
          <w:sz w:val="24"/>
          <w:szCs w:val="24"/>
        </w:rPr>
        <w:t>8</w:t>
      </w:r>
      <w:r w:rsidRPr="00AD04DA">
        <w:rPr>
          <w:rFonts w:ascii="Times New Roman" w:hAnsi="Times New Roman" w:cs="Times New Roman"/>
          <w:b/>
          <w:bCs/>
          <w:color w:val="000000" w:themeColor="text1"/>
          <w:sz w:val="24"/>
          <w:szCs w:val="24"/>
        </w:rPr>
        <w:t xml:space="preserve">: </w:t>
      </w:r>
      <w:r w:rsidRPr="00AD04DA">
        <w:rPr>
          <w:rFonts w:ascii="Times New Roman" w:hAnsi="Times New Roman" w:cs="Times New Roman"/>
          <w:color w:val="000000" w:themeColor="text1"/>
          <w:sz w:val="24"/>
          <w:szCs w:val="24"/>
        </w:rPr>
        <w:t>Free energy of solvation of a sodium cation and chloride anion in water and DA.</w:t>
      </w:r>
    </w:p>
    <w:p w14:paraId="29D56B81" w14:textId="7B89F978" w:rsidR="00ED636E" w:rsidRPr="00AD04DA" w:rsidRDefault="00ED636E" w:rsidP="00ED636E">
      <w:pPr>
        <w:spacing w:after="0" w:line="480" w:lineRule="auto"/>
        <w:jc w:val="center"/>
        <w:rPr>
          <w:rFonts w:ascii="Times New Roman" w:hAnsi="Times New Roman" w:cs="Times New Roman"/>
          <w:color w:val="000000" w:themeColor="text1"/>
          <w:sz w:val="24"/>
          <w:szCs w:val="24"/>
        </w:rPr>
      </w:pPr>
    </w:p>
    <w:p w14:paraId="773466FA" w14:textId="19E2949E" w:rsidR="00ED636E" w:rsidRPr="00AD04DA" w:rsidRDefault="00ED636E" w:rsidP="00ED636E">
      <w:pPr>
        <w:spacing w:after="0" w:line="480" w:lineRule="auto"/>
        <w:jc w:val="both"/>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lastRenderedPageBreak/>
        <w:tab/>
      </w:r>
      <w:r w:rsidR="00B91860" w:rsidRPr="00AD04DA">
        <w:rPr>
          <w:rFonts w:ascii="Times New Roman" w:hAnsi="Times New Roman" w:cs="Times New Roman"/>
          <w:color w:val="000000" w:themeColor="text1"/>
          <w:sz w:val="24"/>
          <w:szCs w:val="24"/>
        </w:rPr>
        <w:t xml:space="preserve">Systems </w:t>
      </w:r>
      <w:r w:rsidRPr="00AD04DA">
        <w:rPr>
          <w:rFonts w:ascii="Times New Roman" w:hAnsi="Times New Roman" w:cs="Times New Roman"/>
          <w:color w:val="000000" w:themeColor="text1"/>
          <w:sz w:val="24"/>
          <w:szCs w:val="24"/>
        </w:rPr>
        <w:t>favor states that minimize the system’s Gibbs free energy</w:t>
      </w:r>
      <w:r w:rsidRPr="00AD04DA">
        <w:rPr>
          <w:rFonts w:ascii="Times New Roman" w:hAnsi="Times New Roman" w:cs="Times New Roman"/>
          <w:color w:val="000000" w:themeColor="text1"/>
          <w:sz w:val="24"/>
          <w:szCs w:val="24"/>
        </w:rPr>
        <w:fldChar w:fldCharType="begin"/>
      </w:r>
      <w:r w:rsidR="00AE4CC3">
        <w:rPr>
          <w:rFonts w:ascii="Times New Roman" w:hAnsi="Times New Roman" w:cs="Times New Roman"/>
          <w:color w:val="000000" w:themeColor="text1"/>
          <w:sz w:val="24"/>
          <w:szCs w:val="24"/>
        </w:rPr>
        <w:instrText xml:space="preserve"> ADDIN ZOTERO_ITEM CSL_CITATION {"citationID":"HgEoswrv","properties":{"formattedCitation":"\\super 98\\nosupersub{}","plainCitation":"98","noteIndex":0},"citationItems":[{"id":890,"uris":["http://zotero.org/users/8284751/items/96WCJZJT"],"itemData":{"id":890,"type":"book","edition":"5th","ISBN":"978-0-470-50479-6","publisher":"Wiley","title":"Chemical, Biochemical, and Engineering Thermodynamics","author":[{"family":"Sandler","given":"Stanley I"}],"issued":{"date-parts":[["2017"]]}}}],"schema":"https://github.com/citation-style-language/schema/raw/master/csl-citation.json"} </w:instrText>
      </w:r>
      <w:r w:rsidRPr="00AD04DA">
        <w:rPr>
          <w:rFonts w:ascii="Times New Roman" w:hAnsi="Times New Roman" w:cs="Times New Roman"/>
          <w:color w:val="000000" w:themeColor="text1"/>
          <w:sz w:val="24"/>
          <w:szCs w:val="24"/>
        </w:rPr>
        <w:fldChar w:fldCharType="separate"/>
      </w:r>
      <w:r w:rsidRPr="00AD04DA">
        <w:rPr>
          <w:rFonts w:ascii="Times New Roman" w:hAnsi="Times New Roman" w:cs="Times New Roman"/>
          <w:sz w:val="24"/>
          <w:szCs w:val="24"/>
          <w:vertAlign w:val="superscript"/>
        </w:rPr>
        <w:t>98</w:t>
      </w:r>
      <w:r w:rsidRPr="00AD04DA">
        <w:rPr>
          <w:rFonts w:ascii="Times New Roman" w:hAnsi="Times New Roman" w:cs="Times New Roman"/>
          <w:color w:val="000000" w:themeColor="text1"/>
          <w:sz w:val="24"/>
          <w:szCs w:val="24"/>
        </w:rPr>
        <w:fldChar w:fldCharType="end"/>
      </w:r>
      <w:r w:rsidRPr="00AD04DA">
        <w:rPr>
          <w:rFonts w:ascii="Times New Roman" w:hAnsi="Times New Roman" w:cs="Times New Roman"/>
          <w:color w:val="000000" w:themeColor="text1"/>
          <w:sz w:val="24"/>
          <w:szCs w:val="24"/>
        </w:rPr>
        <w:t xml:space="preserve">. As the free energy values demonstrate, an ion in water is more favorable than an ion in solvent. Therefore, it is expected that </w:t>
      </w:r>
      <w:r w:rsidR="00C84AEA" w:rsidRPr="00AD04DA">
        <w:rPr>
          <w:rFonts w:ascii="Times New Roman" w:hAnsi="Times New Roman" w:cs="Times New Roman"/>
          <w:color w:val="000000" w:themeColor="text1"/>
          <w:sz w:val="24"/>
          <w:szCs w:val="24"/>
        </w:rPr>
        <w:t xml:space="preserve">when DA and water are brought into contact, the solute will favor the aqueous phase </w:t>
      </w:r>
      <w:r w:rsidR="00002C99" w:rsidRPr="00AD04DA">
        <w:rPr>
          <w:rFonts w:ascii="Times New Roman" w:hAnsi="Times New Roman" w:cs="Times New Roman"/>
          <w:color w:val="000000" w:themeColor="text1"/>
          <w:sz w:val="24"/>
          <w:szCs w:val="24"/>
        </w:rPr>
        <w:t>and</w:t>
      </w:r>
      <w:r w:rsidR="00C84AEA" w:rsidRPr="00AD04DA">
        <w:rPr>
          <w:rFonts w:ascii="Times New Roman" w:hAnsi="Times New Roman" w:cs="Times New Roman"/>
          <w:color w:val="000000" w:themeColor="text1"/>
          <w:sz w:val="24"/>
          <w:szCs w:val="24"/>
        </w:rPr>
        <w:t xml:space="preserve"> the water </w:t>
      </w:r>
      <w:r w:rsidR="00002C99" w:rsidRPr="00AD04DA">
        <w:rPr>
          <w:rFonts w:ascii="Times New Roman" w:hAnsi="Times New Roman" w:cs="Times New Roman"/>
          <w:color w:val="000000" w:themeColor="text1"/>
          <w:sz w:val="24"/>
          <w:szCs w:val="24"/>
        </w:rPr>
        <w:t>recovered from</w:t>
      </w:r>
      <w:r w:rsidR="00C84AEA" w:rsidRPr="00AD04DA">
        <w:rPr>
          <w:rFonts w:ascii="Times New Roman" w:hAnsi="Times New Roman" w:cs="Times New Roman"/>
          <w:color w:val="000000" w:themeColor="text1"/>
          <w:sz w:val="24"/>
          <w:szCs w:val="24"/>
        </w:rPr>
        <w:t xml:space="preserve"> the organic phase will </w:t>
      </w:r>
      <w:r w:rsidR="00002C99" w:rsidRPr="00AD04DA">
        <w:rPr>
          <w:rFonts w:ascii="Times New Roman" w:hAnsi="Times New Roman" w:cs="Times New Roman"/>
          <w:color w:val="000000" w:themeColor="text1"/>
          <w:sz w:val="24"/>
          <w:szCs w:val="24"/>
        </w:rPr>
        <w:t>have a lower concentration of solute compared to the feed.</w:t>
      </w:r>
      <w:r w:rsidR="00DF1F23" w:rsidRPr="00AD04DA">
        <w:rPr>
          <w:rFonts w:ascii="Times New Roman" w:hAnsi="Times New Roman" w:cs="Times New Roman"/>
          <w:color w:val="000000" w:themeColor="text1"/>
          <w:sz w:val="24"/>
          <w:szCs w:val="24"/>
        </w:rPr>
        <w:t xml:space="preserve"> This simulation predicts that freshwater will be recovered from TSSE with DA.</w:t>
      </w:r>
    </w:p>
    <w:p w14:paraId="4CEEEB8B" w14:textId="7854670E" w:rsidR="00372845" w:rsidRPr="00085499" w:rsidRDefault="002B16D5" w:rsidP="00AB23FC">
      <w:pPr>
        <w:pStyle w:val="Heading2"/>
        <w:spacing w:before="0" w:line="480" w:lineRule="auto"/>
        <w:ind w:firstLine="720"/>
        <w:rPr>
          <w:rFonts w:ascii="Times New Roman" w:hAnsi="Times New Roman" w:cs="Times New Roman"/>
          <w:color w:val="000000" w:themeColor="text1"/>
          <w:sz w:val="28"/>
          <w:szCs w:val="28"/>
        </w:rPr>
      </w:pPr>
      <w:bookmarkStart w:id="18" w:name="_Toc100753469"/>
      <w:r w:rsidRPr="00085499">
        <w:rPr>
          <w:rFonts w:ascii="Times New Roman" w:hAnsi="Times New Roman" w:cs="Times New Roman"/>
          <w:color w:val="000000" w:themeColor="text1"/>
          <w:sz w:val="28"/>
          <w:szCs w:val="28"/>
        </w:rPr>
        <w:t>3</w:t>
      </w:r>
      <w:r w:rsidR="00057C71" w:rsidRPr="00085499">
        <w:rPr>
          <w:rFonts w:ascii="Times New Roman" w:hAnsi="Times New Roman" w:cs="Times New Roman"/>
          <w:color w:val="000000" w:themeColor="text1"/>
          <w:sz w:val="28"/>
          <w:szCs w:val="28"/>
        </w:rPr>
        <w:t>.</w:t>
      </w:r>
      <w:r w:rsidR="003A6949" w:rsidRPr="00085499">
        <w:rPr>
          <w:rFonts w:ascii="Times New Roman" w:hAnsi="Times New Roman" w:cs="Times New Roman"/>
          <w:color w:val="000000" w:themeColor="text1"/>
          <w:sz w:val="28"/>
          <w:szCs w:val="28"/>
        </w:rPr>
        <w:t>2</w:t>
      </w:r>
      <w:r w:rsidR="00057C71" w:rsidRPr="00085499">
        <w:rPr>
          <w:rFonts w:ascii="Times New Roman" w:hAnsi="Times New Roman" w:cs="Times New Roman"/>
          <w:color w:val="000000" w:themeColor="text1"/>
          <w:sz w:val="28"/>
          <w:szCs w:val="28"/>
        </w:rPr>
        <w:t xml:space="preserve"> So</w:t>
      </w:r>
      <w:r w:rsidR="00002D2F" w:rsidRPr="00085499">
        <w:rPr>
          <w:rFonts w:ascii="Times New Roman" w:hAnsi="Times New Roman" w:cs="Times New Roman"/>
          <w:color w:val="000000" w:themeColor="text1"/>
          <w:sz w:val="28"/>
          <w:szCs w:val="28"/>
        </w:rPr>
        <w:t>lvent Recycling</w:t>
      </w:r>
      <w:bookmarkEnd w:id="18"/>
    </w:p>
    <w:p w14:paraId="2DF4FECD" w14:textId="185DBECB" w:rsidR="00CE4A43" w:rsidRPr="00AD04DA" w:rsidRDefault="00B06B80" w:rsidP="00B06B80">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Three cycles of extractions of feeds containing 3.5 </w:t>
      </w:r>
      <w:r w:rsidR="00CB43B3" w:rsidRPr="00AD04DA">
        <w:rPr>
          <w:rFonts w:ascii="Times New Roman" w:hAnsi="Times New Roman" w:cs="Times New Roman"/>
          <w:sz w:val="24"/>
          <w:szCs w:val="24"/>
        </w:rPr>
        <w:t>w/w%</w:t>
      </w:r>
      <w:r w:rsidRPr="00AD04DA">
        <w:rPr>
          <w:rFonts w:ascii="Times New Roman" w:hAnsi="Times New Roman" w:cs="Times New Roman"/>
          <w:sz w:val="24"/>
          <w:szCs w:val="24"/>
        </w:rPr>
        <w:t xml:space="preserve">, 1.0 M, and 4.0 M NaCl were performed with DA and DPA. To clarify, an extraction was performed on the feed with </w:t>
      </w:r>
      <w:r w:rsidR="007B7978" w:rsidRPr="00AD04DA">
        <w:rPr>
          <w:rFonts w:ascii="Times New Roman" w:hAnsi="Times New Roman" w:cs="Times New Roman"/>
          <w:sz w:val="24"/>
          <w:szCs w:val="24"/>
        </w:rPr>
        <w:t>an unused</w:t>
      </w:r>
      <w:r w:rsidRPr="00AD04DA">
        <w:rPr>
          <w:rFonts w:ascii="Times New Roman" w:hAnsi="Times New Roman" w:cs="Times New Roman"/>
          <w:sz w:val="24"/>
          <w:szCs w:val="24"/>
        </w:rPr>
        <w:t xml:space="preserve"> solvent. After the precipitation step, the regenerated solvent was used to extract the original feed two more times for a total of three extractions per feed</w:t>
      </w:r>
      <w:r w:rsidR="007B7978" w:rsidRPr="00AD04DA">
        <w:rPr>
          <w:rFonts w:ascii="Times New Roman" w:hAnsi="Times New Roman" w:cs="Times New Roman"/>
          <w:sz w:val="24"/>
          <w:szCs w:val="24"/>
        </w:rPr>
        <w:t xml:space="preserve"> and two reuses of solvent</w:t>
      </w:r>
      <w:r w:rsidRPr="00AD04DA">
        <w:rPr>
          <w:rFonts w:ascii="Times New Roman" w:hAnsi="Times New Roman" w:cs="Times New Roman"/>
          <w:sz w:val="24"/>
          <w:szCs w:val="24"/>
        </w:rPr>
        <w:t xml:space="preserve">. </w:t>
      </w:r>
      <w:r w:rsidR="00A24373" w:rsidRPr="00AD04DA">
        <w:rPr>
          <w:rFonts w:ascii="Times New Roman" w:hAnsi="Times New Roman" w:cs="Times New Roman"/>
          <w:sz w:val="24"/>
          <w:szCs w:val="24"/>
        </w:rPr>
        <w:t xml:space="preserve">Figure </w:t>
      </w:r>
      <w:r w:rsidR="000F1813" w:rsidRPr="00AD04DA">
        <w:rPr>
          <w:rFonts w:ascii="Times New Roman" w:hAnsi="Times New Roman" w:cs="Times New Roman"/>
          <w:sz w:val="24"/>
          <w:szCs w:val="24"/>
        </w:rPr>
        <w:t xml:space="preserve">9 </w:t>
      </w:r>
      <w:r w:rsidR="00A24373" w:rsidRPr="00AD04DA">
        <w:rPr>
          <w:rFonts w:ascii="Times New Roman" w:hAnsi="Times New Roman" w:cs="Times New Roman"/>
          <w:sz w:val="24"/>
          <w:szCs w:val="24"/>
        </w:rPr>
        <w:t>shows the salinity of the</w:t>
      </w:r>
      <w:r w:rsidR="000C2954" w:rsidRPr="00AD04DA">
        <w:rPr>
          <w:rFonts w:ascii="Times New Roman" w:hAnsi="Times New Roman" w:cs="Times New Roman"/>
          <w:sz w:val="24"/>
          <w:szCs w:val="24"/>
        </w:rPr>
        <w:t xml:space="preserve"> original</w:t>
      </w:r>
      <w:r w:rsidR="00A24373" w:rsidRPr="00AD04DA">
        <w:rPr>
          <w:rFonts w:ascii="Times New Roman" w:hAnsi="Times New Roman" w:cs="Times New Roman"/>
          <w:sz w:val="24"/>
          <w:szCs w:val="24"/>
        </w:rPr>
        <w:t xml:space="preserve"> feed and product water over three extractions with </w:t>
      </w:r>
      <w:r w:rsidR="000F1813" w:rsidRPr="00AD04DA">
        <w:rPr>
          <w:rFonts w:ascii="Times New Roman" w:hAnsi="Times New Roman" w:cs="Times New Roman"/>
          <w:sz w:val="24"/>
          <w:szCs w:val="24"/>
        </w:rPr>
        <w:t xml:space="preserve">DPA and </w:t>
      </w:r>
      <w:r w:rsidR="00A24373" w:rsidRPr="00AD04DA">
        <w:rPr>
          <w:rFonts w:ascii="Times New Roman" w:hAnsi="Times New Roman" w:cs="Times New Roman"/>
          <w:sz w:val="24"/>
          <w:szCs w:val="24"/>
        </w:rPr>
        <w:t xml:space="preserve">DA. </w:t>
      </w:r>
    </w:p>
    <w:p w14:paraId="04139446" w14:textId="02A47AC5" w:rsidR="00B534F3" w:rsidRPr="00AD04DA" w:rsidRDefault="00B534F3" w:rsidP="00B534F3">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drawing>
          <wp:inline distT="0" distB="0" distL="0" distR="0" wp14:anchorId="7B068485" wp14:editId="73CB975E">
            <wp:extent cx="5943600" cy="3279140"/>
            <wp:effectExtent l="0" t="0" r="0" b="0"/>
            <wp:docPr id="21" name="Chart 21">
              <a:extLst xmlns:a="http://schemas.openxmlformats.org/drawingml/2006/main">
                <a:ext uri="{FF2B5EF4-FFF2-40B4-BE49-F238E27FC236}">
                  <a16:creationId xmlns:a16="http://schemas.microsoft.com/office/drawing/2014/main" id="{F37C1F6D-07F2-4682-8643-DA982B78AC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31615A" w14:textId="74F67541" w:rsidR="0002343B" w:rsidRPr="00AD04DA" w:rsidRDefault="0002343B" w:rsidP="0002343B">
      <w:pPr>
        <w:spacing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4F126A" w:rsidRPr="00AD04DA">
        <w:rPr>
          <w:rFonts w:ascii="Times New Roman" w:hAnsi="Times New Roman" w:cs="Times New Roman"/>
          <w:b/>
          <w:bCs/>
          <w:sz w:val="24"/>
          <w:szCs w:val="24"/>
        </w:rPr>
        <w:t>9</w:t>
      </w:r>
      <w:r w:rsidRPr="00AD04DA">
        <w:rPr>
          <w:rFonts w:ascii="Times New Roman" w:hAnsi="Times New Roman" w:cs="Times New Roman"/>
          <w:b/>
          <w:bCs/>
          <w:sz w:val="24"/>
          <w:szCs w:val="24"/>
        </w:rPr>
        <w:t xml:space="preserve">: </w:t>
      </w:r>
      <w:r w:rsidRPr="00AD04DA">
        <w:rPr>
          <w:rFonts w:ascii="Times New Roman" w:hAnsi="Times New Roman" w:cs="Times New Roman"/>
          <w:sz w:val="24"/>
          <w:szCs w:val="24"/>
        </w:rPr>
        <w:t xml:space="preserve">Feed and product water salinity for three cycles of  TSSE with 3.5 </w:t>
      </w:r>
      <w:r w:rsidR="00CB43B3" w:rsidRPr="00AD04DA">
        <w:rPr>
          <w:rFonts w:ascii="Times New Roman" w:hAnsi="Times New Roman" w:cs="Times New Roman"/>
          <w:sz w:val="24"/>
          <w:szCs w:val="24"/>
        </w:rPr>
        <w:t>w/w%</w:t>
      </w:r>
      <w:r w:rsidRPr="00AD04DA">
        <w:rPr>
          <w:rFonts w:ascii="Times New Roman" w:hAnsi="Times New Roman" w:cs="Times New Roman"/>
          <w:sz w:val="24"/>
          <w:szCs w:val="24"/>
        </w:rPr>
        <w:t xml:space="preserve"> NaCl feed and DPA</w:t>
      </w:r>
      <w:r w:rsidR="004F126A" w:rsidRPr="00AD04DA">
        <w:rPr>
          <w:rFonts w:ascii="Times New Roman" w:hAnsi="Times New Roman" w:cs="Times New Roman"/>
          <w:sz w:val="24"/>
          <w:szCs w:val="24"/>
        </w:rPr>
        <w:t xml:space="preserve"> or DA</w:t>
      </w:r>
      <w:r w:rsidRPr="00AD04DA">
        <w:rPr>
          <w:rFonts w:ascii="Times New Roman" w:hAnsi="Times New Roman" w:cs="Times New Roman"/>
          <w:sz w:val="24"/>
          <w:szCs w:val="24"/>
        </w:rPr>
        <w:t xml:space="preserve"> solvent.</w:t>
      </w:r>
    </w:p>
    <w:p w14:paraId="7B032E4F" w14:textId="77777777" w:rsidR="00985A52" w:rsidRPr="00AD04DA" w:rsidRDefault="00985A52" w:rsidP="0002343B">
      <w:pPr>
        <w:spacing w:line="240" w:lineRule="auto"/>
        <w:jc w:val="center"/>
        <w:rPr>
          <w:rFonts w:ascii="Times New Roman" w:hAnsi="Times New Roman" w:cs="Times New Roman"/>
          <w:sz w:val="24"/>
          <w:szCs w:val="24"/>
        </w:rPr>
      </w:pPr>
    </w:p>
    <w:p w14:paraId="3D5C463A" w14:textId="145A6141" w:rsidR="00536728" w:rsidRPr="00AD04DA" w:rsidRDefault="00985A52" w:rsidP="00985A52">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lastRenderedPageBreak/>
        <w:tab/>
        <w:t xml:space="preserve">As shown in Figure </w:t>
      </w:r>
      <w:r w:rsidR="00E87BCB" w:rsidRPr="00AD04DA">
        <w:rPr>
          <w:rFonts w:ascii="Times New Roman" w:hAnsi="Times New Roman" w:cs="Times New Roman"/>
          <w:sz w:val="24"/>
          <w:szCs w:val="24"/>
        </w:rPr>
        <w:t>9</w:t>
      </w:r>
      <w:r w:rsidRPr="00AD04DA">
        <w:rPr>
          <w:rFonts w:ascii="Times New Roman" w:hAnsi="Times New Roman" w:cs="Times New Roman"/>
          <w:sz w:val="24"/>
          <w:szCs w:val="24"/>
        </w:rPr>
        <w:t>,</w:t>
      </w:r>
      <w:r w:rsidR="007A2B60" w:rsidRPr="00AD04DA">
        <w:rPr>
          <w:rFonts w:ascii="Times New Roman" w:hAnsi="Times New Roman" w:cs="Times New Roman"/>
          <w:sz w:val="24"/>
          <w:szCs w:val="24"/>
        </w:rPr>
        <w:t xml:space="preserve"> cyclic</w:t>
      </w:r>
      <w:r w:rsidRPr="00AD04DA">
        <w:rPr>
          <w:rFonts w:ascii="Times New Roman" w:hAnsi="Times New Roman" w:cs="Times New Roman"/>
          <w:sz w:val="24"/>
          <w:szCs w:val="24"/>
        </w:rPr>
        <w:t xml:space="preserve"> extraction of the 3.5 </w:t>
      </w:r>
      <w:r w:rsidR="00CB43B3" w:rsidRPr="00AD04DA">
        <w:rPr>
          <w:rFonts w:ascii="Times New Roman" w:hAnsi="Times New Roman" w:cs="Times New Roman"/>
          <w:sz w:val="24"/>
          <w:szCs w:val="24"/>
        </w:rPr>
        <w:t>w/w%</w:t>
      </w:r>
      <w:r w:rsidRPr="00AD04DA">
        <w:rPr>
          <w:rFonts w:ascii="Times New Roman" w:hAnsi="Times New Roman" w:cs="Times New Roman"/>
          <w:sz w:val="24"/>
          <w:szCs w:val="24"/>
        </w:rPr>
        <w:t xml:space="preserve"> NaCl feed with DA reduced the salinity from 0.6 M to 0.010 ± 0.00</w:t>
      </w:r>
      <w:r w:rsidR="008F29F3" w:rsidRPr="00AD04DA">
        <w:rPr>
          <w:rFonts w:ascii="Times New Roman" w:hAnsi="Times New Roman" w:cs="Times New Roman"/>
          <w:sz w:val="24"/>
          <w:szCs w:val="24"/>
        </w:rPr>
        <w:t>3</w:t>
      </w:r>
      <w:r w:rsidRPr="00AD04DA">
        <w:rPr>
          <w:rFonts w:ascii="Times New Roman" w:hAnsi="Times New Roman" w:cs="Times New Roman"/>
          <w:sz w:val="24"/>
          <w:szCs w:val="24"/>
        </w:rPr>
        <w:t>, 0.0</w:t>
      </w:r>
      <w:r w:rsidR="008F29F3" w:rsidRPr="00AD04DA">
        <w:rPr>
          <w:rFonts w:ascii="Times New Roman" w:hAnsi="Times New Roman" w:cs="Times New Roman"/>
          <w:sz w:val="24"/>
          <w:szCs w:val="24"/>
        </w:rPr>
        <w:t>10</w:t>
      </w:r>
      <w:r w:rsidRPr="00AD04DA">
        <w:rPr>
          <w:rFonts w:ascii="Times New Roman" w:hAnsi="Times New Roman" w:cs="Times New Roman"/>
          <w:sz w:val="24"/>
          <w:szCs w:val="24"/>
        </w:rPr>
        <w:t xml:space="preserve"> ± 0.00</w:t>
      </w:r>
      <w:r w:rsidR="008F29F3" w:rsidRPr="00AD04DA">
        <w:rPr>
          <w:rFonts w:ascii="Times New Roman" w:hAnsi="Times New Roman" w:cs="Times New Roman"/>
          <w:sz w:val="24"/>
          <w:szCs w:val="24"/>
        </w:rPr>
        <w:t>3</w:t>
      </w:r>
      <w:r w:rsidRPr="00AD04DA">
        <w:rPr>
          <w:rFonts w:ascii="Times New Roman" w:hAnsi="Times New Roman" w:cs="Times New Roman"/>
          <w:sz w:val="24"/>
          <w:szCs w:val="24"/>
        </w:rPr>
        <w:t>, and 0.005 ± 0.00</w:t>
      </w:r>
      <w:r w:rsidR="008F29F3" w:rsidRPr="00AD04DA">
        <w:rPr>
          <w:rFonts w:ascii="Times New Roman" w:hAnsi="Times New Roman" w:cs="Times New Roman"/>
          <w:sz w:val="24"/>
          <w:szCs w:val="24"/>
        </w:rPr>
        <w:t>3</w:t>
      </w:r>
      <w:r w:rsidR="00C5319B" w:rsidRPr="00AD04DA">
        <w:rPr>
          <w:rFonts w:ascii="Times New Roman" w:hAnsi="Times New Roman" w:cs="Times New Roman"/>
          <w:sz w:val="24"/>
          <w:szCs w:val="24"/>
        </w:rPr>
        <w:t xml:space="preserve"> M NaCl</w:t>
      </w:r>
      <w:r w:rsidRPr="00AD04DA">
        <w:rPr>
          <w:rFonts w:ascii="Times New Roman" w:hAnsi="Times New Roman" w:cs="Times New Roman"/>
          <w:sz w:val="24"/>
          <w:szCs w:val="24"/>
        </w:rPr>
        <w:t xml:space="preserve"> for the first, second, and third cycle, respectively. </w:t>
      </w:r>
      <w:r w:rsidR="004B4D3C" w:rsidRPr="00AD04DA">
        <w:rPr>
          <w:rFonts w:ascii="Times New Roman" w:hAnsi="Times New Roman" w:cs="Times New Roman"/>
          <w:sz w:val="24"/>
          <w:szCs w:val="24"/>
        </w:rPr>
        <w:t>For</w:t>
      </w:r>
      <w:r w:rsidR="00EA6440" w:rsidRPr="00AD04DA">
        <w:rPr>
          <w:rFonts w:ascii="Times New Roman" w:hAnsi="Times New Roman" w:cs="Times New Roman"/>
          <w:sz w:val="24"/>
          <w:szCs w:val="24"/>
        </w:rPr>
        <w:t xml:space="preserve"> extraction of </w:t>
      </w:r>
      <w:r w:rsidR="00C5319B" w:rsidRPr="00AD04DA">
        <w:rPr>
          <w:rFonts w:ascii="Times New Roman" w:hAnsi="Times New Roman" w:cs="Times New Roman"/>
          <w:sz w:val="24"/>
          <w:szCs w:val="24"/>
        </w:rPr>
        <w:t xml:space="preserve">the 3.5 </w:t>
      </w:r>
      <w:r w:rsidR="00CB43B3" w:rsidRPr="00AD04DA">
        <w:rPr>
          <w:rFonts w:ascii="Times New Roman" w:hAnsi="Times New Roman" w:cs="Times New Roman"/>
          <w:sz w:val="24"/>
          <w:szCs w:val="24"/>
        </w:rPr>
        <w:t>w/w%</w:t>
      </w:r>
      <w:r w:rsidR="00C5319B" w:rsidRPr="00AD04DA">
        <w:rPr>
          <w:rFonts w:ascii="Times New Roman" w:hAnsi="Times New Roman" w:cs="Times New Roman"/>
          <w:sz w:val="24"/>
          <w:szCs w:val="24"/>
        </w:rPr>
        <w:t xml:space="preserve"> NaCl feed </w:t>
      </w:r>
      <w:r w:rsidR="007A2B60" w:rsidRPr="00AD04DA">
        <w:rPr>
          <w:rFonts w:ascii="Times New Roman" w:hAnsi="Times New Roman" w:cs="Times New Roman"/>
          <w:sz w:val="24"/>
          <w:szCs w:val="24"/>
        </w:rPr>
        <w:t xml:space="preserve">with DPA, the </w:t>
      </w:r>
      <w:r w:rsidR="00C5319B" w:rsidRPr="00AD04DA">
        <w:rPr>
          <w:rFonts w:ascii="Times New Roman" w:hAnsi="Times New Roman" w:cs="Times New Roman"/>
          <w:sz w:val="24"/>
          <w:szCs w:val="24"/>
        </w:rPr>
        <w:t>product water salinity was 0.13 ± 0.02, 0.09 ± 0.02, and 0.11 ± 0.02 M NaCl for the respective cycles.</w:t>
      </w:r>
    </w:p>
    <w:p w14:paraId="584D6610" w14:textId="6B6052D9" w:rsidR="00985A52" w:rsidRPr="00AD04DA" w:rsidRDefault="00B6733F" w:rsidP="00536728">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Figures B1 and B2 in Appendix B: Additional NaCl TSSE Figures show the salinity of the feed and product water for the 1.0 M NaCl feed for DA and DPA extraction, respectively.</w:t>
      </w:r>
      <w:r w:rsidR="00536728" w:rsidRPr="00AD04DA">
        <w:rPr>
          <w:rFonts w:ascii="Times New Roman" w:hAnsi="Times New Roman" w:cs="Times New Roman"/>
          <w:sz w:val="24"/>
          <w:szCs w:val="24"/>
        </w:rPr>
        <w:t xml:space="preserve"> </w:t>
      </w:r>
      <w:r w:rsidR="00206D81" w:rsidRPr="00AD04DA">
        <w:rPr>
          <w:rFonts w:ascii="Times New Roman" w:hAnsi="Times New Roman" w:cs="Times New Roman"/>
          <w:sz w:val="24"/>
          <w:szCs w:val="24"/>
        </w:rPr>
        <w:t xml:space="preserve">For </w:t>
      </w:r>
      <w:r w:rsidR="0089585D" w:rsidRPr="00AD04DA">
        <w:rPr>
          <w:rFonts w:ascii="Times New Roman" w:hAnsi="Times New Roman" w:cs="Times New Roman"/>
          <w:sz w:val="24"/>
          <w:szCs w:val="24"/>
        </w:rPr>
        <w:t xml:space="preserve">1.0 M NaCl, sequential extraction with DA reduced the product water salinity to 0.018 ± 0.012, 0.018 ± .003, and 0.014 ± 0.015 M NaCl, respectively. </w:t>
      </w:r>
      <w:r w:rsidR="0013445F" w:rsidRPr="00AD04DA">
        <w:rPr>
          <w:rFonts w:ascii="Times New Roman" w:hAnsi="Times New Roman" w:cs="Times New Roman"/>
          <w:sz w:val="24"/>
          <w:szCs w:val="24"/>
        </w:rPr>
        <w:t xml:space="preserve">For DPA, </w:t>
      </w:r>
      <w:r w:rsidR="0079321A" w:rsidRPr="00AD04DA">
        <w:rPr>
          <w:rFonts w:ascii="Times New Roman" w:hAnsi="Times New Roman" w:cs="Times New Roman"/>
          <w:sz w:val="24"/>
          <w:szCs w:val="24"/>
        </w:rPr>
        <w:t xml:space="preserve">sequential extraction of the 1.0 M NaCl feed reduced the product salinity to 0.13 ± 0.03, 0.14 ± 0.01, and 0.17 ± 0.01 M NaCl, respectively. </w:t>
      </w:r>
    </w:p>
    <w:p w14:paraId="54BE10CD" w14:textId="140C865A" w:rsidR="00002D2F" w:rsidRPr="00AD04DA" w:rsidRDefault="00536728" w:rsidP="00536728">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 xml:space="preserve">Figures B3 and B4 in Appendix B show the feed and product water salinity over three extractions of 4.0 M NaCl with DA and DPA, respectively. For DA, the product water salinity for three cycles of TSSE was 0.044 ± 0.003, 0.028 ± 0.009, and 0.049 ± 0.021 M NaCl, respectively. </w:t>
      </w:r>
      <w:r w:rsidR="00370CF6" w:rsidRPr="00AD04DA">
        <w:rPr>
          <w:rFonts w:ascii="Times New Roman" w:hAnsi="Times New Roman" w:cs="Times New Roman"/>
          <w:sz w:val="24"/>
          <w:szCs w:val="24"/>
        </w:rPr>
        <w:t>For DPA, the product water salinity for the three cycles was 0.18 ± 0.24, 0.26 ± 0.06, and 0.31 ± 0.16 M NaCl, respectively.</w:t>
      </w:r>
    </w:p>
    <w:p w14:paraId="6FE7A26A" w14:textId="78F7D0D6" w:rsidR="00DE7054" w:rsidRPr="00AD04DA" w:rsidRDefault="00692A0C" w:rsidP="00536728">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 xml:space="preserve">For both DA and DPA </w:t>
      </w:r>
      <w:r w:rsidR="00CA2CF5" w:rsidRPr="00AD04DA">
        <w:rPr>
          <w:rFonts w:ascii="Times New Roman" w:hAnsi="Times New Roman" w:cs="Times New Roman"/>
          <w:sz w:val="24"/>
          <w:szCs w:val="24"/>
        </w:rPr>
        <w:t>extraction of all three feeds</w:t>
      </w:r>
      <w:r w:rsidRPr="00AD04DA">
        <w:rPr>
          <w:rFonts w:ascii="Times New Roman" w:hAnsi="Times New Roman" w:cs="Times New Roman"/>
          <w:sz w:val="24"/>
          <w:szCs w:val="24"/>
        </w:rPr>
        <w:t>, the salinity of the product water remains comparable across all three cycles</w:t>
      </w:r>
      <w:r w:rsidR="000161D1" w:rsidRPr="00AD04DA">
        <w:rPr>
          <w:rFonts w:ascii="Times New Roman" w:hAnsi="Times New Roman" w:cs="Times New Roman"/>
          <w:sz w:val="24"/>
          <w:szCs w:val="24"/>
        </w:rPr>
        <w:t xml:space="preserve"> of TSSE.</w:t>
      </w:r>
      <w:r w:rsidR="00594AB7" w:rsidRPr="00AD04DA">
        <w:rPr>
          <w:rFonts w:ascii="Times New Roman" w:hAnsi="Times New Roman" w:cs="Times New Roman"/>
          <w:sz w:val="24"/>
          <w:szCs w:val="24"/>
        </w:rPr>
        <w:t xml:space="preserve"> </w:t>
      </w:r>
      <w:r w:rsidR="00FA59F5" w:rsidRPr="00AD04DA">
        <w:rPr>
          <w:rFonts w:ascii="Times New Roman" w:hAnsi="Times New Roman" w:cs="Times New Roman"/>
          <w:sz w:val="24"/>
          <w:szCs w:val="24"/>
        </w:rPr>
        <w:t xml:space="preserve">For four of the six runs, all three cycles are </w:t>
      </w:r>
      <w:r w:rsidR="00DE2D46" w:rsidRPr="00AD04DA">
        <w:rPr>
          <w:rFonts w:ascii="Times New Roman" w:hAnsi="Times New Roman" w:cs="Times New Roman"/>
          <w:sz w:val="24"/>
          <w:szCs w:val="24"/>
        </w:rPr>
        <w:t xml:space="preserve">similar </w:t>
      </w:r>
      <w:r w:rsidR="00FA59F5" w:rsidRPr="00AD04DA">
        <w:rPr>
          <w:rFonts w:ascii="Times New Roman" w:hAnsi="Times New Roman" w:cs="Times New Roman"/>
          <w:sz w:val="24"/>
          <w:szCs w:val="24"/>
        </w:rPr>
        <w:t xml:space="preserve">within error. </w:t>
      </w:r>
      <w:r w:rsidR="00DE2D46" w:rsidRPr="00AD04DA">
        <w:rPr>
          <w:rFonts w:ascii="Times New Roman" w:hAnsi="Times New Roman" w:cs="Times New Roman"/>
          <w:sz w:val="24"/>
          <w:szCs w:val="24"/>
        </w:rPr>
        <w:t xml:space="preserve">The only </w:t>
      </w:r>
      <w:r w:rsidR="00B51DA1" w:rsidRPr="00AD04DA">
        <w:rPr>
          <w:rFonts w:ascii="Times New Roman" w:hAnsi="Times New Roman" w:cs="Times New Roman"/>
          <w:sz w:val="24"/>
          <w:szCs w:val="24"/>
        </w:rPr>
        <w:t>trials that do not agree within error</w:t>
      </w:r>
      <w:r w:rsidR="00DE2D46" w:rsidRPr="00AD04DA">
        <w:rPr>
          <w:rFonts w:ascii="Times New Roman" w:hAnsi="Times New Roman" w:cs="Times New Roman"/>
          <w:sz w:val="24"/>
          <w:szCs w:val="24"/>
        </w:rPr>
        <w:t xml:space="preserve"> are the</w:t>
      </w:r>
      <w:r w:rsidR="00B51DA1" w:rsidRPr="00AD04DA">
        <w:rPr>
          <w:rFonts w:ascii="Times New Roman" w:hAnsi="Times New Roman" w:cs="Times New Roman"/>
          <w:sz w:val="24"/>
          <w:szCs w:val="24"/>
        </w:rPr>
        <w:t xml:space="preserve"> first and</w:t>
      </w:r>
      <w:r w:rsidR="00DE2D46" w:rsidRPr="00AD04DA">
        <w:rPr>
          <w:rFonts w:ascii="Times New Roman" w:hAnsi="Times New Roman" w:cs="Times New Roman"/>
          <w:sz w:val="24"/>
          <w:szCs w:val="24"/>
        </w:rPr>
        <w:t xml:space="preserve"> second cycle for 4.0 M NaCl with DA and the</w:t>
      </w:r>
      <w:r w:rsidR="00B51DA1" w:rsidRPr="00AD04DA">
        <w:rPr>
          <w:rFonts w:ascii="Times New Roman" w:hAnsi="Times New Roman" w:cs="Times New Roman"/>
          <w:sz w:val="24"/>
          <w:szCs w:val="24"/>
        </w:rPr>
        <w:t xml:space="preserve"> second and</w:t>
      </w:r>
      <w:r w:rsidR="00DE2D46" w:rsidRPr="00AD04DA">
        <w:rPr>
          <w:rFonts w:ascii="Times New Roman" w:hAnsi="Times New Roman" w:cs="Times New Roman"/>
          <w:sz w:val="24"/>
          <w:szCs w:val="24"/>
        </w:rPr>
        <w:t xml:space="preserve"> third cycle of 1.0 M NaCl extraction with DPA.</w:t>
      </w:r>
      <w:r w:rsidR="00974E0C" w:rsidRPr="00AD04DA">
        <w:rPr>
          <w:rFonts w:ascii="Times New Roman" w:hAnsi="Times New Roman" w:cs="Times New Roman"/>
          <w:sz w:val="24"/>
          <w:szCs w:val="24"/>
        </w:rPr>
        <w:t xml:space="preserve"> In the case of 4.0 M NaCl with DA extraction, the third cycle agrees within error of the first and second. In the case of 1.0 M NaCl with DPA extraction, the first cycle agrees within error of the second and third. Therefore, even though </w:t>
      </w:r>
      <w:r w:rsidR="00494DC1" w:rsidRPr="00AD04DA">
        <w:rPr>
          <w:rFonts w:ascii="Times New Roman" w:hAnsi="Times New Roman" w:cs="Times New Roman"/>
          <w:sz w:val="24"/>
          <w:szCs w:val="24"/>
        </w:rPr>
        <w:t xml:space="preserve">not all individual trials </w:t>
      </w:r>
      <w:r w:rsidR="00481698" w:rsidRPr="00AD04DA">
        <w:rPr>
          <w:rFonts w:ascii="Times New Roman" w:hAnsi="Times New Roman" w:cs="Times New Roman"/>
          <w:sz w:val="24"/>
          <w:szCs w:val="24"/>
        </w:rPr>
        <w:t>agree</w:t>
      </w:r>
      <w:r w:rsidR="00494DC1" w:rsidRPr="00AD04DA">
        <w:rPr>
          <w:rFonts w:ascii="Times New Roman" w:hAnsi="Times New Roman" w:cs="Times New Roman"/>
          <w:sz w:val="24"/>
          <w:szCs w:val="24"/>
        </w:rPr>
        <w:t xml:space="preserve"> for these </w:t>
      </w:r>
      <w:r w:rsidR="001078D1" w:rsidRPr="00AD04DA">
        <w:rPr>
          <w:rFonts w:ascii="Times New Roman" w:hAnsi="Times New Roman" w:cs="Times New Roman"/>
          <w:sz w:val="24"/>
          <w:szCs w:val="24"/>
        </w:rPr>
        <w:t>two cases, they</w:t>
      </w:r>
      <w:r w:rsidR="00A55879" w:rsidRPr="00AD04DA">
        <w:rPr>
          <w:rFonts w:ascii="Times New Roman" w:hAnsi="Times New Roman" w:cs="Times New Roman"/>
          <w:sz w:val="24"/>
          <w:szCs w:val="24"/>
        </w:rPr>
        <w:t xml:space="preserve"> do not conflict with </w:t>
      </w:r>
      <w:r w:rsidR="00A55879" w:rsidRPr="00AD04DA">
        <w:rPr>
          <w:rFonts w:ascii="Times New Roman" w:hAnsi="Times New Roman" w:cs="Times New Roman"/>
          <w:sz w:val="24"/>
          <w:szCs w:val="24"/>
        </w:rPr>
        <w:lastRenderedPageBreak/>
        <w:t>the overall trend</w:t>
      </w:r>
      <w:r w:rsidR="00942744" w:rsidRPr="00AD04DA">
        <w:rPr>
          <w:rFonts w:ascii="Times New Roman" w:hAnsi="Times New Roman" w:cs="Times New Roman"/>
          <w:sz w:val="24"/>
          <w:szCs w:val="24"/>
        </w:rPr>
        <w:t xml:space="preserve"> </w:t>
      </w:r>
      <w:r w:rsidR="001078D1" w:rsidRPr="00AD04DA">
        <w:rPr>
          <w:rFonts w:ascii="Times New Roman" w:hAnsi="Times New Roman" w:cs="Times New Roman"/>
          <w:sz w:val="24"/>
          <w:szCs w:val="24"/>
        </w:rPr>
        <w:t xml:space="preserve">that </w:t>
      </w:r>
      <w:r w:rsidR="0003024A" w:rsidRPr="00AD04DA">
        <w:rPr>
          <w:rFonts w:ascii="Times New Roman" w:hAnsi="Times New Roman" w:cs="Times New Roman"/>
          <w:sz w:val="24"/>
          <w:szCs w:val="24"/>
        </w:rPr>
        <w:t>the salinity of the product water remains constant</w:t>
      </w:r>
      <w:r w:rsidR="00D25038" w:rsidRPr="00AD04DA">
        <w:rPr>
          <w:rFonts w:ascii="Times New Roman" w:hAnsi="Times New Roman" w:cs="Times New Roman"/>
          <w:sz w:val="24"/>
          <w:szCs w:val="24"/>
        </w:rPr>
        <w:t xml:space="preserve"> across multiple </w:t>
      </w:r>
      <w:r w:rsidR="00464CE6" w:rsidRPr="00AD04DA">
        <w:rPr>
          <w:rFonts w:ascii="Times New Roman" w:hAnsi="Times New Roman" w:cs="Times New Roman"/>
          <w:sz w:val="24"/>
          <w:szCs w:val="24"/>
        </w:rPr>
        <w:t>reuses of</w:t>
      </w:r>
      <w:r w:rsidR="00D25038" w:rsidRPr="00AD04DA">
        <w:rPr>
          <w:rFonts w:ascii="Times New Roman" w:hAnsi="Times New Roman" w:cs="Times New Roman"/>
          <w:sz w:val="24"/>
          <w:szCs w:val="24"/>
        </w:rPr>
        <w:t xml:space="preserve"> solvent.</w:t>
      </w:r>
    </w:p>
    <w:p w14:paraId="2F8191AD" w14:textId="0B43BD47" w:rsidR="00330187" w:rsidRPr="00AD04DA" w:rsidRDefault="00F953DD" w:rsidP="00536728">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 xml:space="preserve">These results experimentally confirm </w:t>
      </w:r>
      <w:r w:rsidR="006621A2" w:rsidRPr="00AD04DA">
        <w:rPr>
          <w:rFonts w:ascii="Times New Roman" w:hAnsi="Times New Roman" w:cs="Times New Roman"/>
          <w:sz w:val="24"/>
          <w:szCs w:val="24"/>
        </w:rPr>
        <w:t>that for TSSE, the only solvent regeneration necessary is the water precipitation step</w:t>
      </w:r>
      <w:r w:rsidR="00B12B3A" w:rsidRPr="00AD04DA">
        <w:rPr>
          <w:rFonts w:ascii="Times New Roman" w:hAnsi="Times New Roman" w:cs="Times New Roman"/>
          <w:sz w:val="24"/>
          <w:szCs w:val="24"/>
        </w:rPr>
        <w:t>,</w:t>
      </w:r>
      <w:r w:rsidR="0001118F" w:rsidRPr="00AD04DA">
        <w:rPr>
          <w:rFonts w:ascii="Times New Roman" w:hAnsi="Times New Roman" w:cs="Times New Roman"/>
          <w:sz w:val="24"/>
          <w:szCs w:val="24"/>
        </w:rPr>
        <w:t xml:space="preserve"> which is already a core step in the cycle. </w:t>
      </w:r>
      <w:r w:rsidR="00EC4C1E" w:rsidRPr="00AD04DA">
        <w:rPr>
          <w:rFonts w:ascii="Times New Roman" w:hAnsi="Times New Roman" w:cs="Times New Roman"/>
          <w:sz w:val="24"/>
          <w:szCs w:val="24"/>
        </w:rPr>
        <w:t>The advantage of needing no additional solvent regeneration processes was discussed in Section 1.3.</w:t>
      </w:r>
    </w:p>
    <w:p w14:paraId="3F8AD4CE" w14:textId="1F46484D" w:rsidR="0064163F" w:rsidRPr="00AD04DA" w:rsidRDefault="0080190C" w:rsidP="00536728">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 xml:space="preserve">Cycling the solvent through the process without additional regeneration steps or a solvent purge stream minimizes the liquid waste. However, organic solvents would still need to be replenished due to losses by two mechanisms. The first is solvent partition into the aqueous phase. Bajpayee </w:t>
      </w:r>
      <w:r w:rsidRPr="00AD04DA">
        <w:rPr>
          <w:rFonts w:ascii="Times New Roman" w:hAnsi="Times New Roman" w:cs="Times New Roman"/>
          <w:i/>
          <w:iCs/>
          <w:sz w:val="24"/>
          <w:szCs w:val="24"/>
        </w:rPr>
        <w:t xml:space="preserve">et al </w:t>
      </w:r>
      <w:r w:rsidRPr="00AD04DA">
        <w:rPr>
          <w:rFonts w:ascii="Times New Roman" w:hAnsi="Times New Roman" w:cs="Times New Roman"/>
          <w:sz w:val="24"/>
          <w:szCs w:val="24"/>
        </w:rPr>
        <w:t xml:space="preserve">report a </w:t>
      </w:r>
      <w:r w:rsidR="00CA1A0E" w:rsidRPr="00AD04DA">
        <w:rPr>
          <w:rFonts w:ascii="Times New Roman" w:hAnsi="Times New Roman" w:cs="Times New Roman"/>
          <w:sz w:val="24"/>
          <w:szCs w:val="24"/>
        </w:rPr>
        <w:t xml:space="preserve">DA </w:t>
      </w:r>
      <w:r w:rsidRPr="00AD04DA">
        <w:rPr>
          <w:rFonts w:ascii="Times New Roman" w:hAnsi="Times New Roman" w:cs="Times New Roman"/>
          <w:sz w:val="24"/>
          <w:szCs w:val="24"/>
        </w:rPr>
        <w:t>content in the TSSE product water of 36 ppm</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{"citationID":"yeMpM5rf","properties":{"formattedCitation":"\\super 49\\nosupersub{}","plainCitation":"49","noteIndex":0},"citationItems":[{"id":256,"uris":["http://zotero.org/users/8284751/items/FIJMS6Q2"],"itemData":{"id":256,"type":"article-journal","language":"en","page":"4","source":"Zotero","title":"Very low temperature membrane-free desalination by directional solvent extraction","author":[{"family":"Bajpayee","given":"Anurag"},{"family":"Luo","given":"Tengfei"},{"family":"Muto","given":"Andrew"},{"family":"Chen","given":"Gang"}],"issued":{"date-parts":[["2011"]]}}}],"schema":"https://github.com/citation-style-language/schema/raw/master/csl-citation.json"} </w:instrText>
      </w:r>
      <w:r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49</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w:t>
      </w:r>
      <w:r w:rsidR="00CA1A0E" w:rsidRPr="00AD04DA">
        <w:rPr>
          <w:rFonts w:ascii="Times New Roman" w:hAnsi="Times New Roman" w:cs="Times New Roman"/>
          <w:sz w:val="24"/>
          <w:szCs w:val="24"/>
        </w:rPr>
        <w:t xml:space="preserve"> Boo </w:t>
      </w:r>
      <w:r w:rsidR="00CA1A0E" w:rsidRPr="00AD04DA">
        <w:rPr>
          <w:rFonts w:ascii="Times New Roman" w:hAnsi="Times New Roman" w:cs="Times New Roman"/>
          <w:i/>
          <w:iCs/>
          <w:sz w:val="24"/>
          <w:szCs w:val="24"/>
        </w:rPr>
        <w:t xml:space="preserve">et al </w:t>
      </w:r>
      <w:r w:rsidR="00CA1A0E" w:rsidRPr="00AD04DA">
        <w:rPr>
          <w:rFonts w:ascii="Times New Roman" w:hAnsi="Times New Roman" w:cs="Times New Roman"/>
          <w:sz w:val="24"/>
          <w:szCs w:val="24"/>
        </w:rPr>
        <w:t>report a DPA concentration of approximately 0.25 M in the product water</w:t>
      </w:r>
      <w:r w:rsidR="00CA1A0E"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{"citationID":"SN5DEJR1","properties":{"formattedCitation":"\\super 76\\nosupersub{}","plainCitation":"76","noteIndex":0},"citationItems":[{"id":782,"uris":["http://zotero.org/users/8284751/items/IGN55MC2"],"itemData":{"id":782,"type":"article-journal","abstract":"Zero liquid discharge (ZLD) of hypersaline brines is technically and energetically challenging. This study demonstrates ZLD of ultrahigh-salinity brines using temperature swing solvent extraction (TSSE), a membrane-less and nonevaporative desalination technology. TSSE utilizes a low-polarity solvent to extract water from brine and then releases the water as a product with the application of low-temperature heat. Complete extraction of water from a hypersaline feed, simulated by 5.0 M NaCl solution (≈292 g/L TDS), was achieved using diisopropylamine solvent. Practically all of the salt is precipitated as mineral solid waste and the product water contains &lt;5% of NaCl relative to the hypersaline feed brine. Consistent ZLD performance of high salt removals and product water quality was maintained in three repeated semibatch TSSE cycles, highlighting recyclability of the solvent. The practical applicability of the technique for actual ﬁeld samples was demonstrated by ZLD of an irrigation drainage water concentrate. This study establishes the potential of TSSE as a more sustainable alternative to current thermal evaporation methods for zero liquid discharge of ultrahigh-salinity brines.","container-title":"Environmental Science &amp; Technology","DOI":"10.1021/acs.est.0c02555","ISSN":"0013-936X, 1520-5851","issue":"14","journalAbbreviation":"Environ. Sci. Technol.","language":"en","page":"9124-9131","source":"DOI.org (Crossref)","title":"Zero Liquid Discharge of Ultrahigh-Salinity Brines with Temperature Swing Solvent Extraction","volume":"54","author":[{"family":"Boo","given":"Chanhee"},{"family":"Billinge","given":"Ian H."},{"family":"Chen","given":"Xi"},{"family":"Shah","given":"Kinnari M."},{"family":"Yip","given":"Ngai Yin"}],"issued":{"date-parts":[["2020",7,21]]}}}],"schema":"https://github.com/citation-style-language/schema/raw/master/csl-citation.json"} </w:instrText>
      </w:r>
      <w:r w:rsidR="00CA1A0E" w:rsidRPr="00AD04DA">
        <w:rPr>
          <w:rFonts w:ascii="Times New Roman" w:hAnsi="Times New Roman" w:cs="Times New Roman"/>
          <w:sz w:val="24"/>
          <w:szCs w:val="24"/>
        </w:rPr>
        <w:fldChar w:fldCharType="separate"/>
      </w:r>
      <w:r w:rsidR="003613D6" w:rsidRPr="00AD04DA">
        <w:rPr>
          <w:rFonts w:ascii="Times New Roman" w:hAnsi="Times New Roman" w:cs="Times New Roman"/>
          <w:sz w:val="24"/>
          <w:szCs w:val="24"/>
          <w:vertAlign w:val="superscript"/>
        </w:rPr>
        <w:t>76</w:t>
      </w:r>
      <w:r w:rsidR="00CA1A0E" w:rsidRPr="00AD04DA">
        <w:rPr>
          <w:rFonts w:ascii="Times New Roman" w:hAnsi="Times New Roman" w:cs="Times New Roman"/>
          <w:sz w:val="24"/>
          <w:szCs w:val="24"/>
        </w:rPr>
        <w:fldChar w:fldCharType="end"/>
      </w:r>
      <w:r w:rsidR="00CA1A0E" w:rsidRPr="00AD04DA">
        <w:rPr>
          <w:rFonts w:ascii="Times New Roman" w:hAnsi="Times New Roman" w:cs="Times New Roman"/>
          <w:sz w:val="24"/>
          <w:szCs w:val="24"/>
        </w:rPr>
        <w:t>.</w:t>
      </w:r>
      <w:r w:rsidR="006F7DF9" w:rsidRPr="00AD04DA">
        <w:rPr>
          <w:rFonts w:ascii="Times New Roman" w:hAnsi="Times New Roman" w:cs="Times New Roman"/>
          <w:sz w:val="24"/>
          <w:szCs w:val="24"/>
        </w:rPr>
        <w:t xml:space="preserve"> Solvent partition into the product water poses two challenges. </w:t>
      </w:r>
      <w:r w:rsidR="00F41EAD" w:rsidRPr="00AD04DA">
        <w:rPr>
          <w:rFonts w:ascii="Times New Roman" w:hAnsi="Times New Roman" w:cs="Times New Roman"/>
          <w:sz w:val="24"/>
          <w:szCs w:val="24"/>
        </w:rPr>
        <w:t xml:space="preserve">The first is that solvent that partitions into the product water is solvent that is lost from the cycle and must be replaced. </w:t>
      </w:r>
      <w:r w:rsidR="00030861" w:rsidRPr="00AD04DA">
        <w:rPr>
          <w:rFonts w:ascii="Times New Roman" w:hAnsi="Times New Roman" w:cs="Times New Roman"/>
          <w:sz w:val="24"/>
          <w:szCs w:val="24"/>
        </w:rPr>
        <w:t>The second is the limitations to the product water applications with organic solutes.</w:t>
      </w:r>
      <w:r w:rsidR="00797993" w:rsidRPr="00AD04DA">
        <w:rPr>
          <w:rFonts w:ascii="Times New Roman" w:hAnsi="Times New Roman" w:cs="Times New Roman"/>
          <w:sz w:val="24"/>
          <w:szCs w:val="24"/>
        </w:rPr>
        <w:t xml:space="preserve"> DA and DPA are toxic to</w:t>
      </w:r>
      <w:r w:rsidR="00B12B3A" w:rsidRPr="00AD04DA">
        <w:rPr>
          <w:rFonts w:ascii="Times New Roman" w:hAnsi="Times New Roman" w:cs="Times New Roman"/>
          <w:sz w:val="24"/>
          <w:szCs w:val="24"/>
        </w:rPr>
        <w:t xml:space="preserve"> aquatic</w:t>
      </w:r>
      <w:r w:rsidR="00797993" w:rsidRPr="00AD04DA">
        <w:rPr>
          <w:rFonts w:ascii="Times New Roman" w:hAnsi="Times New Roman" w:cs="Times New Roman"/>
          <w:sz w:val="24"/>
          <w:szCs w:val="24"/>
        </w:rPr>
        <w:t xml:space="preserve"> ecosystems, and DPA is not readily biodegradable</w:t>
      </w:r>
      <w:r w:rsidR="00797993"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{"citationID":"9zDuCe6q","properties":{"formattedCitation":"\\super 99,100\\nosupersub{}","plainCitation":"99,100","noteIndex":0},"citationItems":[{"id":868,"uris":["http://zotero.org/users/8284751/items/MCMPKU84"],"itemData":{"id":868,"type":"article-journal","container-title":"Sigma-Aldrich","language":"en","page":"11","source":"Zotero","title":"Diisopropylamine Safety Data Sheet","issued":{"date-parts":[["2022",11,29]]}}},{"id":867,"uris":["http://zotero.org/users/8284751/items/JHJF9YZY"],"itemData":{"id":867,"type":"article-journal","container-title":"Sigma-Aldrich","language":"en","page":"9","source":"Zotero","title":"Decanoic Acid Safety Data Sheet","issued":{"date-parts":[["2021",10,7]]}}}],"schema":"https://github.com/citation-style-language/schema/raw/master/csl-citation.json"} </w:instrText>
      </w:r>
      <w:r w:rsidR="00797993" w:rsidRPr="00AD04DA">
        <w:rPr>
          <w:rFonts w:ascii="Times New Roman" w:hAnsi="Times New Roman" w:cs="Times New Roman"/>
          <w:sz w:val="24"/>
          <w:szCs w:val="24"/>
        </w:rPr>
        <w:fldChar w:fldCharType="separate"/>
      </w:r>
      <w:r w:rsidR="00ED636E" w:rsidRPr="00AD04DA">
        <w:rPr>
          <w:rFonts w:ascii="Times New Roman" w:hAnsi="Times New Roman" w:cs="Times New Roman"/>
          <w:sz w:val="24"/>
          <w:szCs w:val="24"/>
          <w:vertAlign w:val="superscript"/>
        </w:rPr>
        <w:t>99,100</w:t>
      </w:r>
      <w:r w:rsidR="00797993" w:rsidRPr="00AD04DA">
        <w:rPr>
          <w:rFonts w:ascii="Times New Roman" w:hAnsi="Times New Roman" w:cs="Times New Roman"/>
          <w:sz w:val="24"/>
          <w:szCs w:val="24"/>
        </w:rPr>
        <w:fldChar w:fldCharType="end"/>
      </w:r>
      <w:r w:rsidR="00797993" w:rsidRPr="00AD04DA">
        <w:rPr>
          <w:rFonts w:ascii="Times New Roman" w:hAnsi="Times New Roman" w:cs="Times New Roman"/>
          <w:sz w:val="24"/>
          <w:szCs w:val="24"/>
        </w:rPr>
        <w:t>.</w:t>
      </w:r>
      <w:r w:rsidR="00030861" w:rsidRPr="00AD04DA">
        <w:rPr>
          <w:rFonts w:ascii="Times New Roman" w:hAnsi="Times New Roman" w:cs="Times New Roman"/>
          <w:sz w:val="24"/>
          <w:szCs w:val="24"/>
        </w:rPr>
        <w:t xml:space="preserve"> </w:t>
      </w:r>
      <w:r w:rsidR="00797993" w:rsidRPr="00AD04DA">
        <w:rPr>
          <w:rFonts w:ascii="Times New Roman" w:hAnsi="Times New Roman" w:cs="Times New Roman"/>
          <w:sz w:val="24"/>
          <w:szCs w:val="24"/>
        </w:rPr>
        <w:t>For</w:t>
      </w:r>
      <w:r w:rsidR="00DE06ED" w:rsidRPr="00AD04DA">
        <w:rPr>
          <w:rFonts w:ascii="Times New Roman" w:hAnsi="Times New Roman" w:cs="Times New Roman"/>
          <w:sz w:val="24"/>
          <w:szCs w:val="24"/>
        </w:rPr>
        <w:t xml:space="preserve"> environmental discharge</w:t>
      </w:r>
      <w:r w:rsidR="00797993" w:rsidRPr="00AD04DA">
        <w:rPr>
          <w:rFonts w:ascii="Times New Roman" w:hAnsi="Times New Roman" w:cs="Times New Roman"/>
          <w:sz w:val="24"/>
          <w:szCs w:val="24"/>
        </w:rPr>
        <w:t xml:space="preserve">, </w:t>
      </w:r>
      <w:r w:rsidR="008F45CD" w:rsidRPr="00AD04DA">
        <w:rPr>
          <w:rFonts w:ascii="Times New Roman" w:hAnsi="Times New Roman" w:cs="Times New Roman"/>
          <w:sz w:val="24"/>
          <w:szCs w:val="24"/>
        </w:rPr>
        <w:t>effluent toxicity concerns may require additional process</w:t>
      </w:r>
      <w:r w:rsidR="002F178E" w:rsidRPr="00AD04DA">
        <w:rPr>
          <w:rFonts w:ascii="Times New Roman" w:hAnsi="Times New Roman" w:cs="Times New Roman"/>
          <w:sz w:val="24"/>
          <w:szCs w:val="24"/>
        </w:rPr>
        <w:t>es</w:t>
      </w:r>
      <w:r w:rsidR="008F45CD" w:rsidRPr="00AD04DA">
        <w:rPr>
          <w:rFonts w:ascii="Times New Roman" w:hAnsi="Times New Roman" w:cs="Times New Roman"/>
          <w:sz w:val="24"/>
          <w:szCs w:val="24"/>
        </w:rPr>
        <w:t xml:space="preserve"> to remove organic compounds.</w:t>
      </w:r>
      <w:r w:rsidR="008E0730" w:rsidRPr="00AD04DA">
        <w:rPr>
          <w:rFonts w:ascii="Times New Roman" w:hAnsi="Times New Roman" w:cs="Times New Roman"/>
          <w:sz w:val="24"/>
          <w:szCs w:val="24"/>
        </w:rPr>
        <w:t xml:space="preserve"> These additional </w:t>
      </w:r>
      <w:r w:rsidR="008530FA" w:rsidRPr="00AD04DA">
        <w:rPr>
          <w:rFonts w:ascii="Times New Roman" w:hAnsi="Times New Roman" w:cs="Times New Roman"/>
          <w:sz w:val="24"/>
          <w:szCs w:val="24"/>
        </w:rPr>
        <w:t>steps increase process complexity and principal and operating costs, which diminish</w:t>
      </w:r>
      <w:r w:rsidR="002F1363">
        <w:rPr>
          <w:rFonts w:ascii="Times New Roman" w:hAnsi="Times New Roman" w:cs="Times New Roman"/>
          <w:sz w:val="24"/>
          <w:szCs w:val="24"/>
        </w:rPr>
        <w:t>es</w:t>
      </w:r>
      <w:r w:rsidR="008530FA" w:rsidRPr="00AD04DA">
        <w:rPr>
          <w:rFonts w:ascii="Times New Roman" w:hAnsi="Times New Roman" w:cs="Times New Roman"/>
          <w:sz w:val="24"/>
          <w:szCs w:val="24"/>
        </w:rPr>
        <w:t xml:space="preserve"> the commercial viability of TSSE. </w:t>
      </w:r>
      <w:r w:rsidR="00CA2199" w:rsidRPr="00AD04DA">
        <w:rPr>
          <w:rFonts w:ascii="Times New Roman" w:hAnsi="Times New Roman" w:cs="Times New Roman"/>
          <w:sz w:val="24"/>
          <w:szCs w:val="24"/>
        </w:rPr>
        <w:t xml:space="preserve">These environmental concerns suggest that further TSSE development should emphasize </w:t>
      </w:r>
      <w:r w:rsidR="001B59D8" w:rsidRPr="00AD04DA">
        <w:rPr>
          <w:rFonts w:ascii="Times New Roman" w:hAnsi="Times New Roman" w:cs="Times New Roman"/>
          <w:sz w:val="24"/>
          <w:szCs w:val="24"/>
        </w:rPr>
        <w:t>identifying or synthesizing solvents with a lower water solubility</w:t>
      </w:r>
      <w:r w:rsidR="009F6C03" w:rsidRPr="00AD04DA">
        <w:rPr>
          <w:rFonts w:ascii="Times New Roman" w:hAnsi="Times New Roman" w:cs="Times New Roman"/>
          <w:sz w:val="24"/>
          <w:szCs w:val="24"/>
        </w:rPr>
        <w:t xml:space="preserve"> and that are minimally toxic to aquatic ecosystems.</w:t>
      </w:r>
    </w:p>
    <w:p w14:paraId="1ACDDCE7" w14:textId="7E3F564F" w:rsidR="00616CFD" w:rsidRPr="00AD04DA" w:rsidRDefault="00616CFD" w:rsidP="00536728">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The second mechanism by which solvent escapes the system is</w:t>
      </w:r>
      <w:r w:rsidR="00B72FA7" w:rsidRPr="00AD04DA">
        <w:rPr>
          <w:rFonts w:ascii="Times New Roman" w:hAnsi="Times New Roman" w:cs="Times New Roman"/>
          <w:sz w:val="24"/>
          <w:szCs w:val="24"/>
        </w:rPr>
        <w:t xml:space="preserve"> through evaporation. </w:t>
      </w:r>
      <w:r w:rsidR="004A5857" w:rsidRPr="00AD04DA">
        <w:rPr>
          <w:rFonts w:ascii="Times New Roman" w:hAnsi="Times New Roman" w:cs="Times New Roman"/>
          <w:sz w:val="24"/>
          <w:szCs w:val="24"/>
        </w:rPr>
        <w:t>DPA has a boiling point of 84 °C</w:t>
      </w:r>
      <w:r w:rsidR="00006BF5"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{"citationID":"l4CvPM63","properties":{"formattedCitation":"\\super 99\\nosupersub{}","plainCitation":"99","noteIndex":0},"citationItems":[{"id":868,"uris":["http://zotero.org/users/8284751/items/MCMPKU84"],"itemData":{"id":868,"type":"article-journal","container-title":"Sigma-Aldrich","language":"en","page":"11","source":"Zotero","title":"Diisopropylamine Safety Data Sheet","issued":{"date-parts":[["2022",11,29]]}}}],"schema":"https://github.com/citation-style-language/schema/raw/master/csl-citation.json"} </w:instrText>
      </w:r>
      <w:r w:rsidR="00006BF5" w:rsidRPr="00AD04DA">
        <w:rPr>
          <w:rFonts w:ascii="Times New Roman" w:hAnsi="Times New Roman" w:cs="Times New Roman"/>
          <w:sz w:val="24"/>
          <w:szCs w:val="24"/>
        </w:rPr>
        <w:fldChar w:fldCharType="separate"/>
      </w:r>
      <w:r w:rsidR="00ED636E" w:rsidRPr="00AD04DA">
        <w:rPr>
          <w:rFonts w:ascii="Times New Roman" w:hAnsi="Times New Roman" w:cs="Times New Roman"/>
          <w:sz w:val="24"/>
          <w:szCs w:val="24"/>
          <w:vertAlign w:val="superscript"/>
        </w:rPr>
        <w:t>99</w:t>
      </w:r>
      <w:r w:rsidR="00006BF5" w:rsidRPr="00AD04DA">
        <w:rPr>
          <w:rFonts w:ascii="Times New Roman" w:hAnsi="Times New Roman" w:cs="Times New Roman"/>
          <w:sz w:val="24"/>
          <w:szCs w:val="24"/>
        </w:rPr>
        <w:fldChar w:fldCharType="end"/>
      </w:r>
      <w:r w:rsidR="004A5857" w:rsidRPr="00AD04DA">
        <w:rPr>
          <w:rFonts w:ascii="Times New Roman" w:hAnsi="Times New Roman" w:cs="Times New Roman"/>
          <w:sz w:val="24"/>
          <w:szCs w:val="24"/>
        </w:rPr>
        <w:t>, which is</w:t>
      </w:r>
      <w:r w:rsidR="004C591D" w:rsidRPr="00AD04DA">
        <w:rPr>
          <w:rFonts w:ascii="Times New Roman" w:hAnsi="Times New Roman" w:cs="Times New Roman"/>
          <w:sz w:val="24"/>
          <w:szCs w:val="24"/>
        </w:rPr>
        <w:t xml:space="preserve"> only 19 °C above the top process temperature of 65 °C. </w:t>
      </w:r>
      <w:r w:rsidR="00F1491C" w:rsidRPr="00AD04DA">
        <w:rPr>
          <w:rFonts w:ascii="Times New Roman" w:hAnsi="Times New Roman" w:cs="Times New Roman"/>
          <w:sz w:val="24"/>
          <w:szCs w:val="24"/>
        </w:rPr>
        <w:t xml:space="preserve">Volatile organic compound emissions </w:t>
      </w:r>
      <w:r w:rsidR="00816D1F" w:rsidRPr="00AD04DA">
        <w:rPr>
          <w:rFonts w:ascii="Times New Roman" w:hAnsi="Times New Roman" w:cs="Times New Roman"/>
          <w:sz w:val="24"/>
          <w:szCs w:val="24"/>
        </w:rPr>
        <w:t xml:space="preserve">are major sources of air pollution, contributing directly to air quality degradation through the innate toxicity of the volatile substances and indirectly by </w:t>
      </w:r>
      <w:r w:rsidR="00816D1F" w:rsidRPr="00AD04DA">
        <w:rPr>
          <w:rFonts w:ascii="Times New Roman" w:hAnsi="Times New Roman" w:cs="Times New Roman"/>
          <w:sz w:val="24"/>
          <w:szCs w:val="24"/>
        </w:rPr>
        <w:lastRenderedPageBreak/>
        <w:t>acting as ozone and smog precursors</w:t>
      </w:r>
      <w:r w:rsidR="00816D1F"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{"citationID":"xPlDHxye","properties":{"formattedCitation":"\\super 101\\uc0\\u8211{}105\\nosupersub{}","plainCitation":"101–105","noteIndex":0},"citationItems":[{"id":876,"uris":["http://zotero.org/users/8284751/items/66U7JRYN"],"itemData":{"id":876,"type":"article-journal","container-title":"Science","DOI":"10.1126/science.248.4960.1217","ISSN":"0036-8075, 1095-9203","issue":"4960","journalAbbreviation":"Science","language":"en","page":"1217-1219","source":"DOI.org (Crossref)","title":"A Comparison of the Contribution of Various Gases to the Greenhouse Effect","volume":"248","author":[{"family":"Rodhe","given":"Henning"}],"issued":{"date-parts":[["1990",6,8]]}}},{"id":877,"uris":["http://zotero.org/users/8284751/items/2T8NS9CF"],"itemData":{"id":877,"type":"article-journal","abstract":"Activities of a series of metals (Pt, Pd, Rh, Cu, Mn) supported on TiO2 were investigated for the catalytic oxidation of formaldehyde. Among them, Pt/TiO2 was found to be the most promising catalyst. Nitrogen adsorption, hydrogen chemisorption, X-ray diffraction (XRD), transmission electron microscopy (TEM) and temperature programmed reduction (TPR) by H2 were used to characterize the platinum catalysts. Using Ce0.8Zr0.2O2, Ce0.2Zr0.8O2, SiO2 as supports instead of TiO2, the activity sequence of 0.6 wt.% platinum with respect to the supports is TiO2 &gt; SiO2 &gt; Ce0.8Zr0.2O2 &gt; Ce0.2Zr0.8O2, and this appears to be correlated with the dispersion of platinum on supports rather than the speciﬁc surface areas of the catalysts. Platinum loading on TiO2 has a great effect on the catalytic activity, and 0.6 wt.% Pt/TiO2 catalyst was observed to be the most active, which could be attributed to the well-dispersed platinum surface phase. The reduction temperature greatly affects the particle size and, consequently, the catalytic activity. The smaller particle size of platinum, due to its high dispersion on support, has a positive effect on catalytic performance. Increasing formaldehyde concentration and space velocity exhibits an inhibiting effect on the catalytic activity.","container-title":"Applied Catalysis B: Environmental","DOI":"10.1016/j.apcatb.2006.12.012","ISSN":"09263373","issue":"3-4","journalAbbreviation":"Applied Catalysis B: Environmental","language":"en","page":"282-291","source":"DOI.org (Crossref)","title":"Performance and characterization of supported metal catalysts for complete oxidation of formaldehyde at low temperatures","volume":"73","author":[{"family":"Peng","given":"Jiaxi"},{"family":"Wang","given":"Shudong"}],"issued":{"date-parts":[["2007",5]]}}},{"id":878,"uris":["http://zotero.org/users/8284751/items/3JMFNTWW"],"itemData":{"id":878,"type":"article-journal","abstract":"This study explores the reaction of oxidation of propene (1200 ppm) under excess oxygen (9%) over Au/ xCeO2/Al2O3 catalysts (x = 1.5, 3, 5, and 10 wt% CeO2) to mimic the conditions of VOC decomposition. The present study reveals the inﬂuence of several factors that affect the oxidative performance of the Au/ xCeO2/Al2O3 catalysts, such as the ceria loading, the catalyst activation method, i.e., the gold oxidation state, the gold particle size and the distribution of gold on ceria and alumina. The Au/xCeO2/Al2O3 catalysts were found 100% selective to CO2. Their activity was intermediate between that of Au/Al2O3 (poorly active) and Au/CeO2 (active). Interestingly, the activity increased with the ceria loading when the samples were activated under H2 at 300 8C, but decreased when they were activated under O2 at 500 8C. Characterization of the Au/xCeO2/Al2O3 catalysts after both types of activation was performed by TEM, EFTEM, XPS and CO oxidation reaction. The results show that whatever the mode of activation, as the CeO2 loading increased, the proportion of gold particles on alumina decreased while that on ceria increased, but gold remained unreduced on ceria after calcination under O2 whereas it was metallic after reduction under H2. Gold on ceria being more active when it is metallic than when it is unreduced, this explained the evolution of the catalytic results of propene oxidation as the ceria loading varied.","container-title":"Applied Catalysis B: Environmental","DOI":"10.1016/j.apcatb.2010.02.009","ISSN":"09263373","issue":"1-2","journalAbbreviation":"Applied Catalysis B: Environmental","language":"en","page":"117-125","source":"DOI.org (Crossref)","title":"Total oxidation of propene over Au/xCeO2-Al2O3 catalysts: Influence of the CeO2 loading and the activation treatment","title-short":"Total oxidation of propene over Au/xCeO2-Al2O3 catalysts","volume":"96","author":[{"family":"Lakshmanan","given":"Pandian"},{"family":"Delannoy","given":"Laurent"},{"family":"Richard","given":"Vincent"},{"family":"Méthivier","given":"Christophe"},{"family":"Potvin","given":"Claude"},{"family":"Louis","given":"Catherine"}],"issued":{"date-parts":[["2010",4]]}}},{"id":879,"uris":["http://zotero.org/users/8284751/items/2ZJ3LC8P"],"itemData":{"id":879,"type":"article-journal","abstract":"Complying with the obligation in the current ozone directive, the European Commission came forward in 1999 with a strategy to combat tropospheric ozone together with a proposed revision of the air quality legislation for this pollutant. As a daughter legislation under the 1996 Framework Directive on Air Quality, the proposed ozone daughter directive defines for the first time Žinterim. air quality targets for ozone to be attained by 2010, complemented by long-term objectives for ozone based on the guideline values of the World Health Organisation. It also sets out enhanced requirements for monitoring and assessment of ozone concentrations, as well as minimum criteria for appropriate information of the public about the measured air pollution.","language":"en","page":"22","source":"Zotero","title":"The revision of the air quality legislation in the European Union related to ground-level ozoneq","author":[{"family":"Amann","given":"Markus"},{"family":"Lutz","given":"Martin"}],"issued":{"date-parts":[["2000"]]}}},{"id":870,"uris":["http://zotero.org/users/8284751/items/KGL3DQUM"],"itemData":{"id":870,"type":"article-journal","abstract":"Emission of volatile organic compounds (VOCs) is one of the major contributors to air pollution. The main sources of VOCs are petroleum reﬁneries, fuel combustions, chemical industries, decomposition in the biosphere and biomass, pharmaceutical plants, automobile industries, textile manufacturers, solvents processes, cleaning products, printing presses, insulating materials, ofﬁce supplies, printers etc. The most common VOCs are halogenated compounds, aldehydes, alcohols, ketones, aromatic compounds, and ethers. High concentrations of these VOCs can cause irritations, nausea, dizziness, and headaches. Some VOCs are also carcinogenic for both humans and animals. Therefore, it is crucial to minimize the emission of VOCs. Among the available technologies, the catalytic oxidation of VOCs is the most popular because of its versatility of handling a range of organic emissions under mild operating conditions. Due to that fact, there are numerous research initiatives focused on developing advanced technologies for the catalytic destruction of VOCs. This review discusses recent developments in catalytic systems for the destruction of VOCs. Review also describes various VOCs and their sources of emission, mechanisms of catalytic destruction, the causes of catalyst deactivation, and catalyst regeneration methods.","container-title":"Atmospheric Environment","DOI":"10.1016/j.atmosenv.2016.05.031","ISSN":"13522310","journalAbbreviation":"Atmospheric Environment","language":"en","page":"117-134","source":"DOI.org (Crossref)","title":"Catalytic oxidation of volatile organic compounds (VOCs) – A review","volume":"140","author":[{"family":"Kamal","given":"Muhammad Shahzad"},{"family":"Razzak","given":"Shaikh A."},{"family":"Hossain","given":"Mohammad M."}],"issued":{"date-parts":[["2016",9]]}}}],"schema":"https://github.com/citation-style-language/schema/raw/master/csl-citation.json"} </w:instrText>
      </w:r>
      <w:r w:rsidR="00816D1F" w:rsidRPr="00AD04DA">
        <w:rPr>
          <w:rFonts w:ascii="Times New Roman" w:hAnsi="Times New Roman" w:cs="Times New Roman"/>
          <w:sz w:val="24"/>
          <w:szCs w:val="24"/>
        </w:rPr>
        <w:fldChar w:fldCharType="separate"/>
      </w:r>
      <w:r w:rsidR="00ED636E" w:rsidRPr="00AD04DA">
        <w:rPr>
          <w:rFonts w:ascii="Times New Roman" w:hAnsi="Times New Roman" w:cs="Times New Roman"/>
          <w:sz w:val="24"/>
          <w:szCs w:val="24"/>
          <w:vertAlign w:val="superscript"/>
        </w:rPr>
        <w:t>101–105</w:t>
      </w:r>
      <w:r w:rsidR="00816D1F" w:rsidRPr="00AD04DA">
        <w:rPr>
          <w:rFonts w:ascii="Times New Roman" w:hAnsi="Times New Roman" w:cs="Times New Roman"/>
          <w:sz w:val="24"/>
          <w:szCs w:val="24"/>
        </w:rPr>
        <w:fldChar w:fldCharType="end"/>
      </w:r>
      <w:r w:rsidR="00816D1F" w:rsidRPr="00AD04DA">
        <w:rPr>
          <w:rFonts w:ascii="Times New Roman" w:hAnsi="Times New Roman" w:cs="Times New Roman"/>
          <w:sz w:val="24"/>
          <w:szCs w:val="24"/>
        </w:rPr>
        <w:t>.</w:t>
      </w:r>
      <w:r w:rsidR="0053259E" w:rsidRPr="00AD04DA">
        <w:rPr>
          <w:rFonts w:ascii="Times New Roman" w:hAnsi="Times New Roman" w:cs="Times New Roman"/>
          <w:sz w:val="24"/>
          <w:szCs w:val="24"/>
        </w:rPr>
        <w:t xml:space="preserve"> </w:t>
      </w:r>
      <w:r w:rsidR="00770A7F" w:rsidRPr="00AD04DA">
        <w:rPr>
          <w:rFonts w:ascii="Times New Roman" w:hAnsi="Times New Roman" w:cs="Times New Roman"/>
          <w:sz w:val="24"/>
          <w:szCs w:val="24"/>
        </w:rPr>
        <w:t>The environmental impact of implementing TSSE with volatile solv</w:t>
      </w:r>
      <w:r w:rsidR="005D22A0" w:rsidRPr="00AD04DA">
        <w:rPr>
          <w:rFonts w:ascii="Times New Roman" w:hAnsi="Times New Roman" w:cs="Times New Roman"/>
          <w:sz w:val="24"/>
          <w:szCs w:val="24"/>
        </w:rPr>
        <w:t xml:space="preserve">ents </w:t>
      </w:r>
      <w:r w:rsidR="001E021D" w:rsidRPr="00AD04DA">
        <w:rPr>
          <w:rFonts w:ascii="Times New Roman" w:hAnsi="Times New Roman" w:cs="Times New Roman"/>
          <w:sz w:val="24"/>
          <w:szCs w:val="24"/>
        </w:rPr>
        <w:t>means that existing or novel solvents with low volatilities are preferred.</w:t>
      </w:r>
    </w:p>
    <w:p w14:paraId="76B2CC98" w14:textId="7E9456D7" w:rsidR="000619A5" w:rsidRPr="00AD04DA" w:rsidRDefault="009355E8" w:rsidP="00536728">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Although both solvents were demonstrated to be recyclable with no solvent regeneration steps, less DA partitions into the product water than DPA,</w:t>
      </w:r>
      <w:r w:rsidR="00BE0110" w:rsidRPr="00AD04DA">
        <w:rPr>
          <w:rFonts w:ascii="Times New Roman" w:hAnsi="Times New Roman" w:cs="Times New Roman"/>
          <w:sz w:val="24"/>
          <w:szCs w:val="24"/>
        </w:rPr>
        <w:t xml:space="preserve"> DA is readily environmentally biodegradable</w:t>
      </w:r>
      <w:r w:rsidR="00B12B3A"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{"citationID":"kqsT5EuT","properties":{"formattedCitation":"\\super 100\\nosupersub{}","plainCitation":"100","noteIndex":0},"citationItems":[{"id":867,"uris":["http://zotero.org/users/8284751/items/JHJF9YZY"],"itemData":{"id":867,"type":"article-journal","container-title":"Sigma-Aldrich","language":"en","page":"9","source":"Zotero","title":"Decanoic Acid Safety Data Sheet","issued":{"date-parts":[["2021",10,7]]}}}],"schema":"https://github.com/citation-style-language/schema/raw/master/csl-citation.json"} </w:instrText>
      </w:r>
      <w:r w:rsidR="00B12B3A" w:rsidRPr="00AD04DA">
        <w:rPr>
          <w:rFonts w:ascii="Times New Roman" w:hAnsi="Times New Roman" w:cs="Times New Roman"/>
          <w:sz w:val="24"/>
          <w:szCs w:val="24"/>
        </w:rPr>
        <w:fldChar w:fldCharType="separate"/>
      </w:r>
      <w:r w:rsidR="00ED636E" w:rsidRPr="00AD04DA">
        <w:rPr>
          <w:rFonts w:ascii="Times New Roman" w:hAnsi="Times New Roman" w:cs="Times New Roman"/>
          <w:sz w:val="24"/>
          <w:szCs w:val="24"/>
          <w:vertAlign w:val="superscript"/>
        </w:rPr>
        <w:t>100</w:t>
      </w:r>
      <w:r w:rsidR="00B12B3A" w:rsidRPr="00AD04DA">
        <w:rPr>
          <w:rFonts w:ascii="Times New Roman" w:hAnsi="Times New Roman" w:cs="Times New Roman"/>
          <w:sz w:val="24"/>
          <w:szCs w:val="24"/>
        </w:rPr>
        <w:fldChar w:fldCharType="end"/>
      </w:r>
      <w:r w:rsidR="00BE0110" w:rsidRPr="00AD04DA">
        <w:rPr>
          <w:rFonts w:ascii="Times New Roman" w:hAnsi="Times New Roman" w:cs="Times New Roman"/>
          <w:sz w:val="24"/>
          <w:szCs w:val="24"/>
        </w:rPr>
        <w:t xml:space="preserve"> and DPA is not,</w:t>
      </w:r>
      <w:r w:rsidRPr="00AD04DA">
        <w:rPr>
          <w:rFonts w:ascii="Times New Roman" w:hAnsi="Times New Roman" w:cs="Times New Roman"/>
          <w:sz w:val="24"/>
          <w:szCs w:val="24"/>
        </w:rPr>
        <w:t xml:space="preserve"> and DA is less volatile (boiling point = 268 °C</w:t>
      </w:r>
      <w:r w:rsidR="00BE0110"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{"citationID":"MVSIWayj","properties":{"formattedCitation":"\\super 100\\nosupersub{}","plainCitation":"100","noteIndex":0},"citationItems":[{"id":867,"uris":["http://zotero.org/users/8284751/items/JHJF9YZY"],"itemData":{"id":867,"type":"article-journal","container-title":"Sigma-Aldrich","language":"en","page":"9","source":"Zotero","title":"Decanoic Acid Safety Data Sheet","issued":{"date-parts":[["2021",10,7]]}}}],"schema":"https://github.com/citation-style-language/schema/raw/master/csl-citation.json"} </w:instrText>
      </w:r>
      <w:r w:rsidR="00BE0110" w:rsidRPr="00AD04DA">
        <w:rPr>
          <w:rFonts w:ascii="Times New Roman" w:hAnsi="Times New Roman" w:cs="Times New Roman"/>
          <w:sz w:val="24"/>
          <w:szCs w:val="24"/>
        </w:rPr>
        <w:fldChar w:fldCharType="separate"/>
      </w:r>
      <w:r w:rsidR="00ED636E" w:rsidRPr="00AD04DA">
        <w:rPr>
          <w:rFonts w:ascii="Times New Roman" w:hAnsi="Times New Roman" w:cs="Times New Roman"/>
          <w:sz w:val="24"/>
          <w:szCs w:val="24"/>
          <w:vertAlign w:val="superscript"/>
        </w:rPr>
        <w:t>100</w:t>
      </w:r>
      <w:r w:rsidR="00BE0110" w:rsidRPr="00AD04DA">
        <w:rPr>
          <w:rFonts w:ascii="Times New Roman" w:hAnsi="Times New Roman" w:cs="Times New Roman"/>
          <w:sz w:val="24"/>
          <w:szCs w:val="24"/>
        </w:rPr>
        <w:fldChar w:fldCharType="end"/>
      </w:r>
      <w:r w:rsidRPr="00AD04DA">
        <w:rPr>
          <w:rFonts w:ascii="Times New Roman" w:hAnsi="Times New Roman" w:cs="Times New Roman"/>
          <w:sz w:val="24"/>
          <w:szCs w:val="24"/>
        </w:rPr>
        <w:t>) than DPA.</w:t>
      </w:r>
      <w:r w:rsidR="00BE0110" w:rsidRPr="00AD04DA">
        <w:rPr>
          <w:rFonts w:ascii="Times New Roman" w:hAnsi="Times New Roman" w:cs="Times New Roman"/>
          <w:sz w:val="24"/>
          <w:szCs w:val="24"/>
        </w:rPr>
        <w:t xml:space="preserve"> Therefore, TSSE with DA produces </w:t>
      </w:r>
      <w:r w:rsidR="00DE7A4E" w:rsidRPr="00AD04DA">
        <w:rPr>
          <w:rFonts w:ascii="Times New Roman" w:hAnsi="Times New Roman" w:cs="Times New Roman"/>
          <w:sz w:val="24"/>
          <w:szCs w:val="24"/>
        </w:rPr>
        <w:t>water with lower organic content</w:t>
      </w:r>
      <w:r w:rsidR="00361C66" w:rsidRPr="00AD04DA">
        <w:rPr>
          <w:rFonts w:ascii="Times New Roman" w:hAnsi="Times New Roman" w:cs="Times New Roman"/>
          <w:sz w:val="24"/>
          <w:szCs w:val="24"/>
        </w:rPr>
        <w:t>,</w:t>
      </w:r>
      <w:r w:rsidR="00BE0110" w:rsidRPr="00AD04DA">
        <w:rPr>
          <w:rFonts w:ascii="Times New Roman" w:hAnsi="Times New Roman" w:cs="Times New Roman"/>
          <w:sz w:val="24"/>
          <w:szCs w:val="24"/>
        </w:rPr>
        <w:t xml:space="preserve"> lower solvent losses</w:t>
      </w:r>
      <w:r w:rsidR="00361C66" w:rsidRPr="00AD04DA">
        <w:rPr>
          <w:rFonts w:ascii="Times New Roman" w:hAnsi="Times New Roman" w:cs="Times New Roman"/>
          <w:sz w:val="24"/>
          <w:szCs w:val="24"/>
        </w:rPr>
        <w:t>,</w:t>
      </w:r>
      <w:r w:rsidR="00BE0110" w:rsidRPr="00AD04DA">
        <w:rPr>
          <w:rFonts w:ascii="Times New Roman" w:hAnsi="Times New Roman" w:cs="Times New Roman"/>
          <w:sz w:val="24"/>
          <w:szCs w:val="24"/>
        </w:rPr>
        <w:t xml:space="preserve"> and </w:t>
      </w:r>
      <w:r w:rsidR="00301C9E">
        <w:rPr>
          <w:rFonts w:ascii="Times New Roman" w:hAnsi="Times New Roman" w:cs="Times New Roman"/>
          <w:sz w:val="24"/>
          <w:szCs w:val="24"/>
        </w:rPr>
        <w:t xml:space="preserve">lower </w:t>
      </w:r>
      <w:r w:rsidR="00BE0110" w:rsidRPr="00AD04DA">
        <w:rPr>
          <w:rFonts w:ascii="Times New Roman" w:hAnsi="Times New Roman" w:cs="Times New Roman"/>
          <w:sz w:val="24"/>
          <w:szCs w:val="24"/>
        </w:rPr>
        <w:t xml:space="preserve">environmental concerns </w:t>
      </w:r>
      <w:r w:rsidR="008040AE" w:rsidRPr="00AD04DA">
        <w:rPr>
          <w:rFonts w:ascii="Times New Roman" w:hAnsi="Times New Roman" w:cs="Times New Roman"/>
          <w:sz w:val="24"/>
          <w:szCs w:val="24"/>
        </w:rPr>
        <w:t>than DPA.</w:t>
      </w:r>
    </w:p>
    <w:p w14:paraId="3D6C9FAF" w14:textId="4D3B836D" w:rsidR="00002D2F" w:rsidRPr="0078088C" w:rsidRDefault="00002D2F" w:rsidP="00002D2F">
      <w:pPr>
        <w:pStyle w:val="Heading2"/>
        <w:spacing w:before="0" w:line="480" w:lineRule="auto"/>
        <w:ind w:firstLine="720"/>
        <w:rPr>
          <w:rFonts w:ascii="Times New Roman" w:hAnsi="Times New Roman" w:cs="Times New Roman"/>
          <w:sz w:val="28"/>
          <w:szCs w:val="28"/>
        </w:rPr>
      </w:pPr>
      <w:bookmarkStart w:id="19" w:name="_Toc100753470"/>
      <w:r w:rsidRPr="0078088C">
        <w:rPr>
          <w:rFonts w:ascii="Times New Roman" w:hAnsi="Times New Roman" w:cs="Times New Roman"/>
          <w:color w:val="000000" w:themeColor="text1"/>
          <w:sz w:val="28"/>
          <w:szCs w:val="28"/>
        </w:rPr>
        <w:t>3.</w:t>
      </w:r>
      <w:r w:rsidR="003A6949" w:rsidRPr="0078088C">
        <w:rPr>
          <w:rFonts w:ascii="Times New Roman" w:hAnsi="Times New Roman" w:cs="Times New Roman"/>
          <w:color w:val="000000" w:themeColor="text1"/>
          <w:sz w:val="28"/>
          <w:szCs w:val="28"/>
        </w:rPr>
        <w:t>3</w:t>
      </w:r>
      <w:r w:rsidRPr="0078088C">
        <w:rPr>
          <w:rFonts w:ascii="Times New Roman" w:hAnsi="Times New Roman" w:cs="Times New Roman"/>
          <w:color w:val="000000" w:themeColor="text1"/>
          <w:sz w:val="28"/>
          <w:szCs w:val="28"/>
        </w:rPr>
        <w:t xml:space="preserve"> Salinity Reduction</w:t>
      </w:r>
      <w:bookmarkEnd w:id="19"/>
    </w:p>
    <w:p w14:paraId="2BE4D137" w14:textId="5F7B52D4" w:rsidR="00536728" w:rsidRPr="00AD04DA" w:rsidRDefault="00F3393D" w:rsidP="0023023D">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Figure 1</w:t>
      </w:r>
      <w:r w:rsidR="008960C1" w:rsidRPr="00AD04DA">
        <w:rPr>
          <w:rFonts w:ascii="Times New Roman" w:hAnsi="Times New Roman" w:cs="Times New Roman"/>
          <w:sz w:val="24"/>
          <w:szCs w:val="24"/>
        </w:rPr>
        <w:t>0</w:t>
      </w:r>
      <w:r w:rsidRPr="00AD04DA">
        <w:rPr>
          <w:rFonts w:ascii="Times New Roman" w:hAnsi="Times New Roman" w:cs="Times New Roman"/>
          <w:sz w:val="24"/>
          <w:szCs w:val="24"/>
        </w:rPr>
        <w:t xml:space="preserve"> shows the average salinity of the product water versus the feed concentration for DA and DPA extractions.</w:t>
      </w:r>
    </w:p>
    <w:p w14:paraId="5454DBB1" w14:textId="4414C6D7" w:rsidR="00450015" w:rsidRPr="00AD04DA" w:rsidRDefault="00450015" w:rsidP="00450015">
      <w:pPr>
        <w:spacing w:after="0" w:line="480" w:lineRule="auto"/>
        <w:ind w:firstLine="720"/>
        <w:jc w:val="center"/>
        <w:rPr>
          <w:rFonts w:ascii="Times New Roman" w:hAnsi="Times New Roman" w:cs="Times New Roman"/>
          <w:sz w:val="24"/>
          <w:szCs w:val="24"/>
        </w:rPr>
      </w:pPr>
      <w:r w:rsidRPr="00AD04DA">
        <w:rPr>
          <w:rFonts w:ascii="Times New Roman" w:hAnsi="Times New Roman" w:cs="Times New Roman"/>
          <w:noProof/>
          <w:sz w:val="24"/>
          <w:szCs w:val="24"/>
        </w:rPr>
        <w:drawing>
          <wp:inline distT="0" distB="0" distL="0" distR="0" wp14:anchorId="4230BC07" wp14:editId="62548451">
            <wp:extent cx="4572000" cy="2743200"/>
            <wp:effectExtent l="0" t="0" r="0" b="0"/>
            <wp:docPr id="13" name="Chart 13">
              <a:extLst xmlns:a="http://schemas.openxmlformats.org/drawingml/2006/main">
                <a:ext uri="{FF2B5EF4-FFF2-40B4-BE49-F238E27FC236}">
                  <a16:creationId xmlns:a16="http://schemas.microsoft.com/office/drawing/2014/main" id="{2EA3E83D-720F-4F7C-8547-5E4AC8E45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8A42B83" w14:textId="4D08F626" w:rsidR="00450015" w:rsidRPr="00AD04DA" w:rsidRDefault="00450015" w:rsidP="00450015">
      <w:pPr>
        <w:spacing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Figure 1</w:t>
      </w:r>
      <w:r w:rsidR="008960C1" w:rsidRPr="00AD04DA">
        <w:rPr>
          <w:rFonts w:ascii="Times New Roman" w:hAnsi="Times New Roman" w:cs="Times New Roman"/>
          <w:b/>
          <w:bCs/>
          <w:sz w:val="24"/>
          <w:szCs w:val="24"/>
        </w:rPr>
        <w:t>0</w:t>
      </w:r>
      <w:r w:rsidRPr="00AD04DA">
        <w:rPr>
          <w:rFonts w:ascii="Times New Roman" w:hAnsi="Times New Roman" w:cs="Times New Roman"/>
          <w:b/>
          <w:bCs/>
          <w:sz w:val="24"/>
          <w:szCs w:val="24"/>
        </w:rPr>
        <w:t xml:space="preserve">: </w:t>
      </w:r>
      <w:r w:rsidRPr="00AD04DA">
        <w:rPr>
          <w:rFonts w:ascii="Times New Roman" w:hAnsi="Times New Roman" w:cs="Times New Roman"/>
          <w:sz w:val="24"/>
          <w:szCs w:val="24"/>
        </w:rPr>
        <w:t>Average product water salinity vs feed concentration for TSSE with DPA and DA.</w:t>
      </w:r>
    </w:p>
    <w:p w14:paraId="6C1D11C6" w14:textId="6C854D41" w:rsidR="00450015" w:rsidRPr="00AD04DA" w:rsidRDefault="00450015" w:rsidP="00F3393D">
      <w:pPr>
        <w:spacing w:after="0" w:line="480" w:lineRule="auto"/>
        <w:rPr>
          <w:rFonts w:ascii="Times New Roman" w:hAnsi="Times New Roman" w:cs="Times New Roman"/>
          <w:sz w:val="24"/>
          <w:szCs w:val="24"/>
        </w:rPr>
      </w:pPr>
    </w:p>
    <w:p w14:paraId="50F1B923" w14:textId="4CCB79D9" w:rsidR="00F3393D" w:rsidRPr="00AD04DA" w:rsidRDefault="00F3393D" w:rsidP="007D10FA">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7D10FA" w:rsidRPr="00AD04DA">
        <w:rPr>
          <w:rFonts w:ascii="Times New Roman" w:hAnsi="Times New Roman" w:cs="Times New Roman"/>
          <w:sz w:val="24"/>
          <w:szCs w:val="24"/>
        </w:rPr>
        <w:t xml:space="preserve">The product water salinity for DA extractions of 3.5 </w:t>
      </w:r>
      <w:r w:rsidR="00CB43B3" w:rsidRPr="00AD04DA">
        <w:rPr>
          <w:rFonts w:ascii="Times New Roman" w:hAnsi="Times New Roman" w:cs="Times New Roman"/>
          <w:sz w:val="24"/>
          <w:szCs w:val="24"/>
        </w:rPr>
        <w:t>w/w%</w:t>
      </w:r>
      <w:r w:rsidR="007D10FA" w:rsidRPr="00AD04DA">
        <w:rPr>
          <w:rFonts w:ascii="Times New Roman" w:hAnsi="Times New Roman" w:cs="Times New Roman"/>
          <w:sz w:val="24"/>
          <w:szCs w:val="24"/>
        </w:rPr>
        <w:t xml:space="preserve">, 1.0 M, and 4.0 M NaCl feeds was 0.009 ± 0.003, 0.017 ± 0.010, and 0.042 ± 0.015 M NaCl, respectively. </w:t>
      </w:r>
      <w:r w:rsidR="00506636" w:rsidRPr="00AD04DA">
        <w:rPr>
          <w:rFonts w:ascii="Times New Roman" w:hAnsi="Times New Roman" w:cs="Times New Roman"/>
          <w:sz w:val="24"/>
          <w:szCs w:val="24"/>
        </w:rPr>
        <w:t xml:space="preserve">The product water </w:t>
      </w:r>
      <w:r w:rsidR="00506636" w:rsidRPr="00AD04DA">
        <w:rPr>
          <w:rFonts w:ascii="Times New Roman" w:hAnsi="Times New Roman" w:cs="Times New Roman"/>
          <w:sz w:val="24"/>
          <w:szCs w:val="24"/>
        </w:rPr>
        <w:lastRenderedPageBreak/>
        <w:t>salinity for DPA extractions of the same feeds was 0.11 ± 0.02, 0.14 ± 0.03, and 0.25 ± 0.16 M NaCl, respectively.</w:t>
      </w:r>
    </w:p>
    <w:p w14:paraId="42ABEE47" w14:textId="240978CC" w:rsidR="00D42EA2" w:rsidRPr="00AD04DA" w:rsidRDefault="000152D1" w:rsidP="007D10FA">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483C64" w:rsidRPr="00AD04DA">
        <w:rPr>
          <w:rFonts w:ascii="Times New Roman" w:hAnsi="Times New Roman" w:cs="Times New Roman"/>
          <w:sz w:val="24"/>
          <w:szCs w:val="24"/>
        </w:rPr>
        <w:t>For all three feeds, the product water salinity of the water extracted with DA is approximately an order of magnitude lower than the salinity of the water extracted with DPA.</w:t>
      </w:r>
      <w:r w:rsidR="00B55DF7" w:rsidRPr="00AD04DA">
        <w:rPr>
          <w:rFonts w:ascii="Times New Roman" w:hAnsi="Times New Roman" w:cs="Times New Roman"/>
          <w:sz w:val="24"/>
          <w:szCs w:val="24"/>
        </w:rPr>
        <w:t xml:space="preserve"> In terms of</w:t>
      </w:r>
      <w:r w:rsidR="006D4BEA" w:rsidRPr="00AD04DA">
        <w:rPr>
          <w:rFonts w:ascii="Times New Roman" w:hAnsi="Times New Roman" w:cs="Times New Roman"/>
          <w:sz w:val="24"/>
          <w:szCs w:val="24"/>
        </w:rPr>
        <w:t xml:space="preserve"> both</w:t>
      </w:r>
      <w:r w:rsidR="00B55DF7" w:rsidRPr="00AD04DA">
        <w:rPr>
          <w:rFonts w:ascii="Times New Roman" w:hAnsi="Times New Roman" w:cs="Times New Roman"/>
          <w:sz w:val="24"/>
          <w:szCs w:val="24"/>
        </w:rPr>
        <w:t xml:space="preserve"> solvent partition into the product water and product water salinity, DA extraction produces higher quality water than DPA</w:t>
      </w:r>
      <w:r w:rsidR="00D42EA2" w:rsidRPr="00AD04DA">
        <w:rPr>
          <w:rFonts w:ascii="Times New Roman" w:hAnsi="Times New Roman" w:cs="Times New Roman"/>
          <w:sz w:val="24"/>
          <w:szCs w:val="24"/>
        </w:rPr>
        <w:t>.</w:t>
      </w:r>
    </w:p>
    <w:p w14:paraId="2612F6C6" w14:textId="759E2E3D" w:rsidR="00D42EA2" w:rsidRPr="00AD04DA" w:rsidRDefault="00D42EA2" w:rsidP="007D10FA">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As the salinity of the feed rises, the salinity of the product water </w:t>
      </w:r>
      <w:r w:rsidR="00D552C2" w:rsidRPr="00AD04DA">
        <w:rPr>
          <w:rFonts w:ascii="Times New Roman" w:hAnsi="Times New Roman" w:cs="Times New Roman"/>
          <w:sz w:val="24"/>
          <w:szCs w:val="24"/>
        </w:rPr>
        <w:t xml:space="preserve">rises. </w:t>
      </w:r>
      <w:r w:rsidR="00D448CE" w:rsidRPr="00AD04DA">
        <w:rPr>
          <w:rFonts w:ascii="Times New Roman" w:hAnsi="Times New Roman" w:cs="Times New Roman"/>
          <w:sz w:val="24"/>
          <w:szCs w:val="24"/>
        </w:rPr>
        <w:t>For both solvents, the product water produced from the 4.0 M feed has the highest salinity, followed by that from the 1.0 M feed</w:t>
      </w:r>
      <w:r w:rsidR="00367A69" w:rsidRPr="00AD04DA">
        <w:rPr>
          <w:rFonts w:ascii="Times New Roman" w:hAnsi="Times New Roman" w:cs="Times New Roman"/>
          <w:sz w:val="24"/>
          <w:szCs w:val="24"/>
        </w:rPr>
        <w:t>,</w:t>
      </w:r>
      <w:r w:rsidR="00D448CE" w:rsidRPr="00AD04DA">
        <w:rPr>
          <w:rFonts w:ascii="Times New Roman" w:hAnsi="Times New Roman" w:cs="Times New Roman"/>
          <w:sz w:val="24"/>
          <w:szCs w:val="24"/>
        </w:rPr>
        <w:t xml:space="preserve"> </w:t>
      </w:r>
      <w:r w:rsidR="00367A69" w:rsidRPr="00AD04DA">
        <w:rPr>
          <w:rFonts w:ascii="Times New Roman" w:hAnsi="Times New Roman" w:cs="Times New Roman"/>
          <w:sz w:val="24"/>
          <w:szCs w:val="24"/>
        </w:rPr>
        <w:t xml:space="preserve">then </w:t>
      </w:r>
      <w:r w:rsidR="00D448CE" w:rsidRPr="00AD04DA">
        <w:rPr>
          <w:rFonts w:ascii="Times New Roman" w:hAnsi="Times New Roman" w:cs="Times New Roman"/>
          <w:sz w:val="24"/>
          <w:szCs w:val="24"/>
        </w:rPr>
        <w:t xml:space="preserve">the 3.5 </w:t>
      </w:r>
      <w:r w:rsidR="00CB43B3" w:rsidRPr="00AD04DA">
        <w:rPr>
          <w:rFonts w:ascii="Times New Roman" w:hAnsi="Times New Roman" w:cs="Times New Roman"/>
          <w:sz w:val="24"/>
          <w:szCs w:val="24"/>
        </w:rPr>
        <w:t>w/w%</w:t>
      </w:r>
      <w:r w:rsidR="00D448CE" w:rsidRPr="00AD04DA">
        <w:rPr>
          <w:rFonts w:ascii="Times New Roman" w:hAnsi="Times New Roman" w:cs="Times New Roman"/>
          <w:sz w:val="24"/>
          <w:szCs w:val="24"/>
        </w:rPr>
        <w:t xml:space="preserve"> feed. </w:t>
      </w:r>
      <w:r w:rsidR="007475D5" w:rsidRPr="00AD04DA">
        <w:rPr>
          <w:rFonts w:ascii="Times New Roman" w:hAnsi="Times New Roman" w:cs="Times New Roman"/>
          <w:sz w:val="24"/>
          <w:szCs w:val="24"/>
        </w:rPr>
        <w:t xml:space="preserve">This trend </w:t>
      </w:r>
      <w:r w:rsidR="00FE5CB3" w:rsidRPr="00AD04DA">
        <w:rPr>
          <w:rFonts w:ascii="Times New Roman" w:hAnsi="Times New Roman" w:cs="Times New Roman"/>
          <w:sz w:val="24"/>
          <w:szCs w:val="24"/>
        </w:rPr>
        <w:t>is because</w:t>
      </w:r>
      <w:r w:rsidR="00591442" w:rsidRPr="00AD04DA">
        <w:rPr>
          <w:rFonts w:ascii="Times New Roman" w:hAnsi="Times New Roman" w:cs="Times New Roman"/>
          <w:sz w:val="24"/>
          <w:szCs w:val="24"/>
        </w:rPr>
        <w:t xml:space="preserve"> TSSE is an equilibrium process</w:t>
      </w:r>
      <w:r w:rsidR="00FE5CB3" w:rsidRPr="00AD04DA">
        <w:rPr>
          <w:rFonts w:ascii="Times New Roman" w:hAnsi="Times New Roman" w:cs="Times New Roman"/>
          <w:sz w:val="24"/>
          <w:szCs w:val="24"/>
        </w:rPr>
        <w:t xml:space="preserve"> in which the solute partitions between the organic and aqueous phase</w:t>
      </w:r>
      <w:r w:rsidR="004A64DF" w:rsidRPr="00AD04DA">
        <w:rPr>
          <w:rFonts w:ascii="Times New Roman" w:hAnsi="Times New Roman" w:cs="Times New Roman"/>
          <w:sz w:val="24"/>
          <w:szCs w:val="24"/>
        </w:rPr>
        <w:t xml:space="preserve">. As the solute concentration in the feed rises, </w:t>
      </w:r>
      <w:r w:rsidR="00F26B67" w:rsidRPr="00AD04DA">
        <w:rPr>
          <w:rFonts w:ascii="Times New Roman" w:hAnsi="Times New Roman" w:cs="Times New Roman"/>
          <w:sz w:val="24"/>
          <w:szCs w:val="24"/>
        </w:rPr>
        <w:t>it will</w:t>
      </w:r>
      <w:r w:rsidR="005772A6" w:rsidRPr="00AD04DA">
        <w:rPr>
          <w:rFonts w:ascii="Times New Roman" w:hAnsi="Times New Roman" w:cs="Times New Roman"/>
          <w:sz w:val="24"/>
          <w:szCs w:val="24"/>
        </w:rPr>
        <w:t xml:space="preserve"> also</w:t>
      </w:r>
      <w:r w:rsidR="00F26B67" w:rsidRPr="00AD04DA">
        <w:rPr>
          <w:rFonts w:ascii="Times New Roman" w:hAnsi="Times New Roman" w:cs="Times New Roman"/>
          <w:sz w:val="24"/>
          <w:szCs w:val="24"/>
        </w:rPr>
        <w:t xml:space="preserve"> rise in the product water. </w:t>
      </w:r>
      <w:r w:rsidR="001F3556" w:rsidRPr="00AD04DA">
        <w:rPr>
          <w:rFonts w:ascii="Times New Roman" w:hAnsi="Times New Roman" w:cs="Times New Roman"/>
          <w:sz w:val="24"/>
          <w:szCs w:val="24"/>
        </w:rPr>
        <w:t>T</w:t>
      </w:r>
      <w:r w:rsidR="00203AE9" w:rsidRPr="00AD04DA">
        <w:rPr>
          <w:rFonts w:ascii="Times New Roman" w:hAnsi="Times New Roman" w:cs="Times New Roman"/>
          <w:sz w:val="24"/>
          <w:szCs w:val="24"/>
        </w:rPr>
        <w:t xml:space="preserve">his trend demonstrates that for applications in which low product water solute concentrations are necessary, </w:t>
      </w:r>
      <w:r w:rsidR="00D22A92" w:rsidRPr="00AD04DA">
        <w:rPr>
          <w:rFonts w:ascii="Times New Roman" w:hAnsi="Times New Roman" w:cs="Times New Roman"/>
          <w:sz w:val="24"/>
          <w:szCs w:val="24"/>
        </w:rPr>
        <w:t>the product water from the first cycle of TSSE may need further extraction</w:t>
      </w:r>
      <w:r w:rsidR="004754A4" w:rsidRPr="00AD04DA">
        <w:rPr>
          <w:rFonts w:ascii="Times New Roman" w:hAnsi="Times New Roman" w:cs="Times New Roman"/>
          <w:sz w:val="24"/>
          <w:szCs w:val="24"/>
        </w:rPr>
        <w:t>.</w:t>
      </w:r>
      <w:r w:rsidR="00D22A92" w:rsidRPr="00AD04DA">
        <w:rPr>
          <w:rFonts w:ascii="Times New Roman" w:hAnsi="Times New Roman" w:cs="Times New Roman"/>
          <w:sz w:val="24"/>
          <w:szCs w:val="24"/>
        </w:rPr>
        <w:t xml:space="preserve"> </w:t>
      </w:r>
      <w:r w:rsidR="004754A4" w:rsidRPr="00AD04DA">
        <w:rPr>
          <w:rFonts w:ascii="Times New Roman" w:hAnsi="Times New Roman" w:cs="Times New Roman"/>
          <w:sz w:val="24"/>
          <w:szCs w:val="24"/>
        </w:rPr>
        <w:t>This can be achieved by using the effluent from one pass of TSSE as</w:t>
      </w:r>
      <w:r w:rsidR="00D22A92" w:rsidRPr="00AD04DA">
        <w:rPr>
          <w:rFonts w:ascii="Times New Roman" w:hAnsi="Times New Roman" w:cs="Times New Roman"/>
          <w:sz w:val="24"/>
          <w:szCs w:val="24"/>
        </w:rPr>
        <w:t xml:space="preserve"> the feed in an additional extraction cycle. </w:t>
      </w:r>
      <w:r w:rsidR="00203AE9" w:rsidRPr="00AD04DA">
        <w:rPr>
          <w:rFonts w:ascii="Times New Roman" w:hAnsi="Times New Roman" w:cs="Times New Roman"/>
          <w:sz w:val="24"/>
          <w:szCs w:val="24"/>
        </w:rPr>
        <w:t xml:space="preserve"> </w:t>
      </w:r>
    </w:p>
    <w:p w14:paraId="2C622D58" w14:textId="65DE72D5" w:rsidR="004F75C6" w:rsidRPr="00AD04DA" w:rsidRDefault="008960C1" w:rsidP="00536728">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Figure 11</w:t>
      </w:r>
      <w:r w:rsidR="008F7944" w:rsidRPr="00AD04DA">
        <w:rPr>
          <w:rFonts w:ascii="Times New Roman" w:hAnsi="Times New Roman" w:cs="Times New Roman"/>
          <w:sz w:val="24"/>
          <w:szCs w:val="24"/>
        </w:rPr>
        <w:t xml:space="preserve"> shows the average NaCl rejection across all cycles and NaCl feeds for DPA</w:t>
      </w:r>
      <w:r w:rsidRPr="00AD04DA">
        <w:rPr>
          <w:rFonts w:ascii="Times New Roman" w:hAnsi="Times New Roman" w:cs="Times New Roman"/>
          <w:sz w:val="24"/>
          <w:szCs w:val="24"/>
        </w:rPr>
        <w:t xml:space="preserve"> and DA</w:t>
      </w:r>
      <w:r w:rsidR="008F7944" w:rsidRPr="00AD04DA">
        <w:rPr>
          <w:rFonts w:ascii="Times New Roman" w:hAnsi="Times New Roman" w:cs="Times New Roman"/>
          <w:sz w:val="24"/>
          <w:szCs w:val="24"/>
        </w:rPr>
        <w:t>.</w:t>
      </w:r>
    </w:p>
    <w:p w14:paraId="57EB70ED" w14:textId="07BBD894" w:rsidR="008960C1" w:rsidRPr="00AD04DA" w:rsidRDefault="008960C1" w:rsidP="008960C1">
      <w:pPr>
        <w:spacing w:after="0" w:line="480" w:lineRule="auto"/>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4C706335" wp14:editId="1A13082E">
            <wp:extent cx="5943600" cy="3279140"/>
            <wp:effectExtent l="0" t="0" r="0" b="0"/>
            <wp:docPr id="29" name="Chart 29">
              <a:extLst xmlns:a="http://schemas.openxmlformats.org/drawingml/2006/main">
                <a:ext uri="{FF2B5EF4-FFF2-40B4-BE49-F238E27FC236}">
                  <a16:creationId xmlns:a16="http://schemas.microsoft.com/office/drawing/2014/main" id="{0B7DFBC3-9893-4E03-930F-6047346726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A07767" w14:textId="21CFEAC7" w:rsidR="0028252C" w:rsidRPr="00AD04DA" w:rsidRDefault="0028252C" w:rsidP="0028252C">
      <w:pPr>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3A5D4C" w:rsidRPr="00AD04DA">
        <w:rPr>
          <w:rFonts w:ascii="Times New Roman" w:hAnsi="Times New Roman" w:cs="Times New Roman"/>
          <w:b/>
          <w:bCs/>
          <w:sz w:val="24"/>
          <w:szCs w:val="24"/>
        </w:rPr>
        <w:t>1</w:t>
      </w:r>
      <w:r w:rsidR="007008AB" w:rsidRPr="00AD04DA">
        <w:rPr>
          <w:rFonts w:ascii="Times New Roman" w:hAnsi="Times New Roman" w:cs="Times New Roman"/>
          <w:b/>
          <w:bCs/>
          <w:sz w:val="24"/>
          <w:szCs w:val="24"/>
        </w:rPr>
        <w:t>1</w:t>
      </w:r>
      <w:r w:rsidRPr="00AD04DA">
        <w:rPr>
          <w:rFonts w:ascii="Times New Roman" w:hAnsi="Times New Roman" w:cs="Times New Roman"/>
          <w:b/>
          <w:bCs/>
          <w:sz w:val="24"/>
          <w:szCs w:val="24"/>
        </w:rPr>
        <w:t xml:space="preserve">: </w:t>
      </w:r>
      <w:r w:rsidRPr="00AD04DA">
        <w:rPr>
          <w:rFonts w:ascii="Times New Roman" w:hAnsi="Times New Roman" w:cs="Times New Roman"/>
          <w:sz w:val="24"/>
          <w:szCs w:val="24"/>
        </w:rPr>
        <w:t>TSSE</w:t>
      </w:r>
      <w:r w:rsidR="009366AB" w:rsidRPr="00AD04DA">
        <w:rPr>
          <w:rFonts w:ascii="Times New Roman" w:hAnsi="Times New Roman" w:cs="Times New Roman"/>
          <w:sz w:val="24"/>
          <w:szCs w:val="24"/>
        </w:rPr>
        <w:t xml:space="preserve"> average</w:t>
      </w:r>
      <w:r w:rsidRPr="00AD04DA">
        <w:rPr>
          <w:rFonts w:ascii="Times New Roman" w:hAnsi="Times New Roman" w:cs="Times New Roman"/>
          <w:sz w:val="24"/>
          <w:szCs w:val="24"/>
        </w:rPr>
        <w:t xml:space="preserve"> salt rejection vs feed concentration for 3.5 </w:t>
      </w:r>
      <w:r w:rsidR="00CB43B3" w:rsidRPr="00AD04DA">
        <w:rPr>
          <w:rFonts w:ascii="Times New Roman" w:hAnsi="Times New Roman" w:cs="Times New Roman"/>
          <w:sz w:val="24"/>
          <w:szCs w:val="24"/>
        </w:rPr>
        <w:t>w/w%</w:t>
      </w:r>
      <w:r w:rsidRPr="00AD04DA">
        <w:rPr>
          <w:rFonts w:ascii="Times New Roman" w:hAnsi="Times New Roman" w:cs="Times New Roman"/>
          <w:sz w:val="24"/>
          <w:szCs w:val="24"/>
        </w:rPr>
        <w:t>, 1.0 M, and 4.0 M NaCl feeds with DPA solvent.</w:t>
      </w:r>
    </w:p>
    <w:p w14:paraId="497FEF9B" w14:textId="4D02A35B" w:rsidR="00FF5603" w:rsidRPr="00AD04DA" w:rsidRDefault="00FF5603" w:rsidP="0028252C">
      <w:pPr>
        <w:jc w:val="center"/>
        <w:rPr>
          <w:rFonts w:ascii="Times New Roman" w:hAnsi="Times New Roman" w:cs="Times New Roman"/>
          <w:sz w:val="24"/>
          <w:szCs w:val="24"/>
        </w:rPr>
      </w:pPr>
    </w:p>
    <w:p w14:paraId="787CF0C4" w14:textId="5B525397" w:rsidR="00A80961" w:rsidRPr="00AD04DA" w:rsidRDefault="00A80961" w:rsidP="00A80961">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The NaCl rejection for the 3.5 </w:t>
      </w:r>
      <w:r w:rsidR="00CB43B3" w:rsidRPr="00AD04DA">
        <w:rPr>
          <w:rFonts w:ascii="Times New Roman" w:hAnsi="Times New Roman" w:cs="Times New Roman"/>
          <w:sz w:val="24"/>
          <w:szCs w:val="24"/>
        </w:rPr>
        <w:t>w/w%</w:t>
      </w:r>
      <w:r w:rsidRPr="00AD04DA">
        <w:rPr>
          <w:rFonts w:ascii="Times New Roman" w:hAnsi="Times New Roman" w:cs="Times New Roman"/>
          <w:sz w:val="24"/>
          <w:szCs w:val="24"/>
        </w:rPr>
        <w:t xml:space="preserve">, 1.0 M, and 4.0 M NaCl feed </w:t>
      </w:r>
      <w:r w:rsidR="00A106A2" w:rsidRPr="00AD04DA">
        <w:rPr>
          <w:rFonts w:ascii="Times New Roman" w:hAnsi="Times New Roman" w:cs="Times New Roman"/>
          <w:sz w:val="24"/>
          <w:szCs w:val="24"/>
        </w:rPr>
        <w:t xml:space="preserve">after TSSE with DA was 98.54 ± 0.54, 98.34 ± 1.04, and 98.96 ± 0.37%, respectively. </w:t>
      </w:r>
      <w:r w:rsidR="00336DF6" w:rsidRPr="00AD04DA">
        <w:rPr>
          <w:rFonts w:ascii="Times New Roman" w:hAnsi="Times New Roman" w:cs="Times New Roman"/>
          <w:sz w:val="24"/>
          <w:szCs w:val="24"/>
        </w:rPr>
        <w:t xml:space="preserve">The NaCl rejection for these feeds after DPA extraction was 81.38 ± 4.07, 85.66 ± 2.53, and 93.75 ± 3.93%, respectively. </w:t>
      </w:r>
    </w:p>
    <w:p w14:paraId="29051C1F" w14:textId="4E282A67" w:rsidR="006E7FA1" w:rsidRPr="00AD04DA" w:rsidRDefault="006E7FA1" w:rsidP="00A80961">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8D3F60" w:rsidRPr="00AD04DA">
        <w:rPr>
          <w:rFonts w:ascii="Times New Roman" w:hAnsi="Times New Roman" w:cs="Times New Roman"/>
          <w:sz w:val="24"/>
          <w:szCs w:val="24"/>
        </w:rPr>
        <w:t>In TSSE with DA, the solute rejection remain</w:t>
      </w:r>
      <w:r w:rsidR="004551F1" w:rsidRPr="00AD04DA">
        <w:rPr>
          <w:rFonts w:ascii="Times New Roman" w:hAnsi="Times New Roman" w:cs="Times New Roman"/>
          <w:sz w:val="24"/>
          <w:szCs w:val="24"/>
        </w:rPr>
        <w:t>ed</w:t>
      </w:r>
      <w:r w:rsidR="008D3F60" w:rsidRPr="00AD04DA">
        <w:rPr>
          <w:rFonts w:ascii="Times New Roman" w:hAnsi="Times New Roman" w:cs="Times New Roman"/>
          <w:sz w:val="24"/>
          <w:szCs w:val="24"/>
        </w:rPr>
        <w:t xml:space="preserve"> </w:t>
      </w:r>
      <w:r w:rsidR="009778F5" w:rsidRPr="00AD04DA">
        <w:rPr>
          <w:rFonts w:ascii="Times New Roman" w:hAnsi="Times New Roman" w:cs="Times New Roman"/>
          <w:sz w:val="24"/>
          <w:szCs w:val="24"/>
        </w:rPr>
        <w:t>consistent</w:t>
      </w:r>
      <w:r w:rsidR="008D3F60" w:rsidRPr="00AD04DA">
        <w:rPr>
          <w:rFonts w:ascii="Times New Roman" w:hAnsi="Times New Roman" w:cs="Times New Roman"/>
          <w:sz w:val="24"/>
          <w:szCs w:val="24"/>
        </w:rPr>
        <w:t xml:space="preserve"> regardless of the feed concentration. This agrees with the findings by </w:t>
      </w:r>
      <w:proofErr w:type="spellStart"/>
      <w:r w:rsidR="008D3F60" w:rsidRPr="00AD04DA">
        <w:rPr>
          <w:rFonts w:ascii="Times New Roman" w:hAnsi="Times New Roman" w:cs="Times New Roman"/>
          <w:sz w:val="24"/>
          <w:szCs w:val="24"/>
        </w:rPr>
        <w:t>Rish</w:t>
      </w:r>
      <w:proofErr w:type="spellEnd"/>
      <w:r w:rsidR="008D3F60" w:rsidRPr="00AD04DA">
        <w:rPr>
          <w:rFonts w:ascii="Times New Roman" w:hAnsi="Times New Roman" w:cs="Times New Roman"/>
          <w:sz w:val="24"/>
          <w:szCs w:val="24"/>
        </w:rPr>
        <w:t xml:space="preserve"> </w:t>
      </w:r>
      <w:r w:rsidR="008D3F60" w:rsidRPr="00AD04DA">
        <w:rPr>
          <w:rFonts w:ascii="Times New Roman" w:hAnsi="Times New Roman" w:cs="Times New Roman"/>
          <w:i/>
          <w:iCs/>
          <w:sz w:val="24"/>
          <w:szCs w:val="24"/>
        </w:rPr>
        <w:t>et al</w:t>
      </w:r>
      <w:r w:rsidR="008D3F60" w:rsidRPr="00AD04DA">
        <w:rPr>
          <w:rFonts w:ascii="Times New Roman" w:hAnsi="Times New Roman" w:cs="Times New Roman"/>
          <w:sz w:val="24"/>
          <w:szCs w:val="24"/>
        </w:rPr>
        <w:t>, who found that DA solute rejection was relatively constant</w:t>
      </w:r>
      <w:r w:rsidR="00573E2F" w:rsidRPr="00AD04DA">
        <w:rPr>
          <w:rFonts w:ascii="Times New Roman" w:hAnsi="Times New Roman" w:cs="Times New Roman"/>
          <w:sz w:val="24"/>
          <w:szCs w:val="24"/>
        </w:rPr>
        <w:t xml:space="preserve"> at ~98%</w:t>
      </w:r>
      <w:r w:rsidR="008D3F60" w:rsidRPr="00AD04DA">
        <w:rPr>
          <w:rFonts w:ascii="Times New Roman" w:hAnsi="Times New Roman" w:cs="Times New Roman"/>
          <w:sz w:val="24"/>
          <w:szCs w:val="24"/>
        </w:rPr>
        <w:t xml:space="preserve"> over a span of ions including Na</w:t>
      </w:r>
      <w:r w:rsidR="008D3F60" w:rsidRPr="00AD04DA">
        <w:rPr>
          <w:rFonts w:ascii="Times New Roman" w:hAnsi="Times New Roman" w:cs="Times New Roman"/>
          <w:sz w:val="24"/>
          <w:szCs w:val="24"/>
          <w:vertAlign w:val="superscript"/>
        </w:rPr>
        <w:t>+</w:t>
      </w:r>
      <w:r w:rsidR="008D3F60" w:rsidRPr="00AD04DA">
        <w:rPr>
          <w:rFonts w:ascii="Times New Roman" w:hAnsi="Times New Roman" w:cs="Times New Roman"/>
          <w:sz w:val="24"/>
          <w:szCs w:val="24"/>
        </w:rPr>
        <w:t>, Mg</w:t>
      </w:r>
      <w:r w:rsidR="008D3F60" w:rsidRPr="00AD04DA">
        <w:rPr>
          <w:rFonts w:ascii="Times New Roman" w:hAnsi="Times New Roman" w:cs="Times New Roman"/>
          <w:sz w:val="24"/>
          <w:szCs w:val="24"/>
          <w:vertAlign w:val="superscript"/>
        </w:rPr>
        <w:t>2+</w:t>
      </w:r>
      <w:r w:rsidR="008D3F60" w:rsidRPr="00AD04DA">
        <w:rPr>
          <w:rFonts w:ascii="Times New Roman" w:hAnsi="Times New Roman" w:cs="Times New Roman"/>
          <w:sz w:val="24"/>
          <w:szCs w:val="24"/>
        </w:rPr>
        <w:t>, Ca</w:t>
      </w:r>
      <w:r w:rsidR="008D3F60" w:rsidRPr="00AD04DA">
        <w:rPr>
          <w:rFonts w:ascii="Times New Roman" w:hAnsi="Times New Roman" w:cs="Times New Roman"/>
          <w:sz w:val="24"/>
          <w:szCs w:val="24"/>
          <w:vertAlign w:val="superscript"/>
        </w:rPr>
        <w:t>2+</w:t>
      </w:r>
      <w:r w:rsidR="008D3F60" w:rsidRPr="00AD04DA">
        <w:rPr>
          <w:rFonts w:ascii="Times New Roman" w:hAnsi="Times New Roman" w:cs="Times New Roman"/>
          <w:sz w:val="24"/>
          <w:szCs w:val="24"/>
        </w:rPr>
        <w:t>, Cl</w:t>
      </w:r>
      <w:r w:rsidR="008D3F60" w:rsidRPr="00AD04DA">
        <w:rPr>
          <w:rFonts w:ascii="Times New Roman" w:hAnsi="Times New Roman" w:cs="Times New Roman"/>
          <w:sz w:val="24"/>
          <w:szCs w:val="24"/>
          <w:vertAlign w:val="superscript"/>
        </w:rPr>
        <w:t>-</w:t>
      </w:r>
      <w:r w:rsidR="008D3F60" w:rsidRPr="00AD04DA">
        <w:rPr>
          <w:rFonts w:ascii="Times New Roman" w:hAnsi="Times New Roman" w:cs="Times New Roman"/>
          <w:sz w:val="24"/>
          <w:szCs w:val="24"/>
        </w:rPr>
        <w:t>, and SO</w:t>
      </w:r>
      <w:r w:rsidR="008D3F60" w:rsidRPr="00AD04DA">
        <w:rPr>
          <w:rFonts w:ascii="Times New Roman" w:hAnsi="Times New Roman" w:cs="Times New Roman"/>
          <w:sz w:val="24"/>
          <w:szCs w:val="24"/>
          <w:vertAlign w:val="subscript"/>
        </w:rPr>
        <w:t>4</w:t>
      </w:r>
      <w:r w:rsidR="008D3F60" w:rsidRPr="00AD04DA">
        <w:rPr>
          <w:rFonts w:ascii="Times New Roman" w:hAnsi="Times New Roman" w:cs="Times New Roman"/>
          <w:sz w:val="24"/>
          <w:szCs w:val="24"/>
          <w:vertAlign w:val="superscript"/>
        </w:rPr>
        <w:t>2-</w:t>
      </w:r>
      <w:r w:rsidR="008D3F60" w:rsidRPr="00AD04DA">
        <w:rPr>
          <w:rFonts w:ascii="Times New Roman" w:hAnsi="Times New Roman" w:cs="Times New Roman"/>
          <w:sz w:val="24"/>
          <w:szCs w:val="24"/>
        </w:rPr>
        <w:t xml:space="preserve"> for feed solute concentrations ranging from 1 to 10.5 </w:t>
      </w:r>
      <w:proofErr w:type="spellStart"/>
      <w:r w:rsidR="008D3F60" w:rsidRPr="00AD04DA">
        <w:rPr>
          <w:rFonts w:ascii="Times New Roman" w:hAnsi="Times New Roman" w:cs="Times New Roman"/>
          <w:sz w:val="24"/>
          <w:szCs w:val="24"/>
        </w:rPr>
        <w:t>wt</w:t>
      </w:r>
      <w:proofErr w:type="spellEnd"/>
      <w:r w:rsidR="008D3F60" w:rsidRPr="00AD04DA">
        <w:rPr>
          <w:rFonts w:ascii="Times New Roman" w:hAnsi="Times New Roman" w:cs="Times New Roman"/>
          <w:sz w:val="24"/>
          <w:szCs w:val="24"/>
        </w:rPr>
        <w:t xml:space="preserve"> %</w:t>
      </w:r>
      <w:r w:rsidR="006021EC"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{"citationID":"muAq34Ns","properties":{"formattedCitation":"\\super 77\\nosupersub{}","plainCitation":"77","noteIndex":0},"citationItems":[{"id":254,"uris":["http://zotero.org/users/8284751/items/4RBKW9A8"],"itemData":{"id":254,"type":"article-journal","container-title":"Applied Physics Letters","DOI":"10.1063/1.4861835","ISSN":"0003-6951, 1077-3118","issue":"2","journalAbbreviation":"Appl. Phys. Lett.","language":"en","page":"024102","source":"DOI.org (Crossref)","title":"Exceptional ion rejection ability of directional solvent for non-membrane desalination","volume":"104","author":[{"family":"Rish","given":"Daniel"},{"family":"Luo","given":"Shirui"},{"family":"Kurtz","given":"Brien"},{"family":"Luo","given":"Tengfei"}],"issued":{"date-parts":[["2014",1,13]]}}}],"schema":"https://github.com/citation-style-language/schema/raw/master/csl-citation.json"} </w:instrText>
      </w:r>
      <w:r w:rsidR="006021EC"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77</w:t>
      </w:r>
      <w:r w:rsidR="006021EC" w:rsidRPr="00AD04DA">
        <w:rPr>
          <w:rFonts w:ascii="Times New Roman" w:hAnsi="Times New Roman" w:cs="Times New Roman"/>
          <w:sz w:val="24"/>
          <w:szCs w:val="24"/>
        </w:rPr>
        <w:fldChar w:fldCharType="end"/>
      </w:r>
      <w:r w:rsidR="008D3F60" w:rsidRPr="00AD04DA">
        <w:rPr>
          <w:rFonts w:ascii="Times New Roman" w:hAnsi="Times New Roman" w:cs="Times New Roman"/>
          <w:sz w:val="24"/>
          <w:szCs w:val="24"/>
        </w:rPr>
        <w:t xml:space="preserve">. </w:t>
      </w:r>
      <w:r w:rsidR="00573E2F" w:rsidRPr="00AD04DA">
        <w:rPr>
          <w:rFonts w:ascii="Times New Roman" w:hAnsi="Times New Roman" w:cs="Times New Roman"/>
          <w:sz w:val="24"/>
          <w:szCs w:val="24"/>
        </w:rPr>
        <w:t xml:space="preserve">In TSSE trials with DPA, the solute rejection depended on the feed concentration. As the feed concentration increased, the rejection increased. This agrees with the findings by Boo </w:t>
      </w:r>
      <w:r w:rsidR="00573E2F" w:rsidRPr="00AD04DA">
        <w:rPr>
          <w:rFonts w:ascii="Times New Roman" w:hAnsi="Times New Roman" w:cs="Times New Roman"/>
          <w:i/>
          <w:iCs/>
          <w:sz w:val="24"/>
          <w:szCs w:val="24"/>
        </w:rPr>
        <w:t>et al</w:t>
      </w:r>
      <w:r w:rsidR="00573E2F" w:rsidRPr="00AD04DA">
        <w:rPr>
          <w:rFonts w:ascii="Times New Roman" w:hAnsi="Times New Roman" w:cs="Times New Roman"/>
          <w:sz w:val="24"/>
          <w:szCs w:val="24"/>
        </w:rPr>
        <w:t>, who found that the salt removal improved from 86.4% to 95% as the feed concentration increased from 1.0 M to 4.0 M.</w:t>
      </w:r>
    </w:p>
    <w:p w14:paraId="77F53421" w14:textId="25A8670A" w:rsidR="00A2507D" w:rsidRPr="00AD04DA" w:rsidRDefault="00A2507D" w:rsidP="00A80961">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lastRenderedPageBreak/>
        <w:tab/>
      </w:r>
      <w:r w:rsidR="0050261C" w:rsidRPr="00AD04DA">
        <w:rPr>
          <w:rFonts w:ascii="Times New Roman" w:hAnsi="Times New Roman" w:cs="Times New Roman"/>
          <w:sz w:val="24"/>
          <w:szCs w:val="24"/>
        </w:rPr>
        <w:t xml:space="preserve">These results </w:t>
      </w:r>
      <w:r w:rsidR="00CB1046" w:rsidRPr="00AD04DA">
        <w:rPr>
          <w:rFonts w:ascii="Times New Roman" w:hAnsi="Times New Roman" w:cs="Times New Roman"/>
          <w:sz w:val="24"/>
          <w:szCs w:val="24"/>
        </w:rPr>
        <w:t>show</w:t>
      </w:r>
      <w:r w:rsidR="0050261C" w:rsidRPr="00AD04DA">
        <w:rPr>
          <w:rFonts w:ascii="Times New Roman" w:hAnsi="Times New Roman" w:cs="Times New Roman"/>
          <w:sz w:val="24"/>
          <w:szCs w:val="24"/>
        </w:rPr>
        <w:t xml:space="preserve"> that</w:t>
      </w:r>
      <w:r w:rsidR="00CB1046" w:rsidRPr="00AD04DA">
        <w:rPr>
          <w:rFonts w:ascii="Times New Roman" w:hAnsi="Times New Roman" w:cs="Times New Roman"/>
          <w:sz w:val="24"/>
          <w:szCs w:val="24"/>
        </w:rPr>
        <w:t xml:space="preserve"> the solute rejection of</w:t>
      </w:r>
      <w:r w:rsidR="0050261C" w:rsidRPr="00AD04DA">
        <w:rPr>
          <w:rFonts w:ascii="Times New Roman" w:hAnsi="Times New Roman" w:cs="Times New Roman"/>
          <w:sz w:val="24"/>
          <w:szCs w:val="24"/>
        </w:rPr>
        <w:t xml:space="preserve"> DA </w:t>
      </w:r>
      <w:r w:rsidR="00CB1046" w:rsidRPr="00AD04DA">
        <w:rPr>
          <w:rFonts w:ascii="Times New Roman" w:hAnsi="Times New Roman" w:cs="Times New Roman"/>
          <w:sz w:val="24"/>
          <w:szCs w:val="24"/>
        </w:rPr>
        <w:t>extraction remains constant</w:t>
      </w:r>
      <w:r w:rsidR="007043DB" w:rsidRPr="00AD04DA">
        <w:rPr>
          <w:rFonts w:ascii="Times New Roman" w:hAnsi="Times New Roman" w:cs="Times New Roman"/>
          <w:sz w:val="24"/>
          <w:szCs w:val="24"/>
        </w:rPr>
        <w:t xml:space="preserve"> for desalination of feeds spanning from highly saline brines to </w:t>
      </w:r>
      <w:r w:rsidR="00A15C2D" w:rsidRPr="00AD04DA">
        <w:rPr>
          <w:rFonts w:ascii="Times New Roman" w:hAnsi="Times New Roman" w:cs="Times New Roman"/>
          <w:sz w:val="24"/>
          <w:szCs w:val="24"/>
        </w:rPr>
        <w:t>the lower</w:t>
      </w:r>
      <w:r w:rsidR="007043DB" w:rsidRPr="00AD04DA">
        <w:rPr>
          <w:rFonts w:ascii="Times New Roman" w:hAnsi="Times New Roman" w:cs="Times New Roman"/>
          <w:sz w:val="24"/>
          <w:szCs w:val="24"/>
        </w:rPr>
        <w:t xml:space="preserve"> ion concentrations of seawater.</w:t>
      </w:r>
      <w:r w:rsidR="00CB1046" w:rsidRPr="00AD04DA">
        <w:rPr>
          <w:rFonts w:ascii="Times New Roman" w:hAnsi="Times New Roman" w:cs="Times New Roman"/>
          <w:sz w:val="24"/>
          <w:szCs w:val="24"/>
        </w:rPr>
        <w:t xml:space="preserve"> If this trend holds, then similar rejection rates are expected at the relatively dilute 500 ppm </w:t>
      </w:r>
      <w:r w:rsidR="00D8189B" w:rsidRPr="00AD04DA">
        <w:rPr>
          <w:rFonts w:ascii="Times New Roman" w:hAnsi="Times New Roman" w:cs="Times New Roman"/>
          <w:sz w:val="24"/>
          <w:szCs w:val="24"/>
        </w:rPr>
        <w:t xml:space="preserve">selenate and selenite </w:t>
      </w:r>
      <w:r w:rsidR="00CB1046" w:rsidRPr="00AD04DA">
        <w:rPr>
          <w:rFonts w:ascii="Times New Roman" w:hAnsi="Times New Roman" w:cs="Times New Roman"/>
          <w:sz w:val="24"/>
          <w:szCs w:val="24"/>
        </w:rPr>
        <w:t>feeds.</w:t>
      </w:r>
      <w:r w:rsidR="007043DB" w:rsidRPr="00AD04DA">
        <w:rPr>
          <w:rFonts w:ascii="Times New Roman" w:hAnsi="Times New Roman" w:cs="Times New Roman"/>
          <w:sz w:val="24"/>
          <w:szCs w:val="24"/>
        </w:rPr>
        <w:t xml:space="preserve"> </w:t>
      </w:r>
      <w:r w:rsidR="00180975" w:rsidRPr="00AD04DA">
        <w:rPr>
          <w:rFonts w:ascii="Times New Roman" w:hAnsi="Times New Roman" w:cs="Times New Roman"/>
          <w:sz w:val="24"/>
          <w:szCs w:val="24"/>
        </w:rPr>
        <w:t>The constant rejection rate</w:t>
      </w:r>
      <w:r w:rsidR="00FE47B2" w:rsidRPr="00AD04DA">
        <w:rPr>
          <w:rFonts w:ascii="Times New Roman" w:hAnsi="Times New Roman" w:cs="Times New Roman"/>
          <w:sz w:val="24"/>
          <w:szCs w:val="24"/>
        </w:rPr>
        <w:t xml:space="preserve"> </w:t>
      </w:r>
      <w:r w:rsidR="00A70F06" w:rsidRPr="00AD04DA">
        <w:rPr>
          <w:rFonts w:ascii="Times New Roman" w:hAnsi="Times New Roman" w:cs="Times New Roman"/>
          <w:sz w:val="24"/>
          <w:szCs w:val="24"/>
        </w:rPr>
        <w:t xml:space="preserve">is advantageous. First, it suggests that TSSE with DA may be capable of treating even dilute feed solutes, such as trace elements in FGD wastewater. Second, it simplifies scale-up designs of TSSE processes. The product water quality is predictable regardless of the initial concentration, </w:t>
      </w:r>
      <w:r w:rsidR="0005175D" w:rsidRPr="00AD04DA">
        <w:rPr>
          <w:rFonts w:ascii="Times New Roman" w:hAnsi="Times New Roman" w:cs="Times New Roman"/>
          <w:sz w:val="24"/>
          <w:szCs w:val="24"/>
        </w:rPr>
        <w:t>so the number of extractions necessary to meet the desired effluent concentration is predictable.</w:t>
      </w:r>
    </w:p>
    <w:p w14:paraId="33E0F590" w14:textId="5EF48438" w:rsidR="006E7FA1" w:rsidRPr="00AD04DA" w:rsidRDefault="008A68A0" w:rsidP="00275CA0">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The results for DPA </w:t>
      </w:r>
      <w:r w:rsidR="00581DA4" w:rsidRPr="00AD04DA">
        <w:rPr>
          <w:rFonts w:ascii="Times New Roman" w:hAnsi="Times New Roman" w:cs="Times New Roman"/>
          <w:sz w:val="24"/>
          <w:szCs w:val="24"/>
        </w:rPr>
        <w:t>show that rejection depends on the feed concentration</w:t>
      </w:r>
      <w:r w:rsidR="00465F80" w:rsidRPr="00AD04DA">
        <w:rPr>
          <w:rFonts w:ascii="Times New Roman" w:hAnsi="Times New Roman" w:cs="Times New Roman"/>
          <w:sz w:val="24"/>
          <w:szCs w:val="24"/>
        </w:rPr>
        <w:t>.</w:t>
      </w:r>
      <w:r w:rsidR="00581DA4" w:rsidRPr="00AD04DA">
        <w:rPr>
          <w:rFonts w:ascii="Times New Roman" w:hAnsi="Times New Roman" w:cs="Times New Roman"/>
          <w:sz w:val="24"/>
          <w:szCs w:val="24"/>
        </w:rPr>
        <w:t xml:space="preserve"> DPA extraction achieves high rejections at 4.0 M NaCl feeds but shows diminishing rejection with decreasing feed concentrations.</w:t>
      </w:r>
      <w:r w:rsidR="00465F80" w:rsidRPr="00AD04DA">
        <w:rPr>
          <w:rFonts w:ascii="Times New Roman" w:hAnsi="Times New Roman" w:cs="Times New Roman"/>
          <w:sz w:val="24"/>
          <w:szCs w:val="24"/>
        </w:rPr>
        <w:t xml:space="preserve"> Achieving very low solute concentrations in the effluent will require several extractions, and each will become less effective as the </w:t>
      </w:r>
      <w:r w:rsidR="0016209F" w:rsidRPr="00AD04DA">
        <w:rPr>
          <w:rFonts w:ascii="Times New Roman" w:hAnsi="Times New Roman" w:cs="Times New Roman"/>
          <w:sz w:val="24"/>
          <w:szCs w:val="24"/>
        </w:rPr>
        <w:t>solute concentration decreases. Additionally, t</w:t>
      </w:r>
      <w:r w:rsidR="00882D14" w:rsidRPr="00AD04DA">
        <w:rPr>
          <w:rFonts w:ascii="Times New Roman" w:hAnsi="Times New Roman" w:cs="Times New Roman"/>
          <w:sz w:val="24"/>
          <w:szCs w:val="24"/>
        </w:rPr>
        <w:t xml:space="preserve">his trend </w:t>
      </w:r>
      <w:r w:rsidR="00275CA0" w:rsidRPr="00AD04DA">
        <w:rPr>
          <w:rFonts w:ascii="Times New Roman" w:hAnsi="Times New Roman" w:cs="Times New Roman"/>
          <w:sz w:val="24"/>
          <w:szCs w:val="24"/>
        </w:rPr>
        <w:t>suggests that there might exist a lower bound of solute concentration, b</w:t>
      </w:r>
      <w:r w:rsidR="00835E18" w:rsidRPr="00AD04DA">
        <w:rPr>
          <w:rFonts w:ascii="Times New Roman" w:hAnsi="Times New Roman" w:cs="Times New Roman"/>
          <w:sz w:val="24"/>
          <w:szCs w:val="24"/>
        </w:rPr>
        <w:t>e</w:t>
      </w:r>
      <w:r w:rsidR="00275CA0" w:rsidRPr="00AD04DA">
        <w:rPr>
          <w:rFonts w:ascii="Times New Roman" w:hAnsi="Times New Roman" w:cs="Times New Roman"/>
          <w:sz w:val="24"/>
          <w:szCs w:val="24"/>
        </w:rPr>
        <w:t>low which most selectivity is lost and TSSE with DPA is not a suitable treatment for the feed.</w:t>
      </w:r>
      <w:r w:rsidR="00581DA4" w:rsidRPr="00AD04DA">
        <w:rPr>
          <w:rFonts w:ascii="Times New Roman" w:hAnsi="Times New Roman" w:cs="Times New Roman"/>
          <w:sz w:val="24"/>
          <w:szCs w:val="24"/>
        </w:rPr>
        <w:t xml:space="preserve"> Therefore, the selectivity against 500 ppm selenate and selenite feeds is expected to be lower than what was observed for 3.5 w/w% NaCl.</w:t>
      </w:r>
    </w:p>
    <w:p w14:paraId="60F0DD68" w14:textId="1C6A0E1C" w:rsidR="00AB23FC" w:rsidRPr="004A29E9" w:rsidRDefault="002B16D5" w:rsidP="00A51F53">
      <w:pPr>
        <w:pStyle w:val="Heading2"/>
        <w:spacing w:before="0" w:line="480" w:lineRule="auto"/>
        <w:ind w:firstLine="720"/>
        <w:rPr>
          <w:rFonts w:ascii="Times New Roman" w:hAnsi="Times New Roman" w:cs="Times New Roman"/>
          <w:color w:val="000000" w:themeColor="text1"/>
          <w:sz w:val="28"/>
          <w:szCs w:val="28"/>
        </w:rPr>
      </w:pPr>
      <w:bookmarkStart w:id="20" w:name="_Toc100753471"/>
      <w:r w:rsidRPr="004A29E9">
        <w:rPr>
          <w:rFonts w:ascii="Times New Roman" w:hAnsi="Times New Roman" w:cs="Times New Roman"/>
          <w:color w:val="000000" w:themeColor="text1"/>
          <w:sz w:val="28"/>
          <w:szCs w:val="28"/>
        </w:rPr>
        <w:t>3</w:t>
      </w:r>
      <w:r w:rsidR="00057C71" w:rsidRPr="004A29E9">
        <w:rPr>
          <w:rFonts w:ascii="Times New Roman" w:hAnsi="Times New Roman" w:cs="Times New Roman"/>
          <w:color w:val="000000" w:themeColor="text1"/>
          <w:sz w:val="28"/>
          <w:szCs w:val="28"/>
        </w:rPr>
        <w:t>.</w:t>
      </w:r>
      <w:r w:rsidR="003A6949" w:rsidRPr="004A29E9">
        <w:rPr>
          <w:rFonts w:ascii="Times New Roman" w:hAnsi="Times New Roman" w:cs="Times New Roman"/>
          <w:color w:val="000000" w:themeColor="text1"/>
          <w:sz w:val="28"/>
          <w:szCs w:val="28"/>
        </w:rPr>
        <w:t>4</w:t>
      </w:r>
      <w:r w:rsidR="00057C71" w:rsidRPr="004A29E9">
        <w:rPr>
          <w:rFonts w:ascii="Times New Roman" w:hAnsi="Times New Roman" w:cs="Times New Roman"/>
          <w:color w:val="000000" w:themeColor="text1"/>
          <w:sz w:val="28"/>
          <w:szCs w:val="28"/>
        </w:rPr>
        <w:t xml:space="preserve"> </w:t>
      </w:r>
      <w:r w:rsidR="00A51F53" w:rsidRPr="004A29E9">
        <w:rPr>
          <w:rFonts w:ascii="Times New Roman" w:hAnsi="Times New Roman" w:cs="Times New Roman"/>
          <w:color w:val="000000" w:themeColor="text1"/>
          <w:sz w:val="28"/>
          <w:szCs w:val="28"/>
        </w:rPr>
        <w:t>Selenium</w:t>
      </w:r>
      <w:r w:rsidR="0023023D" w:rsidRPr="004A29E9">
        <w:rPr>
          <w:rFonts w:ascii="Times New Roman" w:hAnsi="Times New Roman" w:cs="Times New Roman"/>
          <w:color w:val="000000" w:themeColor="text1"/>
          <w:sz w:val="28"/>
          <w:szCs w:val="28"/>
        </w:rPr>
        <w:t xml:space="preserve"> Rejection</w:t>
      </w:r>
      <w:bookmarkEnd w:id="20"/>
    </w:p>
    <w:p w14:paraId="5741BD23" w14:textId="2A11B579" w:rsidR="00654BAD" w:rsidRPr="00AD04DA" w:rsidRDefault="002A60AC" w:rsidP="002A60AC">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Three extraction cycles for feeds of 500 ppm</w:t>
      </w:r>
      <w:r w:rsidR="00E04174" w:rsidRPr="00AD04DA">
        <w:rPr>
          <w:rFonts w:ascii="Times New Roman" w:hAnsi="Times New Roman" w:cs="Times New Roman"/>
          <w:sz w:val="24"/>
          <w:szCs w:val="24"/>
        </w:rPr>
        <w:t xml:space="preserve"> as</w:t>
      </w:r>
      <w:r w:rsidRPr="00AD04DA">
        <w:rPr>
          <w:rFonts w:ascii="Times New Roman" w:hAnsi="Times New Roman" w:cs="Times New Roman"/>
          <w:sz w:val="24"/>
          <w:szCs w:val="24"/>
        </w:rPr>
        <w:t xml:space="preserve"> SeO</w:t>
      </w:r>
      <w:r w:rsidRPr="00AD04DA">
        <w:rPr>
          <w:rFonts w:ascii="Times New Roman" w:hAnsi="Times New Roman" w:cs="Times New Roman"/>
          <w:sz w:val="24"/>
          <w:szCs w:val="24"/>
          <w:vertAlign w:val="subscript"/>
        </w:rPr>
        <w:t>4</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xml:space="preserve"> and SeO</w:t>
      </w:r>
      <w:r w:rsidRPr="00AD04DA">
        <w:rPr>
          <w:rFonts w:ascii="Times New Roman" w:hAnsi="Times New Roman" w:cs="Times New Roman"/>
          <w:sz w:val="24"/>
          <w:szCs w:val="24"/>
          <w:vertAlign w:val="subscript"/>
        </w:rPr>
        <w:t>3</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xml:space="preserve"> were performed with each solvent. Figure 1</w:t>
      </w:r>
      <w:r w:rsidR="00C746A7" w:rsidRPr="00AD04DA">
        <w:rPr>
          <w:rFonts w:ascii="Times New Roman" w:hAnsi="Times New Roman" w:cs="Times New Roman"/>
          <w:sz w:val="24"/>
          <w:szCs w:val="24"/>
        </w:rPr>
        <w:t>2</w:t>
      </w:r>
      <w:r w:rsidRPr="00AD04DA">
        <w:rPr>
          <w:rFonts w:ascii="Times New Roman" w:hAnsi="Times New Roman" w:cs="Times New Roman"/>
          <w:sz w:val="24"/>
          <w:szCs w:val="24"/>
        </w:rPr>
        <w:t xml:space="preserve"> shows feed and product selenate content by cycle for extractions with DA</w:t>
      </w:r>
      <w:r w:rsidR="00AB75EA" w:rsidRPr="00AD04DA">
        <w:rPr>
          <w:rFonts w:ascii="Times New Roman" w:hAnsi="Times New Roman" w:cs="Times New Roman"/>
          <w:sz w:val="24"/>
          <w:szCs w:val="24"/>
        </w:rPr>
        <w:t xml:space="preserve"> and DPA</w:t>
      </w:r>
      <w:r w:rsidRPr="00AD04DA">
        <w:rPr>
          <w:rFonts w:ascii="Times New Roman" w:hAnsi="Times New Roman" w:cs="Times New Roman"/>
          <w:sz w:val="24"/>
          <w:szCs w:val="24"/>
        </w:rPr>
        <w:t>.</w:t>
      </w:r>
    </w:p>
    <w:p w14:paraId="046BB468" w14:textId="1BD11FE3" w:rsidR="008D28D0" w:rsidRPr="00AD04DA" w:rsidRDefault="008D28D0" w:rsidP="008D28D0">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40C103A2" wp14:editId="7CAE2144">
            <wp:extent cx="5950098" cy="3570059"/>
            <wp:effectExtent l="0" t="0" r="0" b="0"/>
            <wp:docPr id="32" name="Chart 32">
              <a:extLst xmlns:a="http://schemas.openxmlformats.org/drawingml/2006/main">
                <a:ext uri="{FF2B5EF4-FFF2-40B4-BE49-F238E27FC236}">
                  <a16:creationId xmlns:a16="http://schemas.microsoft.com/office/drawing/2014/main" id="{A512FF50-A571-41AB-9828-FDFE734EDC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7AB819D" w14:textId="0A36CE40" w:rsidR="00326FB6" w:rsidRPr="00AD04DA" w:rsidRDefault="00326FB6" w:rsidP="00326FB6">
      <w:pPr>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BF2F80" w:rsidRPr="00AD04DA">
        <w:rPr>
          <w:rFonts w:ascii="Times New Roman" w:hAnsi="Times New Roman" w:cs="Times New Roman"/>
          <w:b/>
          <w:bCs/>
          <w:sz w:val="24"/>
          <w:szCs w:val="24"/>
        </w:rPr>
        <w:t>12</w:t>
      </w:r>
      <w:r w:rsidRPr="00AD04DA">
        <w:rPr>
          <w:rFonts w:ascii="Times New Roman" w:hAnsi="Times New Roman" w:cs="Times New Roman"/>
          <w:b/>
          <w:bCs/>
          <w:sz w:val="24"/>
          <w:szCs w:val="24"/>
        </w:rPr>
        <w:t xml:space="preserve">: </w:t>
      </w:r>
      <w:r w:rsidRPr="00AD04DA">
        <w:rPr>
          <w:rFonts w:ascii="Times New Roman" w:hAnsi="Times New Roman" w:cs="Times New Roman"/>
          <w:sz w:val="24"/>
          <w:szCs w:val="24"/>
        </w:rPr>
        <w:t>Feed and product water selenate concentration for three cycles of  TSSE with 500 ppm SeO</w:t>
      </w:r>
      <w:r w:rsidRPr="00AD04DA">
        <w:rPr>
          <w:rFonts w:ascii="Times New Roman" w:hAnsi="Times New Roman" w:cs="Times New Roman"/>
          <w:sz w:val="24"/>
          <w:szCs w:val="24"/>
          <w:vertAlign w:val="subscript"/>
        </w:rPr>
        <w:t>4</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xml:space="preserve"> feed and DPA solvent.</w:t>
      </w:r>
    </w:p>
    <w:p w14:paraId="5DA0383D" w14:textId="669A5985" w:rsidR="002A60AC" w:rsidRPr="00AD04DA" w:rsidRDefault="002A60AC" w:rsidP="002A60AC">
      <w:pPr>
        <w:jc w:val="both"/>
        <w:rPr>
          <w:rFonts w:ascii="Times New Roman" w:hAnsi="Times New Roman" w:cs="Times New Roman"/>
          <w:sz w:val="24"/>
          <w:szCs w:val="24"/>
        </w:rPr>
      </w:pPr>
    </w:p>
    <w:p w14:paraId="65BBBA6F" w14:textId="694C285C" w:rsidR="002A60AC" w:rsidRPr="00AD04DA" w:rsidRDefault="002A60AC" w:rsidP="0014036C">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14036C" w:rsidRPr="00AD04DA">
        <w:rPr>
          <w:rFonts w:ascii="Times New Roman" w:hAnsi="Times New Roman" w:cs="Times New Roman"/>
          <w:sz w:val="24"/>
          <w:szCs w:val="24"/>
        </w:rPr>
        <w:t>The selenate concentration in the product water for three sequential extractions with DA was 12.5 ± 18.2, 17.9 ± 18.8, and 0.5 ± 0.7 ppm as SeO</w:t>
      </w:r>
      <w:r w:rsidR="0014036C" w:rsidRPr="00AD04DA">
        <w:rPr>
          <w:rFonts w:ascii="Times New Roman" w:hAnsi="Times New Roman" w:cs="Times New Roman"/>
          <w:sz w:val="24"/>
          <w:szCs w:val="24"/>
          <w:vertAlign w:val="subscript"/>
        </w:rPr>
        <w:t>4</w:t>
      </w:r>
      <w:r w:rsidR="0014036C" w:rsidRPr="00AD04DA">
        <w:rPr>
          <w:rFonts w:ascii="Times New Roman" w:hAnsi="Times New Roman" w:cs="Times New Roman"/>
          <w:sz w:val="24"/>
          <w:szCs w:val="24"/>
          <w:vertAlign w:val="superscript"/>
        </w:rPr>
        <w:t>2-</w:t>
      </w:r>
      <w:r w:rsidR="0014036C" w:rsidRPr="00AD04DA">
        <w:rPr>
          <w:rFonts w:ascii="Times New Roman" w:hAnsi="Times New Roman" w:cs="Times New Roman"/>
          <w:sz w:val="24"/>
          <w:szCs w:val="24"/>
        </w:rPr>
        <w:t xml:space="preserve">, respectively. </w:t>
      </w:r>
      <w:r w:rsidR="00ED377C" w:rsidRPr="00AD04DA">
        <w:rPr>
          <w:rFonts w:ascii="Times New Roman" w:hAnsi="Times New Roman" w:cs="Times New Roman"/>
          <w:sz w:val="24"/>
          <w:szCs w:val="24"/>
        </w:rPr>
        <w:t xml:space="preserve">The selenate concentration in the product water for DPA extractions was 375 ± 20, 568 ± 83, and 625 (no standard deviation, only one successful sample) ppm, respectively. </w:t>
      </w:r>
    </w:p>
    <w:p w14:paraId="4A692998" w14:textId="1A24E4CD" w:rsidR="002A60AC" w:rsidRPr="00AD04DA" w:rsidRDefault="002A60AC" w:rsidP="002A60AC">
      <w:pPr>
        <w:spacing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Figure </w:t>
      </w:r>
      <w:r w:rsidR="00BF2F80" w:rsidRPr="00AD04DA">
        <w:rPr>
          <w:rFonts w:ascii="Times New Roman" w:hAnsi="Times New Roman" w:cs="Times New Roman"/>
          <w:sz w:val="24"/>
          <w:szCs w:val="24"/>
        </w:rPr>
        <w:t>13</w:t>
      </w:r>
      <w:r w:rsidRPr="00AD04DA">
        <w:rPr>
          <w:rFonts w:ascii="Times New Roman" w:hAnsi="Times New Roman" w:cs="Times New Roman"/>
          <w:sz w:val="24"/>
          <w:szCs w:val="24"/>
        </w:rPr>
        <w:t xml:space="preserve"> shows feed and product water selenite content by cycle for extractions with DA</w:t>
      </w:r>
      <w:r w:rsidR="00BF2F80" w:rsidRPr="00AD04DA">
        <w:rPr>
          <w:rFonts w:ascii="Times New Roman" w:hAnsi="Times New Roman" w:cs="Times New Roman"/>
          <w:sz w:val="24"/>
          <w:szCs w:val="24"/>
        </w:rPr>
        <w:t xml:space="preserve"> and DPA.</w:t>
      </w:r>
    </w:p>
    <w:p w14:paraId="6E33130D" w14:textId="35249394" w:rsidR="00BF2F80" w:rsidRPr="00AD04DA" w:rsidRDefault="00BF2F80" w:rsidP="00BF2F80">
      <w:pPr>
        <w:spacing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573E665D" wp14:editId="35E533BA">
            <wp:extent cx="5652977" cy="3391786"/>
            <wp:effectExtent l="0" t="0" r="5080" b="0"/>
            <wp:docPr id="33" name="Chart 33">
              <a:extLst xmlns:a="http://schemas.openxmlformats.org/drawingml/2006/main">
                <a:ext uri="{FF2B5EF4-FFF2-40B4-BE49-F238E27FC236}">
                  <a16:creationId xmlns:a16="http://schemas.microsoft.com/office/drawing/2014/main" id="{804C70EE-742D-47E2-826C-C9A77F01D7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28BB99B" w14:textId="3F04ADF4" w:rsidR="00326FB6" w:rsidRPr="00AD04DA" w:rsidRDefault="00326FB6" w:rsidP="00326FB6">
      <w:pPr>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BF2F80" w:rsidRPr="00AD04DA">
        <w:rPr>
          <w:rFonts w:ascii="Times New Roman" w:hAnsi="Times New Roman" w:cs="Times New Roman"/>
          <w:b/>
          <w:bCs/>
          <w:sz w:val="24"/>
          <w:szCs w:val="24"/>
        </w:rPr>
        <w:t>13</w:t>
      </w:r>
      <w:r w:rsidRPr="00AD04DA">
        <w:rPr>
          <w:rFonts w:ascii="Times New Roman" w:hAnsi="Times New Roman" w:cs="Times New Roman"/>
          <w:b/>
          <w:bCs/>
          <w:sz w:val="24"/>
          <w:szCs w:val="24"/>
        </w:rPr>
        <w:t xml:space="preserve">: </w:t>
      </w:r>
      <w:r w:rsidRPr="00AD04DA">
        <w:rPr>
          <w:rFonts w:ascii="Times New Roman" w:hAnsi="Times New Roman" w:cs="Times New Roman"/>
          <w:sz w:val="24"/>
          <w:szCs w:val="24"/>
        </w:rPr>
        <w:t>Feed and product water selenite concentration for three cycles of  TSSE with 500 ppm SeO</w:t>
      </w:r>
      <w:r w:rsidRPr="00AD04DA">
        <w:rPr>
          <w:rFonts w:ascii="Times New Roman" w:hAnsi="Times New Roman" w:cs="Times New Roman"/>
          <w:sz w:val="24"/>
          <w:szCs w:val="24"/>
          <w:vertAlign w:val="subscript"/>
        </w:rPr>
        <w:t>3</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xml:space="preserve"> feed and DPA solvent.</w:t>
      </w:r>
    </w:p>
    <w:p w14:paraId="53BF54B2" w14:textId="6E211AAF" w:rsidR="001855C7" w:rsidRPr="00AD04DA" w:rsidRDefault="001855C7" w:rsidP="00326FB6">
      <w:pPr>
        <w:jc w:val="center"/>
        <w:rPr>
          <w:rFonts w:ascii="Times New Roman" w:hAnsi="Times New Roman" w:cs="Times New Roman"/>
          <w:sz w:val="24"/>
          <w:szCs w:val="24"/>
        </w:rPr>
      </w:pPr>
    </w:p>
    <w:p w14:paraId="0709AC9B" w14:textId="577DD806" w:rsidR="001855C7" w:rsidRPr="00AD04DA" w:rsidRDefault="001855C7" w:rsidP="001855C7">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The selenite concentration in the product water for DA extractions was 2.78 ± 0.16, 9.89 ± 6.13, and 5.95 ± 2.18 ppm, respectively. The selenite concentration for DPA extracted product water was 493 ± 312, 395 ± 2, and 535 ± 286 ppm, respectively.</w:t>
      </w:r>
    </w:p>
    <w:p w14:paraId="11D5517F" w14:textId="0A1748B2" w:rsidR="00DF2EA5" w:rsidRPr="00AD04DA" w:rsidRDefault="00DF2EA5" w:rsidP="001855C7">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Figure </w:t>
      </w:r>
      <w:r w:rsidR="00023651" w:rsidRPr="00AD04DA">
        <w:rPr>
          <w:rFonts w:ascii="Times New Roman" w:hAnsi="Times New Roman" w:cs="Times New Roman"/>
          <w:sz w:val="24"/>
          <w:szCs w:val="24"/>
        </w:rPr>
        <w:t>14</w:t>
      </w:r>
      <w:r w:rsidRPr="00AD04DA">
        <w:rPr>
          <w:rFonts w:ascii="Times New Roman" w:hAnsi="Times New Roman" w:cs="Times New Roman"/>
          <w:sz w:val="24"/>
          <w:szCs w:val="24"/>
        </w:rPr>
        <w:t xml:space="preserve"> shows the solute rejection for 500 ppm SeO</w:t>
      </w:r>
      <w:r w:rsidRPr="00AD04DA">
        <w:rPr>
          <w:rFonts w:ascii="Times New Roman" w:hAnsi="Times New Roman" w:cs="Times New Roman"/>
          <w:sz w:val="24"/>
          <w:szCs w:val="24"/>
          <w:vertAlign w:val="subscript"/>
        </w:rPr>
        <w:t>4</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xml:space="preserve"> and SeO</w:t>
      </w:r>
      <w:r w:rsidRPr="00AD04DA">
        <w:rPr>
          <w:rFonts w:ascii="Times New Roman" w:hAnsi="Times New Roman" w:cs="Times New Roman"/>
          <w:sz w:val="24"/>
          <w:szCs w:val="24"/>
          <w:vertAlign w:val="subscript"/>
        </w:rPr>
        <w:t>4</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xml:space="preserve"> feeds with DA and DPA extractions.</w:t>
      </w:r>
    </w:p>
    <w:p w14:paraId="4D3E7F8D" w14:textId="71EA0A97" w:rsidR="00252B96" w:rsidRPr="00AD04DA" w:rsidRDefault="00023651" w:rsidP="00252B96">
      <w:pPr>
        <w:jc w:val="center"/>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3AA546BB" wp14:editId="1C984128">
            <wp:extent cx="5943600" cy="3279140"/>
            <wp:effectExtent l="0" t="0" r="0" b="0"/>
            <wp:docPr id="3" name="Chart 3">
              <a:extLst xmlns:a="http://schemas.openxmlformats.org/drawingml/2006/main">
                <a:ext uri="{FF2B5EF4-FFF2-40B4-BE49-F238E27FC236}">
                  <a16:creationId xmlns:a16="http://schemas.microsoft.com/office/drawing/2014/main" id="{44EA9C26-5DEB-489A-BAEC-BF400CCB6B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CDB58D" w14:textId="5A95DC01" w:rsidR="00055939" w:rsidRPr="00AD04DA" w:rsidRDefault="00055939" w:rsidP="00055939">
      <w:pPr>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855E07" w:rsidRPr="00AD04DA">
        <w:rPr>
          <w:rFonts w:ascii="Times New Roman" w:hAnsi="Times New Roman" w:cs="Times New Roman"/>
          <w:b/>
          <w:bCs/>
          <w:sz w:val="24"/>
          <w:szCs w:val="24"/>
        </w:rPr>
        <w:t>14</w:t>
      </w:r>
      <w:r w:rsidRPr="00AD04DA">
        <w:rPr>
          <w:rFonts w:ascii="Times New Roman" w:hAnsi="Times New Roman" w:cs="Times New Roman"/>
          <w:b/>
          <w:bCs/>
          <w:sz w:val="24"/>
          <w:szCs w:val="24"/>
        </w:rPr>
        <w:t xml:space="preserve">: </w:t>
      </w:r>
      <w:r w:rsidR="009366AB" w:rsidRPr="00AD04DA">
        <w:rPr>
          <w:rFonts w:ascii="Times New Roman" w:hAnsi="Times New Roman" w:cs="Times New Roman"/>
          <w:sz w:val="24"/>
          <w:szCs w:val="24"/>
        </w:rPr>
        <w:t>Average TSSE solute rejection for 500 ppm SeO</w:t>
      </w:r>
      <w:r w:rsidR="009366AB" w:rsidRPr="00AD04DA">
        <w:rPr>
          <w:rFonts w:ascii="Times New Roman" w:hAnsi="Times New Roman" w:cs="Times New Roman"/>
          <w:sz w:val="24"/>
          <w:szCs w:val="24"/>
          <w:vertAlign w:val="subscript"/>
        </w:rPr>
        <w:t>4</w:t>
      </w:r>
      <w:r w:rsidR="009366AB" w:rsidRPr="00AD04DA">
        <w:rPr>
          <w:rFonts w:ascii="Times New Roman" w:hAnsi="Times New Roman" w:cs="Times New Roman"/>
          <w:sz w:val="24"/>
          <w:szCs w:val="24"/>
          <w:vertAlign w:val="superscript"/>
        </w:rPr>
        <w:t>2-</w:t>
      </w:r>
      <w:r w:rsidR="009366AB" w:rsidRPr="00AD04DA">
        <w:rPr>
          <w:rFonts w:ascii="Times New Roman" w:hAnsi="Times New Roman" w:cs="Times New Roman"/>
          <w:sz w:val="24"/>
          <w:szCs w:val="24"/>
        </w:rPr>
        <w:t xml:space="preserve"> </w:t>
      </w:r>
      <w:r w:rsidR="00133F70" w:rsidRPr="00AD04DA">
        <w:rPr>
          <w:rFonts w:ascii="Times New Roman" w:hAnsi="Times New Roman" w:cs="Times New Roman"/>
          <w:sz w:val="24"/>
          <w:szCs w:val="24"/>
        </w:rPr>
        <w:t>and</w:t>
      </w:r>
      <w:r w:rsidR="009366AB" w:rsidRPr="00AD04DA">
        <w:rPr>
          <w:rFonts w:ascii="Times New Roman" w:hAnsi="Times New Roman" w:cs="Times New Roman"/>
          <w:sz w:val="24"/>
          <w:szCs w:val="24"/>
        </w:rPr>
        <w:t xml:space="preserve"> SeO</w:t>
      </w:r>
      <w:r w:rsidR="009366AB" w:rsidRPr="00AD04DA">
        <w:rPr>
          <w:rFonts w:ascii="Times New Roman" w:hAnsi="Times New Roman" w:cs="Times New Roman"/>
          <w:sz w:val="24"/>
          <w:szCs w:val="24"/>
          <w:vertAlign w:val="subscript"/>
        </w:rPr>
        <w:t>3</w:t>
      </w:r>
      <w:r w:rsidR="009366AB" w:rsidRPr="00AD04DA">
        <w:rPr>
          <w:rFonts w:ascii="Times New Roman" w:hAnsi="Times New Roman" w:cs="Times New Roman"/>
          <w:sz w:val="24"/>
          <w:szCs w:val="24"/>
          <w:vertAlign w:val="superscript"/>
        </w:rPr>
        <w:t>2-</w:t>
      </w:r>
      <w:r w:rsidR="009366AB" w:rsidRPr="00AD04DA">
        <w:rPr>
          <w:rFonts w:ascii="Times New Roman" w:hAnsi="Times New Roman" w:cs="Times New Roman"/>
          <w:sz w:val="24"/>
          <w:szCs w:val="24"/>
        </w:rPr>
        <w:t xml:space="preserve"> </w:t>
      </w:r>
      <w:r w:rsidR="00133F70" w:rsidRPr="00AD04DA">
        <w:rPr>
          <w:rFonts w:ascii="Times New Roman" w:hAnsi="Times New Roman" w:cs="Times New Roman"/>
          <w:sz w:val="24"/>
          <w:szCs w:val="24"/>
        </w:rPr>
        <w:t>feeds</w:t>
      </w:r>
      <w:r w:rsidR="009366AB" w:rsidRPr="00AD04DA">
        <w:rPr>
          <w:rFonts w:ascii="Times New Roman" w:hAnsi="Times New Roman" w:cs="Times New Roman"/>
          <w:sz w:val="24"/>
          <w:szCs w:val="24"/>
        </w:rPr>
        <w:t xml:space="preserve"> </w:t>
      </w:r>
      <w:r w:rsidR="00133F70" w:rsidRPr="00AD04DA">
        <w:rPr>
          <w:rFonts w:ascii="Times New Roman" w:hAnsi="Times New Roman" w:cs="Times New Roman"/>
          <w:sz w:val="24"/>
          <w:szCs w:val="24"/>
        </w:rPr>
        <w:t xml:space="preserve">with DA and DPA </w:t>
      </w:r>
      <w:r w:rsidR="007A1C83" w:rsidRPr="00AD04DA">
        <w:rPr>
          <w:rFonts w:ascii="Times New Roman" w:hAnsi="Times New Roman" w:cs="Times New Roman"/>
          <w:sz w:val="24"/>
          <w:szCs w:val="24"/>
        </w:rPr>
        <w:t>organic phases</w:t>
      </w:r>
      <w:r w:rsidR="00133F70" w:rsidRPr="00AD04DA">
        <w:rPr>
          <w:rFonts w:ascii="Times New Roman" w:hAnsi="Times New Roman" w:cs="Times New Roman"/>
          <w:sz w:val="24"/>
          <w:szCs w:val="24"/>
        </w:rPr>
        <w:t>.</w:t>
      </w:r>
    </w:p>
    <w:p w14:paraId="7B9C7ED1" w14:textId="3DBA06E5" w:rsidR="006139F5" w:rsidRPr="00AD04DA" w:rsidRDefault="006139F5" w:rsidP="00055939">
      <w:pPr>
        <w:jc w:val="center"/>
        <w:rPr>
          <w:rFonts w:ascii="Times New Roman" w:hAnsi="Times New Roman" w:cs="Times New Roman"/>
          <w:sz w:val="24"/>
          <w:szCs w:val="24"/>
        </w:rPr>
      </w:pPr>
    </w:p>
    <w:p w14:paraId="24A7597B" w14:textId="474C1D5F" w:rsidR="006139F5" w:rsidRPr="00AD04DA" w:rsidRDefault="006139F5" w:rsidP="006139F5">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The selenite rejection after DA extraction was 98.1 ± 2.9%. The selenite rejection with DA extraction was 98.8 ± 0.8%. The selenate rejection with DPA extraction was 4.14 ± 22.66%. The selenite rejection with DPA extraction was 8.18 ± 46.37%.</w:t>
      </w:r>
    </w:p>
    <w:p w14:paraId="318D619F" w14:textId="79BFA554" w:rsidR="003D5811" w:rsidRPr="00AD04DA" w:rsidRDefault="003A506A" w:rsidP="00531282">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86488B" w:rsidRPr="00AD04DA">
        <w:rPr>
          <w:rFonts w:ascii="Times New Roman" w:hAnsi="Times New Roman" w:cs="Times New Roman"/>
          <w:sz w:val="24"/>
          <w:szCs w:val="24"/>
        </w:rPr>
        <w:t xml:space="preserve">A single </w:t>
      </w:r>
      <w:r w:rsidR="00C24987" w:rsidRPr="00AD04DA">
        <w:rPr>
          <w:rFonts w:ascii="Times New Roman" w:hAnsi="Times New Roman" w:cs="Times New Roman"/>
          <w:sz w:val="24"/>
          <w:szCs w:val="24"/>
        </w:rPr>
        <w:t>extraction</w:t>
      </w:r>
      <w:r w:rsidR="0086488B" w:rsidRPr="00AD04DA">
        <w:rPr>
          <w:rFonts w:ascii="Times New Roman" w:hAnsi="Times New Roman" w:cs="Times New Roman"/>
          <w:sz w:val="24"/>
          <w:szCs w:val="24"/>
        </w:rPr>
        <w:t xml:space="preserve"> of </w:t>
      </w:r>
      <w:r w:rsidR="00E36168" w:rsidRPr="00AD04DA">
        <w:rPr>
          <w:rFonts w:ascii="Times New Roman" w:hAnsi="Times New Roman" w:cs="Times New Roman"/>
          <w:sz w:val="24"/>
          <w:szCs w:val="24"/>
        </w:rPr>
        <w:t xml:space="preserve">TSSE with DA </w:t>
      </w:r>
      <w:r w:rsidR="00C24987" w:rsidRPr="00AD04DA">
        <w:rPr>
          <w:rFonts w:ascii="Times New Roman" w:hAnsi="Times New Roman" w:cs="Times New Roman"/>
          <w:sz w:val="24"/>
          <w:szCs w:val="24"/>
        </w:rPr>
        <w:t xml:space="preserve">reduced the selenate concentration by nearly two orders of magnitude. The selenite concentration </w:t>
      </w:r>
      <w:r w:rsidR="002B3F46" w:rsidRPr="00AD04DA">
        <w:rPr>
          <w:rFonts w:ascii="Times New Roman" w:hAnsi="Times New Roman" w:cs="Times New Roman"/>
          <w:sz w:val="24"/>
          <w:szCs w:val="24"/>
        </w:rPr>
        <w:t>in the product water was reduced by a similar degree for selenite feeds extracted with DA</w:t>
      </w:r>
      <w:r w:rsidR="00C24987" w:rsidRPr="00AD04DA">
        <w:rPr>
          <w:rFonts w:ascii="Times New Roman" w:hAnsi="Times New Roman" w:cs="Times New Roman"/>
          <w:sz w:val="24"/>
          <w:szCs w:val="24"/>
        </w:rPr>
        <w:t xml:space="preserve">. This is consistent with the findings of Guo </w:t>
      </w:r>
      <w:r w:rsidR="00C24987" w:rsidRPr="00AD04DA">
        <w:rPr>
          <w:rFonts w:ascii="Times New Roman" w:hAnsi="Times New Roman" w:cs="Times New Roman"/>
          <w:i/>
          <w:iCs/>
          <w:sz w:val="24"/>
          <w:szCs w:val="24"/>
        </w:rPr>
        <w:t>et al</w:t>
      </w:r>
      <w:r w:rsidR="00C24987" w:rsidRPr="00AD04DA">
        <w:rPr>
          <w:rFonts w:ascii="Times New Roman" w:hAnsi="Times New Roman" w:cs="Times New Roman"/>
          <w:sz w:val="24"/>
          <w:szCs w:val="24"/>
        </w:rPr>
        <w:t xml:space="preserve">, who found that a single pass of TSSE with DA reduced the concentration of </w:t>
      </w:r>
      <w:proofErr w:type="spellStart"/>
      <w:r w:rsidR="00C24987" w:rsidRPr="00AD04DA">
        <w:rPr>
          <w:rFonts w:ascii="Times New Roman" w:hAnsi="Times New Roman" w:cs="Times New Roman"/>
          <w:sz w:val="24"/>
          <w:szCs w:val="24"/>
        </w:rPr>
        <w:t>arsenite</w:t>
      </w:r>
      <w:proofErr w:type="spellEnd"/>
      <w:r w:rsidR="00C24987" w:rsidRPr="00AD04DA">
        <w:rPr>
          <w:rFonts w:ascii="Times New Roman" w:hAnsi="Times New Roman" w:cs="Times New Roman"/>
          <w:sz w:val="24"/>
          <w:szCs w:val="24"/>
        </w:rPr>
        <w:t xml:space="preserve"> and arsenate by 1-2 orders of magnitude</w:t>
      </w:r>
      <w:r w:rsidR="00480BB7"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{"citationID":"M9XukYVf","properties":{"formattedCitation":"\\super 50\\nosupersub{}","plainCitation":"50","noteIndex":0},"citationItems":[{"id":268,"uris":["http://zotero.org/users/8284751/items/V7HQE7DL"],"itemData":{"id":268,"type":"article-journal","abstract":"Arsenic (As) poisoning in water is a critical global problem. Current arsenic removal techniques involving chemical reaction, ion exchange, or membrane processes can be expensive, inaccessible, or infeasible for underdeveloped regions. Here, we demonstrate that by using a so-called a directional solvent extraction (DSE) process arsenic ions in water can be eﬀectively removed without membrane or chemical reaction, and this process promises to utilize low temperature heat (as low as 45 °C). We have tested feedwater with diﬀerent arsenic concentrations and arsenic ions in diﬀerent forms (As-III and As-V) commonly found in nature. It is demonstrated that DSE using decanoic acid as the directional solvent can purify contaminated water to meet the drinking water standard (arsenic concentration &lt;10 parts per billion, ppb), and the arsenic removal eﬃciencies are higher than 91% for As-III and 97% for As-V. DSE can potentially lead to eﬀective arsenic removal technologies with low resource settings.","container-title":"J. Chem. Eng. Data","language":"en","page":"9","source":"Zotero","title":"Direct Arsenic Removal from Water Using Non-Membrane, Low-Temperature Directional Solvent Extraction","author":[{"family":"Guo","given":"Jiaji"},{"family":"Luo","given":"Shirui"},{"family":"Liu","given":"Zeyu"},{"family":"Luo","given":"Tengfei"}],"issued":{"date-parts":[["2020"]]}}}],"schema":"https://github.com/citation-style-language/schema/raw/master/csl-citation.json"} </w:instrText>
      </w:r>
      <w:r w:rsidR="00480BB7" w:rsidRPr="00AD04DA">
        <w:rPr>
          <w:rFonts w:ascii="Times New Roman" w:hAnsi="Times New Roman" w:cs="Times New Roman"/>
          <w:sz w:val="24"/>
          <w:szCs w:val="24"/>
        </w:rPr>
        <w:fldChar w:fldCharType="separate"/>
      </w:r>
      <w:r w:rsidR="00855E07" w:rsidRPr="00AD04DA">
        <w:rPr>
          <w:rFonts w:ascii="Times New Roman" w:hAnsi="Times New Roman" w:cs="Times New Roman"/>
          <w:sz w:val="24"/>
          <w:szCs w:val="24"/>
          <w:vertAlign w:val="superscript"/>
        </w:rPr>
        <w:t>50</w:t>
      </w:r>
      <w:r w:rsidR="00480BB7" w:rsidRPr="00AD04DA">
        <w:rPr>
          <w:rFonts w:ascii="Times New Roman" w:hAnsi="Times New Roman" w:cs="Times New Roman"/>
          <w:sz w:val="24"/>
          <w:szCs w:val="24"/>
        </w:rPr>
        <w:fldChar w:fldCharType="end"/>
      </w:r>
      <w:r w:rsidR="00C24987" w:rsidRPr="00AD04DA">
        <w:rPr>
          <w:rFonts w:ascii="Times New Roman" w:hAnsi="Times New Roman" w:cs="Times New Roman"/>
          <w:sz w:val="24"/>
          <w:szCs w:val="24"/>
        </w:rPr>
        <w:t xml:space="preserve">. </w:t>
      </w:r>
      <w:r w:rsidR="004C339A" w:rsidRPr="00AD04DA">
        <w:rPr>
          <w:rFonts w:ascii="Times New Roman" w:hAnsi="Times New Roman" w:cs="Times New Roman"/>
          <w:sz w:val="24"/>
          <w:szCs w:val="24"/>
        </w:rPr>
        <w:t xml:space="preserve">These results </w:t>
      </w:r>
      <w:r w:rsidR="002B3F46" w:rsidRPr="00AD04DA">
        <w:rPr>
          <w:rFonts w:ascii="Times New Roman" w:hAnsi="Times New Roman" w:cs="Times New Roman"/>
          <w:sz w:val="24"/>
          <w:szCs w:val="24"/>
        </w:rPr>
        <w:t>agree with the trend for DA observed in the NaCl trials that DA ion rejection is independent of feed concentration.</w:t>
      </w:r>
      <w:r w:rsidR="006D04DA">
        <w:rPr>
          <w:rFonts w:ascii="Times New Roman" w:hAnsi="Times New Roman" w:cs="Times New Roman"/>
          <w:sz w:val="24"/>
          <w:szCs w:val="24"/>
        </w:rPr>
        <w:t xml:space="preserve"> </w:t>
      </w:r>
      <w:r w:rsidR="006D04DA" w:rsidRPr="00AD04DA">
        <w:rPr>
          <w:rFonts w:ascii="Times New Roman" w:hAnsi="Times New Roman" w:cs="Times New Roman"/>
          <w:sz w:val="24"/>
          <w:szCs w:val="24"/>
        </w:rPr>
        <w:t>The solute rejection remains above 98% for the entire range of tested feeds spanning from 500 ppm to 4.0 M solutes</w:t>
      </w:r>
      <w:r w:rsidR="006D04DA">
        <w:rPr>
          <w:rFonts w:ascii="Times New Roman" w:hAnsi="Times New Roman" w:cs="Times New Roman"/>
          <w:sz w:val="24"/>
          <w:szCs w:val="24"/>
        </w:rPr>
        <w:t xml:space="preserve">, </w:t>
      </w:r>
      <w:r w:rsidR="008612E4" w:rsidRPr="00AD04DA">
        <w:rPr>
          <w:rFonts w:ascii="Times New Roman" w:hAnsi="Times New Roman" w:cs="Times New Roman"/>
          <w:sz w:val="24"/>
          <w:szCs w:val="24"/>
        </w:rPr>
        <w:t xml:space="preserve">making it well-suited for applications </w:t>
      </w:r>
      <w:r w:rsidR="00B24C79" w:rsidRPr="00AD04DA">
        <w:rPr>
          <w:rFonts w:ascii="Times New Roman" w:hAnsi="Times New Roman" w:cs="Times New Roman"/>
          <w:sz w:val="24"/>
          <w:szCs w:val="24"/>
        </w:rPr>
        <w:t>with trace contaminants</w:t>
      </w:r>
      <w:r w:rsidR="008612E4" w:rsidRPr="00AD04DA">
        <w:rPr>
          <w:rFonts w:ascii="Times New Roman" w:hAnsi="Times New Roman" w:cs="Times New Roman"/>
          <w:sz w:val="24"/>
          <w:szCs w:val="24"/>
        </w:rPr>
        <w:t>.</w:t>
      </w:r>
      <w:r w:rsidR="00573020" w:rsidRPr="00AD04DA">
        <w:rPr>
          <w:rFonts w:ascii="Times New Roman" w:hAnsi="Times New Roman" w:cs="Times New Roman"/>
          <w:sz w:val="24"/>
          <w:szCs w:val="24"/>
        </w:rPr>
        <w:t xml:space="preserve"> </w:t>
      </w:r>
      <w:r w:rsidR="00F34181" w:rsidRPr="00AD04DA">
        <w:rPr>
          <w:rFonts w:ascii="Times New Roman" w:hAnsi="Times New Roman" w:cs="Times New Roman"/>
          <w:sz w:val="24"/>
          <w:szCs w:val="24"/>
        </w:rPr>
        <w:t xml:space="preserve">Additionally, the high rejection of selenium oxyanions shows TSSE with DA is capable of treating selenium-containing waters, making it a candidate for </w:t>
      </w:r>
      <w:r w:rsidR="00F34181" w:rsidRPr="00AD04DA">
        <w:rPr>
          <w:rFonts w:ascii="Times New Roman" w:hAnsi="Times New Roman" w:cs="Times New Roman"/>
          <w:sz w:val="24"/>
          <w:szCs w:val="24"/>
        </w:rPr>
        <w:lastRenderedPageBreak/>
        <w:t>FGD wastewater treatment.</w:t>
      </w:r>
      <w:r w:rsidR="00930F11" w:rsidRPr="00AD04DA">
        <w:rPr>
          <w:rFonts w:ascii="Times New Roman" w:hAnsi="Times New Roman" w:cs="Times New Roman"/>
          <w:sz w:val="24"/>
          <w:szCs w:val="24"/>
        </w:rPr>
        <w:t xml:space="preserve"> Finally, it was found that </w:t>
      </w:r>
      <w:r w:rsidR="00951A9B" w:rsidRPr="00AD04DA">
        <w:rPr>
          <w:rFonts w:ascii="Times New Roman" w:hAnsi="Times New Roman" w:cs="Times New Roman"/>
          <w:sz w:val="24"/>
          <w:szCs w:val="24"/>
        </w:rPr>
        <w:t>DA showed higher selectivity against selenite than selenate.</w:t>
      </w:r>
    </w:p>
    <w:p w14:paraId="7CA6C985" w14:textId="072F6EFF" w:rsidR="006B1881" w:rsidRPr="00AD04DA" w:rsidRDefault="003D5811" w:rsidP="003D5811">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For trials with DPA</w:t>
      </w:r>
      <w:r w:rsidR="003A506A" w:rsidRPr="00AD04DA">
        <w:rPr>
          <w:rFonts w:ascii="Times New Roman" w:hAnsi="Times New Roman" w:cs="Times New Roman"/>
          <w:sz w:val="24"/>
          <w:szCs w:val="24"/>
        </w:rPr>
        <w:t>,</w:t>
      </w:r>
      <w:r w:rsidRPr="00AD04DA">
        <w:rPr>
          <w:rFonts w:ascii="Times New Roman" w:hAnsi="Times New Roman" w:cs="Times New Roman"/>
          <w:sz w:val="24"/>
          <w:szCs w:val="24"/>
        </w:rPr>
        <w:t xml:space="preserve"> the solute rejection for SeO</w:t>
      </w:r>
      <w:r w:rsidRPr="00AD04DA">
        <w:rPr>
          <w:rFonts w:ascii="Times New Roman" w:hAnsi="Times New Roman" w:cs="Times New Roman"/>
          <w:sz w:val="24"/>
          <w:szCs w:val="24"/>
          <w:vertAlign w:val="subscript"/>
        </w:rPr>
        <w:t>4</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xml:space="preserve"> and SeO</w:t>
      </w:r>
      <w:r w:rsidRPr="00AD04DA">
        <w:rPr>
          <w:rFonts w:ascii="Times New Roman" w:hAnsi="Times New Roman" w:cs="Times New Roman"/>
          <w:sz w:val="24"/>
          <w:szCs w:val="24"/>
          <w:vertAlign w:val="subscript"/>
        </w:rPr>
        <w:t>3</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xml:space="preserve"> is poor.</w:t>
      </w:r>
      <w:r w:rsidR="003A506A" w:rsidRPr="00AD04DA">
        <w:rPr>
          <w:rFonts w:ascii="Times New Roman" w:hAnsi="Times New Roman" w:cs="Times New Roman"/>
          <w:sz w:val="24"/>
          <w:szCs w:val="24"/>
        </w:rPr>
        <w:t xml:space="preserve"> </w:t>
      </w:r>
      <w:r w:rsidR="005B7713" w:rsidRPr="00AD04DA">
        <w:rPr>
          <w:rFonts w:ascii="Times New Roman" w:hAnsi="Times New Roman" w:cs="Times New Roman"/>
          <w:sz w:val="24"/>
          <w:szCs w:val="24"/>
        </w:rPr>
        <w:t xml:space="preserve">These </w:t>
      </w:r>
      <w:r w:rsidR="00A97CCA">
        <w:rPr>
          <w:rFonts w:ascii="Times New Roman" w:hAnsi="Times New Roman" w:cs="Times New Roman"/>
          <w:sz w:val="24"/>
          <w:szCs w:val="24"/>
        </w:rPr>
        <w:t>follow the trend observed in</w:t>
      </w:r>
      <w:r w:rsidR="005B7713" w:rsidRPr="00AD04DA">
        <w:rPr>
          <w:rFonts w:ascii="Times New Roman" w:hAnsi="Times New Roman" w:cs="Times New Roman"/>
          <w:sz w:val="24"/>
          <w:szCs w:val="24"/>
        </w:rPr>
        <w:t xml:space="preserve"> the </w:t>
      </w:r>
      <w:r w:rsidR="003A506A" w:rsidRPr="00AD04DA">
        <w:rPr>
          <w:rFonts w:ascii="Times New Roman" w:hAnsi="Times New Roman" w:cs="Times New Roman"/>
          <w:sz w:val="24"/>
          <w:szCs w:val="24"/>
        </w:rPr>
        <w:t xml:space="preserve">previous </w:t>
      </w:r>
      <w:r w:rsidR="001D10B0">
        <w:rPr>
          <w:rFonts w:ascii="Times New Roman" w:hAnsi="Times New Roman" w:cs="Times New Roman"/>
          <w:sz w:val="24"/>
          <w:szCs w:val="24"/>
        </w:rPr>
        <w:t xml:space="preserve">trials where the </w:t>
      </w:r>
      <w:r w:rsidR="005B7713" w:rsidRPr="00AD04DA">
        <w:rPr>
          <w:rFonts w:ascii="Times New Roman" w:hAnsi="Times New Roman" w:cs="Times New Roman"/>
          <w:sz w:val="24"/>
          <w:szCs w:val="24"/>
        </w:rPr>
        <w:t xml:space="preserve">selectivity of DPA diminishes as the feed becomes more dilute. </w:t>
      </w:r>
      <w:r w:rsidR="00A30261" w:rsidRPr="00AD04DA">
        <w:rPr>
          <w:rFonts w:ascii="Times New Roman" w:hAnsi="Times New Roman" w:cs="Times New Roman"/>
          <w:sz w:val="24"/>
          <w:szCs w:val="24"/>
        </w:rPr>
        <w:t>For the 500 ppm feeds tested here, DPA displayed little selectivity</w:t>
      </w:r>
      <w:r w:rsidR="005B7713" w:rsidRPr="00AD04DA">
        <w:rPr>
          <w:rFonts w:ascii="Times New Roman" w:hAnsi="Times New Roman" w:cs="Times New Roman"/>
          <w:sz w:val="24"/>
          <w:szCs w:val="24"/>
        </w:rPr>
        <w:t xml:space="preserve">. These findings </w:t>
      </w:r>
      <w:r w:rsidR="008B76AE" w:rsidRPr="00AD04DA">
        <w:rPr>
          <w:rFonts w:ascii="Times New Roman" w:hAnsi="Times New Roman" w:cs="Times New Roman"/>
          <w:sz w:val="24"/>
          <w:szCs w:val="24"/>
        </w:rPr>
        <w:t xml:space="preserve">show that TSSE with DPA is not suitable for </w:t>
      </w:r>
      <w:r w:rsidR="009202EB" w:rsidRPr="00AD04DA">
        <w:rPr>
          <w:rFonts w:ascii="Times New Roman" w:hAnsi="Times New Roman" w:cs="Times New Roman"/>
          <w:sz w:val="24"/>
          <w:szCs w:val="24"/>
        </w:rPr>
        <w:t xml:space="preserve">feeds </w:t>
      </w:r>
      <w:r w:rsidR="00875584">
        <w:rPr>
          <w:rFonts w:ascii="Times New Roman" w:hAnsi="Times New Roman" w:cs="Times New Roman"/>
          <w:sz w:val="24"/>
          <w:szCs w:val="24"/>
        </w:rPr>
        <w:t xml:space="preserve">containing only </w:t>
      </w:r>
      <w:r w:rsidR="009202EB" w:rsidRPr="00AD04DA">
        <w:rPr>
          <w:rFonts w:ascii="Times New Roman" w:hAnsi="Times New Roman" w:cs="Times New Roman"/>
          <w:sz w:val="24"/>
          <w:szCs w:val="24"/>
        </w:rPr>
        <w:t>low or trace solute concentrations</w:t>
      </w:r>
      <w:r w:rsidR="00497932" w:rsidRPr="00AD04DA">
        <w:rPr>
          <w:rFonts w:ascii="Times New Roman" w:hAnsi="Times New Roman" w:cs="Times New Roman"/>
          <w:sz w:val="24"/>
          <w:szCs w:val="24"/>
        </w:rPr>
        <w:t xml:space="preserve">. </w:t>
      </w:r>
      <w:r w:rsidR="007C0F72" w:rsidRPr="00AD04DA">
        <w:rPr>
          <w:rFonts w:ascii="Times New Roman" w:hAnsi="Times New Roman" w:cs="Times New Roman"/>
          <w:sz w:val="24"/>
          <w:szCs w:val="24"/>
        </w:rPr>
        <w:t>Like DA, DPA showed higher selectivity against selenite than selenate.</w:t>
      </w:r>
    </w:p>
    <w:p w14:paraId="3666796E" w14:textId="667CAB83" w:rsidR="007C0F72" w:rsidRPr="00AD04DA" w:rsidRDefault="00D72B0D" w:rsidP="00D72B0D">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FF0982" w:rsidRPr="00AD04DA">
        <w:rPr>
          <w:rFonts w:ascii="Times New Roman" w:hAnsi="Times New Roman" w:cs="Times New Roman"/>
          <w:sz w:val="24"/>
          <w:szCs w:val="24"/>
        </w:rPr>
        <w:t>The primary structural difference that exist</w:t>
      </w:r>
      <w:r w:rsidR="003F0F3B">
        <w:rPr>
          <w:rFonts w:ascii="Times New Roman" w:hAnsi="Times New Roman" w:cs="Times New Roman"/>
          <w:sz w:val="24"/>
          <w:szCs w:val="24"/>
        </w:rPr>
        <w:t>s</w:t>
      </w:r>
      <w:r w:rsidR="00FF0982" w:rsidRPr="00AD04DA">
        <w:rPr>
          <w:rFonts w:ascii="Times New Roman" w:hAnsi="Times New Roman" w:cs="Times New Roman"/>
          <w:sz w:val="24"/>
          <w:szCs w:val="24"/>
        </w:rPr>
        <w:t xml:space="preserve"> between selenate and selenite is the molecular geometry of these species. Selenate has four oxygen and is therefore tetrahedral, whereas selenite only has three and is trigonal pyramidal.</w:t>
      </w:r>
      <w:r w:rsidR="004314B2" w:rsidRPr="00AD04DA">
        <w:rPr>
          <w:rFonts w:ascii="Times New Roman" w:hAnsi="Times New Roman" w:cs="Times New Roman"/>
          <w:sz w:val="24"/>
          <w:szCs w:val="24"/>
        </w:rPr>
        <w:t xml:space="preserve"> These structural differences give the molecules different hydrated radii, or the radius of the ion and its strongly associated water molecules. </w:t>
      </w:r>
      <w:r w:rsidR="00855E07" w:rsidRPr="00AD04DA">
        <w:rPr>
          <w:rFonts w:ascii="Times New Roman" w:hAnsi="Times New Roman" w:cs="Times New Roman"/>
          <w:sz w:val="24"/>
          <w:szCs w:val="24"/>
        </w:rPr>
        <w:t>Figure 15 shows the hydrated radius of a selenite and selenate molecule.</w:t>
      </w:r>
    </w:p>
    <w:p w14:paraId="7D21C3FC" w14:textId="0BEF32C6" w:rsidR="00855E07" w:rsidRPr="00AD04DA" w:rsidRDefault="00855E07" w:rsidP="00855E07">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drawing>
          <wp:inline distT="0" distB="0" distL="0" distR="0" wp14:anchorId="3F2B2567" wp14:editId="27734372">
            <wp:extent cx="4897312" cy="33034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9675" cy="3305059"/>
                    </a:xfrm>
                    <a:prstGeom prst="rect">
                      <a:avLst/>
                    </a:prstGeom>
                    <a:noFill/>
                  </pic:spPr>
                </pic:pic>
              </a:graphicData>
            </a:graphic>
          </wp:inline>
        </w:drawing>
      </w:r>
    </w:p>
    <w:p w14:paraId="727B9EE8" w14:textId="2183EFBB" w:rsidR="00855E07" w:rsidRPr="00AD04DA" w:rsidRDefault="00855E07" w:rsidP="00855E07">
      <w:pPr>
        <w:spacing w:after="0" w:line="480" w:lineRule="auto"/>
        <w:jc w:val="center"/>
        <w:rPr>
          <w:rFonts w:ascii="Times New Roman" w:hAnsi="Times New Roman" w:cs="Times New Roman"/>
          <w:bCs/>
          <w:sz w:val="24"/>
          <w:szCs w:val="24"/>
        </w:rPr>
      </w:pPr>
      <w:r w:rsidRPr="00AD04DA">
        <w:rPr>
          <w:rFonts w:ascii="Times New Roman" w:hAnsi="Times New Roman" w:cs="Times New Roman"/>
          <w:b/>
          <w:bCs/>
          <w:sz w:val="24"/>
          <w:szCs w:val="24"/>
        </w:rPr>
        <w:t xml:space="preserve">Figure 15: </w:t>
      </w:r>
      <w:r w:rsidRPr="00AD04DA">
        <w:rPr>
          <w:rFonts w:ascii="Times New Roman" w:hAnsi="Times New Roman" w:cs="Times New Roman"/>
          <w:bCs/>
          <w:sz w:val="24"/>
          <w:szCs w:val="24"/>
        </w:rPr>
        <w:t>Hydrated radius of selenite and selenate. Figure from Eklund and Persson</w:t>
      </w:r>
      <w:r w:rsidRPr="00AD04DA">
        <w:rPr>
          <w:rFonts w:ascii="Times New Roman" w:hAnsi="Times New Roman" w:cs="Times New Roman"/>
          <w:bCs/>
          <w:sz w:val="24"/>
          <w:szCs w:val="24"/>
        </w:rPr>
        <w:fldChar w:fldCharType="begin"/>
      </w:r>
      <w:r w:rsidR="00AE4CC3">
        <w:rPr>
          <w:rFonts w:ascii="Times New Roman" w:hAnsi="Times New Roman" w:cs="Times New Roman"/>
          <w:bCs/>
          <w:sz w:val="24"/>
          <w:szCs w:val="24"/>
        </w:rPr>
        <w:instrText xml:space="preserve"> ADDIN ZOTERO_ITEM CSL_CITATION {"citationID":"Exwki0bG","properties":{"formattedCitation":"\\super 92\\nosupersub{}","plainCitation":"92","noteIndex":0},"citationItems":[{"id":856,"uris":["http://zotero.org/users/8284751/items/MQD4SS69"],"itemData":{"id":856,"type":"article-journal","abstract":"The selenite ion has an asymmetric hydration sphere with loosely electrostatically bound water molecules outside the free electron pair.\n          , \n            \n              The structure and hydrogen bonding of the hydrated selenite, SeO\n              3\n              2−\n              , and selenate, SeO\n              4\n              2−\n              , ions have been studied in aqueous solution by large angle X-ray scattering (LAXS), EXAFS and double difference infrared (DDIR) spectroscopy. The mean Se–O bond distances are 1.709(2) and 1.657(2) Å, respectively, as determined by LAXS, and 1.701(3) and 1.643(3) Å by EXAFS. These bond distances are slightly longer than the mean distances found in the solid state, 1.691 and 1.634 Å, respectively. The structures of HSeO\n              3\n              −\n              , H\n              2\n              SeO\n              3\n              and HSeO\n              4\n              −\n              in aqueous solution have been determined by EXAFS giving the same Se–O bond distances as for the selenite and selenate ions, respectively. The mean Se</w:instrText>
      </w:r>
      <w:r w:rsidR="00AE4CC3">
        <w:rPr>
          <w:rFonts w:ascii="Cambria Math" w:hAnsi="Cambria Math" w:cs="Cambria Math"/>
          <w:bCs/>
          <w:sz w:val="24"/>
          <w:szCs w:val="24"/>
        </w:rPr>
        <w:instrText>⋯</w:instrText>
      </w:r>
      <w:r w:rsidR="00AE4CC3">
        <w:rPr>
          <w:rFonts w:ascii="Times New Roman" w:hAnsi="Times New Roman" w:cs="Times New Roman"/>
          <w:bCs/>
          <w:sz w:val="24"/>
          <w:szCs w:val="24"/>
        </w:rPr>
        <w:instrText>O\n              w\n              distance to the water molecules hydrogen binding to selenite oxygens is 3.87(2) Å, and it is 4.36(8) Å to those clustered outside the lone electron-pair. The selenate ion has a symmetric hydration shell with only one Se</w:instrText>
      </w:r>
      <w:r w:rsidR="00AE4CC3">
        <w:rPr>
          <w:rFonts w:ascii="Cambria Math" w:hAnsi="Cambria Math" w:cs="Cambria Math"/>
          <w:bCs/>
          <w:sz w:val="24"/>
          <w:szCs w:val="24"/>
        </w:rPr>
        <w:instrText>⋯</w:instrText>
      </w:r>
      <w:r w:rsidR="00AE4CC3">
        <w:rPr>
          <w:rFonts w:ascii="Times New Roman" w:hAnsi="Times New Roman" w:cs="Times New Roman"/>
          <w:bCs/>
          <w:sz w:val="24"/>
          <w:szCs w:val="24"/>
        </w:rPr>
        <w:instrText>O\n              w\n              distance, 3.94(2) Å. The mean Se–O</w:instrText>
      </w:r>
      <w:r w:rsidR="00AE4CC3">
        <w:rPr>
          <w:rFonts w:ascii="Cambria Math" w:hAnsi="Cambria Math" w:cs="Cambria Math"/>
          <w:bCs/>
          <w:sz w:val="24"/>
          <w:szCs w:val="24"/>
        </w:rPr>
        <w:instrText>⋯</w:instrText>
      </w:r>
      <w:r w:rsidR="00AE4CC3">
        <w:rPr>
          <w:rFonts w:ascii="Times New Roman" w:hAnsi="Times New Roman" w:cs="Times New Roman"/>
          <w:bCs/>
          <w:sz w:val="24"/>
          <w:szCs w:val="24"/>
        </w:rPr>
        <w:instrText>O\n              w\n              angle in the hydrated selenite ion is 114.5°, and the large temperature factor of the Se</w:instrText>
      </w:r>
      <w:r w:rsidR="00AE4CC3">
        <w:rPr>
          <w:rFonts w:ascii="Cambria Math" w:hAnsi="Cambria Math" w:cs="Cambria Math"/>
          <w:bCs/>
          <w:sz w:val="24"/>
          <w:szCs w:val="24"/>
        </w:rPr>
        <w:instrText>⋯</w:instrText>
      </w:r>
      <w:r w:rsidR="00AE4CC3">
        <w:rPr>
          <w:rFonts w:ascii="Times New Roman" w:hAnsi="Times New Roman" w:cs="Times New Roman"/>
          <w:bCs/>
          <w:sz w:val="24"/>
          <w:szCs w:val="24"/>
        </w:rPr>
        <w:instrText>O\n              w\n              distance strongly indicates equilibrium between two and three water molecules hydrogen bound to the selenite oxygens. The mean Se–O</w:instrText>
      </w:r>
      <w:r w:rsidR="00AE4CC3">
        <w:rPr>
          <w:rFonts w:ascii="Cambria Math" w:hAnsi="Cambria Math" w:cs="Cambria Math"/>
          <w:bCs/>
          <w:sz w:val="24"/>
          <w:szCs w:val="24"/>
        </w:rPr>
        <w:instrText>⋯</w:instrText>
      </w:r>
      <w:r w:rsidR="00AE4CC3">
        <w:rPr>
          <w:rFonts w:ascii="Times New Roman" w:hAnsi="Times New Roman" w:cs="Times New Roman"/>
          <w:bCs/>
          <w:sz w:val="24"/>
          <w:szCs w:val="24"/>
        </w:rPr>
        <w:instrText xml:space="preserve">O\n              w\n              angle in the hydrated selenate ion is 120° which strongly indicates that two water molecules hydrogen bind to the selenate oxygens. The DDIR spectra show peaks for the affected water bound to the selenite and selenate ions at 2491 ± 2 and 2480 ± 39 cm\n              −1\n              , respectively, compared to 2509 cm\n              −1\n              in pure water. This shows that the selenite and selenate ions shall be regarded as weak structure makers.","container-title":"Dalton Trans.","DOI":"10.1039/C3DT53468E","ISSN":"1477-9226, 1477-9234","issue":"17","journalAbbreviation":"Dalton Trans.","language":"en","page":"6315-6321","source":"DOI.org (Crossref)","title":"Structure and hydrogen bonding of the hydrated selenite and selenate ions in aqueous solution","volume":"43","author":[{"family":"Eklund","given":"Lars"},{"family":"Persson","given":"Ingmar"}],"issued":{"date-parts":[["2014"]]}}}],"schema":"https://github.com/citation-style-language/schema/raw/master/csl-citation.json"} </w:instrText>
      </w:r>
      <w:r w:rsidRPr="00AD04DA">
        <w:rPr>
          <w:rFonts w:ascii="Times New Roman" w:hAnsi="Times New Roman" w:cs="Times New Roman"/>
          <w:bCs/>
          <w:sz w:val="24"/>
          <w:szCs w:val="24"/>
        </w:rPr>
        <w:fldChar w:fldCharType="separate"/>
      </w:r>
      <w:r w:rsidRPr="00AD04DA">
        <w:rPr>
          <w:rFonts w:ascii="Times New Roman" w:hAnsi="Times New Roman" w:cs="Times New Roman"/>
          <w:sz w:val="24"/>
          <w:szCs w:val="24"/>
          <w:vertAlign w:val="superscript"/>
        </w:rPr>
        <w:t>92</w:t>
      </w:r>
      <w:r w:rsidRPr="00AD04DA">
        <w:rPr>
          <w:rFonts w:ascii="Times New Roman" w:hAnsi="Times New Roman" w:cs="Times New Roman"/>
          <w:bCs/>
          <w:sz w:val="24"/>
          <w:szCs w:val="24"/>
        </w:rPr>
        <w:fldChar w:fldCharType="end"/>
      </w:r>
      <w:r w:rsidRPr="00AD04DA">
        <w:rPr>
          <w:rFonts w:ascii="Times New Roman" w:hAnsi="Times New Roman" w:cs="Times New Roman"/>
          <w:bCs/>
          <w:sz w:val="24"/>
          <w:szCs w:val="24"/>
        </w:rPr>
        <w:t>.</w:t>
      </w:r>
    </w:p>
    <w:p w14:paraId="0B3E4009" w14:textId="3694FB0C" w:rsidR="005C78B7" w:rsidRPr="00AD04DA" w:rsidRDefault="004314B2" w:rsidP="005C78B7">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lastRenderedPageBreak/>
        <w:t>In solution, the positive dipole of water molecules form hydrogen bonds with the negative charge of oxygen on the anions. However, on selenite, there is a hemisphere where there is no oxygen with which hydrogen bonds can form. As a resul</w:t>
      </w:r>
      <w:r w:rsidR="00CA6C29">
        <w:rPr>
          <w:rFonts w:ascii="Times New Roman" w:hAnsi="Times New Roman" w:cs="Times New Roman"/>
          <w:sz w:val="24"/>
          <w:szCs w:val="24"/>
        </w:rPr>
        <w:t xml:space="preserve">t, </w:t>
      </w:r>
      <w:r w:rsidRPr="00AD04DA">
        <w:rPr>
          <w:rFonts w:ascii="Times New Roman" w:hAnsi="Times New Roman" w:cs="Times New Roman"/>
          <w:sz w:val="24"/>
          <w:szCs w:val="24"/>
        </w:rPr>
        <w:t>the hydrated radius is larger for selenite than selenate at 4.36 and 3.94 Å, respectively</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{"citationID":"e4KnA8Wf","properties":{"formattedCitation":"\\super 92\\nosupersub{}","plainCitation":"92","noteIndex":0},"citationItems":[{"id":856,"uris":["http://zotero.org/users/8284751/items/MQD4SS69"],"itemData":{"id":856,"type":"article-journal","abstract":"The selenite ion has an asymmetric hydration sphere with loosely electrostatically bound water molecules outside the free electron pair.\n          , \n            \n              The structure and hydrogen bonding of the hydrated selenite, SeO\n              3\n              2−\n              , and selenate, SeO\n              4\n              2−\n              , ions have been studied in aqueous solution by large angle X-ray scattering (LAXS), EXAFS and double difference infrared (DDIR) spectroscopy. The mean Se–O bond distances are 1.709(2) and 1.657(2) Å, respectively, as determined by LAXS, and 1.701(3) and 1.643(3) Å by EXAFS. These bond distances are slightly longer than the mean distances found in the solid state, 1.691 and 1.634 Å, respectively. The structures of HSeO\n              3\n              −\n              , H\n              2\n              SeO\n              3\n              and HSeO\n              4\n              −\n              in aqueous solution have been determined by EXAFS giving the same Se–O bond distances as for the selenite and selenate ions, respectively. The mean Se</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distance to the water molecules hydrogen binding to selenite oxygens is 3.87(2) Å, and it is 4.36(8) Å to those clustered outside the lone electron-pair. The selenate ion has a symmetric hydration shell with only one Se</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distance, 3.94(2) Å. The mean Se–O</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angle in the hydrated selenite ion is 114.5°, and the large temperature factor of the Se</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distance strongly indicates equilibrium between two and three water molecules hydrogen bound to the selenite oxygens. The mean Se–O</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 xml:space="preserve">O\n              w\n              angle in the hydrated selenate ion is 120° which strongly indicates that two water molecules hydrogen bind to the selenate oxygens. The DDIR spectra show peaks for the affected water bound to the selenite and selenate ions at 2491 ± 2 and 2480 ± 39 cm\n              −1\n              , respectively, compared to 2509 cm\n              −1\n              in pure water. This shows that the selenite and selenate ions shall be regarded as weak structure makers.","container-title":"Dalton Trans.","DOI":"10.1039/C3DT53468E","ISSN":"1477-9226, 1477-9234","issue":"17","journalAbbreviation":"Dalton Trans.","language":"en","page":"6315-6321","source":"DOI.org (Crossref)","title":"Structure and hydrogen bonding of the hydrated selenite and selenate ions in aqueous solution","volume":"43","author":[{"family":"Eklund","given":"Lars"},{"family":"Persson","given":"Ingmar"}],"issued":{"date-parts":[["2014"]]}}}],"schema":"https://github.com/citation-style-language/schema/raw/master/csl-citation.json"}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92</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w:t>
      </w:r>
      <w:r w:rsidR="00C933A8" w:rsidRPr="00AD04DA">
        <w:rPr>
          <w:rFonts w:ascii="Times New Roman" w:hAnsi="Times New Roman" w:cs="Times New Roman"/>
          <w:sz w:val="24"/>
          <w:szCs w:val="24"/>
        </w:rPr>
        <w:t xml:space="preserve"> </w:t>
      </w:r>
      <w:r w:rsidR="00C07310" w:rsidRPr="00AD04DA">
        <w:rPr>
          <w:rFonts w:ascii="Times New Roman" w:hAnsi="Times New Roman" w:cs="Times New Roman"/>
          <w:sz w:val="24"/>
          <w:szCs w:val="24"/>
        </w:rPr>
        <w:t xml:space="preserve">A larger hydrated radius may cause the partition to favor the aqueous phase more heavily due to steric considerations. DPA and DA are both bulky molecules, DPA having two isopropyl groups attached to the central amine and DA with a </w:t>
      </w:r>
      <w:r w:rsidR="00D17ECF" w:rsidRPr="00AD04DA">
        <w:rPr>
          <w:rFonts w:ascii="Times New Roman" w:hAnsi="Times New Roman" w:cs="Times New Roman"/>
          <w:sz w:val="24"/>
          <w:szCs w:val="24"/>
        </w:rPr>
        <w:t>10-carbon</w:t>
      </w:r>
      <w:r w:rsidR="00C07310" w:rsidRPr="00AD04DA">
        <w:rPr>
          <w:rFonts w:ascii="Times New Roman" w:hAnsi="Times New Roman" w:cs="Times New Roman"/>
          <w:sz w:val="24"/>
          <w:szCs w:val="24"/>
        </w:rPr>
        <w:t xml:space="preserve"> chain. </w:t>
      </w:r>
      <w:r w:rsidR="00D17ECF" w:rsidRPr="00AD04DA">
        <w:rPr>
          <w:rFonts w:ascii="Times New Roman" w:hAnsi="Times New Roman" w:cs="Times New Roman"/>
          <w:sz w:val="24"/>
          <w:szCs w:val="24"/>
        </w:rPr>
        <w:t>A larger hydrated radius would have more</w:t>
      </w:r>
      <w:r w:rsidR="00CA6C29">
        <w:rPr>
          <w:rFonts w:ascii="Times New Roman" w:hAnsi="Times New Roman" w:cs="Times New Roman"/>
          <w:sz w:val="24"/>
          <w:szCs w:val="24"/>
        </w:rPr>
        <w:t xml:space="preserve"> steric</w:t>
      </w:r>
      <w:r w:rsidR="00D17ECF" w:rsidRPr="00AD04DA">
        <w:rPr>
          <w:rFonts w:ascii="Times New Roman" w:hAnsi="Times New Roman" w:cs="Times New Roman"/>
          <w:sz w:val="24"/>
          <w:szCs w:val="24"/>
        </w:rPr>
        <w:t xml:space="preserve"> interactions with the bulky parts of these molecules that would </w:t>
      </w:r>
      <w:r w:rsidR="002E2EDF" w:rsidRPr="00AD04DA">
        <w:rPr>
          <w:rFonts w:ascii="Times New Roman" w:hAnsi="Times New Roman" w:cs="Times New Roman"/>
          <w:sz w:val="24"/>
          <w:szCs w:val="24"/>
        </w:rPr>
        <w:t>create an additional barrier to solute partition into the organic phase, resulting in higher rejection</w:t>
      </w:r>
      <w:r w:rsidR="003F0F3B">
        <w:rPr>
          <w:rFonts w:ascii="Times New Roman" w:hAnsi="Times New Roman" w:cs="Times New Roman"/>
          <w:sz w:val="24"/>
          <w:szCs w:val="24"/>
        </w:rPr>
        <w:t xml:space="preserve"> for selenite</w:t>
      </w:r>
      <w:r w:rsidR="002E2EDF" w:rsidRPr="00AD04DA">
        <w:rPr>
          <w:rFonts w:ascii="Times New Roman" w:hAnsi="Times New Roman" w:cs="Times New Roman"/>
          <w:sz w:val="24"/>
          <w:szCs w:val="24"/>
        </w:rPr>
        <w:t>.</w:t>
      </w:r>
    </w:p>
    <w:p w14:paraId="70402414" w14:textId="00F014D3" w:rsidR="00D766AE" w:rsidRPr="003F0F3B" w:rsidRDefault="00D766AE" w:rsidP="00D766AE">
      <w:pPr>
        <w:pStyle w:val="Heading2"/>
        <w:spacing w:before="0" w:line="480" w:lineRule="auto"/>
        <w:ind w:firstLine="720"/>
        <w:rPr>
          <w:rFonts w:ascii="Times New Roman" w:hAnsi="Times New Roman" w:cs="Times New Roman"/>
          <w:color w:val="000000" w:themeColor="text1"/>
          <w:sz w:val="28"/>
          <w:szCs w:val="28"/>
        </w:rPr>
      </w:pPr>
      <w:bookmarkStart w:id="21" w:name="_Toc100753472"/>
      <w:r w:rsidRPr="003F0F3B">
        <w:rPr>
          <w:rFonts w:ascii="Times New Roman" w:hAnsi="Times New Roman" w:cs="Times New Roman"/>
          <w:color w:val="000000" w:themeColor="text1"/>
          <w:sz w:val="28"/>
          <w:szCs w:val="28"/>
        </w:rPr>
        <w:t>3.</w:t>
      </w:r>
      <w:r w:rsidR="003A6949" w:rsidRPr="003F0F3B">
        <w:rPr>
          <w:rFonts w:ascii="Times New Roman" w:hAnsi="Times New Roman" w:cs="Times New Roman"/>
          <w:color w:val="000000" w:themeColor="text1"/>
          <w:sz w:val="28"/>
          <w:szCs w:val="28"/>
        </w:rPr>
        <w:t>5</w:t>
      </w:r>
      <w:r w:rsidRPr="003F0F3B">
        <w:rPr>
          <w:rFonts w:ascii="Times New Roman" w:hAnsi="Times New Roman" w:cs="Times New Roman"/>
          <w:color w:val="000000" w:themeColor="text1"/>
          <w:sz w:val="28"/>
          <w:szCs w:val="28"/>
        </w:rPr>
        <w:t xml:space="preserve"> Synthetic FGD Wastewater</w:t>
      </w:r>
      <w:bookmarkEnd w:id="21"/>
    </w:p>
    <w:p w14:paraId="4FD32A4C" w14:textId="1EF21CE1" w:rsidR="00EE59D2" w:rsidRPr="00AD04DA" w:rsidRDefault="00EE59D2" w:rsidP="00724076">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Three samples of synthetic FGD wastewater were extracted with DA, and three samples were extracted with DPA. The synthetic FGD wastewater had a chlorine concentration of 20 g/L Cl</w:t>
      </w:r>
      <w:r w:rsidRPr="00AD04DA">
        <w:rPr>
          <w:rFonts w:ascii="Times New Roman" w:hAnsi="Times New Roman" w:cs="Times New Roman"/>
          <w:sz w:val="24"/>
          <w:szCs w:val="24"/>
          <w:vertAlign w:val="superscript"/>
        </w:rPr>
        <w:t>-</w:t>
      </w:r>
      <w:r w:rsidRPr="00AD04DA">
        <w:rPr>
          <w:rFonts w:ascii="Times New Roman" w:hAnsi="Times New Roman" w:cs="Times New Roman"/>
          <w:sz w:val="24"/>
          <w:szCs w:val="24"/>
        </w:rPr>
        <w:t xml:space="preserve"> approximate the </w:t>
      </w:r>
      <w:r w:rsidR="00AD6ECF" w:rsidRPr="00AD04DA">
        <w:rPr>
          <w:rFonts w:ascii="Times New Roman" w:hAnsi="Times New Roman" w:cs="Times New Roman"/>
          <w:sz w:val="24"/>
          <w:szCs w:val="24"/>
        </w:rPr>
        <w:t xml:space="preserve">chloride </w:t>
      </w:r>
      <w:r w:rsidR="00593118" w:rsidRPr="00AD04DA">
        <w:rPr>
          <w:rFonts w:ascii="Times New Roman" w:hAnsi="Times New Roman" w:cs="Times New Roman"/>
          <w:sz w:val="24"/>
          <w:szCs w:val="24"/>
        </w:rPr>
        <w:t>content of real FGD wastewater</w:t>
      </w:r>
      <w:r w:rsidR="00593118"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{"citationID":"uulSBzcD","properties":{"formattedCitation":"\\super 22,44\\uc0\\u8211{}46\\nosupersub{}","plainCitation":"22,44–46","noteIndex":0},"citationItems":[{"id":512,"uris":["http://zotero.org/users/8284751/items/KFQG6M97"],"itemData":{"id":512,"type":"article-journal","abstract":"This review identifies challenges and opportunities facing the electricity generation sector in treating flue gas desulfurization wastewater.\n          , \n            In November 2015, the United States Environmental Protection Agency (EPA) promulgated the Effluent Limitations Guidelines (ELGs) for the Steam Electric Power Generating Sector. These guidelines either eliminate or lower permissible discharge limits for six wastewater streams produced at coal fired power plants (CFPPs), including flue gas desulfurization (FGD) wastewater. This paper summarizes the state of the art, describes fundamental challenges, and highlights critical research needs in FGD wastewater treatment. We begin by describing the processes that influence FGD wastewater production and composition. We then critically evaluate the best available technologies for treating FGD wastewater identified by the EPA during the regulatory process. Finally, we identify four critical challenges and research needs in complying with the 2015 ELGs including (1) removing selenium species from FGD wastewater, (2) achieving zero liquid discharge of pollutants from FGD wastewater while enabling water reuse at CFPPs, (3) developing water treatment systems that can respond to short-term fluctuations in CFPP electricity generation and wastewater production, and (4) optimizing the balance of capital and operational costs for FGD treatment when the power plant lifespan is uncertain.","container-title":"Environmental Science: Water Research &amp; Technology","DOI":"10.1039/C8EW00264A","ISSN":"2053-1400, 2053-1419","issue":"7","journalAbbreviation":"Environ. Sci.: Water Res. Technol.","language":"en","page":"909-925","source":"DOI.org (Crossref)","title":"Fundamental challenges and engineering opportunities in flue gas desulfurization wastewater treatment at coal fired power plants","volume":"4","author":[{"family":"Gingerich","given":"Daniel B."},{"family":"Grol","given":"Eric"},{"family":"Mauter","given":"Meagan S."}],"issued":{"date-parts":[["2018"]]}}},{"id":827,"uris":["http://zotero.org/users/8284751/items/D6G7E9UD"],"itemData":{"id":827,"type":"report","number":"EPA 821-R-09-008","publisher":"US Environmental Protection Agency","title":"Steam Electric Power Generating Point Source Category: Final Detailed Study Report","issued":{"date-parts":[["2009"]]}}},{"id":829,"uris":["http://zotero.org/users/8284751/items/SRXPMNS4"],"itemData":{"id":829,"type":"report","event-place":"Palo Aloto, CA","number":"3002011388","page":"40","publisher-place":"Palo Aloto, CA","title":"Conditions Impacting Treatment of Wet Flue Gas Desulfurization Wastewater","author":[{"family":"Electric Power Research Institute","given":""}],"issued":{"date-parts":[["2007"]]}}},{"id":828,"uris":["http://zotero.org/users/8284751/items/2J3EY77D"],"itemData":{"id":828,"type":"document","publisher":"Utility Water Act Group, Richmond, VA","title":"Comments on EPA's Proposed Effluent Limitations Guidelines and Standards for the Steam Electric Power Generating Point Source Category","author":[{"family":"Utility Water Act Group","given":""}],"issued":{"date-parts":[["2013"]]}}}],"schema":"https://github.com/citation-style-language/schema/raw/master/csl-citation.json"} </w:instrText>
      </w:r>
      <w:r w:rsidR="00593118" w:rsidRPr="00AD04DA">
        <w:rPr>
          <w:rFonts w:ascii="Times New Roman" w:hAnsi="Times New Roman" w:cs="Times New Roman"/>
          <w:sz w:val="24"/>
          <w:szCs w:val="24"/>
        </w:rPr>
        <w:fldChar w:fldCharType="separate"/>
      </w:r>
      <w:r w:rsidR="00593118" w:rsidRPr="00AD04DA">
        <w:rPr>
          <w:rFonts w:ascii="Times New Roman" w:hAnsi="Times New Roman" w:cs="Times New Roman"/>
          <w:sz w:val="24"/>
          <w:szCs w:val="24"/>
          <w:vertAlign w:val="superscript"/>
        </w:rPr>
        <w:t>22,44–46</w:t>
      </w:r>
      <w:r w:rsidR="00593118" w:rsidRPr="00AD04DA">
        <w:rPr>
          <w:rFonts w:ascii="Times New Roman" w:hAnsi="Times New Roman" w:cs="Times New Roman"/>
          <w:sz w:val="24"/>
          <w:szCs w:val="24"/>
        </w:rPr>
        <w:fldChar w:fldCharType="end"/>
      </w:r>
      <w:r w:rsidR="00D1004D">
        <w:rPr>
          <w:rFonts w:ascii="Times New Roman" w:hAnsi="Times New Roman" w:cs="Times New Roman"/>
          <w:sz w:val="24"/>
          <w:szCs w:val="24"/>
        </w:rPr>
        <w:t xml:space="preserve"> </w:t>
      </w:r>
      <w:r w:rsidR="00D1004D" w:rsidRPr="00AD04DA">
        <w:rPr>
          <w:rFonts w:ascii="Times New Roman" w:hAnsi="Times New Roman" w:cs="Times New Roman"/>
          <w:sz w:val="24"/>
          <w:szCs w:val="24"/>
        </w:rPr>
        <w:t>and 500 ppm SeO</w:t>
      </w:r>
      <w:r w:rsidR="00D1004D" w:rsidRPr="00AD04DA">
        <w:rPr>
          <w:rFonts w:ascii="Times New Roman" w:hAnsi="Times New Roman" w:cs="Times New Roman"/>
          <w:sz w:val="24"/>
          <w:szCs w:val="24"/>
          <w:vertAlign w:val="subscript"/>
        </w:rPr>
        <w:t>4</w:t>
      </w:r>
      <w:r w:rsidR="00D1004D" w:rsidRPr="00AD04DA">
        <w:rPr>
          <w:rFonts w:ascii="Times New Roman" w:hAnsi="Times New Roman" w:cs="Times New Roman"/>
          <w:sz w:val="24"/>
          <w:szCs w:val="24"/>
          <w:vertAlign w:val="superscript"/>
        </w:rPr>
        <w:t>2-</w:t>
      </w:r>
      <w:r w:rsidR="00D1004D" w:rsidRPr="00AD04DA">
        <w:rPr>
          <w:rFonts w:ascii="Times New Roman" w:hAnsi="Times New Roman" w:cs="Times New Roman"/>
          <w:sz w:val="24"/>
          <w:szCs w:val="24"/>
        </w:rPr>
        <w:t xml:space="preserve"> to</w:t>
      </w:r>
      <w:r w:rsidR="00D1004D">
        <w:rPr>
          <w:rFonts w:ascii="Times New Roman" w:hAnsi="Times New Roman" w:cs="Times New Roman"/>
          <w:sz w:val="24"/>
          <w:szCs w:val="24"/>
        </w:rPr>
        <w:t xml:space="preserve"> represent the heavy elements</w:t>
      </w:r>
      <w:r w:rsidR="00593118" w:rsidRPr="00AD04DA">
        <w:rPr>
          <w:rFonts w:ascii="Times New Roman" w:hAnsi="Times New Roman" w:cs="Times New Roman"/>
          <w:sz w:val="24"/>
          <w:szCs w:val="24"/>
        </w:rPr>
        <w:t>.</w:t>
      </w:r>
      <w:r w:rsidRPr="00AD04DA">
        <w:rPr>
          <w:rFonts w:ascii="Times New Roman" w:hAnsi="Times New Roman" w:cs="Times New Roman"/>
          <w:sz w:val="24"/>
          <w:szCs w:val="24"/>
        </w:rPr>
        <w:t xml:space="preserve"> </w:t>
      </w:r>
      <w:r w:rsidR="001D6562" w:rsidRPr="00AD04DA">
        <w:rPr>
          <w:rFonts w:ascii="Times New Roman" w:hAnsi="Times New Roman" w:cs="Times New Roman"/>
          <w:sz w:val="24"/>
          <w:szCs w:val="24"/>
        </w:rPr>
        <w:t xml:space="preserve">Figure </w:t>
      </w:r>
      <w:r w:rsidR="00035E0B" w:rsidRPr="00AD04DA">
        <w:rPr>
          <w:rFonts w:ascii="Times New Roman" w:hAnsi="Times New Roman" w:cs="Times New Roman"/>
          <w:sz w:val="24"/>
          <w:szCs w:val="24"/>
        </w:rPr>
        <w:t>16</w:t>
      </w:r>
      <w:r w:rsidR="001D6562" w:rsidRPr="00AD04DA">
        <w:rPr>
          <w:rFonts w:ascii="Times New Roman" w:hAnsi="Times New Roman" w:cs="Times New Roman"/>
          <w:sz w:val="24"/>
          <w:szCs w:val="24"/>
        </w:rPr>
        <w:t xml:space="preserve"> shows feed and product water salinity</w:t>
      </w:r>
      <w:r w:rsidR="00035E0B" w:rsidRPr="00AD04DA">
        <w:rPr>
          <w:rFonts w:ascii="Times New Roman" w:hAnsi="Times New Roman" w:cs="Times New Roman"/>
          <w:sz w:val="24"/>
          <w:szCs w:val="24"/>
        </w:rPr>
        <w:t xml:space="preserve"> and selenate</w:t>
      </w:r>
      <w:r w:rsidR="001D6562" w:rsidRPr="00AD04DA">
        <w:rPr>
          <w:rFonts w:ascii="Times New Roman" w:hAnsi="Times New Roman" w:cs="Times New Roman"/>
          <w:sz w:val="24"/>
          <w:szCs w:val="24"/>
        </w:rPr>
        <w:t xml:space="preserve"> </w:t>
      </w:r>
      <w:r w:rsidR="00CB722A">
        <w:rPr>
          <w:rFonts w:ascii="Times New Roman" w:hAnsi="Times New Roman" w:cs="Times New Roman"/>
          <w:sz w:val="24"/>
          <w:szCs w:val="24"/>
        </w:rPr>
        <w:t xml:space="preserve"> content </w:t>
      </w:r>
      <w:r w:rsidR="001D6562" w:rsidRPr="00AD04DA">
        <w:rPr>
          <w:rFonts w:ascii="Times New Roman" w:hAnsi="Times New Roman" w:cs="Times New Roman"/>
          <w:sz w:val="24"/>
          <w:szCs w:val="24"/>
        </w:rPr>
        <w:t>for the synthetic FGD wastewater after extraction with DA and DPA.</w:t>
      </w:r>
    </w:p>
    <w:p w14:paraId="06B1A2BE" w14:textId="5ABBA0A3" w:rsidR="00035E0B" w:rsidRPr="00AD04DA" w:rsidRDefault="00C01834" w:rsidP="00035E0B">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0B91BCF6" wp14:editId="3671CADD">
            <wp:extent cx="5530362" cy="331735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42351" cy="3324549"/>
                    </a:xfrm>
                    <a:prstGeom prst="rect">
                      <a:avLst/>
                    </a:prstGeom>
                    <a:noFill/>
                  </pic:spPr>
                </pic:pic>
              </a:graphicData>
            </a:graphic>
          </wp:inline>
        </w:drawing>
      </w:r>
    </w:p>
    <w:p w14:paraId="4390D780" w14:textId="43432CE9" w:rsidR="00840CE7" w:rsidRPr="00AD04DA" w:rsidRDefault="00840CE7" w:rsidP="00325CCE">
      <w:pPr>
        <w:spacing w:after="0"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6F3764" w:rsidRPr="00AD04DA">
        <w:rPr>
          <w:rFonts w:ascii="Times New Roman" w:hAnsi="Times New Roman" w:cs="Times New Roman"/>
          <w:b/>
          <w:bCs/>
          <w:sz w:val="24"/>
          <w:szCs w:val="24"/>
        </w:rPr>
        <w:t>16</w:t>
      </w:r>
      <w:r w:rsidRPr="00AD04DA">
        <w:rPr>
          <w:rFonts w:ascii="Times New Roman" w:hAnsi="Times New Roman" w:cs="Times New Roman"/>
          <w:b/>
          <w:bCs/>
          <w:sz w:val="24"/>
          <w:szCs w:val="24"/>
        </w:rPr>
        <w:t>:</w:t>
      </w:r>
      <w:r w:rsidRPr="00AD04DA">
        <w:rPr>
          <w:rFonts w:ascii="Times New Roman" w:hAnsi="Times New Roman" w:cs="Times New Roman"/>
          <w:sz w:val="24"/>
          <w:szCs w:val="24"/>
        </w:rPr>
        <w:t xml:space="preserve"> Synthetic FGD wastewater feed and product water salinity</w:t>
      </w:r>
      <w:r w:rsidR="00035E0B" w:rsidRPr="00AD04DA">
        <w:rPr>
          <w:rFonts w:ascii="Times New Roman" w:hAnsi="Times New Roman" w:cs="Times New Roman"/>
          <w:sz w:val="24"/>
          <w:szCs w:val="24"/>
        </w:rPr>
        <w:t xml:space="preserve"> and selenate</w:t>
      </w:r>
      <w:r w:rsidRPr="00AD04DA">
        <w:rPr>
          <w:rFonts w:ascii="Times New Roman" w:hAnsi="Times New Roman" w:cs="Times New Roman"/>
          <w:sz w:val="24"/>
          <w:szCs w:val="24"/>
        </w:rPr>
        <w:t xml:space="preserve"> after extraction with DPA and DA.</w:t>
      </w:r>
    </w:p>
    <w:p w14:paraId="4C6E533F" w14:textId="38387AA7" w:rsidR="009B195E" w:rsidRPr="00AD04DA" w:rsidRDefault="009B195E" w:rsidP="00840CE7">
      <w:pPr>
        <w:spacing w:after="0" w:line="480" w:lineRule="auto"/>
        <w:jc w:val="center"/>
        <w:rPr>
          <w:rFonts w:ascii="Times New Roman" w:hAnsi="Times New Roman" w:cs="Times New Roman"/>
          <w:sz w:val="24"/>
          <w:szCs w:val="24"/>
        </w:rPr>
      </w:pPr>
    </w:p>
    <w:p w14:paraId="69C618CE" w14:textId="584F5259" w:rsidR="009B195E" w:rsidRPr="00AD04DA" w:rsidRDefault="00E414FB" w:rsidP="00C01834">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TSSE of the synthetic FGD wastewater reduced the salinity of the water extracted with DPA to 0.1</w:t>
      </w:r>
      <w:r w:rsidR="006F3764" w:rsidRPr="00AD04DA">
        <w:rPr>
          <w:rFonts w:ascii="Times New Roman" w:hAnsi="Times New Roman" w:cs="Times New Roman"/>
          <w:sz w:val="24"/>
          <w:szCs w:val="24"/>
        </w:rPr>
        <w:t>1</w:t>
      </w:r>
      <w:r w:rsidRPr="00AD04DA">
        <w:rPr>
          <w:rFonts w:ascii="Times New Roman" w:hAnsi="Times New Roman" w:cs="Times New Roman"/>
          <w:sz w:val="24"/>
          <w:szCs w:val="24"/>
        </w:rPr>
        <w:t xml:space="preserve"> ± 0.04 M.</w:t>
      </w:r>
      <w:r w:rsidR="004F3CB9" w:rsidRPr="00AD04DA">
        <w:rPr>
          <w:rFonts w:ascii="Times New Roman" w:hAnsi="Times New Roman" w:cs="Times New Roman"/>
          <w:sz w:val="24"/>
          <w:szCs w:val="24"/>
        </w:rPr>
        <w:t xml:space="preserve"> </w:t>
      </w:r>
      <w:r w:rsidR="00C01834" w:rsidRPr="00AD04DA">
        <w:rPr>
          <w:rFonts w:ascii="Times New Roman" w:hAnsi="Times New Roman" w:cs="Times New Roman"/>
          <w:sz w:val="24"/>
          <w:szCs w:val="24"/>
        </w:rPr>
        <w:t>The selenate concentration of this product water</w:t>
      </w:r>
      <w:r w:rsidR="006F3764" w:rsidRPr="00AD04DA">
        <w:rPr>
          <w:rFonts w:ascii="Times New Roman" w:hAnsi="Times New Roman" w:cs="Times New Roman"/>
          <w:sz w:val="24"/>
          <w:szCs w:val="24"/>
        </w:rPr>
        <w:t xml:space="preserve"> was 67.9 ± 33.9 ppm.</w:t>
      </w:r>
      <w:r w:rsidR="00C01834" w:rsidRPr="00AD04DA">
        <w:rPr>
          <w:rFonts w:ascii="Times New Roman" w:hAnsi="Times New Roman" w:cs="Times New Roman"/>
          <w:sz w:val="24"/>
          <w:szCs w:val="24"/>
        </w:rPr>
        <w:t xml:space="preserve"> </w:t>
      </w:r>
      <w:r w:rsidR="00D256C4" w:rsidRPr="00AD04DA">
        <w:rPr>
          <w:rFonts w:ascii="Times New Roman" w:hAnsi="Times New Roman" w:cs="Times New Roman"/>
          <w:sz w:val="24"/>
          <w:szCs w:val="24"/>
        </w:rPr>
        <w:t>The salinity of the product water for synthetic FGD wastewater extracted with DA was 0.0</w:t>
      </w:r>
      <w:r w:rsidR="006F3764" w:rsidRPr="00AD04DA">
        <w:rPr>
          <w:rFonts w:ascii="Times New Roman" w:hAnsi="Times New Roman" w:cs="Times New Roman"/>
          <w:sz w:val="24"/>
          <w:szCs w:val="24"/>
        </w:rPr>
        <w:t>17</w:t>
      </w:r>
      <w:r w:rsidR="00D256C4" w:rsidRPr="00AD04DA">
        <w:rPr>
          <w:rFonts w:ascii="Times New Roman" w:hAnsi="Times New Roman" w:cs="Times New Roman"/>
          <w:sz w:val="24"/>
          <w:szCs w:val="24"/>
        </w:rPr>
        <w:t xml:space="preserve"> ± 0.006 M.</w:t>
      </w:r>
      <w:r w:rsidR="007B4D84" w:rsidRPr="00AD04DA">
        <w:rPr>
          <w:rFonts w:ascii="Times New Roman" w:hAnsi="Times New Roman" w:cs="Times New Roman"/>
          <w:sz w:val="24"/>
          <w:szCs w:val="24"/>
        </w:rPr>
        <w:t xml:space="preserve"> </w:t>
      </w:r>
      <w:r w:rsidR="006F3764" w:rsidRPr="00AD04DA">
        <w:rPr>
          <w:rFonts w:ascii="Times New Roman" w:hAnsi="Times New Roman" w:cs="Times New Roman"/>
          <w:sz w:val="24"/>
          <w:szCs w:val="24"/>
        </w:rPr>
        <w:t>The selenate concentration of this water was 15.9 ± 14.0 ppm.</w:t>
      </w:r>
    </w:p>
    <w:p w14:paraId="3261506D" w14:textId="7DFEE676" w:rsidR="003735A7" w:rsidRPr="00AD04DA" w:rsidRDefault="003735A7" w:rsidP="009B195E">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Figure </w:t>
      </w:r>
      <w:r w:rsidR="006F3764" w:rsidRPr="00AD04DA">
        <w:rPr>
          <w:rFonts w:ascii="Times New Roman" w:hAnsi="Times New Roman" w:cs="Times New Roman"/>
          <w:sz w:val="24"/>
          <w:szCs w:val="24"/>
        </w:rPr>
        <w:t>17</w:t>
      </w:r>
      <w:r w:rsidRPr="00AD04DA">
        <w:rPr>
          <w:rFonts w:ascii="Times New Roman" w:hAnsi="Times New Roman" w:cs="Times New Roman"/>
          <w:sz w:val="24"/>
          <w:szCs w:val="24"/>
        </w:rPr>
        <w:t xml:space="preserve"> shows the TSSE NaCl and SeO</w:t>
      </w:r>
      <w:r w:rsidRPr="00AD04DA">
        <w:rPr>
          <w:rFonts w:ascii="Times New Roman" w:hAnsi="Times New Roman" w:cs="Times New Roman"/>
          <w:sz w:val="24"/>
          <w:szCs w:val="24"/>
          <w:vertAlign w:val="subscript"/>
        </w:rPr>
        <w:t>4</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xml:space="preserve"> rejection for extraction of synthetic FGD wastewater with DA and DPA.</w:t>
      </w:r>
    </w:p>
    <w:p w14:paraId="167B8550" w14:textId="7AF50B05" w:rsidR="003735A7" w:rsidRPr="00AD04DA" w:rsidRDefault="00A05864" w:rsidP="003735A7">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25B4B116" wp14:editId="67462B67">
            <wp:extent cx="5943600" cy="3279140"/>
            <wp:effectExtent l="0" t="0" r="0" b="0"/>
            <wp:docPr id="10" name="Chart 10">
              <a:extLst xmlns:a="http://schemas.openxmlformats.org/drawingml/2006/main">
                <a:ext uri="{FF2B5EF4-FFF2-40B4-BE49-F238E27FC236}">
                  <a16:creationId xmlns:a16="http://schemas.microsoft.com/office/drawing/2014/main" id="{EB5F4874-7503-436B-B313-23E5FFCEAC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7586762" w14:textId="5D02993F" w:rsidR="00D34723" w:rsidRPr="00AD04DA" w:rsidRDefault="00D34723" w:rsidP="00C54832">
      <w:pPr>
        <w:spacing w:after="0"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6F3764" w:rsidRPr="00AD04DA">
        <w:rPr>
          <w:rFonts w:ascii="Times New Roman" w:hAnsi="Times New Roman" w:cs="Times New Roman"/>
          <w:b/>
          <w:bCs/>
          <w:sz w:val="24"/>
          <w:szCs w:val="24"/>
        </w:rPr>
        <w:t>17</w:t>
      </w:r>
      <w:r w:rsidRPr="00AD04DA">
        <w:rPr>
          <w:rFonts w:ascii="Times New Roman" w:hAnsi="Times New Roman" w:cs="Times New Roman"/>
          <w:b/>
          <w:bCs/>
          <w:sz w:val="24"/>
          <w:szCs w:val="24"/>
        </w:rPr>
        <w:t xml:space="preserve">: </w:t>
      </w:r>
      <w:r w:rsidRPr="00AD04DA">
        <w:rPr>
          <w:rFonts w:ascii="Times New Roman" w:hAnsi="Times New Roman" w:cs="Times New Roman"/>
          <w:sz w:val="24"/>
          <w:szCs w:val="24"/>
        </w:rPr>
        <w:t>Average TSSE solute rejection for synthetic FGD wastewater feed with DA and DPA organic phases.</w:t>
      </w:r>
    </w:p>
    <w:p w14:paraId="6DDE3897" w14:textId="77777777" w:rsidR="00AE5C3D" w:rsidRPr="00AD04DA" w:rsidRDefault="00AE5C3D" w:rsidP="00724076">
      <w:pPr>
        <w:spacing w:after="0" w:line="480" w:lineRule="auto"/>
        <w:jc w:val="both"/>
        <w:rPr>
          <w:rFonts w:ascii="Times New Roman" w:hAnsi="Times New Roman" w:cs="Times New Roman"/>
          <w:sz w:val="24"/>
          <w:szCs w:val="24"/>
          <w:highlight w:val="red"/>
        </w:rPr>
      </w:pPr>
    </w:p>
    <w:p w14:paraId="5D53D84F" w14:textId="3F5E6C6F" w:rsidR="00724076" w:rsidRPr="00AD04DA" w:rsidRDefault="00043385" w:rsidP="00724076">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The TSSE selenate rejection was 96.82 ± 2.79 and 86.42 ± 6.78% for DA and DPA, respectively. The TSSE NaCl rejection was 95.52 ± 1.14 and 74.07 ± 7.81% for DA and DPA, respectively.</w:t>
      </w:r>
    </w:p>
    <w:p w14:paraId="2472A67B" w14:textId="0419F218" w:rsidR="00485B67" w:rsidRPr="00AD04DA" w:rsidRDefault="00485B67" w:rsidP="00724076">
      <w:pPr>
        <w:spacing w:after="0" w:line="480" w:lineRule="auto"/>
        <w:jc w:val="both"/>
        <w:rPr>
          <w:rFonts w:ascii="Times New Roman" w:hAnsi="Times New Roman" w:cs="Times New Roman"/>
          <w:sz w:val="24"/>
          <w:szCs w:val="24"/>
          <w:vertAlign w:val="subscript"/>
        </w:rPr>
      </w:pPr>
      <w:r w:rsidRPr="00AD04DA">
        <w:rPr>
          <w:rFonts w:ascii="Times New Roman" w:hAnsi="Times New Roman" w:cs="Times New Roman"/>
          <w:sz w:val="24"/>
          <w:szCs w:val="24"/>
        </w:rPr>
        <w:tab/>
        <w:t xml:space="preserve">For DPA, the NaCl rejection for synthetic FGD wastewater was lower than it was for 3.5 </w:t>
      </w:r>
      <w:r w:rsidR="00CB43B3" w:rsidRPr="00AD04DA">
        <w:rPr>
          <w:rFonts w:ascii="Times New Roman" w:hAnsi="Times New Roman" w:cs="Times New Roman"/>
          <w:sz w:val="24"/>
          <w:szCs w:val="24"/>
        </w:rPr>
        <w:t>w/w%</w:t>
      </w:r>
      <w:r w:rsidRPr="00AD04DA">
        <w:rPr>
          <w:rFonts w:ascii="Times New Roman" w:hAnsi="Times New Roman" w:cs="Times New Roman"/>
          <w:sz w:val="24"/>
          <w:szCs w:val="24"/>
        </w:rPr>
        <w:t xml:space="preserve"> NaCl</w:t>
      </w:r>
      <w:r w:rsidR="00FF0D8E" w:rsidRPr="00AD04DA">
        <w:rPr>
          <w:rFonts w:ascii="Times New Roman" w:hAnsi="Times New Roman" w:cs="Times New Roman"/>
          <w:sz w:val="24"/>
          <w:szCs w:val="24"/>
        </w:rPr>
        <w:t>, which was</w:t>
      </w:r>
      <w:r w:rsidRPr="00AD04DA">
        <w:rPr>
          <w:rFonts w:ascii="Times New Roman" w:hAnsi="Times New Roman" w:cs="Times New Roman"/>
          <w:sz w:val="24"/>
          <w:szCs w:val="24"/>
        </w:rPr>
        <w:t xml:space="preserve"> 81.38 ± 4.07%. </w:t>
      </w:r>
      <w:r w:rsidR="000E133D" w:rsidRPr="00AD04DA">
        <w:rPr>
          <w:rFonts w:ascii="Times New Roman" w:hAnsi="Times New Roman" w:cs="Times New Roman"/>
          <w:sz w:val="24"/>
          <w:szCs w:val="24"/>
        </w:rPr>
        <w:t xml:space="preserve">This agrees with the trend observed for NaCl only feeds, where solute rejection decreased with decreasing feed concentrations. </w:t>
      </w:r>
      <w:r w:rsidR="00F877FB" w:rsidRPr="00AD04DA">
        <w:rPr>
          <w:rFonts w:ascii="Times New Roman" w:hAnsi="Times New Roman" w:cs="Times New Roman"/>
          <w:sz w:val="24"/>
          <w:szCs w:val="24"/>
        </w:rPr>
        <w:t>For selenate in the wastewater, DPA showed selectivity. This was not observed with the only solute was 500 ppm selenate or selenite</w:t>
      </w:r>
      <w:r w:rsidR="00833D44">
        <w:rPr>
          <w:rFonts w:ascii="Times New Roman" w:hAnsi="Times New Roman" w:cs="Times New Roman"/>
          <w:sz w:val="24"/>
          <w:szCs w:val="24"/>
        </w:rPr>
        <w:t>, but selectivity was achieved with the coexistence of relatively concentrated NaCl.</w:t>
      </w:r>
      <w:r w:rsidR="008B06D9" w:rsidRPr="00AD04DA">
        <w:rPr>
          <w:rFonts w:ascii="Times New Roman" w:hAnsi="Times New Roman" w:cs="Times New Roman"/>
          <w:sz w:val="24"/>
          <w:szCs w:val="24"/>
        </w:rPr>
        <w:t xml:space="preserve"> </w:t>
      </w:r>
      <w:r w:rsidR="00712BE6" w:rsidRPr="00AD04DA">
        <w:rPr>
          <w:rFonts w:ascii="Times New Roman" w:hAnsi="Times New Roman" w:cs="Times New Roman"/>
          <w:sz w:val="24"/>
          <w:szCs w:val="24"/>
        </w:rPr>
        <w:t xml:space="preserve">This indicates that DPA selectivity depends primarily on the total </w:t>
      </w:r>
      <w:r w:rsidR="000B594A" w:rsidRPr="00AD04DA">
        <w:rPr>
          <w:rFonts w:ascii="Times New Roman" w:hAnsi="Times New Roman" w:cs="Times New Roman"/>
          <w:sz w:val="24"/>
          <w:szCs w:val="24"/>
        </w:rPr>
        <w:t>ionic strength</w:t>
      </w:r>
      <w:r w:rsidR="00712BE6" w:rsidRPr="00AD04DA">
        <w:rPr>
          <w:rFonts w:ascii="Times New Roman" w:hAnsi="Times New Roman" w:cs="Times New Roman"/>
          <w:sz w:val="24"/>
          <w:szCs w:val="24"/>
        </w:rPr>
        <w:t xml:space="preserve"> of the feed rather than individual ion concentrations. </w:t>
      </w:r>
      <w:r w:rsidR="00F45648" w:rsidRPr="00AD04DA">
        <w:rPr>
          <w:rFonts w:ascii="Times New Roman" w:hAnsi="Times New Roman" w:cs="Times New Roman"/>
          <w:sz w:val="24"/>
          <w:szCs w:val="24"/>
        </w:rPr>
        <w:t xml:space="preserve">Selectivity against </w:t>
      </w:r>
      <w:r w:rsidR="009A0CB8" w:rsidRPr="00AD04DA">
        <w:rPr>
          <w:rFonts w:ascii="Times New Roman" w:hAnsi="Times New Roman" w:cs="Times New Roman"/>
          <w:sz w:val="24"/>
          <w:szCs w:val="24"/>
        </w:rPr>
        <w:t>a low</w:t>
      </w:r>
      <w:r w:rsidR="00F45648" w:rsidRPr="00AD04DA">
        <w:rPr>
          <w:rFonts w:ascii="Times New Roman" w:hAnsi="Times New Roman" w:cs="Times New Roman"/>
          <w:sz w:val="24"/>
          <w:szCs w:val="24"/>
        </w:rPr>
        <w:t xml:space="preserve"> </w:t>
      </w:r>
      <w:r w:rsidR="000B594A" w:rsidRPr="00AD04DA">
        <w:rPr>
          <w:rFonts w:ascii="Times New Roman" w:hAnsi="Times New Roman" w:cs="Times New Roman"/>
          <w:sz w:val="24"/>
          <w:szCs w:val="24"/>
        </w:rPr>
        <w:t xml:space="preserve">concentration </w:t>
      </w:r>
      <w:r w:rsidR="00F45648" w:rsidRPr="00AD04DA">
        <w:rPr>
          <w:rFonts w:ascii="Times New Roman" w:hAnsi="Times New Roman" w:cs="Times New Roman"/>
          <w:sz w:val="24"/>
          <w:szCs w:val="24"/>
        </w:rPr>
        <w:t xml:space="preserve">of selenium was achieved, but only when </w:t>
      </w:r>
      <w:r w:rsidR="005834FB" w:rsidRPr="00AD04DA">
        <w:rPr>
          <w:rFonts w:ascii="Times New Roman" w:hAnsi="Times New Roman" w:cs="Times New Roman"/>
          <w:sz w:val="24"/>
          <w:szCs w:val="24"/>
        </w:rPr>
        <w:t xml:space="preserve">the feed </w:t>
      </w:r>
      <w:r w:rsidR="00833D44">
        <w:rPr>
          <w:rFonts w:ascii="Times New Roman" w:hAnsi="Times New Roman" w:cs="Times New Roman"/>
          <w:sz w:val="24"/>
          <w:szCs w:val="24"/>
        </w:rPr>
        <w:t>ionic strength</w:t>
      </w:r>
      <w:r w:rsidR="005834FB" w:rsidRPr="00AD04DA">
        <w:rPr>
          <w:rFonts w:ascii="Times New Roman" w:hAnsi="Times New Roman" w:cs="Times New Roman"/>
          <w:sz w:val="24"/>
          <w:szCs w:val="24"/>
        </w:rPr>
        <w:t xml:space="preserve"> was sufficiently high. </w:t>
      </w:r>
      <w:r w:rsidR="009A5497" w:rsidRPr="00AD04DA">
        <w:rPr>
          <w:rFonts w:ascii="Times New Roman" w:hAnsi="Times New Roman" w:cs="Times New Roman"/>
          <w:sz w:val="24"/>
          <w:szCs w:val="24"/>
        </w:rPr>
        <w:t xml:space="preserve">These results show that DPA </w:t>
      </w:r>
      <w:r w:rsidR="00E3713C" w:rsidRPr="00AD04DA">
        <w:rPr>
          <w:rFonts w:ascii="Times New Roman" w:hAnsi="Times New Roman" w:cs="Times New Roman"/>
          <w:sz w:val="24"/>
          <w:szCs w:val="24"/>
        </w:rPr>
        <w:lastRenderedPageBreak/>
        <w:t>can treat</w:t>
      </w:r>
      <w:r w:rsidR="009A5497" w:rsidRPr="00AD04DA">
        <w:rPr>
          <w:rFonts w:ascii="Times New Roman" w:hAnsi="Times New Roman" w:cs="Times New Roman"/>
          <w:sz w:val="24"/>
          <w:szCs w:val="24"/>
        </w:rPr>
        <w:t xml:space="preserve"> trace contaminants in </w:t>
      </w:r>
      <w:r w:rsidR="00FD6D72" w:rsidRPr="00AD04DA">
        <w:rPr>
          <w:rFonts w:ascii="Times New Roman" w:hAnsi="Times New Roman" w:cs="Times New Roman"/>
          <w:sz w:val="24"/>
          <w:szCs w:val="24"/>
        </w:rPr>
        <w:t xml:space="preserve">high TDS </w:t>
      </w:r>
      <w:r w:rsidR="009A5497" w:rsidRPr="00AD04DA">
        <w:rPr>
          <w:rFonts w:ascii="Times New Roman" w:hAnsi="Times New Roman" w:cs="Times New Roman"/>
          <w:sz w:val="24"/>
          <w:szCs w:val="24"/>
        </w:rPr>
        <w:t>feeds. For feeds only containing low levels of solutes, TSSE with DPA is ineffective.</w:t>
      </w:r>
    </w:p>
    <w:p w14:paraId="44BC3A41" w14:textId="4CBFD1BF" w:rsidR="00724076" w:rsidRPr="00AD04DA" w:rsidRDefault="00800114" w:rsidP="00724076">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2744B7" w:rsidRPr="00AD04DA">
        <w:rPr>
          <w:rFonts w:ascii="Times New Roman" w:hAnsi="Times New Roman" w:cs="Times New Roman"/>
          <w:sz w:val="24"/>
          <w:szCs w:val="24"/>
        </w:rPr>
        <w:t xml:space="preserve">For DA, the rejection of selenate in synthetic FGD wastewater was </w:t>
      </w:r>
      <w:r w:rsidR="00753247" w:rsidRPr="00AD04DA">
        <w:rPr>
          <w:rFonts w:ascii="Times New Roman" w:hAnsi="Times New Roman" w:cs="Times New Roman"/>
          <w:sz w:val="24"/>
          <w:szCs w:val="24"/>
        </w:rPr>
        <w:t xml:space="preserve">slightly </w:t>
      </w:r>
      <w:r w:rsidR="002744B7" w:rsidRPr="00AD04DA">
        <w:rPr>
          <w:rFonts w:ascii="Times New Roman" w:hAnsi="Times New Roman" w:cs="Times New Roman"/>
          <w:sz w:val="24"/>
          <w:szCs w:val="24"/>
        </w:rPr>
        <w:t xml:space="preserve">lower than it was for 500 ppm selenium feeds. </w:t>
      </w:r>
      <w:r w:rsidR="00753247" w:rsidRPr="00AD04DA">
        <w:rPr>
          <w:rFonts w:ascii="Times New Roman" w:hAnsi="Times New Roman" w:cs="Times New Roman"/>
          <w:sz w:val="24"/>
          <w:szCs w:val="24"/>
        </w:rPr>
        <w:t>The selenium rejection fell from 98.13 ± 2.86</w:t>
      </w:r>
      <w:r w:rsidR="00BC47AB">
        <w:rPr>
          <w:rFonts w:ascii="Times New Roman" w:hAnsi="Times New Roman" w:cs="Times New Roman"/>
          <w:sz w:val="24"/>
          <w:szCs w:val="24"/>
        </w:rPr>
        <w:t>%</w:t>
      </w:r>
      <w:r w:rsidR="00753247" w:rsidRPr="00AD04DA">
        <w:rPr>
          <w:rFonts w:ascii="Times New Roman" w:hAnsi="Times New Roman" w:cs="Times New Roman"/>
          <w:sz w:val="24"/>
          <w:szCs w:val="24"/>
        </w:rPr>
        <w:t xml:space="preserve"> for 500 ppm selenate to 96.82 ± 2.79</w:t>
      </w:r>
      <w:r w:rsidR="00BC47AB">
        <w:rPr>
          <w:rFonts w:ascii="Times New Roman" w:hAnsi="Times New Roman" w:cs="Times New Roman"/>
          <w:sz w:val="24"/>
          <w:szCs w:val="24"/>
        </w:rPr>
        <w:t xml:space="preserve">%. </w:t>
      </w:r>
      <w:r w:rsidR="000F7BEE" w:rsidRPr="00AD04DA">
        <w:rPr>
          <w:rFonts w:ascii="Times New Roman" w:hAnsi="Times New Roman" w:cs="Times New Roman"/>
          <w:sz w:val="24"/>
          <w:szCs w:val="24"/>
        </w:rPr>
        <w:t xml:space="preserve">The decrease in both salt and selenate rejection in synthetic FGD wastewater contradicts the findings of the NaCl only and selenium </w:t>
      </w:r>
      <w:r w:rsidR="00C755FC" w:rsidRPr="00AD04DA">
        <w:rPr>
          <w:rFonts w:ascii="Times New Roman" w:hAnsi="Times New Roman" w:cs="Times New Roman"/>
          <w:sz w:val="24"/>
          <w:szCs w:val="24"/>
        </w:rPr>
        <w:t>oxyanion</w:t>
      </w:r>
      <w:r w:rsidR="000F7BEE" w:rsidRPr="00AD04DA">
        <w:rPr>
          <w:rFonts w:ascii="Times New Roman" w:hAnsi="Times New Roman" w:cs="Times New Roman"/>
          <w:sz w:val="24"/>
          <w:szCs w:val="24"/>
        </w:rPr>
        <w:t xml:space="preserve"> only feeds, where the rejection was independent </w:t>
      </w:r>
      <w:r w:rsidR="006D1C05" w:rsidRPr="00AD04DA">
        <w:rPr>
          <w:rFonts w:ascii="Times New Roman" w:hAnsi="Times New Roman" w:cs="Times New Roman"/>
          <w:sz w:val="24"/>
          <w:szCs w:val="24"/>
        </w:rPr>
        <w:t xml:space="preserve">of feed concentration and species. </w:t>
      </w:r>
      <w:r w:rsidR="00464AE8" w:rsidRPr="00AD04DA">
        <w:rPr>
          <w:rFonts w:ascii="Times New Roman" w:hAnsi="Times New Roman" w:cs="Times New Roman"/>
          <w:sz w:val="24"/>
          <w:szCs w:val="24"/>
        </w:rPr>
        <w:t xml:space="preserve">However, a single pass of </w:t>
      </w:r>
      <w:r w:rsidR="00105338" w:rsidRPr="00AD04DA">
        <w:rPr>
          <w:rFonts w:ascii="Times New Roman" w:hAnsi="Times New Roman" w:cs="Times New Roman"/>
          <w:sz w:val="24"/>
          <w:szCs w:val="24"/>
        </w:rPr>
        <w:t>TSSE with DA achieved more than 95% solute rejection for synthetic FGD wastewater, making it a promising treatment technology for real samples.</w:t>
      </w:r>
    </w:p>
    <w:p w14:paraId="0B4D4C6C" w14:textId="73846263" w:rsidR="004A1CC4" w:rsidRPr="00AD04DA" w:rsidRDefault="004A1CC4" w:rsidP="00724076">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For both solvents, a higher rejection was achieved against the selenate anion than NaCl. Since sodium was the only anion in the solution, this shows a higher rejection of selenate with respect to chloride. </w:t>
      </w:r>
      <w:r w:rsidR="00DD7424" w:rsidRPr="00AD04DA">
        <w:rPr>
          <w:rFonts w:ascii="Times New Roman" w:hAnsi="Times New Roman" w:cs="Times New Roman"/>
          <w:sz w:val="24"/>
          <w:szCs w:val="24"/>
        </w:rPr>
        <w:t xml:space="preserve">As mentioned previously, a higher selectivity against selenite was observed than selenate, and now a higher selectivity against selenate is observed than chloride. </w:t>
      </w:r>
      <w:r w:rsidR="007C3811" w:rsidRPr="00AD04DA">
        <w:rPr>
          <w:rFonts w:ascii="Times New Roman" w:hAnsi="Times New Roman" w:cs="Times New Roman"/>
          <w:sz w:val="24"/>
          <w:szCs w:val="24"/>
        </w:rPr>
        <w:t>The hydrated radii of selenite, selenate, and chloride are 4.36, 3.94, and 3.19 Å, respectively</w:t>
      </w:r>
      <w:r w:rsidR="007C3811"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{"citationID":"KtAdDQDM","properties":{"formattedCitation":"\\super 92,106\\nosupersub{}","plainCitation":"92,106","noteIndex":0},"citationItems":[{"id":856,"uris":["http://zotero.org/users/8284751/items/MQD4SS69"],"itemData":{"id":856,"type":"article-journal","abstract":"The selenite ion has an asymmetric hydration sphere with loosely electrostatically bound water molecules outside the free electron pair.\n          , \n            \n              The structure and hydrogen bonding of the hydrated selenite, SeO\n              3\n              2−\n              , and selenate, SeO\n              4\n              2−\n              , ions have been studied in aqueous solution by large angle X-ray scattering (LAXS), EXAFS and double difference infrared (DDIR) spectroscopy. The mean Se–O bond distances are 1.709(2) and 1.657(2) Å, respectively, as determined by LAXS, and 1.701(3) and 1.643(3) Å by EXAFS. These bond distances are slightly longer than the mean distances found in the solid state, 1.691 and 1.634 Å, respectively. The structures of HSeO\n              3\n              −\n              , H\n              2\n              SeO\n              3\n              and HSeO\n              4\n              −\n              in aqueous solution have been determined by EXAFS giving the same Se–O bond distances as for the selenite and selenate ions, respectively. The mean Se</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distance to the water molecules hydrogen binding to selenite oxygens is 3.87(2) Å, and it is 4.36(8) Å to those clustered outside the lone electron-pair. The selenate ion has a symmetric hydration shell with only one Se</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distance, 3.94(2) Å. The mean Se–O</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angle in the hydrated selenite ion is 114.5°, and the large temperature factor of the Se</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O\n              w\n              distance strongly indicates equilibrium between two and three water molecules hydrogen bound to the selenite oxygens. The mean Se–O</w:instrText>
      </w:r>
      <w:r w:rsidR="00AE4CC3">
        <w:rPr>
          <w:rFonts w:ascii="Cambria Math" w:hAnsi="Cambria Math" w:cs="Cambria Math"/>
          <w:sz w:val="24"/>
          <w:szCs w:val="24"/>
        </w:rPr>
        <w:instrText>⋯</w:instrText>
      </w:r>
      <w:r w:rsidR="00AE4CC3">
        <w:rPr>
          <w:rFonts w:ascii="Times New Roman" w:hAnsi="Times New Roman" w:cs="Times New Roman"/>
          <w:sz w:val="24"/>
          <w:szCs w:val="24"/>
        </w:rPr>
        <w:instrText xml:space="preserve">O\n              w\n              angle in the hydrated selenate ion is 120° which strongly indicates that two water molecules hydrogen bind to the selenate oxygens. The DDIR spectra show peaks for the affected water bound to the selenite and selenate ions at 2491 ± 2 and 2480 ± 39 cm\n              −1\n              , respectively, compared to 2509 cm\n              −1\n              in pure water. This shows that the selenite and selenate ions shall be regarded as weak structure makers.","container-title":"Dalton Trans.","DOI":"10.1039/C3DT53468E","ISSN":"1477-9226, 1477-9234","issue":"17","journalAbbreviation":"Dalton Trans.","language":"en","page":"6315-6321","source":"DOI.org (Crossref)","title":"Structure and hydrogen bonding of the hydrated selenite and selenate ions in aqueous solution","volume":"43","author":[{"family":"Eklund","given":"Lars"},{"family":"Persson","given":"Ingmar"}],"issued":{"date-parts":[["2014"]]}}},{"id":906,"uris":["http://zotero.org/users/8284751/items/CQHW77YA"],"itemData":{"id":906,"type":"article-journal","language":"en","page":"24","source":"Zotero","title":"Ionic radii in aqueous solutions","author":[{"family":"Marcus","given":"Yizhak"}]}}],"schema":"https://github.com/citation-style-language/schema/raw/master/csl-citation.json"} </w:instrText>
      </w:r>
      <w:r w:rsidR="007C3811" w:rsidRPr="00AD04DA">
        <w:rPr>
          <w:rFonts w:ascii="Times New Roman" w:hAnsi="Times New Roman" w:cs="Times New Roman"/>
          <w:sz w:val="24"/>
          <w:szCs w:val="24"/>
        </w:rPr>
        <w:fldChar w:fldCharType="separate"/>
      </w:r>
      <w:r w:rsidR="007C3811" w:rsidRPr="00AD04DA">
        <w:rPr>
          <w:rFonts w:ascii="Times New Roman" w:hAnsi="Times New Roman" w:cs="Times New Roman"/>
          <w:sz w:val="24"/>
          <w:szCs w:val="24"/>
          <w:vertAlign w:val="superscript"/>
        </w:rPr>
        <w:t>92,106</w:t>
      </w:r>
      <w:r w:rsidR="007C3811" w:rsidRPr="00AD04DA">
        <w:rPr>
          <w:rFonts w:ascii="Times New Roman" w:hAnsi="Times New Roman" w:cs="Times New Roman"/>
          <w:sz w:val="24"/>
          <w:szCs w:val="24"/>
        </w:rPr>
        <w:fldChar w:fldCharType="end"/>
      </w:r>
      <w:r w:rsidR="007C3811" w:rsidRPr="00AD04DA">
        <w:rPr>
          <w:rFonts w:ascii="Times New Roman" w:hAnsi="Times New Roman" w:cs="Times New Roman"/>
          <w:sz w:val="24"/>
          <w:szCs w:val="24"/>
        </w:rPr>
        <w:t xml:space="preserve">. </w:t>
      </w:r>
      <w:r w:rsidR="00A93AE0" w:rsidRPr="00AD04DA">
        <w:rPr>
          <w:rFonts w:ascii="Times New Roman" w:hAnsi="Times New Roman" w:cs="Times New Roman"/>
          <w:sz w:val="24"/>
          <w:szCs w:val="24"/>
        </w:rPr>
        <w:t xml:space="preserve">This </w:t>
      </w:r>
      <w:r w:rsidR="00D92E8C" w:rsidRPr="00AD04DA">
        <w:rPr>
          <w:rFonts w:ascii="Times New Roman" w:hAnsi="Times New Roman" w:cs="Times New Roman"/>
          <w:sz w:val="24"/>
          <w:szCs w:val="24"/>
        </w:rPr>
        <w:t>continues the previous trend</w:t>
      </w:r>
      <w:r w:rsidR="00A93AE0" w:rsidRPr="00AD04DA">
        <w:rPr>
          <w:rFonts w:ascii="Times New Roman" w:hAnsi="Times New Roman" w:cs="Times New Roman"/>
          <w:sz w:val="24"/>
          <w:szCs w:val="24"/>
        </w:rPr>
        <w:t xml:space="preserve"> between hydrated radius and rejection by TSSE.</w:t>
      </w:r>
      <w:r w:rsidR="00683A3F" w:rsidRPr="00AD04DA">
        <w:rPr>
          <w:rFonts w:ascii="Times New Roman" w:hAnsi="Times New Roman" w:cs="Times New Roman"/>
          <w:sz w:val="24"/>
          <w:szCs w:val="24"/>
        </w:rPr>
        <w:t xml:space="preserve"> Though this correlation needs further study, it provides insight into how properties of ions influence their partition between phases and resulting rejection by TSSE.</w:t>
      </w:r>
    </w:p>
    <w:p w14:paraId="16D2619E" w14:textId="66594330" w:rsidR="00A123C7" w:rsidRPr="00AD04DA" w:rsidRDefault="006F3764" w:rsidP="00A123C7">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E3713C" w:rsidRPr="00AD04DA">
        <w:rPr>
          <w:rFonts w:ascii="Times New Roman" w:hAnsi="Times New Roman" w:cs="Times New Roman"/>
          <w:sz w:val="24"/>
          <w:szCs w:val="24"/>
        </w:rPr>
        <w:t>For extraction with DPA, the sodium chloride rejection increased at higher feed concentrations. Virtually no selectivity was observed against 500 ppm selenate alone, but a rejection of 86.42 ± 6.78% was achieved against 500 ppm selenate with the coexistence of sodium chloride at 20 g/L as chloride.</w:t>
      </w:r>
      <w:r w:rsidR="00E5309A" w:rsidRPr="00AD04DA">
        <w:rPr>
          <w:rFonts w:ascii="Times New Roman" w:hAnsi="Times New Roman" w:cs="Times New Roman"/>
          <w:sz w:val="24"/>
          <w:szCs w:val="24"/>
        </w:rPr>
        <w:t xml:space="preserve"> This demonstrates that the rejection is dependent on the total ion concentration of the feed rather than the concentration of an individual species.</w:t>
      </w:r>
      <w:r w:rsidR="003C064E" w:rsidRPr="00AD04DA">
        <w:rPr>
          <w:rFonts w:ascii="Times New Roman" w:hAnsi="Times New Roman" w:cs="Times New Roman"/>
          <w:sz w:val="24"/>
          <w:szCs w:val="24"/>
        </w:rPr>
        <w:t xml:space="preserve"> Thermodynamic </w:t>
      </w:r>
      <w:r w:rsidR="003C064E" w:rsidRPr="00AD04DA">
        <w:rPr>
          <w:rFonts w:ascii="Times New Roman" w:hAnsi="Times New Roman" w:cs="Times New Roman"/>
          <w:sz w:val="24"/>
          <w:szCs w:val="24"/>
        </w:rPr>
        <w:lastRenderedPageBreak/>
        <w:t>modelling explains this observation.</w:t>
      </w:r>
      <w:r w:rsidR="00E3713C" w:rsidRPr="00AD04DA">
        <w:rPr>
          <w:rFonts w:ascii="Times New Roman" w:hAnsi="Times New Roman" w:cs="Times New Roman"/>
          <w:sz w:val="24"/>
          <w:szCs w:val="24"/>
        </w:rPr>
        <w:t xml:space="preserve"> </w:t>
      </w:r>
      <w:r w:rsidR="00A123C7" w:rsidRPr="00AD04DA">
        <w:rPr>
          <w:rFonts w:ascii="Times New Roman" w:hAnsi="Times New Roman" w:cs="Times New Roman"/>
          <w:sz w:val="24"/>
          <w:szCs w:val="24"/>
        </w:rPr>
        <w:t xml:space="preserve">Two liquid phases in equilibrium follow the general equilibrium criterion given in Equation </w:t>
      </w:r>
      <w:r w:rsidR="003C064E" w:rsidRPr="00AD04DA">
        <w:rPr>
          <w:rFonts w:ascii="Times New Roman" w:hAnsi="Times New Roman" w:cs="Times New Roman"/>
          <w:sz w:val="24"/>
          <w:szCs w:val="24"/>
        </w:rPr>
        <w:t>3</w:t>
      </w:r>
      <w:r w:rsidR="00A123C7"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{"citationID":"gBvYngOm","properties":{"formattedCitation":"\\super 98\\nosupersub{}","plainCitation":"98","noteIndex":0},"citationItems":[{"id":890,"uris":["http://zotero.org/users/8284751/items/96WCJZJT"],"itemData":{"id":890,"type":"book","edition":"5th","ISBN":"978-0-470-50479-6","publisher":"Wiley","title":"Chemical, Biochemical, and Engineering Thermodynamics","author":[{"family":"Sandler","given":"Stanley I"}],"issued":{"date-parts":[["2017"]]}}}],"schema":"https://github.com/citation-style-language/schema/raw/master/csl-citation.json"} </w:instrText>
      </w:r>
      <w:r w:rsidR="00A123C7" w:rsidRPr="00AD04DA">
        <w:rPr>
          <w:rFonts w:ascii="Times New Roman" w:hAnsi="Times New Roman" w:cs="Times New Roman"/>
          <w:sz w:val="24"/>
          <w:szCs w:val="24"/>
        </w:rPr>
        <w:fldChar w:fldCharType="separate"/>
      </w:r>
      <w:r w:rsidR="00A123C7" w:rsidRPr="00AD04DA">
        <w:rPr>
          <w:rFonts w:ascii="Times New Roman" w:hAnsi="Times New Roman" w:cs="Times New Roman"/>
          <w:sz w:val="24"/>
          <w:szCs w:val="24"/>
          <w:vertAlign w:val="superscript"/>
        </w:rPr>
        <w:t>98</w:t>
      </w:r>
      <w:r w:rsidR="00A123C7" w:rsidRPr="00AD04DA">
        <w:rPr>
          <w:rFonts w:ascii="Times New Roman" w:hAnsi="Times New Roman" w:cs="Times New Roman"/>
          <w:sz w:val="24"/>
          <w:szCs w:val="24"/>
        </w:rPr>
        <w:fldChar w:fldCharType="end"/>
      </w:r>
      <w:r w:rsidR="00A123C7" w:rsidRPr="00AD04DA">
        <w:rPr>
          <w:rFonts w:ascii="Times New Roman" w:hAnsi="Times New Roman" w:cs="Times New Roman"/>
          <w:sz w:val="24"/>
          <w:szCs w:val="24"/>
        </w:rPr>
        <w:t>.</w:t>
      </w:r>
    </w:p>
    <w:p w14:paraId="1FF7B5EE" w14:textId="77777777" w:rsidR="00A123C7" w:rsidRPr="00AD04DA" w:rsidRDefault="004878EE" w:rsidP="00A123C7">
      <w:pPr>
        <w:keepNext/>
        <w:spacing w:after="0" w:line="480" w:lineRule="auto"/>
        <w:jc w:val="both"/>
        <w:rPr>
          <w:rFonts w:ascii="Times New Roman" w:eastAsiaTheme="minorEastAsia" w:hAnsi="Times New Roman" w:cs="Times New Roman"/>
          <w:sz w:val="24"/>
          <w:szCs w:val="24"/>
        </w:rPr>
      </w:pPr>
      <m:oMathPara>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f</m:t>
                  </m:r>
                </m:e>
              </m:acc>
            </m:e>
            <m:sub>
              <m:r>
                <w:rPr>
                  <w:rFonts w:ascii="Cambria Math" w:hAnsi="Cambria Math" w:cs="Times New Roman"/>
                  <w:sz w:val="24"/>
                  <w:szCs w:val="24"/>
                </w:rPr>
                <m:t>i</m:t>
              </m:r>
            </m:sub>
            <m:sup>
              <m:r>
                <w:rPr>
                  <w:rFonts w:ascii="Cambria Math" w:hAnsi="Cambria Math" w:cs="Times New Roman"/>
                  <w:sz w:val="24"/>
                  <w:szCs w:val="24"/>
                </w:rPr>
                <m:t>I</m:t>
              </m:r>
            </m:sup>
          </m:sSubSup>
          <m:d>
            <m:dPr>
              <m:ctrlPr>
                <w:rPr>
                  <w:rFonts w:ascii="Cambria Math" w:hAnsi="Cambria Math" w:cs="Times New Roman"/>
                  <w:i/>
                  <w:sz w:val="24"/>
                  <w:szCs w:val="24"/>
                </w:rPr>
              </m:ctrlPr>
            </m:dPr>
            <m:e>
              <m:r>
                <w:rPr>
                  <w:rFonts w:ascii="Cambria Math" w:hAnsi="Cambria Math" w:cs="Times New Roman"/>
                  <w:sz w:val="24"/>
                  <w:szCs w:val="24"/>
                </w:rPr>
                <m:t>T,P,</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I</m:t>
                  </m:r>
                </m:sup>
              </m:sSup>
            </m:e>
          </m:d>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f</m:t>
                  </m:r>
                </m:e>
              </m:acc>
            </m:e>
            <m:sub>
              <m:r>
                <w:rPr>
                  <w:rFonts w:ascii="Cambria Math" w:hAnsi="Cambria Math" w:cs="Times New Roman"/>
                  <w:sz w:val="24"/>
                  <w:szCs w:val="24"/>
                </w:rPr>
                <m:t>i</m:t>
              </m:r>
            </m:sub>
            <m:sup>
              <m:r>
                <w:rPr>
                  <w:rFonts w:ascii="Cambria Math" w:hAnsi="Cambria Math" w:cs="Times New Roman"/>
                  <w:sz w:val="24"/>
                  <w:szCs w:val="24"/>
                </w:rPr>
                <m:t>II</m:t>
              </m:r>
            </m:sup>
          </m:sSubSup>
          <m:d>
            <m:dPr>
              <m:ctrlPr>
                <w:rPr>
                  <w:rFonts w:ascii="Cambria Math" w:hAnsi="Cambria Math" w:cs="Times New Roman"/>
                  <w:i/>
                  <w:sz w:val="24"/>
                  <w:szCs w:val="24"/>
                </w:rPr>
              </m:ctrlPr>
            </m:dPr>
            <m:e>
              <m:r>
                <w:rPr>
                  <w:rFonts w:ascii="Cambria Math" w:hAnsi="Cambria Math" w:cs="Times New Roman"/>
                  <w:sz w:val="24"/>
                  <w:szCs w:val="24"/>
                </w:rPr>
                <m:t>T,P,</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II</m:t>
                  </m:r>
                </m:sup>
              </m:sSup>
            </m:e>
          </m:d>
        </m:oMath>
      </m:oMathPara>
    </w:p>
    <w:p w14:paraId="7D0B2288" w14:textId="5FD8A4EB" w:rsidR="00A123C7" w:rsidRPr="00AD04DA" w:rsidRDefault="00A123C7" w:rsidP="00A123C7">
      <w:pPr>
        <w:pStyle w:val="Caption"/>
        <w:jc w:val="right"/>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Equation 3</w:t>
      </w:r>
    </w:p>
    <w:p w14:paraId="2F38A8A7" w14:textId="5FE8C6FD" w:rsidR="00A123C7" w:rsidRPr="00AD04DA" w:rsidRDefault="00A123C7" w:rsidP="00A123C7">
      <w:pPr>
        <w:spacing w:after="0" w:line="480" w:lineRule="auto"/>
        <w:jc w:val="both"/>
        <w:rPr>
          <w:rFonts w:ascii="Times New Roman" w:eastAsiaTheme="minorEastAsia" w:hAnsi="Times New Roman" w:cs="Times New Roman"/>
          <w:sz w:val="24"/>
          <w:szCs w:val="24"/>
        </w:rPr>
      </w:pPr>
      <w:r w:rsidRPr="00AD04DA">
        <w:rPr>
          <w:rFonts w:ascii="Times New Roman" w:eastAsiaTheme="minorEastAsia" w:hAnsi="Times New Roman" w:cs="Times New Roman"/>
          <w:sz w:val="24"/>
          <w:szCs w:val="24"/>
        </w:rPr>
        <w:t xml:space="preserve">where </w:t>
      </w:r>
      <w:proofErr w:type="spellStart"/>
      <w:r w:rsidRPr="00AD04DA">
        <w:rPr>
          <w:rFonts w:ascii="Times New Roman" w:eastAsiaTheme="minorEastAsia" w:hAnsi="Times New Roman" w:cs="Times New Roman"/>
          <w:sz w:val="24"/>
          <w:szCs w:val="24"/>
        </w:rPr>
        <w:t>f</w:t>
      </w:r>
      <w:r w:rsidRPr="00AD04DA">
        <w:rPr>
          <w:rFonts w:ascii="Times New Roman" w:eastAsiaTheme="minorEastAsia" w:hAnsi="Times New Roman" w:cs="Times New Roman"/>
          <w:sz w:val="24"/>
          <w:szCs w:val="24"/>
          <w:vertAlign w:val="subscript"/>
        </w:rPr>
        <w:t>i</w:t>
      </w:r>
      <w:r w:rsidRPr="00AD04DA">
        <w:rPr>
          <w:rFonts w:ascii="Times New Roman" w:eastAsiaTheme="minorEastAsia" w:hAnsi="Times New Roman" w:cs="Times New Roman"/>
          <w:sz w:val="24"/>
          <w:szCs w:val="24"/>
          <w:vertAlign w:val="superscript"/>
        </w:rPr>
        <w:t>I</w:t>
      </w:r>
      <w:proofErr w:type="spellEnd"/>
      <w:r w:rsidRPr="00AD04DA">
        <w:rPr>
          <w:rFonts w:ascii="Times New Roman" w:eastAsiaTheme="minorEastAsia" w:hAnsi="Times New Roman" w:cs="Times New Roman"/>
          <w:sz w:val="24"/>
          <w:szCs w:val="24"/>
        </w:rPr>
        <w:t xml:space="preserve"> is the fugacity of species </w:t>
      </w:r>
      <w:proofErr w:type="spellStart"/>
      <w:r w:rsidRPr="00AD04DA">
        <w:rPr>
          <w:rFonts w:ascii="Times New Roman" w:eastAsiaTheme="minorEastAsia" w:hAnsi="Times New Roman" w:cs="Times New Roman"/>
          <w:sz w:val="24"/>
          <w:szCs w:val="24"/>
        </w:rPr>
        <w:t>i</w:t>
      </w:r>
      <w:proofErr w:type="spellEnd"/>
      <w:r w:rsidRPr="00AD04DA">
        <w:rPr>
          <w:rFonts w:ascii="Times New Roman" w:eastAsiaTheme="minorEastAsia" w:hAnsi="Times New Roman" w:cs="Times New Roman"/>
          <w:sz w:val="24"/>
          <w:szCs w:val="24"/>
        </w:rPr>
        <w:t xml:space="preserve"> in phase I, </w:t>
      </w:r>
      <w:proofErr w:type="spellStart"/>
      <w:r w:rsidRPr="00AD04DA">
        <w:rPr>
          <w:rFonts w:ascii="Times New Roman" w:eastAsiaTheme="minorEastAsia" w:hAnsi="Times New Roman" w:cs="Times New Roman"/>
          <w:sz w:val="24"/>
          <w:szCs w:val="24"/>
        </w:rPr>
        <w:t>f</w:t>
      </w:r>
      <w:r w:rsidRPr="00AD04DA">
        <w:rPr>
          <w:rFonts w:ascii="Times New Roman" w:eastAsiaTheme="minorEastAsia" w:hAnsi="Times New Roman" w:cs="Times New Roman"/>
          <w:sz w:val="24"/>
          <w:szCs w:val="24"/>
          <w:vertAlign w:val="subscript"/>
        </w:rPr>
        <w:t>i</w:t>
      </w:r>
      <w:r w:rsidRPr="00AD04DA">
        <w:rPr>
          <w:rFonts w:ascii="Times New Roman" w:eastAsiaTheme="minorEastAsia" w:hAnsi="Times New Roman" w:cs="Times New Roman"/>
          <w:sz w:val="24"/>
          <w:szCs w:val="24"/>
          <w:vertAlign w:val="superscript"/>
        </w:rPr>
        <w:t>II</w:t>
      </w:r>
      <w:proofErr w:type="spellEnd"/>
      <w:r w:rsidRPr="00AD04DA">
        <w:rPr>
          <w:rFonts w:ascii="Times New Roman" w:eastAsiaTheme="minorEastAsia" w:hAnsi="Times New Roman" w:cs="Times New Roman"/>
          <w:sz w:val="24"/>
          <w:szCs w:val="24"/>
        </w:rPr>
        <w:t xml:space="preserve"> is the fugacity of species </w:t>
      </w:r>
      <w:proofErr w:type="spellStart"/>
      <w:r w:rsidRPr="00AD04DA">
        <w:rPr>
          <w:rFonts w:ascii="Times New Roman" w:eastAsiaTheme="minorEastAsia" w:hAnsi="Times New Roman" w:cs="Times New Roman"/>
          <w:sz w:val="24"/>
          <w:szCs w:val="24"/>
        </w:rPr>
        <w:t>i</w:t>
      </w:r>
      <w:proofErr w:type="spellEnd"/>
      <w:r w:rsidRPr="00AD04DA">
        <w:rPr>
          <w:rFonts w:ascii="Times New Roman" w:eastAsiaTheme="minorEastAsia" w:hAnsi="Times New Roman" w:cs="Times New Roman"/>
          <w:sz w:val="24"/>
          <w:szCs w:val="24"/>
        </w:rPr>
        <w:t xml:space="preserve"> in phase II, T is the temperature, P is the pressure, and x is the mole fraction of species </w:t>
      </w:r>
      <w:proofErr w:type="spellStart"/>
      <w:r w:rsidRPr="00AD04DA">
        <w:rPr>
          <w:rFonts w:ascii="Times New Roman" w:eastAsiaTheme="minorEastAsia" w:hAnsi="Times New Roman" w:cs="Times New Roman"/>
          <w:sz w:val="24"/>
          <w:szCs w:val="24"/>
        </w:rPr>
        <w:t>i</w:t>
      </w:r>
      <w:proofErr w:type="spellEnd"/>
      <w:r w:rsidRPr="00AD04DA">
        <w:rPr>
          <w:rFonts w:ascii="Times New Roman" w:eastAsiaTheme="minorEastAsia" w:hAnsi="Times New Roman" w:cs="Times New Roman"/>
          <w:sz w:val="24"/>
          <w:szCs w:val="24"/>
        </w:rPr>
        <w:t xml:space="preserve"> in phase I or II. Substituting the activity coefficient definition of fugacity into Equation </w:t>
      </w:r>
      <w:r w:rsidR="003C064E" w:rsidRPr="00AD04DA">
        <w:rPr>
          <w:rFonts w:ascii="Times New Roman" w:eastAsiaTheme="minorEastAsia" w:hAnsi="Times New Roman" w:cs="Times New Roman"/>
          <w:sz w:val="24"/>
          <w:szCs w:val="24"/>
        </w:rPr>
        <w:t>3</w:t>
      </w:r>
      <w:r w:rsidRPr="00AD04DA">
        <w:rPr>
          <w:rFonts w:ascii="Times New Roman" w:eastAsiaTheme="minorEastAsia" w:hAnsi="Times New Roman" w:cs="Times New Roman"/>
          <w:sz w:val="24"/>
          <w:szCs w:val="24"/>
        </w:rPr>
        <w:t xml:space="preserve"> gives Equation </w:t>
      </w:r>
      <w:r w:rsidR="003C064E" w:rsidRPr="00AD04DA">
        <w:rPr>
          <w:rFonts w:ascii="Times New Roman" w:eastAsiaTheme="minorEastAsia" w:hAnsi="Times New Roman" w:cs="Times New Roman"/>
          <w:sz w:val="24"/>
          <w:szCs w:val="24"/>
        </w:rPr>
        <w:t>4</w:t>
      </w:r>
      <w:r w:rsidRPr="00AD04DA">
        <w:rPr>
          <w:rFonts w:ascii="Times New Roman" w:eastAsiaTheme="minorEastAsia" w:hAnsi="Times New Roman" w:cs="Times New Roman"/>
          <w:sz w:val="24"/>
          <w:szCs w:val="24"/>
        </w:rPr>
        <w:t xml:space="preserve">. </w:t>
      </w:r>
    </w:p>
    <w:p w14:paraId="2BAAE237" w14:textId="77777777" w:rsidR="00A123C7" w:rsidRPr="00AD04DA" w:rsidRDefault="004878EE" w:rsidP="00A123C7">
      <w:pPr>
        <w:keepNext/>
        <w:spacing w:after="0" w:line="480" w:lineRule="auto"/>
        <w:jc w:val="both"/>
        <w:rPr>
          <w:rFonts w:ascii="Times New Roman" w:eastAsiaTheme="minorEastAsia" w:hAnsi="Times New Roman" w:cs="Times New Roman"/>
          <w:color w:val="000000" w:themeColor="text1"/>
          <w:sz w:val="24"/>
          <w:szCs w:val="24"/>
        </w:rPr>
      </w:pPr>
      <m:oMathPara>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I</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I</m:t>
              </m:r>
            </m:sup>
          </m:sSub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T,P,</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x</m:t>
                  </m:r>
                </m:e>
                <m:sup>
                  <m:r>
                    <w:rPr>
                      <w:rFonts w:ascii="Cambria Math" w:hAnsi="Cambria Math" w:cs="Times New Roman"/>
                      <w:color w:val="000000" w:themeColor="text1"/>
                      <w:sz w:val="24"/>
                      <w:szCs w:val="24"/>
                    </w:rPr>
                    <m:t>I</m:t>
                  </m:r>
                </m:sup>
              </m:sSup>
            </m:e>
          </m:d>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i</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T,P</m:t>
              </m:r>
            </m:e>
          </m:d>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II</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II</m:t>
              </m:r>
            </m:sup>
          </m:sSub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T,P,</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x</m:t>
                  </m:r>
                </m:e>
                <m:sup>
                  <m:r>
                    <w:rPr>
                      <w:rFonts w:ascii="Cambria Math" w:hAnsi="Cambria Math" w:cs="Times New Roman"/>
                      <w:color w:val="000000" w:themeColor="text1"/>
                      <w:sz w:val="24"/>
                      <w:szCs w:val="24"/>
                    </w:rPr>
                    <m:t>II</m:t>
                  </m:r>
                </m:sup>
              </m:sSup>
            </m:e>
          </m:d>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i</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T,P</m:t>
              </m:r>
            </m:e>
          </m:d>
        </m:oMath>
      </m:oMathPara>
    </w:p>
    <w:p w14:paraId="55B51FC3" w14:textId="69446B55" w:rsidR="00A123C7" w:rsidRPr="00AD04DA" w:rsidRDefault="00A123C7" w:rsidP="00A123C7">
      <w:pPr>
        <w:pStyle w:val="Caption"/>
        <w:jc w:val="right"/>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Equation 4</w:t>
      </w:r>
    </w:p>
    <w:p w14:paraId="20905621" w14:textId="033792CF" w:rsidR="00A123C7" w:rsidRPr="00AD04DA" w:rsidRDefault="00A123C7" w:rsidP="00A123C7">
      <w:pPr>
        <w:spacing w:after="0" w:line="480" w:lineRule="auto"/>
        <w:jc w:val="both"/>
        <w:rPr>
          <w:rFonts w:ascii="Times New Roman" w:eastAsiaTheme="minorEastAsia" w:hAnsi="Times New Roman" w:cs="Times New Roman"/>
          <w:sz w:val="24"/>
          <w:szCs w:val="24"/>
        </w:rPr>
      </w:pPr>
      <w:r w:rsidRPr="00AD04DA">
        <w:rPr>
          <w:rFonts w:ascii="Times New Roman" w:eastAsiaTheme="minorEastAsia" w:hAnsi="Times New Roman" w:cs="Times New Roman"/>
          <w:sz w:val="24"/>
          <w:szCs w:val="24"/>
        </w:rPr>
        <w:t xml:space="preserve">where </w:t>
      </w:r>
      <w:proofErr w:type="spellStart"/>
      <w:r w:rsidRPr="00AD04DA">
        <w:rPr>
          <w:rFonts w:ascii="Times New Roman" w:eastAsiaTheme="minorEastAsia" w:hAnsi="Times New Roman" w:cs="Times New Roman"/>
          <w:sz w:val="24"/>
          <w:szCs w:val="24"/>
        </w:rPr>
        <w:t>γ</w:t>
      </w:r>
      <w:r w:rsidRPr="00AD04DA">
        <w:rPr>
          <w:rFonts w:ascii="Times New Roman" w:eastAsiaTheme="minorEastAsia" w:hAnsi="Times New Roman" w:cs="Times New Roman"/>
          <w:sz w:val="24"/>
          <w:szCs w:val="24"/>
          <w:vertAlign w:val="subscript"/>
        </w:rPr>
        <w:t>i</w:t>
      </w:r>
      <w:proofErr w:type="spellEnd"/>
      <w:r w:rsidRPr="00AD04DA">
        <w:rPr>
          <w:rFonts w:ascii="Times New Roman" w:eastAsiaTheme="minorEastAsia" w:hAnsi="Times New Roman" w:cs="Times New Roman"/>
          <w:sz w:val="24"/>
          <w:szCs w:val="24"/>
        </w:rPr>
        <w:t xml:space="preserve"> is the activity coefficient of species </w:t>
      </w:r>
      <w:proofErr w:type="spellStart"/>
      <w:r w:rsidRPr="00AD04DA">
        <w:rPr>
          <w:rFonts w:ascii="Times New Roman" w:eastAsiaTheme="minorEastAsia" w:hAnsi="Times New Roman" w:cs="Times New Roman"/>
          <w:sz w:val="24"/>
          <w:szCs w:val="24"/>
        </w:rPr>
        <w:t>i</w:t>
      </w:r>
      <w:proofErr w:type="spellEnd"/>
      <w:r w:rsidRPr="00AD04DA">
        <w:rPr>
          <w:rFonts w:ascii="Times New Roman" w:eastAsiaTheme="minorEastAsia" w:hAnsi="Times New Roman" w:cs="Times New Roman"/>
          <w:sz w:val="24"/>
          <w:szCs w:val="24"/>
        </w:rPr>
        <w:t xml:space="preserve"> in phase I or II and f</w:t>
      </w:r>
      <w:r w:rsidRPr="00AD04DA">
        <w:rPr>
          <w:rFonts w:ascii="Times New Roman" w:eastAsiaTheme="minorEastAsia" w:hAnsi="Times New Roman" w:cs="Times New Roman"/>
          <w:sz w:val="24"/>
          <w:szCs w:val="24"/>
          <w:vertAlign w:val="subscript"/>
        </w:rPr>
        <w:t>i</w:t>
      </w:r>
      <w:r w:rsidRPr="00AD04DA">
        <w:rPr>
          <w:rFonts w:ascii="Times New Roman" w:eastAsiaTheme="minorEastAsia" w:hAnsi="Times New Roman" w:cs="Times New Roman"/>
          <w:sz w:val="24"/>
          <w:szCs w:val="24"/>
        </w:rPr>
        <w:t xml:space="preserve"> is the pure component liquid fugacity. The pure component liquid fugacity for species </w:t>
      </w:r>
      <w:proofErr w:type="spellStart"/>
      <w:r w:rsidRPr="00AD04DA">
        <w:rPr>
          <w:rFonts w:ascii="Times New Roman" w:eastAsiaTheme="minorEastAsia" w:hAnsi="Times New Roman" w:cs="Times New Roman"/>
          <w:sz w:val="24"/>
          <w:szCs w:val="24"/>
        </w:rPr>
        <w:t>i</w:t>
      </w:r>
      <w:proofErr w:type="spellEnd"/>
      <w:r w:rsidRPr="00AD04DA">
        <w:rPr>
          <w:rFonts w:ascii="Times New Roman" w:eastAsiaTheme="minorEastAsia" w:hAnsi="Times New Roman" w:cs="Times New Roman"/>
          <w:sz w:val="24"/>
          <w:szCs w:val="24"/>
        </w:rPr>
        <w:t xml:space="preserve"> is equivalent on both sides of Equation </w:t>
      </w:r>
      <w:r w:rsidR="00B84ECB" w:rsidRPr="00AD04DA">
        <w:rPr>
          <w:rFonts w:ascii="Times New Roman" w:eastAsiaTheme="minorEastAsia" w:hAnsi="Times New Roman" w:cs="Times New Roman"/>
          <w:sz w:val="24"/>
          <w:szCs w:val="24"/>
        </w:rPr>
        <w:t>4</w:t>
      </w:r>
      <w:r w:rsidRPr="00AD04DA">
        <w:rPr>
          <w:rFonts w:ascii="Times New Roman" w:eastAsiaTheme="minorEastAsia" w:hAnsi="Times New Roman" w:cs="Times New Roman"/>
          <w:sz w:val="24"/>
          <w:szCs w:val="24"/>
        </w:rPr>
        <w:t xml:space="preserve">, which is reduced to Equation </w:t>
      </w:r>
      <w:r w:rsidR="00B84ECB" w:rsidRPr="00AD04DA">
        <w:rPr>
          <w:rFonts w:ascii="Times New Roman" w:eastAsiaTheme="minorEastAsia" w:hAnsi="Times New Roman" w:cs="Times New Roman"/>
          <w:sz w:val="24"/>
          <w:szCs w:val="24"/>
        </w:rPr>
        <w:t>5</w:t>
      </w:r>
      <w:r w:rsidRPr="00AD04DA">
        <w:rPr>
          <w:rFonts w:ascii="Times New Roman" w:eastAsiaTheme="minorEastAsia" w:hAnsi="Times New Roman" w:cs="Times New Roman"/>
          <w:sz w:val="24"/>
          <w:szCs w:val="24"/>
        </w:rPr>
        <w:t xml:space="preserve">. </w:t>
      </w:r>
    </w:p>
    <w:p w14:paraId="5C45051B" w14:textId="77777777" w:rsidR="00A123C7" w:rsidRPr="00AD04DA" w:rsidRDefault="004878EE" w:rsidP="00A123C7">
      <w:pPr>
        <w:keepNext/>
        <w:spacing w:after="0" w:line="480" w:lineRule="auto"/>
        <w:jc w:val="both"/>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I</m:t>
              </m:r>
            </m:sup>
          </m:sSubSup>
          <m:sSubSup>
            <m:sSubSupPr>
              <m:ctrlPr>
                <w:rPr>
                  <w:rFonts w:ascii="Cambria Math" w:hAnsi="Cambria Math" w:cs="Times New Roman"/>
                  <w:i/>
                  <w:sz w:val="24"/>
                  <w:szCs w:val="24"/>
                </w:rPr>
              </m:ctrlPr>
            </m:sSubSupPr>
            <m:e>
              <m:r>
                <w:rPr>
                  <w:rFonts w:ascii="Cambria Math" w:hAnsi="Cambria Math" w:cs="Times New Roman"/>
                  <w:sz w:val="24"/>
                  <w:szCs w:val="24"/>
                </w:rPr>
                <m:t>γ</m:t>
              </m:r>
            </m:e>
            <m:sub>
              <m:r>
                <w:rPr>
                  <w:rFonts w:ascii="Cambria Math" w:hAnsi="Cambria Math" w:cs="Times New Roman"/>
                  <w:sz w:val="24"/>
                  <w:szCs w:val="24"/>
                </w:rPr>
                <m:t>i</m:t>
              </m:r>
            </m:sub>
            <m:sup>
              <m:r>
                <w:rPr>
                  <w:rFonts w:ascii="Cambria Math" w:hAnsi="Cambria Math" w:cs="Times New Roman"/>
                  <w:sz w:val="24"/>
                  <w:szCs w:val="24"/>
                </w:rPr>
                <m:t>I</m:t>
              </m:r>
            </m:sup>
          </m:sSubSup>
          <m:d>
            <m:dPr>
              <m:ctrlPr>
                <w:rPr>
                  <w:rFonts w:ascii="Cambria Math" w:hAnsi="Cambria Math" w:cs="Times New Roman"/>
                  <w:i/>
                  <w:sz w:val="24"/>
                  <w:szCs w:val="24"/>
                </w:rPr>
              </m:ctrlPr>
            </m:dPr>
            <m:e>
              <m:r>
                <w:rPr>
                  <w:rFonts w:ascii="Cambria Math" w:hAnsi="Cambria Math" w:cs="Times New Roman"/>
                  <w:sz w:val="24"/>
                  <w:szCs w:val="24"/>
                </w:rPr>
                <m:t>T,P,</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I</m:t>
                  </m:r>
                </m:sup>
              </m:sSup>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II</m:t>
              </m:r>
            </m:sup>
          </m:sSubSup>
          <m:sSubSup>
            <m:sSubSupPr>
              <m:ctrlPr>
                <w:rPr>
                  <w:rFonts w:ascii="Cambria Math" w:hAnsi="Cambria Math" w:cs="Times New Roman"/>
                  <w:i/>
                  <w:sz w:val="24"/>
                  <w:szCs w:val="24"/>
                </w:rPr>
              </m:ctrlPr>
            </m:sSubSupPr>
            <m:e>
              <m:r>
                <w:rPr>
                  <w:rFonts w:ascii="Cambria Math" w:hAnsi="Cambria Math" w:cs="Times New Roman"/>
                  <w:sz w:val="24"/>
                  <w:szCs w:val="24"/>
                </w:rPr>
                <m:t>γ</m:t>
              </m:r>
            </m:e>
            <m:sub>
              <m:r>
                <w:rPr>
                  <w:rFonts w:ascii="Cambria Math" w:hAnsi="Cambria Math" w:cs="Times New Roman"/>
                  <w:sz w:val="24"/>
                  <w:szCs w:val="24"/>
                </w:rPr>
                <m:t>i</m:t>
              </m:r>
            </m:sub>
            <m:sup>
              <m:r>
                <w:rPr>
                  <w:rFonts w:ascii="Cambria Math" w:hAnsi="Cambria Math" w:cs="Times New Roman"/>
                  <w:sz w:val="24"/>
                  <w:szCs w:val="24"/>
                </w:rPr>
                <m:t>II</m:t>
              </m:r>
            </m:sup>
          </m:sSubSup>
          <m:d>
            <m:dPr>
              <m:ctrlPr>
                <w:rPr>
                  <w:rFonts w:ascii="Cambria Math" w:hAnsi="Cambria Math" w:cs="Times New Roman"/>
                  <w:i/>
                  <w:sz w:val="24"/>
                  <w:szCs w:val="24"/>
                </w:rPr>
              </m:ctrlPr>
            </m:dPr>
            <m:e>
              <m:r>
                <w:rPr>
                  <w:rFonts w:ascii="Cambria Math" w:hAnsi="Cambria Math" w:cs="Times New Roman"/>
                  <w:sz w:val="24"/>
                  <w:szCs w:val="24"/>
                </w:rPr>
                <m:t>T,P,</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II</m:t>
                  </m:r>
                </m:sup>
              </m:sSup>
            </m:e>
          </m:d>
        </m:oMath>
      </m:oMathPara>
    </w:p>
    <w:p w14:paraId="5EE1C3D5" w14:textId="3ECAE161" w:rsidR="00A123C7" w:rsidRPr="00AD04DA" w:rsidRDefault="00A123C7" w:rsidP="00A123C7">
      <w:pPr>
        <w:pStyle w:val="Caption"/>
        <w:jc w:val="right"/>
        <w:rPr>
          <w:rFonts w:ascii="Times New Roman" w:eastAsiaTheme="minorEastAsia" w:hAnsi="Times New Roman" w:cs="Times New Roman"/>
          <w:color w:val="000000" w:themeColor="text1"/>
          <w:sz w:val="24"/>
          <w:szCs w:val="24"/>
        </w:rPr>
      </w:pPr>
      <w:r w:rsidRPr="00AD04DA">
        <w:rPr>
          <w:rFonts w:ascii="Times New Roman" w:hAnsi="Times New Roman" w:cs="Times New Roman"/>
          <w:color w:val="000000" w:themeColor="text1"/>
          <w:sz w:val="24"/>
          <w:szCs w:val="24"/>
        </w:rPr>
        <w:t>Equation 5</w:t>
      </w:r>
    </w:p>
    <w:p w14:paraId="11B98FE8" w14:textId="030A4232" w:rsidR="00A123C7" w:rsidRPr="00AD04DA" w:rsidRDefault="00E10800" w:rsidP="00724076">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Equations 6 and 7 introduce two terms: the mean ionic activity coefficient and the solution ionic strength. Briefly, these terms approximate the activity or concentration of the ions within a solution rather than considering each individual species.</w:t>
      </w:r>
    </w:p>
    <w:p w14:paraId="3B9A298B" w14:textId="22119E6A" w:rsidR="00E10800" w:rsidRPr="00AD04DA" w:rsidRDefault="004878EE" w:rsidP="00E10800">
      <w:pPr>
        <w:keepNext/>
        <w:spacing w:after="0" w:line="480" w:lineRule="auto"/>
        <w:jc w:val="both"/>
        <w:rPr>
          <w:rFonts w:ascii="Times New Roman" w:hAnsi="Times New Roman" w:cs="Times New Roman"/>
          <w:sz w:val="24"/>
          <w:szCs w:val="24"/>
        </w:rPr>
      </w:pPr>
      <m:oMathPara>
        <m:oMath>
          <m:sSubSup>
            <m:sSubSupPr>
              <m:ctrlPr>
                <w:rPr>
                  <w:rFonts w:ascii="Cambria Math" w:hAnsi="Cambria Math" w:cs="Times New Roman"/>
                  <w:i/>
                  <w:iCs/>
                  <w:sz w:val="24"/>
                  <w:szCs w:val="24"/>
                </w:rPr>
              </m:ctrlPr>
            </m:sSubSupPr>
            <m:e>
              <m:r>
                <w:rPr>
                  <w:rFonts w:ascii="Cambria Math" w:hAnsi="Cambria Math" w:cs="Times New Roman"/>
                  <w:sz w:val="24"/>
                  <w:szCs w:val="24"/>
                </w:rPr>
                <m:t>γ</m:t>
              </m:r>
            </m:e>
            <m:sub>
              <m:r>
                <w:rPr>
                  <w:rFonts w:ascii="Cambria Math" w:hAnsi="Cambria Math" w:cs="Times New Roman"/>
                  <w:sz w:val="24"/>
                  <w:szCs w:val="24"/>
                </w:rPr>
                <m:t>±</m:t>
              </m:r>
            </m:sub>
            <m:sup>
              <m:r>
                <w:rPr>
                  <w:rFonts w:ascii="Cambria Math" w:hAnsi="Cambria Math" w:cs="Times New Roman"/>
                  <w:sz w:val="24"/>
                  <w:szCs w:val="24"/>
                </w:rPr>
                <m:t>v</m:t>
              </m:r>
            </m:sup>
          </m:sSubSup>
          <m:r>
            <w:rPr>
              <w:rFonts w:ascii="Cambria Math" w:hAnsi="Cambria Math" w:cs="Times New Roman"/>
              <w:sz w:val="24"/>
              <w:szCs w:val="24"/>
            </w:rPr>
            <m:t>=</m:t>
          </m:r>
          <m:sSup>
            <m:sSupPr>
              <m:ctrlPr>
                <w:rPr>
                  <w:rFonts w:ascii="Cambria Math" w:hAnsi="Cambria Math" w:cs="Times New Roman"/>
                  <w:i/>
                  <w:iCs/>
                  <w:sz w:val="24"/>
                  <w:szCs w:val="24"/>
                </w:rPr>
              </m:ctrlPr>
            </m:sSupPr>
            <m:e>
              <m:d>
                <m:dPr>
                  <m:ctrlPr>
                    <w:rPr>
                      <w:rFonts w:ascii="Cambria Math" w:hAnsi="Cambria Math" w:cs="Times New Roman"/>
                      <w:i/>
                      <w:iCs/>
                      <w:sz w:val="24"/>
                      <w:szCs w:val="24"/>
                    </w:rPr>
                  </m:ctrlPr>
                </m:dPr>
                <m:e>
                  <m:sSubSup>
                    <m:sSubSupPr>
                      <m:ctrlPr>
                        <w:rPr>
                          <w:rFonts w:ascii="Cambria Math" w:hAnsi="Cambria Math" w:cs="Times New Roman"/>
                          <w:i/>
                          <w:iCs/>
                          <w:sz w:val="24"/>
                          <w:szCs w:val="24"/>
                        </w:rPr>
                      </m:ctrlPr>
                    </m:sSubSupPr>
                    <m:e>
                      <m:r>
                        <w:rPr>
                          <w:rFonts w:ascii="Cambria Math" w:hAnsi="Cambria Math" w:cs="Times New Roman"/>
                          <w:sz w:val="24"/>
                          <w:szCs w:val="24"/>
                        </w:rPr>
                        <m:t>γ</m:t>
                      </m:r>
                    </m:e>
                    <m:sub>
                      <m:r>
                        <w:rPr>
                          <w:rFonts w:ascii="Cambria Math" w:hAnsi="Cambria Math" w:cs="Times New Roman"/>
                          <w:sz w:val="24"/>
                          <w:szCs w:val="24"/>
                        </w:rPr>
                        <m:t>i</m:t>
                      </m:r>
                    </m:sub>
                    <m:sup>
                      <m:r>
                        <w:rPr>
                          <w:rFonts w:ascii="Cambria Math" w:hAnsi="Cambria Math" w:cs="Times New Roman"/>
                          <w:sz w:val="24"/>
                          <w:szCs w:val="24"/>
                        </w:rPr>
                        <m:t>*</m:t>
                      </m:r>
                    </m:sup>
                  </m:sSubSup>
                </m:e>
              </m:d>
            </m:e>
            <m:sup>
              <m:r>
                <w:rPr>
                  <w:rFonts w:ascii="Cambria Math" w:hAnsi="Cambria Math" w:cs="Times New Roman"/>
                  <w:sz w:val="24"/>
                  <w:szCs w:val="24"/>
                </w:rPr>
                <m:t>v+</m:t>
              </m:r>
            </m:sup>
          </m:sSup>
          <m:sSup>
            <m:sSupPr>
              <m:ctrlPr>
                <w:rPr>
                  <w:rFonts w:ascii="Cambria Math" w:hAnsi="Cambria Math" w:cs="Times New Roman"/>
                  <w:i/>
                  <w:iCs/>
                  <w:sz w:val="24"/>
                  <w:szCs w:val="24"/>
                </w:rPr>
              </m:ctrlPr>
            </m:sSupPr>
            <m:e>
              <m:d>
                <m:dPr>
                  <m:ctrlPr>
                    <w:rPr>
                      <w:rFonts w:ascii="Cambria Math" w:hAnsi="Cambria Math" w:cs="Times New Roman"/>
                      <w:i/>
                      <w:iCs/>
                      <w:sz w:val="24"/>
                      <w:szCs w:val="24"/>
                    </w:rPr>
                  </m:ctrlPr>
                </m:dPr>
                <m:e>
                  <m:sSubSup>
                    <m:sSubSupPr>
                      <m:ctrlPr>
                        <w:rPr>
                          <w:rFonts w:ascii="Cambria Math" w:hAnsi="Cambria Math" w:cs="Times New Roman"/>
                          <w:i/>
                          <w:iCs/>
                          <w:sz w:val="24"/>
                          <w:szCs w:val="24"/>
                        </w:rPr>
                      </m:ctrlPr>
                    </m:sSubSupPr>
                    <m:e>
                      <m:r>
                        <w:rPr>
                          <w:rFonts w:ascii="Cambria Math" w:hAnsi="Cambria Math" w:cs="Times New Roman"/>
                          <w:sz w:val="24"/>
                          <w:szCs w:val="24"/>
                        </w:rPr>
                        <m:t>γ</m:t>
                      </m:r>
                    </m:e>
                    <m:sub>
                      <m:r>
                        <w:rPr>
                          <w:rFonts w:ascii="Cambria Math" w:hAnsi="Cambria Math" w:cs="Times New Roman"/>
                          <w:sz w:val="24"/>
                          <w:szCs w:val="24"/>
                        </w:rPr>
                        <m:t>j</m:t>
                      </m:r>
                    </m:sub>
                    <m:sup>
                      <m:r>
                        <w:rPr>
                          <w:rFonts w:ascii="Cambria Math" w:hAnsi="Cambria Math" w:cs="Times New Roman"/>
                          <w:sz w:val="24"/>
                          <w:szCs w:val="24"/>
                        </w:rPr>
                        <m:t>*</m:t>
                      </m:r>
                    </m:sup>
                  </m:sSubSup>
                </m:e>
              </m:d>
            </m:e>
            <m:sup>
              <m:r>
                <w:rPr>
                  <w:rFonts w:ascii="Cambria Math" w:hAnsi="Cambria Math" w:cs="Times New Roman"/>
                  <w:sz w:val="24"/>
                  <w:szCs w:val="24"/>
                </w:rPr>
                <m:t>v-</m:t>
              </m:r>
            </m:sup>
          </m:sSup>
        </m:oMath>
      </m:oMathPara>
    </w:p>
    <w:p w14:paraId="255390A2" w14:textId="63A2D696" w:rsidR="00E10800" w:rsidRPr="00AD04DA" w:rsidRDefault="00E10800" w:rsidP="00E10800">
      <w:pPr>
        <w:pStyle w:val="Caption"/>
        <w:jc w:val="right"/>
        <w:rPr>
          <w:rFonts w:ascii="Times New Roman" w:hAnsi="Times New Roman" w:cs="Times New Roman"/>
          <w:color w:val="000000" w:themeColor="text1"/>
          <w:sz w:val="24"/>
          <w:szCs w:val="24"/>
        </w:rPr>
      </w:pPr>
      <w:bookmarkStart w:id="22" w:name="_Toc100753473"/>
      <w:r w:rsidRPr="00AD04DA">
        <w:rPr>
          <w:rFonts w:ascii="Times New Roman" w:hAnsi="Times New Roman" w:cs="Times New Roman"/>
          <w:color w:val="000000" w:themeColor="text1"/>
          <w:sz w:val="24"/>
          <w:szCs w:val="24"/>
        </w:rPr>
        <w:t>Equation 6</w:t>
      </w:r>
    </w:p>
    <w:p w14:paraId="790F2A9B" w14:textId="70D2A483" w:rsidR="00E10800" w:rsidRPr="00AD04DA" w:rsidRDefault="00E10800" w:rsidP="00E10800">
      <w:pPr>
        <w:keepNext/>
        <w:rPr>
          <w:rFonts w:ascii="Times New Roman" w:hAnsi="Times New Roman" w:cs="Times New Roman"/>
          <w:sz w:val="24"/>
          <w:szCs w:val="24"/>
        </w:rPr>
      </w:pPr>
      <m:oMathPara>
        <m:oMath>
          <m:r>
            <w:rPr>
              <w:rFonts w:ascii="Cambria Math" w:hAnsi="Cambria Math" w:cs="Times New Roman"/>
              <w:sz w:val="24"/>
              <w:szCs w:val="24"/>
            </w:rPr>
            <m:t>I=</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nary>
            <m:naryPr>
              <m:chr m:val="∑"/>
              <m:limLoc m:val="undOvr"/>
              <m:supHide m:val="1"/>
              <m:ctrlPr>
                <w:rPr>
                  <w:rFonts w:ascii="Cambria Math" w:hAnsi="Cambria Math" w:cs="Times New Roman"/>
                  <w:i/>
                  <w:iCs/>
                  <w:sz w:val="24"/>
                  <w:szCs w:val="24"/>
                </w:rPr>
              </m:ctrlPr>
            </m:naryPr>
            <m:sub>
              <m:r>
                <w:rPr>
                  <w:rFonts w:ascii="Cambria Math" w:hAnsi="Cambria Math" w:cs="Times New Roman"/>
                  <w:sz w:val="24"/>
                  <w:szCs w:val="24"/>
                </w:rPr>
                <m:t>i=ions</m:t>
              </m:r>
            </m:sub>
            <m:sup/>
            <m:e>
              <m:sSubSup>
                <m:sSubSupPr>
                  <m:ctrlPr>
                    <w:rPr>
                      <w:rFonts w:ascii="Cambria Math" w:hAnsi="Cambria Math" w:cs="Times New Roman"/>
                      <w:i/>
                      <w:iCs/>
                      <w:sz w:val="24"/>
                      <w:szCs w:val="24"/>
                    </w:rPr>
                  </m:ctrlPr>
                </m:sSubSupPr>
                <m:e>
                  <m:r>
                    <w:rPr>
                      <w:rFonts w:ascii="Cambria Math" w:hAnsi="Cambria Math" w:cs="Times New Roman"/>
                      <w:sz w:val="24"/>
                      <w:szCs w:val="24"/>
                    </w:rPr>
                    <m:t>z</m:t>
                  </m:r>
                </m:e>
                <m:sub>
                  <m:r>
                    <w:rPr>
                      <w:rFonts w:ascii="Cambria Math" w:hAnsi="Cambria Math" w:cs="Times New Roman"/>
                      <w:sz w:val="24"/>
                      <w:szCs w:val="24"/>
                    </w:rPr>
                    <m:t>i</m:t>
                  </m:r>
                </m:sub>
                <m:sup>
                  <m:r>
                    <w:rPr>
                      <w:rFonts w:ascii="Cambria Math" w:hAnsi="Cambria Math" w:cs="Times New Roman"/>
                      <w:sz w:val="24"/>
                      <w:szCs w:val="24"/>
                    </w:rPr>
                    <m:t>2</m:t>
                  </m:r>
                </m:sup>
              </m:sSubSup>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i</m:t>
                  </m:r>
                </m:sub>
              </m:sSub>
            </m:e>
          </m:nary>
        </m:oMath>
      </m:oMathPara>
    </w:p>
    <w:p w14:paraId="0D8EBCC5" w14:textId="4328EA97" w:rsidR="00E10800" w:rsidRPr="00AD04DA" w:rsidRDefault="00E10800" w:rsidP="00E10800">
      <w:pPr>
        <w:pStyle w:val="Caption"/>
        <w:jc w:val="right"/>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Equation 7</w:t>
      </w:r>
    </w:p>
    <w:p w14:paraId="13BC8158" w14:textId="5F4845C2" w:rsidR="00E10800" w:rsidRPr="00AD04DA" w:rsidRDefault="00E10800" w:rsidP="00E10800">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where </w:t>
      </w:r>
      <w:proofErr w:type="spellStart"/>
      <w:r w:rsidRPr="00AD04DA">
        <w:rPr>
          <w:rFonts w:ascii="Times New Roman" w:hAnsi="Times New Roman" w:cs="Times New Roman"/>
          <w:sz w:val="24"/>
          <w:szCs w:val="24"/>
        </w:rPr>
        <w:t>γ</w:t>
      </w:r>
      <w:r w:rsidRPr="00AD04DA">
        <w:rPr>
          <w:rFonts w:ascii="Times New Roman" w:hAnsi="Times New Roman" w:cs="Times New Roman"/>
          <w:sz w:val="24"/>
          <w:szCs w:val="24"/>
          <w:vertAlign w:val="subscript"/>
        </w:rPr>
        <w:t>±</w:t>
      </w:r>
      <w:r w:rsidRPr="00AD04DA">
        <w:rPr>
          <w:rFonts w:ascii="Times New Roman" w:hAnsi="Times New Roman" w:cs="Times New Roman"/>
          <w:sz w:val="24"/>
          <w:szCs w:val="24"/>
          <w:vertAlign w:val="superscript"/>
        </w:rPr>
        <w:t>v</w:t>
      </w:r>
      <w:proofErr w:type="spellEnd"/>
      <w:r w:rsidRPr="00AD04DA">
        <w:rPr>
          <w:rFonts w:ascii="Times New Roman" w:hAnsi="Times New Roman" w:cs="Times New Roman"/>
          <w:sz w:val="24"/>
          <w:szCs w:val="24"/>
        </w:rPr>
        <w:t xml:space="preserve"> is the mean ionic activity coefficient, (</w:t>
      </w:r>
      <w:proofErr w:type="spellStart"/>
      <w:r w:rsidRPr="00AD04DA">
        <w:rPr>
          <w:rFonts w:ascii="Times New Roman" w:hAnsi="Times New Roman" w:cs="Times New Roman"/>
          <w:sz w:val="24"/>
          <w:szCs w:val="24"/>
        </w:rPr>
        <w:t>γ</w:t>
      </w:r>
      <w:r w:rsidRPr="00AD04DA">
        <w:rPr>
          <w:rFonts w:ascii="Times New Roman" w:hAnsi="Times New Roman" w:cs="Times New Roman"/>
          <w:sz w:val="24"/>
          <w:szCs w:val="24"/>
          <w:vertAlign w:val="subscript"/>
        </w:rPr>
        <w:t>i</w:t>
      </w:r>
      <w:proofErr w:type="spellEnd"/>
      <w:r w:rsidRPr="00AD04DA">
        <w:rPr>
          <w:rFonts w:ascii="Times New Roman" w:hAnsi="Times New Roman" w:cs="Times New Roman"/>
          <w:sz w:val="24"/>
          <w:szCs w:val="24"/>
          <w:vertAlign w:val="superscript"/>
        </w:rPr>
        <w:t>*</w:t>
      </w:r>
      <w:r w:rsidRPr="00AD04DA">
        <w:rPr>
          <w:rFonts w:ascii="Times New Roman" w:hAnsi="Times New Roman" w:cs="Times New Roman"/>
          <w:sz w:val="24"/>
          <w:szCs w:val="24"/>
        </w:rPr>
        <w:t>)</w:t>
      </w:r>
      <w:r w:rsidRPr="00AD04DA">
        <w:rPr>
          <w:rFonts w:ascii="Times New Roman" w:hAnsi="Times New Roman" w:cs="Times New Roman"/>
          <w:sz w:val="24"/>
          <w:szCs w:val="24"/>
          <w:vertAlign w:val="superscript"/>
        </w:rPr>
        <w:t>v+</w:t>
      </w:r>
      <w:r w:rsidRPr="00AD04DA">
        <w:rPr>
          <w:rFonts w:ascii="Times New Roman" w:hAnsi="Times New Roman" w:cs="Times New Roman"/>
          <w:sz w:val="24"/>
          <w:szCs w:val="24"/>
        </w:rPr>
        <w:t xml:space="preserve"> represents the activity of the cations, (</w:t>
      </w:r>
      <w:proofErr w:type="spellStart"/>
      <w:r w:rsidRPr="00AD04DA">
        <w:rPr>
          <w:rFonts w:ascii="Times New Roman" w:hAnsi="Times New Roman" w:cs="Times New Roman"/>
          <w:sz w:val="24"/>
          <w:szCs w:val="24"/>
        </w:rPr>
        <w:t>γ</w:t>
      </w:r>
      <w:r w:rsidRPr="00AD04DA">
        <w:rPr>
          <w:rFonts w:ascii="Times New Roman" w:hAnsi="Times New Roman" w:cs="Times New Roman"/>
          <w:sz w:val="24"/>
          <w:szCs w:val="24"/>
          <w:vertAlign w:val="subscript"/>
        </w:rPr>
        <w:t>j</w:t>
      </w:r>
      <w:proofErr w:type="spellEnd"/>
      <w:r w:rsidRPr="00AD04DA">
        <w:rPr>
          <w:rFonts w:ascii="Times New Roman" w:hAnsi="Times New Roman" w:cs="Times New Roman"/>
          <w:sz w:val="24"/>
          <w:szCs w:val="24"/>
          <w:vertAlign w:val="superscript"/>
        </w:rPr>
        <w:t>*</w:t>
      </w:r>
      <w:r w:rsidRPr="00AD04DA">
        <w:rPr>
          <w:rFonts w:ascii="Times New Roman" w:hAnsi="Times New Roman" w:cs="Times New Roman"/>
          <w:sz w:val="24"/>
          <w:szCs w:val="24"/>
        </w:rPr>
        <w:t>)</w:t>
      </w:r>
      <w:r w:rsidRPr="00AD04DA">
        <w:rPr>
          <w:rFonts w:ascii="Times New Roman" w:hAnsi="Times New Roman" w:cs="Times New Roman"/>
          <w:sz w:val="24"/>
          <w:szCs w:val="24"/>
          <w:vertAlign w:val="superscript"/>
        </w:rPr>
        <w:t>v-</w:t>
      </w:r>
      <w:r w:rsidRPr="00AD04DA">
        <w:rPr>
          <w:rFonts w:ascii="Times New Roman" w:hAnsi="Times New Roman" w:cs="Times New Roman"/>
          <w:sz w:val="24"/>
          <w:szCs w:val="24"/>
        </w:rPr>
        <w:t xml:space="preserve"> represents the activity of the anions, I </w:t>
      </w:r>
      <w:proofErr w:type="gramStart"/>
      <w:r w:rsidRPr="00AD04DA">
        <w:rPr>
          <w:rFonts w:ascii="Times New Roman" w:hAnsi="Times New Roman" w:cs="Times New Roman"/>
          <w:sz w:val="24"/>
          <w:szCs w:val="24"/>
        </w:rPr>
        <w:t>is</w:t>
      </w:r>
      <w:proofErr w:type="gramEnd"/>
      <w:r w:rsidRPr="00AD04DA">
        <w:rPr>
          <w:rFonts w:ascii="Times New Roman" w:hAnsi="Times New Roman" w:cs="Times New Roman"/>
          <w:sz w:val="24"/>
          <w:szCs w:val="24"/>
        </w:rPr>
        <w:t xml:space="preserve"> the ionic strength of the solution, z</w:t>
      </w:r>
      <w:r w:rsidRPr="00AD04DA">
        <w:rPr>
          <w:rFonts w:ascii="Times New Roman" w:hAnsi="Times New Roman" w:cs="Times New Roman"/>
          <w:sz w:val="24"/>
          <w:szCs w:val="24"/>
          <w:vertAlign w:val="subscript"/>
        </w:rPr>
        <w:t>i</w:t>
      </w:r>
      <w:r w:rsidRPr="00AD04DA">
        <w:rPr>
          <w:rFonts w:ascii="Times New Roman" w:hAnsi="Times New Roman" w:cs="Times New Roman"/>
          <w:sz w:val="24"/>
          <w:szCs w:val="24"/>
        </w:rPr>
        <w:t xml:space="preserve"> is the charge of </w:t>
      </w:r>
      <w:r w:rsidR="00A90001" w:rsidRPr="00AD04DA">
        <w:rPr>
          <w:rFonts w:ascii="Times New Roman" w:hAnsi="Times New Roman" w:cs="Times New Roman"/>
          <w:sz w:val="24"/>
          <w:szCs w:val="24"/>
        </w:rPr>
        <w:t xml:space="preserve">ion </w:t>
      </w:r>
      <w:proofErr w:type="spellStart"/>
      <w:r w:rsidR="00A90001" w:rsidRPr="00AD04DA">
        <w:rPr>
          <w:rFonts w:ascii="Times New Roman" w:hAnsi="Times New Roman" w:cs="Times New Roman"/>
          <w:sz w:val="24"/>
          <w:szCs w:val="24"/>
        </w:rPr>
        <w:t>i</w:t>
      </w:r>
      <w:proofErr w:type="spellEnd"/>
      <w:r w:rsidR="00A90001" w:rsidRPr="00AD04DA">
        <w:rPr>
          <w:rFonts w:ascii="Times New Roman" w:hAnsi="Times New Roman" w:cs="Times New Roman"/>
          <w:sz w:val="24"/>
          <w:szCs w:val="24"/>
        </w:rPr>
        <w:t xml:space="preserve">, </w:t>
      </w:r>
      <w:r w:rsidR="00A90001" w:rsidRPr="00AD04DA">
        <w:rPr>
          <w:rFonts w:ascii="Times New Roman" w:hAnsi="Times New Roman" w:cs="Times New Roman"/>
          <w:sz w:val="24"/>
          <w:szCs w:val="24"/>
        </w:rPr>
        <w:lastRenderedPageBreak/>
        <w:t>and M</w:t>
      </w:r>
      <w:r w:rsidR="00A90001" w:rsidRPr="00AD04DA">
        <w:rPr>
          <w:rFonts w:ascii="Times New Roman" w:hAnsi="Times New Roman" w:cs="Times New Roman"/>
          <w:sz w:val="24"/>
          <w:szCs w:val="24"/>
          <w:vertAlign w:val="subscript"/>
        </w:rPr>
        <w:t>i</w:t>
      </w:r>
      <w:r w:rsidR="00A90001" w:rsidRPr="00AD04DA">
        <w:rPr>
          <w:rFonts w:ascii="Times New Roman" w:hAnsi="Times New Roman" w:cs="Times New Roman"/>
          <w:sz w:val="24"/>
          <w:szCs w:val="24"/>
        </w:rPr>
        <w:t xml:space="preserve"> is the concentration of ion </w:t>
      </w:r>
      <w:proofErr w:type="spellStart"/>
      <w:r w:rsidR="00A90001" w:rsidRPr="00AD04DA">
        <w:rPr>
          <w:rFonts w:ascii="Times New Roman" w:hAnsi="Times New Roman" w:cs="Times New Roman"/>
          <w:sz w:val="24"/>
          <w:szCs w:val="24"/>
        </w:rPr>
        <w:t>i</w:t>
      </w:r>
      <w:proofErr w:type="spellEnd"/>
      <w:r w:rsidR="00A90001" w:rsidRPr="00AD04DA">
        <w:rPr>
          <w:rFonts w:ascii="Times New Roman" w:hAnsi="Times New Roman" w:cs="Times New Roman"/>
          <w:sz w:val="24"/>
          <w:szCs w:val="24"/>
        </w:rPr>
        <w:t>. With these terms defined, Equation 8 introduces the Debye-Hückel limiting law which relates mean ionic activity to ionic strength.</w:t>
      </w:r>
    </w:p>
    <w:p w14:paraId="72A8FAEA" w14:textId="56F36FD4" w:rsidR="002470DB" w:rsidRPr="00AD04DA" w:rsidRDefault="002470DB" w:rsidP="002470DB">
      <w:pPr>
        <w:keepNext/>
        <w:spacing w:after="0" w:line="480" w:lineRule="auto"/>
        <w:jc w:val="both"/>
        <w:rPr>
          <w:rFonts w:ascii="Times New Roman" w:hAnsi="Times New Roman" w:cs="Times New Roman"/>
          <w:sz w:val="24"/>
          <w:szCs w:val="24"/>
        </w:rPr>
      </w:pPr>
      <m:oMathPara>
        <m:oMath>
          <m:r>
            <w:rPr>
              <w:rFonts w:ascii="Cambria Math" w:hAnsi="Cambria Math" w:cs="Times New Roman"/>
              <w:sz w:val="24"/>
              <w:szCs w:val="24"/>
            </w:rPr>
            <m:t>ln</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m:t>
                  </m:r>
                </m:sub>
              </m:sSub>
            </m:e>
          </m:d>
          <m:r>
            <w:rPr>
              <w:rFonts w:ascii="Cambria Math" w:hAnsi="Cambria Math" w:cs="Times New Roman"/>
              <w:sz w:val="24"/>
              <w:szCs w:val="24"/>
            </w:rPr>
            <m:t>=-α</m:t>
          </m:r>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z</m:t>
                  </m:r>
                </m:e>
                <m:sub>
                  <m:r>
                    <w:rPr>
                      <w:rFonts w:ascii="Cambria Math" w:hAnsi="Cambria Math" w:cs="Times New Roman"/>
                      <w:sz w:val="24"/>
                      <w:szCs w:val="24"/>
                    </w:rPr>
                    <m:t>+</m:t>
                  </m:r>
                </m:sub>
              </m:sSub>
              <m:sSub>
                <m:sSubPr>
                  <m:ctrlPr>
                    <w:rPr>
                      <w:rFonts w:ascii="Cambria Math" w:hAnsi="Cambria Math" w:cs="Times New Roman"/>
                      <w:i/>
                      <w:iCs/>
                      <w:sz w:val="24"/>
                      <w:szCs w:val="24"/>
                    </w:rPr>
                  </m:ctrlPr>
                </m:sSubPr>
                <m:e>
                  <m:r>
                    <w:rPr>
                      <w:rFonts w:ascii="Cambria Math" w:hAnsi="Cambria Math" w:cs="Times New Roman"/>
                      <w:sz w:val="24"/>
                      <w:szCs w:val="24"/>
                    </w:rPr>
                    <m:t>z</m:t>
                  </m:r>
                </m:e>
                <m:sub>
                  <m:r>
                    <w:rPr>
                      <w:rFonts w:ascii="Cambria Math" w:hAnsi="Cambria Math" w:cs="Times New Roman"/>
                      <w:sz w:val="24"/>
                      <w:szCs w:val="24"/>
                    </w:rPr>
                    <m:t>-</m:t>
                  </m:r>
                </m:sub>
              </m:sSub>
            </m:e>
          </m:d>
          <m:rad>
            <m:radPr>
              <m:degHide m:val="1"/>
              <m:ctrlPr>
                <w:rPr>
                  <w:rFonts w:ascii="Cambria Math" w:hAnsi="Cambria Math" w:cs="Times New Roman"/>
                  <w:i/>
                  <w:iCs/>
                  <w:sz w:val="24"/>
                  <w:szCs w:val="24"/>
                </w:rPr>
              </m:ctrlPr>
            </m:radPr>
            <m:deg/>
            <m:e>
              <m:r>
                <w:rPr>
                  <w:rFonts w:ascii="Cambria Math" w:hAnsi="Cambria Math" w:cs="Times New Roman"/>
                  <w:sz w:val="24"/>
                  <w:szCs w:val="24"/>
                </w:rPr>
                <m:t>I</m:t>
              </m:r>
            </m:e>
          </m:rad>
        </m:oMath>
      </m:oMathPara>
    </w:p>
    <w:p w14:paraId="786CD2F2" w14:textId="077B3C55" w:rsidR="002470DB" w:rsidRPr="00AD04DA" w:rsidRDefault="002470DB" w:rsidP="002470DB">
      <w:pPr>
        <w:pStyle w:val="Caption"/>
        <w:jc w:val="right"/>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Equation 8</w:t>
      </w:r>
    </w:p>
    <w:p w14:paraId="1DC62E1F" w14:textId="6D6C07AE" w:rsidR="002470DB" w:rsidRPr="00AD04DA" w:rsidRDefault="002470DB" w:rsidP="002470DB">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where α is a parameter that depends on the solvent and temperature. </w:t>
      </w:r>
      <w:r w:rsidR="005C5187" w:rsidRPr="00AD04DA">
        <w:rPr>
          <w:rFonts w:ascii="Times New Roman" w:hAnsi="Times New Roman" w:cs="Times New Roman"/>
          <w:sz w:val="24"/>
          <w:szCs w:val="24"/>
        </w:rPr>
        <w:t xml:space="preserve">Solving Equation 8 for the mean ionic activity and </w:t>
      </w:r>
      <w:r w:rsidR="00E6027D" w:rsidRPr="00AD04DA">
        <w:rPr>
          <w:rFonts w:ascii="Times New Roman" w:hAnsi="Times New Roman" w:cs="Times New Roman"/>
          <w:sz w:val="24"/>
          <w:szCs w:val="24"/>
        </w:rPr>
        <w:t>applying it to Equation 5 gives Equation 9.</w:t>
      </w:r>
    </w:p>
    <w:p w14:paraId="646F8F93" w14:textId="0E70886C" w:rsidR="00E6027D" w:rsidRPr="00AD04DA" w:rsidRDefault="004878EE" w:rsidP="00E6027D">
      <w:pPr>
        <w:keepNext/>
        <w:spacing w:after="0" w:line="480" w:lineRule="auto"/>
        <w:jc w:val="both"/>
        <w:rPr>
          <w:rFonts w:ascii="Times New Roman" w:hAnsi="Times New Roman" w:cs="Times New Roman"/>
          <w:sz w:val="24"/>
          <w:szCs w:val="24"/>
        </w:rPr>
      </w:pPr>
      <m:oMathPara>
        <m:oMath>
          <m:sSubSup>
            <m:sSubSupPr>
              <m:ctrlPr>
                <w:rPr>
                  <w:rFonts w:ascii="Cambria Math" w:hAnsi="Cambria Math" w:cs="Times New Roman"/>
                  <w:i/>
                  <w:iCs/>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I</m:t>
              </m:r>
            </m:sup>
          </m:sSubSup>
          <m:r>
            <w:rPr>
              <w:rFonts w:ascii="Cambria Math" w:hAnsi="Cambria Math" w:cs="Times New Roman"/>
              <w:sz w:val="24"/>
              <w:szCs w:val="24"/>
            </w:rPr>
            <m:t>*</m:t>
          </m:r>
          <m:r>
            <m:rPr>
              <m:sty m:val="p"/>
            </m:rPr>
            <w:rPr>
              <w:rFonts w:ascii="Cambria Math" w:hAnsi="Cambria Math" w:cs="Times New Roman"/>
              <w:sz w:val="24"/>
              <w:szCs w:val="24"/>
            </w:rPr>
            <m:t>exp⁡</m:t>
          </m:r>
          <m:r>
            <w:rPr>
              <w:rFonts w:ascii="Cambria Math" w:hAnsi="Cambria Math" w:cs="Times New Roman"/>
              <w:sz w:val="24"/>
              <w:szCs w:val="24"/>
            </w:rPr>
            <m:t>(-α</m:t>
          </m:r>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z</m:t>
                  </m:r>
                </m:e>
                <m:sub>
                  <m:r>
                    <w:rPr>
                      <w:rFonts w:ascii="Cambria Math" w:hAnsi="Cambria Math" w:cs="Times New Roman"/>
                      <w:sz w:val="24"/>
                      <w:szCs w:val="24"/>
                    </w:rPr>
                    <m:t>+</m:t>
                  </m:r>
                </m:sub>
              </m:sSub>
              <m:sSub>
                <m:sSubPr>
                  <m:ctrlPr>
                    <w:rPr>
                      <w:rFonts w:ascii="Cambria Math" w:hAnsi="Cambria Math" w:cs="Times New Roman"/>
                      <w:i/>
                      <w:iCs/>
                      <w:sz w:val="24"/>
                      <w:szCs w:val="24"/>
                    </w:rPr>
                  </m:ctrlPr>
                </m:sSubPr>
                <m:e>
                  <m:r>
                    <w:rPr>
                      <w:rFonts w:ascii="Cambria Math" w:hAnsi="Cambria Math" w:cs="Times New Roman"/>
                      <w:sz w:val="24"/>
                      <w:szCs w:val="24"/>
                    </w:rPr>
                    <m:t>z</m:t>
                  </m:r>
                </m:e>
                <m:sub>
                  <m:r>
                    <w:rPr>
                      <w:rFonts w:ascii="Cambria Math" w:hAnsi="Cambria Math" w:cs="Times New Roman"/>
                      <w:sz w:val="24"/>
                      <w:szCs w:val="24"/>
                    </w:rPr>
                    <m:t>-</m:t>
                  </m:r>
                </m:sub>
              </m:sSub>
            </m:e>
          </m:d>
          <m:rad>
            <m:radPr>
              <m:degHide m:val="1"/>
              <m:ctrlPr>
                <w:rPr>
                  <w:rFonts w:ascii="Cambria Math" w:hAnsi="Cambria Math" w:cs="Times New Roman"/>
                  <w:i/>
                  <w:iCs/>
                  <w:sz w:val="24"/>
                  <w:szCs w:val="24"/>
                </w:rPr>
              </m:ctrlPr>
            </m:radPr>
            <m:deg/>
            <m:e>
              <m:r>
                <w:rPr>
                  <w:rFonts w:ascii="Cambria Math" w:hAnsi="Cambria Math" w:cs="Times New Roman"/>
                  <w:sz w:val="24"/>
                  <w:szCs w:val="24"/>
                </w:rPr>
                <m:t>I</m:t>
              </m:r>
            </m:e>
          </m:rad>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II</m:t>
              </m:r>
            </m:sup>
          </m:sSubSup>
          <m:sSubSup>
            <m:sSubSupPr>
              <m:ctrlPr>
                <w:rPr>
                  <w:rFonts w:ascii="Cambria Math" w:hAnsi="Cambria Math" w:cs="Times New Roman"/>
                  <w:i/>
                  <w:iCs/>
                  <w:sz w:val="24"/>
                  <w:szCs w:val="24"/>
                </w:rPr>
              </m:ctrlPr>
            </m:sSubSupPr>
            <m:e>
              <m:r>
                <w:rPr>
                  <w:rFonts w:ascii="Cambria Math" w:hAnsi="Cambria Math" w:cs="Times New Roman"/>
                  <w:sz w:val="24"/>
                  <w:szCs w:val="24"/>
                </w:rPr>
                <m:t>γ</m:t>
              </m:r>
            </m:e>
            <m:sub>
              <m:r>
                <w:rPr>
                  <w:rFonts w:ascii="Cambria Math" w:hAnsi="Cambria Math" w:cs="Times New Roman"/>
                  <w:sz w:val="24"/>
                  <w:szCs w:val="24"/>
                </w:rPr>
                <m:t>i</m:t>
              </m:r>
            </m:sub>
            <m:sup>
              <m:r>
                <w:rPr>
                  <w:rFonts w:ascii="Cambria Math" w:hAnsi="Cambria Math" w:cs="Times New Roman"/>
                  <w:sz w:val="24"/>
                  <w:szCs w:val="24"/>
                </w:rPr>
                <m:t>II</m:t>
              </m:r>
            </m:sup>
          </m:sSubSup>
          <m:d>
            <m:dPr>
              <m:ctrlPr>
                <w:rPr>
                  <w:rFonts w:ascii="Cambria Math" w:hAnsi="Cambria Math" w:cs="Times New Roman"/>
                  <w:i/>
                  <w:iCs/>
                  <w:sz w:val="24"/>
                  <w:szCs w:val="24"/>
                </w:rPr>
              </m:ctrlPr>
            </m:dPr>
            <m:e>
              <m:r>
                <w:rPr>
                  <w:rFonts w:ascii="Cambria Math" w:hAnsi="Cambria Math" w:cs="Times New Roman"/>
                  <w:sz w:val="24"/>
                  <w:szCs w:val="24"/>
                </w:rPr>
                <m:t>T,P,</m:t>
              </m:r>
              <m:sSup>
                <m:sSupPr>
                  <m:ctrlPr>
                    <w:rPr>
                      <w:rFonts w:ascii="Cambria Math" w:hAnsi="Cambria Math" w:cs="Times New Roman"/>
                      <w:i/>
                      <w:iCs/>
                      <w:sz w:val="24"/>
                      <w:szCs w:val="24"/>
                    </w:rPr>
                  </m:ctrlPr>
                </m:sSupPr>
                <m:e>
                  <m:r>
                    <w:rPr>
                      <w:rFonts w:ascii="Cambria Math" w:hAnsi="Cambria Math" w:cs="Times New Roman"/>
                      <w:sz w:val="24"/>
                      <w:szCs w:val="24"/>
                    </w:rPr>
                    <m:t>x</m:t>
                  </m:r>
                </m:e>
                <m:sup>
                  <m:r>
                    <w:rPr>
                      <w:rFonts w:ascii="Cambria Math" w:hAnsi="Cambria Math" w:cs="Times New Roman"/>
                      <w:sz w:val="24"/>
                      <w:szCs w:val="24"/>
                    </w:rPr>
                    <m:t>II</m:t>
                  </m:r>
                </m:sup>
              </m:sSup>
            </m:e>
          </m:d>
        </m:oMath>
      </m:oMathPara>
    </w:p>
    <w:p w14:paraId="573B112A" w14:textId="737DEEB3" w:rsidR="00E6027D" w:rsidRPr="00AD04DA" w:rsidRDefault="00E6027D" w:rsidP="00E6027D">
      <w:pPr>
        <w:pStyle w:val="Caption"/>
        <w:jc w:val="right"/>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Equation 9</w:t>
      </w:r>
    </w:p>
    <w:p w14:paraId="413B4662" w14:textId="0277818C" w:rsidR="00E6027D" w:rsidRPr="00AD04DA" w:rsidRDefault="00E6027D" w:rsidP="00E6027D">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D3581B" w:rsidRPr="00AD04DA">
        <w:rPr>
          <w:rFonts w:ascii="Times New Roman" w:hAnsi="Times New Roman" w:cs="Times New Roman"/>
          <w:sz w:val="24"/>
          <w:szCs w:val="24"/>
        </w:rPr>
        <w:t xml:space="preserve">As shown in Equation 9, a higher concentration of salts in the feed will raise I, which will result in the expression within the exponential term having a higher magnitude. As the exponential term is negative, higher ionic strength feeds will cause the mean ionic activity to decrease. On the right side of the equation is the term </w:t>
      </w:r>
      <w:proofErr w:type="spellStart"/>
      <w:r w:rsidR="00D3581B" w:rsidRPr="00AD04DA">
        <w:rPr>
          <w:rFonts w:ascii="Times New Roman" w:hAnsi="Times New Roman" w:cs="Times New Roman"/>
          <w:sz w:val="24"/>
          <w:szCs w:val="24"/>
        </w:rPr>
        <w:t>x</w:t>
      </w:r>
      <w:r w:rsidR="00D3581B" w:rsidRPr="00AD04DA">
        <w:rPr>
          <w:rFonts w:ascii="Times New Roman" w:hAnsi="Times New Roman" w:cs="Times New Roman"/>
          <w:sz w:val="24"/>
          <w:szCs w:val="24"/>
          <w:vertAlign w:val="subscript"/>
        </w:rPr>
        <w:t>i</w:t>
      </w:r>
      <w:r w:rsidR="00D3581B" w:rsidRPr="00AD04DA">
        <w:rPr>
          <w:rFonts w:ascii="Times New Roman" w:hAnsi="Times New Roman" w:cs="Times New Roman"/>
          <w:sz w:val="24"/>
          <w:szCs w:val="24"/>
          <w:vertAlign w:val="superscript"/>
        </w:rPr>
        <w:t>II</w:t>
      </w:r>
      <w:proofErr w:type="spellEnd"/>
      <w:r w:rsidR="00D3581B" w:rsidRPr="00AD04DA">
        <w:rPr>
          <w:rFonts w:ascii="Times New Roman" w:hAnsi="Times New Roman" w:cs="Times New Roman"/>
          <w:sz w:val="24"/>
          <w:szCs w:val="24"/>
        </w:rPr>
        <w:t>, representing the concentration of a given ion in the organic phase. Therefore, for higher ionic strength feeds, less solute will partition into the organic phase and higher rejections will be achieved, which is consistent with the results obtained for DPA. For DA, this is not observed, which means that a different model relating mean ionic activity coefficient to ionic strength is necessary to describe this system.</w:t>
      </w:r>
    </w:p>
    <w:p w14:paraId="6B6AB08B" w14:textId="74FA48E7" w:rsidR="0023023D" w:rsidRPr="00E54E65" w:rsidRDefault="0023023D" w:rsidP="0023023D">
      <w:pPr>
        <w:pStyle w:val="Heading2"/>
        <w:spacing w:before="0" w:line="480" w:lineRule="auto"/>
        <w:ind w:firstLine="720"/>
        <w:rPr>
          <w:rFonts w:ascii="Times New Roman" w:hAnsi="Times New Roman" w:cs="Times New Roman"/>
          <w:color w:val="000000" w:themeColor="text1"/>
          <w:sz w:val="28"/>
          <w:szCs w:val="28"/>
        </w:rPr>
      </w:pPr>
      <w:r w:rsidRPr="00E54E65">
        <w:rPr>
          <w:rFonts w:ascii="Times New Roman" w:hAnsi="Times New Roman" w:cs="Times New Roman"/>
          <w:color w:val="000000" w:themeColor="text1"/>
          <w:sz w:val="28"/>
          <w:szCs w:val="28"/>
        </w:rPr>
        <w:t>3.</w:t>
      </w:r>
      <w:r w:rsidR="003A6949" w:rsidRPr="00E54E65">
        <w:rPr>
          <w:rFonts w:ascii="Times New Roman" w:hAnsi="Times New Roman" w:cs="Times New Roman"/>
          <w:color w:val="000000" w:themeColor="text1"/>
          <w:sz w:val="28"/>
          <w:szCs w:val="28"/>
        </w:rPr>
        <w:t>6</w:t>
      </w:r>
      <w:r w:rsidRPr="00E54E65">
        <w:rPr>
          <w:rFonts w:ascii="Times New Roman" w:hAnsi="Times New Roman" w:cs="Times New Roman"/>
          <w:color w:val="000000" w:themeColor="text1"/>
          <w:sz w:val="28"/>
          <w:szCs w:val="28"/>
        </w:rPr>
        <w:t xml:space="preserve"> Water Recovery</w:t>
      </w:r>
      <w:bookmarkEnd w:id="22"/>
    </w:p>
    <w:p w14:paraId="128312D8" w14:textId="453598D6" w:rsidR="002350CF" w:rsidRPr="00AD04DA" w:rsidRDefault="002350CF" w:rsidP="006139F5">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Figure </w:t>
      </w:r>
      <w:r w:rsidR="008F302C" w:rsidRPr="00AD04DA">
        <w:rPr>
          <w:rFonts w:ascii="Times New Roman" w:hAnsi="Times New Roman" w:cs="Times New Roman"/>
          <w:sz w:val="24"/>
          <w:szCs w:val="24"/>
        </w:rPr>
        <w:t>18</w:t>
      </w:r>
      <w:r w:rsidRPr="00AD04DA">
        <w:rPr>
          <w:rFonts w:ascii="Times New Roman" w:hAnsi="Times New Roman" w:cs="Times New Roman"/>
          <w:sz w:val="24"/>
          <w:szCs w:val="24"/>
        </w:rPr>
        <w:t xml:space="preserve"> shows the average</w:t>
      </w:r>
      <w:r w:rsidR="009246FE" w:rsidRPr="00AD04DA">
        <w:rPr>
          <w:rFonts w:ascii="Times New Roman" w:hAnsi="Times New Roman" w:cs="Times New Roman"/>
          <w:sz w:val="24"/>
          <w:szCs w:val="24"/>
        </w:rPr>
        <w:t xml:space="preserve"> volume of water recovered per trial </w:t>
      </w:r>
      <w:r w:rsidRPr="00AD04DA">
        <w:rPr>
          <w:rFonts w:ascii="Times New Roman" w:hAnsi="Times New Roman" w:cs="Times New Roman"/>
          <w:sz w:val="24"/>
          <w:szCs w:val="24"/>
        </w:rPr>
        <w:t xml:space="preserve">for each solvent for each feed. </w:t>
      </w:r>
      <w:r w:rsidR="001C0F84" w:rsidRPr="00AD04DA">
        <w:rPr>
          <w:rFonts w:ascii="Times New Roman" w:hAnsi="Times New Roman" w:cs="Times New Roman"/>
          <w:sz w:val="24"/>
          <w:szCs w:val="24"/>
        </w:rPr>
        <w:t>The original volume of all feeds was 10 mL.</w:t>
      </w:r>
      <w:r w:rsidR="00931554" w:rsidRPr="00AD04DA">
        <w:rPr>
          <w:rFonts w:ascii="Times New Roman" w:hAnsi="Times New Roman" w:cs="Times New Roman"/>
          <w:sz w:val="24"/>
          <w:szCs w:val="24"/>
        </w:rPr>
        <w:t xml:space="preserve"> </w:t>
      </w:r>
    </w:p>
    <w:p w14:paraId="0804A6C5" w14:textId="304655C9" w:rsidR="002350CF" w:rsidRPr="00AD04DA" w:rsidRDefault="003F0571" w:rsidP="002350CF">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1555DAD6" wp14:editId="19B8FCEA">
            <wp:extent cx="4572000" cy="2933700"/>
            <wp:effectExtent l="0" t="0" r="0" b="0"/>
            <wp:docPr id="25" name="Chart 25">
              <a:extLst xmlns:a="http://schemas.openxmlformats.org/drawingml/2006/main">
                <a:ext uri="{FF2B5EF4-FFF2-40B4-BE49-F238E27FC236}">
                  <a16:creationId xmlns:a16="http://schemas.microsoft.com/office/drawing/2014/main" id="{A0AA2CC5-AC17-4E4B-9A00-7C0AD0E0F5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5BFD93B" w14:textId="02B1D336" w:rsidR="000864F2" w:rsidRPr="00AD04DA" w:rsidRDefault="002350CF" w:rsidP="009B288F">
      <w:pPr>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w:t>
      </w:r>
      <w:r w:rsidR="008F302C" w:rsidRPr="00AD04DA">
        <w:rPr>
          <w:rFonts w:ascii="Times New Roman" w:hAnsi="Times New Roman" w:cs="Times New Roman"/>
          <w:b/>
          <w:bCs/>
          <w:sz w:val="24"/>
          <w:szCs w:val="24"/>
        </w:rPr>
        <w:t>18</w:t>
      </w:r>
      <w:r w:rsidRPr="00AD04DA">
        <w:rPr>
          <w:rFonts w:ascii="Times New Roman" w:hAnsi="Times New Roman" w:cs="Times New Roman"/>
          <w:b/>
          <w:bCs/>
          <w:sz w:val="24"/>
          <w:szCs w:val="24"/>
        </w:rPr>
        <w:t xml:space="preserve">: </w:t>
      </w:r>
      <w:r w:rsidRPr="00AD04DA">
        <w:rPr>
          <w:rFonts w:ascii="Times New Roman" w:hAnsi="Times New Roman" w:cs="Times New Roman"/>
          <w:sz w:val="24"/>
          <w:szCs w:val="24"/>
        </w:rPr>
        <w:t>Average water recovery by feed and solvent.</w:t>
      </w:r>
    </w:p>
    <w:p w14:paraId="30B6453C" w14:textId="0267FBDA" w:rsidR="009B288F" w:rsidRPr="00AD04DA" w:rsidRDefault="009B288F" w:rsidP="009B288F">
      <w:pPr>
        <w:spacing w:after="0" w:line="480" w:lineRule="auto"/>
        <w:jc w:val="center"/>
        <w:rPr>
          <w:rFonts w:ascii="Times New Roman" w:hAnsi="Times New Roman" w:cs="Times New Roman"/>
          <w:sz w:val="24"/>
          <w:szCs w:val="24"/>
        </w:rPr>
      </w:pPr>
    </w:p>
    <w:p w14:paraId="6EDAF682" w14:textId="055FA3E7" w:rsidR="00515CE6" w:rsidRPr="00AD04DA" w:rsidRDefault="00B3617D" w:rsidP="007E0BBB">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For the SeO</w:t>
      </w:r>
      <w:r w:rsidRPr="00AD04DA">
        <w:rPr>
          <w:rFonts w:ascii="Times New Roman" w:hAnsi="Times New Roman" w:cs="Times New Roman"/>
          <w:sz w:val="24"/>
          <w:szCs w:val="24"/>
          <w:vertAlign w:val="subscript"/>
        </w:rPr>
        <w:t>3</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SeO</w:t>
      </w:r>
      <w:r w:rsidRPr="00AD04DA">
        <w:rPr>
          <w:rFonts w:ascii="Times New Roman" w:hAnsi="Times New Roman" w:cs="Times New Roman"/>
          <w:sz w:val="24"/>
          <w:szCs w:val="24"/>
          <w:vertAlign w:val="subscript"/>
        </w:rPr>
        <w:t>4</w:t>
      </w:r>
      <w:r w:rsidRPr="00AD04DA">
        <w:rPr>
          <w:rFonts w:ascii="Times New Roman" w:hAnsi="Times New Roman" w:cs="Times New Roman"/>
          <w:sz w:val="24"/>
          <w:szCs w:val="24"/>
          <w:vertAlign w:val="superscript"/>
        </w:rPr>
        <w:t>2-</w:t>
      </w:r>
      <w:r w:rsidRPr="00AD04DA">
        <w:rPr>
          <w:rFonts w:ascii="Times New Roman" w:hAnsi="Times New Roman" w:cs="Times New Roman"/>
          <w:sz w:val="24"/>
          <w:szCs w:val="24"/>
        </w:rPr>
        <w:t xml:space="preserve">, </w:t>
      </w:r>
      <w:r w:rsidR="00E726BF" w:rsidRPr="00AD04DA">
        <w:rPr>
          <w:rFonts w:ascii="Times New Roman" w:hAnsi="Times New Roman" w:cs="Times New Roman"/>
          <w:sz w:val="24"/>
          <w:szCs w:val="24"/>
        </w:rPr>
        <w:t xml:space="preserve">synthetic FGD wastewater, </w:t>
      </w:r>
      <w:r w:rsidRPr="00AD04DA">
        <w:rPr>
          <w:rFonts w:ascii="Times New Roman" w:hAnsi="Times New Roman" w:cs="Times New Roman"/>
          <w:sz w:val="24"/>
          <w:szCs w:val="24"/>
        </w:rPr>
        <w:t xml:space="preserve">3.5 </w:t>
      </w:r>
      <w:r w:rsidR="00CB43B3" w:rsidRPr="00AD04DA">
        <w:rPr>
          <w:rFonts w:ascii="Times New Roman" w:hAnsi="Times New Roman" w:cs="Times New Roman"/>
          <w:sz w:val="24"/>
          <w:szCs w:val="24"/>
        </w:rPr>
        <w:t>w/w%</w:t>
      </w:r>
      <w:r w:rsidRPr="00AD04DA">
        <w:rPr>
          <w:rFonts w:ascii="Times New Roman" w:hAnsi="Times New Roman" w:cs="Times New Roman"/>
          <w:sz w:val="24"/>
          <w:szCs w:val="24"/>
        </w:rPr>
        <w:t xml:space="preserve"> NaCl, 1.0 M NaCl, and 4.0 M NaCl</w:t>
      </w:r>
      <w:r w:rsidR="00C7072C" w:rsidRPr="00AD04DA">
        <w:rPr>
          <w:rFonts w:ascii="Times New Roman" w:hAnsi="Times New Roman" w:cs="Times New Roman"/>
          <w:sz w:val="24"/>
          <w:szCs w:val="24"/>
        </w:rPr>
        <w:t xml:space="preserve"> feeds</w:t>
      </w:r>
      <w:r w:rsidRPr="00AD04DA">
        <w:rPr>
          <w:rFonts w:ascii="Times New Roman" w:hAnsi="Times New Roman" w:cs="Times New Roman"/>
          <w:sz w:val="24"/>
          <w:szCs w:val="24"/>
        </w:rPr>
        <w:t xml:space="preserve">, the </w:t>
      </w:r>
      <w:r w:rsidR="00181961" w:rsidRPr="00AD04DA">
        <w:rPr>
          <w:rFonts w:ascii="Times New Roman" w:hAnsi="Times New Roman" w:cs="Times New Roman"/>
          <w:sz w:val="24"/>
          <w:szCs w:val="24"/>
        </w:rPr>
        <w:t xml:space="preserve">water recovery from 10 mL feed </w:t>
      </w:r>
      <w:r w:rsidR="00C7072C" w:rsidRPr="00AD04DA">
        <w:rPr>
          <w:rFonts w:ascii="Times New Roman" w:hAnsi="Times New Roman" w:cs="Times New Roman"/>
          <w:sz w:val="24"/>
          <w:szCs w:val="24"/>
        </w:rPr>
        <w:t xml:space="preserve">extracted with DA </w:t>
      </w:r>
      <w:r w:rsidR="00181961" w:rsidRPr="00AD04DA">
        <w:rPr>
          <w:rFonts w:ascii="Times New Roman" w:hAnsi="Times New Roman" w:cs="Times New Roman"/>
          <w:sz w:val="24"/>
          <w:szCs w:val="24"/>
        </w:rPr>
        <w:t>was 0.162 ± 0.043, 0.078 ± 0.039,</w:t>
      </w:r>
      <w:r w:rsidR="0008623E" w:rsidRPr="00AD04DA">
        <w:rPr>
          <w:rFonts w:ascii="Times New Roman" w:hAnsi="Times New Roman" w:cs="Times New Roman"/>
          <w:sz w:val="24"/>
          <w:szCs w:val="24"/>
        </w:rPr>
        <w:t xml:space="preserve"> 0.041 ± 0.016,</w:t>
      </w:r>
      <w:r w:rsidR="00181961" w:rsidRPr="00AD04DA">
        <w:rPr>
          <w:rFonts w:ascii="Times New Roman" w:hAnsi="Times New Roman" w:cs="Times New Roman"/>
          <w:sz w:val="24"/>
          <w:szCs w:val="24"/>
        </w:rPr>
        <w:t xml:space="preserve"> 0.045 ± 0.021, 0.045 ± 0.014, and 0.038 ± 0.019, respectively. </w:t>
      </w:r>
      <w:r w:rsidR="00C7072C" w:rsidRPr="00AD04DA">
        <w:rPr>
          <w:rFonts w:ascii="Times New Roman" w:hAnsi="Times New Roman" w:cs="Times New Roman"/>
          <w:sz w:val="24"/>
          <w:szCs w:val="24"/>
        </w:rPr>
        <w:t xml:space="preserve">For the same feeds with DPA extraction, the water recovery was </w:t>
      </w:r>
      <w:r w:rsidR="00D31D44" w:rsidRPr="00AD04DA">
        <w:rPr>
          <w:rFonts w:ascii="Times New Roman" w:hAnsi="Times New Roman" w:cs="Times New Roman"/>
          <w:sz w:val="24"/>
          <w:szCs w:val="24"/>
        </w:rPr>
        <w:t>1.53 ± 0.31, 1.36 ± 0.43,</w:t>
      </w:r>
      <w:r w:rsidR="0008623E" w:rsidRPr="00AD04DA">
        <w:rPr>
          <w:rFonts w:ascii="Times New Roman" w:hAnsi="Times New Roman" w:cs="Times New Roman"/>
          <w:sz w:val="24"/>
          <w:szCs w:val="24"/>
        </w:rPr>
        <w:t xml:space="preserve"> 0.97 ± 0.24,</w:t>
      </w:r>
      <w:r w:rsidR="00D31D44" w:rsidRPr="00AD04DA">
        <w:rPr>
          <w:rFonts w:ascii="Times New Roman" w:hAnsi="Times New Roman" w:cs="Times New Roman"/>
          <w:sz w:val="24"/>
          <w:szCs w:val="24"/>
        </w:rPr>
        <w:t xml:space="preserve"> 1.00 ± 0.14, 0.90 ± 0.09, and 0.38 ± 0.22, respectively.</w:t>
      </w:r>
    </w:p>
    <w:p w14:paraId="7353E0B6" w14:textId="79C73C56" w:rsidR="005D13CC" w:rsidRPr="00AD04DA" w:rsidRDefault="00E51F19" w:rsidP="005B5BCD">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 xml:space="preserve">Figure </w:t>
      </w:r>
      <w:r w:rsidR="008F302C" w:rsidRPr="00AD04DA">
        <w:rPr>
          <w:rFonts w:ascii="Times New Roman" w:hAnsi="Times New Roman" w:cs="Times New Roman"/>
          <w:sz w:val="24"/>
          <w:szCs w:val="24"/>
        </w:rPr>
        <w:t>18</w:t>
      </w:r>
      <w:r w:rsidRPr="00AD04DA">
        <w:rPr>
          <w:rFonts w:ascii="Times New Roman" w:hAnsi="Times New Roman" w:cs="Times New Roman"/>
          <w:sz w:val="24"/>
          <w:szCs w:val="24"/>
        </w:rPr>
        <w:t xml:space="preserve"> shows </w:t>
      </w:r>
      <w:r w:rsidR="008F302C" w:rsidRPr="00AD04DA">
        <w:rPr>
          <w:rFonts w:ascii="Times New Roman" w:hAnsi="Times New Roman" w:cs="Times New Roman"/>
          <w:sz w:val="24"/>
          <w:szCs w:val="24"/>
        </w:rPr>
        <w:t>two</w:t>
      </w:r>
      <w:r w:rsidRPr="00AD04DA">
        <w:rPr>
          <w:rFonts w:ascii="Times New Roman" w:hAnsi="Times New Roman" w:cs="Times New Roman"/>
          <w:sz w:val="24"/>
          <w:szCs w:val="24"/>
        </w:rPr>
        <w:t xml:space="preserve"> </w:t>
      </w:r>
      <w:r w:rsidR="008F302C" w:rsidRPr="00AD04DA">
        <w:rPr>
          <w:rFonts w:ascii="Times New Roman" w:hAnsi="Times New Roman" w:cs="Times New Roman"/>
          <w:sz w:val="24"/>
          <w:szCs w:val="24"/>
        </w:rPr>
        <w:t>t</w:t>
      </w:r>
      <w:r w:rsidRPr="00AD04DA">
        <w:rPr>
          <w:rFonts w:ascii="Times New Roman" w:hAnsi="Times New Roman" w:cs="Times New Roman"/>
          <w:sz w:val="24"/>
          <w:szCs w:val="24"/>
        </w:rPr>
        <w:t>rend</w:t>
      </w:r>
      <w:r w:rsidR="008F302C" w:rsidRPr="00AD04DA">
        <w:rPr>
          <w:rFonts w:ascii="Times New Roman" w:hAnsi="Times New Roman" w:cs="Times New Roman"/>
          <w:sz w:val="24"/>
          <w:szCs w:val="24"/>
        </w:rPr>
        <w:t>s. The first is that</w:t>
      </w:r>
      <w:r w:rsidRPr="00AD04DA">
        <w:rPr>
          <w:rFonts w:ascii="Times New Roman" w:hAnsi="Times New Roman" w:cs="Times New Roman"/>
          <w:sz w:val="24"/>
          <w:szCs w:val="24"/>
        </w:rPr>
        <w:t xml:space="preserve"> water recovery decreases as solute concentration increases. For both DPA and DA, the highest water recovery was achieved for the low</w:t>
      </w:r>
      <w:r w:rsidR="003B0BB3" w:rsidRPr="00AD04DA">
        <w:rPr>
          <w:rFonts w:ascii="Times New Roman" w:hAnsi="Times New Roman" w:cs="Times New Roman"/>
          <w:sz w:val="24"/>
          <w:szCs w:val="24"/>
        </w:rPr>
        <w:t xml:space="preserve"> solute concentrations of the selenate and selenite feeds. The water recovery decreased as the feed became more concentrated and was lowest for both solvents for the 4.0 M NaCl feed.</w:t>
      </w:r>
      <w:r w:rsidR="00134F81" w:rsidRPr="00AD04DA">
        <w:rPr>
          <w:rFonts w:ascii="Times New Roman" w:hAnsi="Times New Roman" w:cs="Times New Roman"/>
          <w:sz w:val="24"/>
          <w:szCs w:val="24"/>
        </w:rPr>
        <w:t xml:space="preserve"> The second is that DPA achieved 9-22 times higher water recovery than DA, but in every trial, DPA showed worse solute rejection than DA. </w:t>
      </w:r>
      <w:r w:rsidR="002C4841" w:rsidRPr="00AD04DA">
        <w:rPr>
          <w:rFonts w:ascii="Times New Roman" w:hAnsi="Times New Roman" w:cs="Times New Roman"/>
          <w:sz w:val="24"/>
          <w:szCs w:val="24"/>
        </w:rPr>
        <w:t>This suggests that there may exist a tradeoff between water recovery and solute rejection.</w:t>
      </w:r>
    </w:p>
    <w:p w14:paraId="2B134B5D" w14:textId="1F29560C" w:rsidR="00734E3A" w:rsidRPr="00AD04DA" w:rsidRDefault="00E55A0E" w:rsidP="009C384C">
      <w:pPr>
        <w:spacing w:after="0" w:line="480" w:lineRule="auto"/>
        <w:jc w:val="both"/>
        <w:rPr>
          <w:rFonts w:ascii="Times New Roman" w:eastAsiaTheme="minorEastAsia" w:hAnsi="Times New Roman" w:cs="Times New Roman"/>
          <w:sz w:val="24"/>
          <w:szCs w:val="24"/>
        </w:rPr>
      </w:pPr>
      <w:r w:rsidRPr="00AD04DA">
        <w:rPr>
          <w:rFonts w:ascii="Times New Roman" w:hAnsi="Times New Roman" w:cs="Times New Roman"/>
          <w:sz w:val="24"/>
          <w:szCs w:val="24"/>
        </w:rPr>
        <w:lastRenderedPageBreak/>
        <w:tab/>
      </w:r>
      <w:r w:rsidR="009C384C" w:rsidRPr="00AD04DA">
        <w:rPr>
          <w:rFonts w:ascii="Times New Roman" w:hAnsi="Times New Roman" w:cs="Times New Roman"/>
          <w:sz w:val="24"/>
          <w:szCs w:val="24"/>
        </w:rPr>
        <w:t>The lower water recovery at higher feed concentrations can be explained by thermodynamic modelling. As shown earlier, Equation 5 gives the general equilibrium criteria that applies to each species within each phase.</w:t>
      </w:r>
    </w:p>
    <w:p w14:paraId="671A4A86" w14:textId="77777777" w:rsidR="00404F62" w:rsidRPr="00AD04DA" w:rsidRDefault="004878EE" w:rsidP="00404F62">
      <w:pPr>
        <w:keepNext/>
        <w:spacing w:after="0" w:line="480" w:lineRule="auto"/>
        <w:jc w:val="both"/>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I</m:t>
              </m:r>
            </m:sup>
          </m:sSubSup>
          <m:sSubSup>
            <m:sSubSupPr>
              <m:ctrlPr>
                <w:rPr>
                  <w:rFonts w:ascii="Cambria Math" w:hAnsi="Cambria Math" w:cs="Times New Roman"/>
                  <w:i/>
                  <w:sz w:val="24"/>
                  <w:szCs w:val="24"/>
                </w:rPr>
              </m:ctrlPr>
            </m:sSubSupPr>
            <m:e>
              <m:r>
                <w:rPr>
                  <w:rFonts w:ascii="Cambria Math" w:hAnsi="Cambria Math" w:cs="Times New Roman"/>
                  <w:sz w:val="24"/>
                  <w:szCs w:val="24"/>
                </w:rPr>
                <m:t>γ</m:t>
              </m:r>
            </m:e>
            <m:sub>
              <m:r>
                <w:rPr>
                  <w:rFonts w:ascii="Cambria Math" w:hAnsi="Cambria Math" w:cs="Times New Roman"/>
                  <w:sz w:val="24"/>
                  <w:szCs w:val="24"/>
                </w:rPr>
                <m:t>i</m:t>
              </m:r>
            </m:sub>
            <m:sup>
              <m:r>
                <w:rPr>
                  <w:rFonts w:ascii="Cambria Math" w:hAnsi="Cambria Math" w:cs="Times New Roman"/>
                  <w:sz w:val="24"/>
                  <w:szCs w:val="24"/>
                </w:rPr>
                <m:t>I</m:t>
              </m:r>
            </m:sup>
          </m:sSubSup>
          <m:d>
            <m:dPr>
              <m:ctrlPr>
                <w:rPr>
                  <w:rFonts w:ascii="Cambria Math" w:hAnsi="Cambria Math" w:cs="Times New Roman"/>
                  <w:i/>
                  <w:sz w:val="24"/>
                  <w:szCs w:val="24"/>
                </w:rPr>
              </m:ctrlPr>
            </m:dPr>
            <m:e>
              <m:r>
                <w:rPr>
                  <w:rFonts w:ascii="Cambria Math" w:hAnsi="Cambria Math" w:cs="Times New Roman"/>
                  <w:sz w:val="24"/>
                  <w:szCs w:val="24"/>
                </w:rPr>
                <m:t>T,P,</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I</m:t>
                  </m:r>
                </m:sup>
              </m:sSup>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II</m:t>
              </m:r>
            </m:sup>
          </m:sSubSup>
          <m:sSubSup>
            <m:sSubSupPr>
              <m:ctrlPr>
                <w:rPr>
                  <w:rFonts w:ascii="Cambria Math" w:hAnsi="Cambria Math" w:cs="Times New Roman"/>
                  <w:i/>
                  <w:sz w:val="24"/>
                  <w:szCs w:val="24"/>
                </w:rPr>
              </m:ctrlPr>
            </m:sSubSupPr>
            <m:e>
              <m:r>
                <w:rPr>
                  <w:rFonts w:ascii="Cambria Math" w:hAnsi="Cambria Math" w:cs="Times New Roman"/>
                  <w:sz w:val="24"/>
                  <w:szCs w:val="24"/>
                </w:rPr>
                <m:t>γ</m:t>
              </m:r>
            </m:e>
            <m:sub>
              <m:r>
                <w:rPr>
                  <w:rFonts w:ascii="Cambria Math" w:hAnsi="Cambria Math" w:cs="Times New Roman"/>
                  <w:sz w:val="24"/>
                  <w:szCs w:val="24"/>
                </w:rPr>
                <m:t>i</m:t>
              </m:r>
            </m:sub>
            <m:sup>
              <m:r>
                <w:rPr>
                  <w:rFonts w:ascii="Cambria Math" w:hAnsi="Cambria Math" w:cs="Times New Roman"/>
                  <w:sz w:val="24"/>
                  <w:szCs w:val="24"/>
                </w:rPr>
                <m:t>II</m:t>
              </m:r>
            </m:sup>
          </m:sSubSup>
          <m:d>
            <m:dPr>
              <m:ctrlPr>
                <w:rPr>
                  <w:rFonts w:ascii="Cambria Math" w:hAnsi="Cambria Math" w:cs="Times New Roman"/>
                  <w:i/>
                  <w:sz w:val="24"/>
                  <w:szCs w:val="24"/>
                </w:rPr>
              </m:ctrlPr>
            </m:dPr>
            <m:e>
              <m:r>
                <w:rPr>
                  <w:rFonts w:ascii="Cambria Math" w:hAnsi="Cambria Math" w:cs="Times New Roman"/>
                  <w:sz w:val="24"/>
                  <w:szCs w:val="24"/>
                </w:rPr>
                <m:t>T,P,</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II</m:t>
                  </m:r>
                </m:sup>
              </m:sSup>
            </m:e>
          </m:d>
        </m:oMath>
      </m:oMathPara>
    </w:p>
    <w:p w14:paraId="1679D82B" w14:textId="3D62BF39" w:rsidR="0070649C" w:rsidRPr="00AD04DA" w:rsidRDefault="00404F62" w:rsidP="00404F62">
      <w:pPr>
        <w:pStyle w:val="Caption"/>
        <w:jc w:val="right"/>
        <w:rPr>
          <w:rFonts w:ascii="Times New Roman" w:eastAsiaTheme="minorEastAsia" w:hAnsi="Times New Roman" w:cs="Times New Roman"/>
          <w:color w:val="000000" w:themeColor="text1"/>
          <w:sz w:val="24"/>
          <w:szCs w:val="24"/>
        </w:rPr>
      </w:pPr>
      <w:r w:rsidRPr="00AD04DA">
        <w:rPr>
          <w:rFonts w:ascii="Times New Roman" w:hAnsi="Times New Roman" w:cs="Times New Roman"/>
          <w:color w:val="000000" w:themeColor="text1"/>
          <w:sz w:val="24"/>
          <w:szCs w:val="24"/>
        </w:rPr>
        <w:t xml:space="preserve">Equation </w:t>
      </w:r>
      <w:r w:rsidR="009C384C" w:rsidRPr="00AD04DA">
        <w:rPr>
          <w:rFonts w:ascii="Times New Roman" w:hAnsi="Times New Roman" w:cs="Times New Roman"/>
          <w:color w:val="000000" w:themeColor="text1"/>
          <w:sz w:val="24"/>
          <w:szCs w:val="24"/>
        </w:rPr>
        <w:t>5</w:t>
      </w:r>
    </w:p>
    <w:p w14:paraId="323F8BBF" w14:textId="579494F1" w:rsidR="002653DE" w:rsidRPr="00AD04DA" w:rsidRDefault="003C613E" w:rsidP="006732D6">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FF3B77" w:rsidRPr="00AD04DA">
        <w:rPr>
          <w:rFonts w:ascii="Times New Roman" w:hAnsi="Times New Roman" w:cs="Times New Roman"/>
          <w:sz w:val="24"/>
          <w:szCs w:val="24"/>
        </w:rPr>
        <w:t xml:space="preserve">Equation </w:t>
      </w:r>
      <w:r w:rsidR="009C384C" w:rsidRPr="00AD04DA">
        <w:rPr>
          <w:rFonts w:ascii="Times New Roman" w:hAnsi="Times New Roman" w:cs="Times New Roman"/>
          <w:sz w:val="24"/>
          <w:szCs w:val="24"/>
        </w:rPr>
        <w:t>10</w:t>
      </w:r>
      <w:r w:rsidR="00FF3B77" w:rsidRPr="00AD04DA">
        <w:rPr>
          <w:rFonts w:ascii="Times New Roman" w:hAnsi="Times New Roman" w:cs="Times New Roman"/>
          <w:sz w:val="24"/>
          <w:szCs w:val="24"/>
        </w:rPr>
        <w:t xml:space="preserve"> gives water activity as a function of </w:t>
      </w:r>
      <w:r w:rsidR="00F34E05" w:rsidRPr="00AD04DA">
        <w:rPr>
          <w:rFonts w:ascii="Times New Roman" w:hAnsi="Times New Roman" w:cs="Times New Roman"/>
          <w:sz w:val="24"/>
          <w:szCs w:val="24"/>
        </w:rPr>
        <w:t>s</w:t>
      </w:r>
      <w:r w:rsidR="00736563">
        <w:rPr>
          <w:rFonts w:ascii="Times New Roman" w:hAnsi="Times New Roman" w:cs="Times New Roman"/>
          <w:sz w:val="24"/>
          <w:szCs w:val="24"/>
        </w:rPr>
        <w:t>olute</w:t>
      </w:r>
      <w:r w:rsidR="00F34E05" w:rsidRPr="00AD04DA">
        <w:rPr>
          <w:rFonts w:ascii="Times New Roman" w:hAnsi="Times New Roman" w:cs="Times New Roman"/>
          <w:sz w:val="24"/>
          <w:szCs w:val="24"/>
        </w:rPr>
        <w:t xml:space="preserve"> concentration</w:t>
      </w:r>
      <w:r w:rsidR="00F7357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{"citationID":"BDX6DrN4","properties":{"formattedCitation":"\\super 98\\nosupersub{}","plainCitation":"98","noteIndex":0},"citationItems":[{"id":890,"uris":["http://zotero.org/users/8284751/items/96WCJZJT"],"itemData":{"id":890,"type":"book","edition":"5th","ISBN":"978-0-470-50479-6","publisher":"Wiley","title":"Chemical, Biochemical, and Engineering Thermodynamics","author":[{"family":"Sandler","given":"Stanley I"}],"issued":{"date-parts":[["2017"]]}}}],"schema":"https://github.com/citation-style-language/schema/raw/master/csl-citation.json"} </w:instrText>
      </w:r>
      <w:r w:rsidR="00F73576" w:rsidRPr="00AD04DA">
        <w:rPr>
          <w:rFonts w:ascii="Times New Roman" w:hAnsi="Times New Roman" w:cs="Times New Roman"/>
          <w:sz w:val="24"/>
          <w:szCs w:val="24"/>
        </w:rPr>
        <w:fldChar w:fldCharType="separate"/>
      </w:r>
      <w:r w:rsidR="00ED636E" w:rsidRPr="00AD04DA">
        <w:rPr>
          <w:rFonts w:ascii="Times New Roman" w:hAnsi="Times New Roman" w:cs="Times New Roman"/>
          <w:sz w:val="24"/>
          <w:szCs w:val="24"/>
          <w:vertAlign w:val="superscript"/>
        </w:rPr>
        <w:t>98</w:t>
      </w:r>
      <w:r w:rsidR="00F73576" w:rsidRPr="00AD04DA">
        <w:rPr>
          <w:rFonts w:ascii="Times New Roman" w:hAnsi="Times New Roman" w:cs="Times New Roman"/>
          <w:sz w:val="24"/>
          <w:szCs w:val="24"/>
        </w:rPr>
        <w:fldChar w:fldCharType="end"/>
      </w:r>
      <w:r w:rsidR="003B2054" w:rsidRPr="00AD04DA">
        <w:rPr>
          <w:rFonts w:ascii="Times New Roman" w:hAnsi="Times New Roman" w:cs="Times New Roman"/>
          <w:sz w:val="24"/>
          <w:szCs w:val="24"/>
        </w:rPr>
        <w:t>.</w:t>
      </w:r>
    </w:p>
    <w:p w14:paraId="7F65F16A" w14:textId="52DE631D" w:rsidR="00F34E05" w:rsidRPr="00AD04DA" w:rsidRDefault="00F34E05" w:rsidP="00404F62">
      <w:pPr>
        <w:keepNext/>
        <w:spacing w:after="0" w:line="48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-ln</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W</m:t>
                  </m:r>
                </m:sub>
              </m:sSub>
            </m:e>
          </m:d>
          <m:r>
            <w:rPr>
              <w:rFonts w:ascii="Cambria Math" w:hAnsi="Cambria Math" w:cs="Times New Roman"/>
              <w:sz w:val="24"/>
              <w:szCs w:val="24"/>
            </w:rPr>
            <m:t>=vm</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W</m:t>
              </m:r>
            </m:sub>
          </m:sSub>
          <m:r>
            <w:rPr>
              <w:rFonts w:ascii="Cambria Math" w:hAnsi="Cambria Math" w:cs="Times New Roman"/>
              <w:sz w:val="24"/>
              <w:szCs w:val="24"/>
            </w:rPr>
            <m:t>Φ</m:t>
          </m:r>
        </m:oMath>
      </m:oMathPara>
    </w:p>
    <w:p w14:paraId="139DC6C8" w14:textId="0461B032" w:rsidR="00404F62" w:rsidRPr="00AD04DA" w:rsidRDefault="00404F62" w:rsidP="00404F62">
      <w:pPr>
        <w:pStyle w:val="Caption"/>
        <w:jc w:val="right"/>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 xml:space="preserve">Equation </w:t>
      </w:r>
      <w:r w:rsidR="009C384C" w:rsidRPr="00AD04DA">
        <w:rPr>
          <w:rFonts w:ascii="Times New Roman" w:hAnsi="Times New Roman" w:cs="Times New Roman"/>
          <w:color w:val="000000" w:themeColor="text1"/>
          <w:sz w:val="24"/>
          <w:szCs w:val="24"/>
        </w:rPr>
        <w:t>10</w:t>
      </w:r>
    </w:p>
    <w:p w14:paraId="5689F9BD" w14:textId="7BA3D6A2" w:rsidR="004447AD" w:rsidRPr="00AD04DA" w:rsidRDefault="00F34E05" w:rsidP="00CE3092">
      <w:pPr>
        <w:spacing w:after="0" w:line="480" w:lineRule="auto"/>
        <w:jc w:val="both"/>
        <w:rPr>
          <w:rFonts w:ascii="Times New Roman" w:eastAsiaTheme="minorEastAsia" w:hAnsi="Times New Roman" w:cs="Times New Roman"/>
          <w:sz w:val="24"/>
          <w:szCs w:val="24"/>
        </w:rPr>
      </w:pPr>
      <w:r w:rsidRPr="00AD04DA">
        <w:rPr>
          <w:rFonts w:ascii="Times New Roman" w:eastAsiaTheme="minorEastAsia" w:hAnsi="Times New Roman" w:cs="Times New Roman"/>
          <w:sz w:val="24"/>
          <w:szCs w:val="24"/>
        </w:rPr>
        <w:t xml:space="preserve">where </w:t>
      </w:r>
      <w:proofErr w:type="spellStart"/>
      <w:r w:rsidRPr="00AD04DA">
        <w:rPr>
          <w:rFonts w:ascii="Times New Roman" w:eastAsiaTheme="minorEastAsia" w:hAnsi="Times New Roman" w:cs="Times New Roman"/>
          <w:sz w:val="24"/>
          <w:szCs w:val="24"/>
        </w:rPr>
        <w:t>γ</w:t>
      </w:r>
      <w:r w:rsidRPr="00AD04DA">
        <w:rPr>
          <w:rFonts w:ascii="Times New Roman" w:eastAsiaTheme="minorEastAsia" w:hAnsi="Times New Roman" w:cs="Times New Roman"/>
          <w:sz w:val="24"/>
          <w:szCs w:val="24"/>
          <w:vertAlign w:val="subscript"/>
        </w:rPr>
        <w:t>w</w:t>
      </w:r>
      <w:proofErr w:type="spellEnd"/>
      <w:r w:rsidRPr="00AD04DA">
        <w:rPr>
          <w:rFonts w:ascii="Times New Roman" w:eastAsiaTheme="minorEastAsia" w:hAnsi="Times New Roman" w:cs="Times New Roman"/>
          <w:sz w:val="24"/>
          <w:szCs w:val="24"/>
        </w:rPr>
        <w:t xml:space="preserve"> is the water activity coefficient, v is the number of species that form from salt dissolution, m is the molality of solute, M</w:t>
      </w:r>
      <w:r w:rsidRPr="00AD04DA">
        <w:rPr>
          <w:rFonts w:ascii="Times New Roman" w:eastAsiaTheme="minorEastAsia" w:hAnsi="Times New Roman" w:cs="Times New Roman"/>
          <w:sz w:val="24"/>
          <w:szCs w:val="24"/>
          <w:vertAlign w:val="subscript"/>
        </w:rPr>
        <w:t>W</w:t>
      </w:r>
      <w:r w:rsidRPr="00AD04DA">
        <w:rPr>
          <w:rFonts w:ascii="Times New Roman" w:eastAsiaTheme="minorEastAsia" w:hAnsi="Times New Roman" w:cs="Times New Roman"/>
          <w:sz w:val="24"/>
          <w:szCs w:val="24"/>
        </w:rPr>
        <w:t xml:space="preserve"> is the molar mass of water, and Φ is the osmotic coefficient, which corrects for nonideality. </w:t>
      </w:r>
      <w:r w:rsidR="001502E3" w:rsidRPr="00AD04DA">
        <w:rPr>
          <w:rFonts w:ascii="Times New Roman" w:eastAsiaTheme="minorEastAsia" w:hAnsi="Times New Roman" w:cs="Times New Roman"/>
          <w:sz w:val="24"/>
          <w:szCs w:val="24"/>
        </w:rPr>
        <w:t xml:space="preserve">Equation </w:t>
      </w:r>
      <w:r w:rsidR="009C384C" w:rsidRPr="00AD04DA">
        <w:rPr>
          <w:rFonts w:ascii="Times New Roman" w:eastAsiaTheme="minorEastAsia" w:hAnsi="Times New Roman" w:cs="Times New Roman"/>
          <w:sz w:val="24"/>
          <w:szCs w:val="24"/>
        </w:rPr>
        <w:t>10</w:t>
      </w:r>
      <w:r w:rsidR="001502E3" w:rsidRPr="00AD04DA">
        <w:rPr>
          <w:rFonts w:ascii="Times New Roman" w:eastAsiaTheme="minorEastAsia" w:hAnsi="Times New Roman" w:cs="Times New Roman"/>
          <w:sz w:val="24"/>
          <w:szCs w:val="24"/>
        </w:rPr>
        <w:t xml:space="preserve"> demonstrates that as the concentration of solute within the aqueous phase gets larger, the activity of water gets smaller. </w:t>
      </w:r>
      <w:r w:rsidR="00C80B2D" w:rsidRPr="00AD04DA">
        <w:rPr>
          <w:rFonts w:ascii="Times New Roman" w:eastAsiaTheme="minorEastAsia" w:hAnsi="Times New Roman" w:cs="Times New Roman"/>
          <w:sz w:val="24"/>
          <w:szCs w:val="24"/>
        </w:rPr>
        <w:t xml:space="preserve">Letting phase I be the aqueous phase and phase II the organic, applying Equation </w:t>
      </w:r>
      <w:r w:rsidR="009C384C" w:rsidRPr="00AD04DA">
        <w:rPr>
          <w:rFonts w:ascii="Times New Roman" w:eastAsiaTheme="minorEastAsia" w:hAnsi="Times New Roman" w:cs="Times New Roman"/>
          <w:sz w:val="24"/>
          <w:szCs w:val="24"/>
        </w:rPr>
        <w:t>10</w:t>
      </w:r>
      <w:r w:rsidR="00C80B2D" w:rsidRPr="00AD04DA">
        <w:rPr>
          <w:rFonts w:ascii="Times New Roman" w:eastAsiaTheme="minorEastAsia" w:hAnsi="Times New Roman" w:cs="Times New Roman"/>
          <w:sz w:val="24"/>
          <w:szCs w:val="24"/>
        </w:rPr>
        <w:t xml:space="preserve"> to</w:t>
      </w:r>
      <w:r w:rsidR="001502E3" w:rsidRPr="00AD04DA">
        <w:rPr>
          <w:rFonts w:ascii="Times New Roman" w:eastAsiaTheme="minorEastAsia" w:hAnsi="Times New Roman" w:cs="Times New Roman"/>
          <w:sz w:val="24"/>
          <w:szCs w:val="24"/>
        </w:rPr>
        <w:t xml:space="preserve"> Equation </w:t>
      </w:r>
      <w:r w:rsidR="009C384C" w:rsidRPr="00AD04DA">
        <w:rPr>
          <w:rFonts w:ascii="Times New Roman" w:eastAsiaTheme="minorEastAsia" w:hAnsi="Times New Roman" w:cs="Times New Roman"/>
          <w:sz w:val="24"/>
          <w:szCs w:val="24"/>
        </w:rPr>
        <w:t>5</w:t>
      </w:r>
      <w:r w:rsidR="004447AD" w:rsidRPr="00AD04DA">
        <w:rPr>
          <w:rFonts w:ascii="Times New Roman" w:eastAsiaTheme="minorEastAsia" w:hAnsi="Times New Roman" w:cs="Times New Roman"/>
          <w:sz w:val="24"/>
          <w:szCs w:val="24"/>
        </w:rPr>
        <w:t xml:space="preserve"> gives Equation </w:t>
      </w:r>
      <w:r w:rsidR="009C384C" w:rsidRPr="00AD04DA">
        <w:rPr>
          <w:rFonts w:ascii="Times New Roman" w:eastAsiaTheme="minorEastAsia" w:hAnsi="Times New Roman" w:cs="Times New Roman"/>
          <w:sz w:val="24"/>
          <w:szCs w:val="24"/>
        </w:rPr>
        <w:t>11</w:t>
      </w:r>
      <w:r w:rsidR="004447AD" w:rsidRPr="00AD04DA">
        <w:rPr>
          <w:rFonts w:ascii="Times New Roman" w:eastAsiaTheme="minorEastAsia" w:hAnsi="Times New Roman" w:cs="Times New Roman"/>
          <w:sz w:val="24"/>
          <w:szCs w:val="24"/>
        </w:rPr>
        <w:t>.</w:t>
      </w:r>
      <w:r w:rsidR="00C80B2D" w:rsidRPr="00AD04DA">
        <w:rPr>
          <w:rFonts w:ascii="Times New Roman" w:eastAsiaTheme="minorEastAsia" w:hAnsi="Times New Roman" w:cs="Times New Roman"/>
          <w:sz w:val="24"/>
          <w:szCs w:val="24"/>
        </w:rPr>
        <w:t xml:space="preserve"> </w:t>
      </w:r>
    </w:p>
    <w:p w14:paraId="2BE61BC0" w14:textId="2D7A78E7" w:rsidR="004447AD" w:rsidRPr="00AD04DA" w:rsidRDefault="004878EE" w:rsidP="004447AD">
      <w:pPr>
        <w:keepNext/>
        <w:spacing w:after="0" w:line="480" w:lineRule="auto"/>
        <w:jc w:val="both"/>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I</m:t>
              </m:r>
            </m:sup>
          </m:sSubSup>
          <m:r>
            <w:rPr>
              <w:rFonts w:ascii="Cambria Math" w:hAnsi="Cambria Math" w:cs="Times New Roman"/>
              <w:sz w:val="24"/>
              <w:szCs w:val="24"/>
            </w:rPr>
            <m:t>*</m:t>
          </m:r>
          <m:r>
            <m:rPr>
              <m:sty m:val="p"/>
            </m:rPr>
            <w:rPr>
              <w:rFonts w:ascii="Cambria Math" w:hAnsi="Cambria Math" w:cs="Times New Roman"/>
              <w:sz w:val="24"/>
              <w:szCs w:val="24"/>
            </w:rPr>
            <m:t>exp⁡</m:t>
          </m:r>
          <m:r>
            <w:rPr>
              <w:rFonts w:ascii="Cambria Math" w:hAnsi="Cambria Math" w:cs="Times New Roman"/>
              <w:sz w:val="24"/>
              <w:szCs w:val="24"/>
            </w:rPr>
            <m:t>(-vm</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W</m:t>
              </m:r>
            </m:sub>
          </m:sSub>
          <m:r>
            <w:rPr>
              <w:rFonts w:ascii="Cambria Math" w:hAnsi="Cambria Math" w:cs="Times New Roman"/>
              <w:sz w:val="24"/>
              <w:szCs w:val="24"/>
            </w:rPr>
            <m:t>Φ)=</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II</m:t>
              </m:r>
            </m:sup>
          </m:sSubSup>
          <m:sSubSup>
            <m:sSubSupPr>
              <m:ctrlPr>
                <w:rPr>
                  <w:rFonts w:ascii="Cambria Math" w:hAnsi="Cambria Math" w:cs="Times New Roman"/>
                  <w:i/>
                  <w:sz w:val="24"/>
                  <w:szCs w:val="24"/>
                </w:rPr>
              </m:ctrlPr>
            </m:sSubSupPr>
            <m:e>
              <m:r>
                <w:rPr>
                  <w:rFonts w:ascii="Cambria Math" w:hAnsi="Cambria Math" w:cs="Times New Roman"/>
                  <w:sz w:val="24"/>
                  <w:szCs w:val="24"/>
                </w:rPr>
                <m:t>γ</m:t>
              </m:r>
            </m:e>
            <m:sub>
              <m:r>
                <w:rPr>
                  <w:rFonts w:ascii="Cambria Math" w:hAnsi="Cambria Math" w:cs="Times New Roman"/>
                  <w:sz w:val="24"/>
                  <w:szCs w:val="24"/>
                </w:rPr>
                <m:t>i</m:t>
              </m:r>
            </m:sub>
            <m:sup>
              <m:r>
                <w:rPr>
                  <w:rFonts w:ascii="Cambria Math" w:hAnsi="Cambria Math" w:cs="Times New Roman"/>
                  <w:sz w:val="24"/>
                  <w:szCs w:val="24"/>
                </w:rPr>
                <m:t>II</m:t>
              </m:r>
            </m:sup>
          </m:sSubSup>
          <m:d>
            <m:dPr>
              <m:ctrlPr>
                <w:rPr>
                  <w:rFonts w:ascii="Cambria Math" w:hAnsi="Cambria Math" w:cs="Times New Roman"/>
                  <w:i/>
                  <w:sz w:val="24"/>
                  <w:szCs w:val="24"/>
                </w:rPr>
              </m:ctrlPr>
            </m:dPr>
            <m:e>
              <m:r>
                <w:rPr>
                  <w:rFonts w:ascii="Cambria Math" w:hAnsi="Cambria Math" w:cs="Times New Roman"/>
                  <w:sz w:val="24"/>
                  <w:szCs w:val="24"/>
                </w:rPr>
                <m:t>T,P,</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II</m:t>
                  </m:r>
                </m:sup>
              </m:sSup>
            </m:e>
          </m:d>
        </m:oMath>
      </m:oMathPara>
    </w:p>
    <w:p w14:paraId="50D2A787" w14:textId="51DF36C3" w:rsidR="004447AD" w:rsidRPr="00AD04DA" w:rsidRDefault="004447AD" w:rsidP="004447AD">
      <w:pPr>
        <w:pStyle w:val="Caption"/>
        <w:jc w:val="right"/>
        <w:rPr>
          <w:rFonts w:ascii="Times New Roman" w:hAnsi="Times New Roman" w:cs="Times New Roman"/>
          <w:color w:val="000000" w:themeColor="text1"/>
          <w:sz w:val="24"/>
          <w:szCs w:val="24"/>
        </w:rPr>
      </w:pPr>
      <w:r w:rsidRPr="00AD04DA">
        <w:rPr>
          <w:rFonts w:ascii="Times New Roman" w:hAnsi="Times New Roman" w:cs="Times New Roman"/>
          <w:color w:val="000000" w:themeColor="text1"/>
          <w:sz w:val="24"/>
          <w:szCs w:val="24"/>
        </w:rPr>
        <w:t xml:space="preserve">Equation </w:t>
      </w:r>
      <w:r w:rsidR="009C384C" w:rsidRPr="00AD04DA">
        <w:rPr>
          <w:rFonts w:ascii="Times New Roman" w:hAnsi="Times New Roman" w:cs="Times New Roman"/>
          <w:color w:val="000000" w:themeColor="text1"/>
          <w:sz w:val="24"/>
          <w:szCs w:val="24"/>
        </w:rPr>
        <w:t>11</w:t>
      </w:r>
    </w:p>
    <w:p w14:paraId="512BC781" w14:textId="46B5AD0F" w:rsidR="008A6499" w:rsidRPr="00AD04DA" w:rsidRDefault="004447AD" w:rsidP="00CE3092">
      <w:pPr>
        <w:spacing w:after="0" w:line="480" w:lineRule="auto"/>
        <w:jc w:val="both"/>
        <w:rPr>
          <w:rFonts w:ascii="Times New Roman" w:hAnsi="Times New Roman" w:cs="Times New Roman"/>
          <w:sz w:val="24"/>
          <w:szCs w:val="24"/>
        </w:rPr>
      </w:pPr>
      <w:r w:rsidRPr="00AD04DA">
        <w:rPr>
          <w:rFonts w:ascii="Times New Roman" w:eastAsiaTheme="minorEastAsia" w:hAnsi="Times New Roman" w:cs="Times New Roman"/>
          <w:sz w:val="24"/>
          <w:szCs w:val="24"/>
        </w:rPr>
        <w:t xml:space="preserve">Equation </w:t>
      </w:r>
      <w:r w:rsidR="007634E5">
        <w:rPr>
          <w:rFonts w:ascii="Times New Roman" w:eastAsiaTheme="minorEastAsia" w:hAnsi="Times New Roman" w:cs="Times New Roman"/>
          <w:sz w:val="24"/>
          <w:szCs w:val="24"/>
        </w:rPr>
        <w:t>11</w:t>
      </w:r>
      <w:r w:rsidRPr="00AD04DA">
        <w:rPr>
          <w:rFonts w:ascii="Times New Roman" w:eastAsiaTheme="minorEastAsia" w:hAnsi="Times New Roman" w:cs="Times New Roman"/>
          <w:sz w:val="24"/>
          <w:szCs w:val="24"/>
        </w:rPr>
        <w:t xml:space="preserve"> </w:t>
      </w:r>
      <w:r w:rsidR="00C80B2D" w:rsidRPr="00AD04DA">
        <w:rPr>
          <w:rFonts w:ascii="Times New Roman" w:eastAsiaTheme="minorEastAsia" w:hAnsi="Times New Roman" w:cs="Times New Roman"/>
          <w:sz w:val="24"/>
          <w:szCs w:val="24"/>
        </w:rPr>
        <w:t>shows</w:t>
      </w:r>
      <w:r w:rsidRPr="00AD04DA">
        <w:rPr>
          <w:rFonts w:ascii="Times New Roman" w:eastAsiaTheme="minorEastAsia" w:hAnsi="Times New Roman" w:cs="Times New Roman"/>
          <w:sz w:val="24"/>
          <w:szCs w:val="24"/>
        </w:rPr>
        <w:t xml:space="preserve"> that as the solute concentration increases, the left side of the equation decreases</w:t>
      </w:r>
      <w:r w:rsidR="001502E3" w:rsidRPr="00AD04DA">
        <w:rPr>
          <w:rFonts w:ascii="Times New Roman" w:eastAsiaTheme="minorEastAsia" w:hAnsi="Times New Roman" w:cs="Times New Roman"/>
          <w:sz w:val="24"/>
          <w:szCs w:val="24"/>
        </w:rPr>
        <w:t xml:space="preserve">. </w:t>
      </w:r>
      <w:r w:rsidR="00475C63" w:rsidRPr="00AD04DA">
        <w:rPr>
          <w:rFonts w:ascii="Times New Roman" w:hAnsi="Times New Roman" w:cs="Times New Roman"/>
          <w:sz w:val="24"/>
          <w:szCs w:val="24"/>
        </w:rPr>
        <w:t xml:space="preserve">This lowers </w:t>
      </w:r>
      <w:proofErr w:type="spellStart"/>
      <w:r w:rsidR="00475C63" w:rsidRPr="00AD04DA">
        <w:rPr>
          <w:rFonts w:ascii="Times New Roman" w:hAnsi="Times New Roman" w:cs="Times New Roman"/>
          <w:sz w:val="24"/>
          <w:szCs w:val="24"/>
        </w:rPr>
        <w:t>x</w:t>
      </w:r>
      <w:r w:rsidR="00475C63" w:rsidRPr="00AD04DA">
        <w:rPr>
          <w:rFonts w:ascii="Times New Roman" w:hAnsi="Times New Roman" w:cs="Times New Roman"/>
          <w:sz w:val="24"/>
          <w:szCs w:val="24"/>
          <w:vertAlign w:val="subscript"/>
        </w:rPr>
        <w:t>i</w:t>
      </w:r>
      <w:r w:rsidR="00475C63" w:rsidRPr="00AD04DA">
        <w:rPr>
          <w:rFonts w:ascii="Times New Roman" w:hAnsi="Times New Roman" w:cs="Times New Roman"/>
          <w:sz w:val="24"/>
          <w:szCs w:val="24"/>
          <w:vertAlign w:val="superscript"/>
        </w:rPr>
        <w:t>II</w:t>
      </w:r>
      <w:proofErr w:type="spellEnd"/>
      <w:r w:rsidR="00475C63" w:rsidRPr="00AD04DA">
        <w:rPr>
          <w:rFonts w:ascii="Times New Roman" w:hAnsi="Times New Roman" w:cs="Times New Roman"/>
          <w:sz w:val="24"/>
          <w:szCs w:val="24"/>
        </w:rPr>
        <w:t>, the water concentration in the organic phase.</w:t>
      </w:r>
      <w:r w:rsidR="005D6970" w:rsidRPr="00AD04DA">
        <w:rPr>
          <w:rFonts w:ascii="Times New Roman" w:hAnsi="Times New Roman" w:cs="Times New Roman"/>
          <w:sz w:val="24"/>
          <w:szCs w:val="24"/>
        </w:rPr>
        <w:t xml:space="preserve"> T</w:t>
      </w:r>
      <w:r w:rsidR="00A2159E" w:rsidRPr="00AD04DA">
        <w:rPr>
          <w:rFonts w:ascii="Times New Roman" w:hAnsi="Times New Roman" w:cs="Times New Roman"/>
          <w:sz w:val="24"/>
          <w:szCs w:val="24"/>
        </w:rPr>
        <w:t xml:space="preserve">hus, </w:t>
      </w:r>
      <w:r w:rsidR="001028DC">
        <w:rPr>
          <w:rFonts w:ascii="Times New Roman" w:hAnsi="Times New Roman" w:cs="Times New Roman"/>
          <w:sz w:val="24"/>
          <w:szCs w:val="24"/>
        </w:rPr>
        <w:t>lower water partition into the organic is expected for more concentrated feed</w:t>
      </w:r>
      <w:r w:rsidR="004E6E43">
        <w:rPr>
          <w:rFonts w:ascii="Times New Roman" w:hAnsi="Times New Roman" w:cs="Times New Roman"/>
          <w:sz w:val="24"/>
          <w:szCs w:val="24"/>
        </w:rPr>
        <w:t xml:space="preserve">s, so </w:t>
      </w:r>
      <w:r w:rsidR="00A2159E" w:rsidRPr="00AD04DA">
        <w:rPr>
          <w:rFonts w:ascii="Times New Roman" w:hAnsi="Times New Roman" w:cs="Times New Roman"/>
          <w:sz w:val="24"/>
          <w:szCs w:val="24"/>
        </w:rPr>
        <w:t>t</w:t>
      </w:r>
      <w:r w:rsidR="005D6970" w:rsidRPr="00AD04DA">
        <w:rPr>
          <w:rFonts w:ascii="Times New Roman" w:hAnsi="Times New Roman" w:cs="Times New Roman"/>
          <w:sz w:val="24"/>
          <w:szCs w:val="24"/>
        </w:rPr>
        <w:t>he experimental results agree with thermodynamic modeling.</w:t>
      </w:r>
    </w:p>
    <w:p w14:paraId="5C8E3096" w14:textId="5E8594D7" w:rsidR="004E7AF4" w:rsidRPr="00AD04DA" w:rsidRDefault="004E7AF4" w:rsidP="004A1CC4">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The second trend was that f</w:t>
      </w:r>
      <w:r w:rsidR="004A1CC4" w:rsidRPr="00AD04DA">
        <w:rPr>
          <w:rFonts w:ascii="Times New Roman" w:hAnsi="Times New Roman" w:cs="Times New Roman"/>
          <w:sz w:val="24"/>
          <w:szCs w:val="24"/>
        </w:rPr>
        <w:t xml:space="preserve">or all six feeds, the water recovery of DPA was 9-23 times higher than that of DA. A layer of DPA and DA was intentionally not transferred to avoid contaminating the product water, so the high range of DPA/DA water recovery ratios is attributed to variation in the thickness of the remaining layer. Regardless, DPA recovers significantly higher volumes of product water per pass. For TSSE, a higher water recovery raises the process </w:t>
      </w:r>
      <w:r w:rsidR="004A1CC4" w:rsidRPr="00AD04DA">
        <w:rPr>
          <w:rFonts w:ascii="Times New Roman" w:hAnsi="Times New Roman" w:cs="Times New Roman"/>
          <w:sz w:val="24"/>
          <w:szCs w:val="24"/>
        </w:rPr>
        <w:lastRenderedPageBreak/>
        <w:t>throughput and lowers the number of cycles necessary to treat a feed, lowering the energy consumption of the process. However, DPA showed a lower solute rejection than DA for all six feeds and gave virtually no rejection for the dilute selenate and selenite feeds. This suggests a tradeoff similar to the selectivity/permeability tradeoff present in membrane separations</w:t>
      </w:r>
      <w:r w:rsidR="004A1CC4"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{"citationID":"zdiXQtt7","properties":{"formattedCitation":"\\super 107\\nosupersub{}","plainCitation":"107","noteIndex":0},"citationItems":[{"id":557,"uris":["http://zotero.org/users/8284751/items/UDTAUKJ2"],"itemData":{"id":557,"type":"article-journal","container-title":"Nature Communications","DOI":"10.1038/s41467-019-11209-6","ISSN":"2041-1723","issue":"1","journalAbbreviation":"Nat Commun","language":"en","page":"3220","source":"DOI.org (Crossref)","title":"Trade-off in membrane distillation with monolithic omniphobic membranes","volume":"10","author":[{"family":"Wang","given":"Wei"},{"family":"Du","given":"Xuewei"},{"family":"Vahabi","given":"Hamed"},{"family":"Zhao","given":"Song"},{"family":"Yin","given":"Yiming"},{"family":"Kota","given":"Arun K."},{"family":"Tong","given":"Tiezheng"}],"issued":{"date-parts":[["2019",12]]}}}],"schema":"https://github.com/citation-style-language/schema/raw/master/csl-citation.json"} </w:instrText>
      </w:r>
      <w:r w:rsidR="004A1CC4" w:rsidRPr="00AD04DA">
        <w:rPr>
          <w:rFonts w:ascii="Times New Roman" w:hAnsi="Times New Roman" w:cs="Times New Roman"/>
          <w:sz w:val="24"/>
          <w:szCs w:val="24"/>
        </w:rPr>
        <w:fldChar w:fldCharType="separate"/>
      </w:r>
      <w:r w:rsidR="007C3811" w:rsidRPr="00AD04DA">
        <w:rPr>
          <w:rFonts w:ascii="Times New Roman" w:hAnsi="Times New Roman" w:cs="Times New Roman"/>
          <w:sz w:val="24"/>
          <w:szCs w:val="24"/>
          <w:vertAlign w:val="superscript"/>
        </w:rPr>
        <w:t>107</w:t>
      </w:r>
      <w:r w:rsidR="004A1CC4" w:rsidRPr="00AD04DA">
        <w:rPr>
          <w:rFonts w:ascii="Times New Roman" w:hAnsi="Times New Roman" w:cs="Times New Roman"/>
          <w:sz w:val="24"/>
          <w:szCs w:val="24"/>
        </w:rPr>
        <w:fldChar w:fldCharType="end"/>
      </w:r>
      <w:r w:rsidR="004A1CC4" w:rsidRPr="00AD04DA">
        <w:rPr>
          <w:rFonts w:ascii="Times New Roman" w:hAnsi="Times New Roman" w:cs="Times New Roman"/>
          <w:sz w:val="24"/>
          <w:szCs w:val="24"/>
        </w:rPr>
        <w:t>.</w:t>
      </w:r>
    </w:p>
    <w:p w14:paraId="638AFF3B" w14:textId="37C09758" w:rsidR="006460E9" w:rsidRPr="00AD04DA" w:rsidRDefault="004A1CC4" w:rsidP="004A1CC4">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 xml:space="preserve">However, in the previously mentioned simulations of ionic liquids by Guo </w:t>
      </w:r>
      <w:r w:rsidRPr="00AD04DA">
        <w:rPr>
          <w:rFonts w:ascii="Times New Roman" w:hAnsi="Times New Roman" w:cs="Times New Roman"/>
          <w:i/>
          <w:iCs/>
          <w:sz w:val="24"/>
          <w:szCs w:val="24"/>
        </w:rPr>
        <w:t xml:space="preserve">et al </w:t>
      </w:r>
      <w:r w:rsidRPr="00AD04DA">
        <w:rPr>
          <w:rFonts w:ascii="Times New Roman" w:hAnsi="Times New Roman" w:cs="Times New Roman"/>
          <w:sz w:val="24"/>
          <w:szCs w:val="24"/>
        </w:rPr>
        <w:t>for [</w:t>
      </w:r>
      <w:proofErr w:type="spellStart"/>
      <w:r w:rsidRPr="00AD04DA">
        <w:rPr>
          <w:rFonts w:ascii="Times New Roman" w:hAnsi="Times New Roman" w:cs="Times New Roman"/>
          <w:sz w:val="24"/>
          <w:szCs w:val="24"/>
        </w:rPr>
        <w:t>emim</w:t>
      </w:r>
      <w:proofErr w:type="spellEnd"/>
      <w:r w:rsidRPr="00AD04DA">
        <w:rPr>
          <w:rFonts w:ascii="Times New Roman" w:hAnsi="Times New Roman" w:cs="Times New Roman"/>
          <w:sz w:val="24"/>
          <w:szCs w:val="24"/>
        </w:rPr>
        <w:t>][Tf</w:t>
      </w:r>
      <w:r w:rsidRPr="00AD04DA">
        <w:rPr>
          <w:rFonts w:ascii="Times New Roman" w:hAnsi="Times New Roman" w:cs="Times New Roman"/>
          <w:sz w:val="24"/>
          <w:szCs w:val="24"/>
          <w:vertAlign w:val="subscript"/>
        </w:rPr>
        <w:t>2</w:t>
      </w:r>
      <w:r w:rsidRPr="00AD04DA">
        <w:rPr>
          <w:rFonts w:ascii="Times New Roman" w:hAnsi="Times New Roman" w:cs="Times New Roman"/>
          <w:sz w:val="24"/>
          <w:szCs w:val="24"/>
        </w:rPr>
        <w:t>N], they do not observe this tradeoff. In their work, they report a solute rejection of 97.5 ± 0.8% for [</w:t>
      </w:r>
      <w:proofErr w:type="spellStart"/>
      <w:r w:rsidRPr="00AD04DA">
        <w:rPr>
          <w:rFonts w:ascii="Times New Roman" w:hAnsi="Times New Roman" w:cs="Times New Roman"/>
          <w:sz w:val="24"/>
          <w:szCs w:val="24"/>
        </w:rPr>
        <w:t>emim</w:t>
      </w:r>
      <w:proofErr w:type="spellEnd"/>
      <w:r w:rsidRPr="00AD04DA">
        <w:rPr>
          <w:rFonts w:ascii="Times New Roman" w:hAnsi="Times New Roman" w:cs="Times New Roman"/>
          <w:sz w:val="24"/>
          <w:szCs w:val="24"/>
        </w:rPr>
        <w:t>][Tf</w:t>
      </w:r>
      <w:r w:rsidRPr="00AD04DA">
        <w:rPr>
          <w:rFonts w:ascii="Times New Roman" w:hAnsi="Times New Roman" w:cs="Times New Roman"/>
          <w:sz w:val="24"/>
          <w:szCs w:val="24"/>
          <w:vertAlign w:val="subscript"/>
        </w:rPr>
        <w:t>2</w:t>
      </w:r>
      <w:r w:rsidRPr="00AD04DA">
        <w:rPr>
          <w:rFonts w:ascii="Times New Roman" w:hAnsi="Times New Roman" w:cs="Times New Roman"/>
          <w:sz w:val="24"/>
          <w:szCs w:val="24"/>
        </w:rPr>
        <w:t>N] and a rejection of 96.9-98% for DA. The change in solubility of water per °C temperature change is 0.304 ± 0.023 %/°C for [</w:t>
      </w:r>
      <w:proofErr w:type="spellStart"/>
      <w:r w:rsidRPr="00AD04DA">
        <w:rPr>
          <w:rFonts w:ascii="Times New Roman" w:hAnsi="Times New Roman" w:cs="Times New Roman"/>
          <w:sz w:val="24"/>
          <w:szCs w:val="24"/>
        </w:rPr>
        <w:t>emim</w:t>
      </w:r>
      <w:proofErr w:type="spellEnd"/>
      <w:r w:rsidRPr="00AD04DA">
        <w:rPr>
          <w:rFonts w:ascii="Times New Roman" w:hAnsi="Times New Roman" w:cs="Times New Roman"/>
          <w:sz w:val="24"/>
          <w:szCs w:val="24"/>
        </w:rPr>
        <w:t>][Tf</w:t>
      </w:r>
      <w:r w:rsidRPr="00AD04DA">
        <w:rPr>
          <w:rFonts w:ascii="Times New Roman" w:hAnsi="Times New Roman" w:cs="Times New Roman"/>
          <w:sz w:val="24"/>
          <w:szCs w:val="24"/>
          <w:vertAlign w:val="subscript"/>
        </w:rPr>
        <w:t>2</w:t>
      </w:r>
      <w:r w:rsidRPr="00AD04DA">
        <w:rPr>
          <w:rFonts w:ascii="Times New Roman" w:hAnsi="Times New Roman" w:cs="Times New Roman"/>
          <w:sz w:val="24"/>
          <w:szCs w:val="24"/>
        </w:rPr>
        <w:t>N] compared to 0.025 ± 0.002 %/°C for DA</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{"citationID":"TrioJogP","properties":{"formattedCitation":"\\super 71\\nosupersub{}","plainCitation":"71","noteIndex":0},"citationItems":[{"id":781,"uris":["http://zotero.org/users/8284751/items/6VNQU3MR"],"itemData":{"id":781,"type":"article-journal","abstract":"Abstract\n            \n              Seawater desalination plays a critical role in addressing the global water shortage challenge. Directional Solvent Extraction (DSE) is an emerging non-membrane desalination technology that features the ability to utilize very low temperature waste heat (as low as 40 °C). This is enabled by the subtly balanced solubility properties of directional solvents, which do not dissolve in water but can dissolve water and reject salt ions. However, the low water yield of the state-of-the-art directional solvent (decanoic acid) significantly limits its throughput and energy efficiency. In this paper, we demonstrate that by using ionic liquid as a new directional solvent, saline water can be desalinated with much higher production rate and thus significantly lower the energy and exergy consumptions. The ionic liquid identified suitable for DSE is [emim][Tf\n              2\n              N], which has a much (~10×) higher water yield than the currently used decanoic acid. Using molecular dynamics simulations with Gibbs free energy calculations, we reveal that water dissolving in [emim][Tf\n              2\n              N] is energetically favorable, but it takes significant energy for [emim][Tf\n              2\n              N] ions to dissolve in water. Our findings may significantly advance the DSE technology as a solution to the challenges in the global water-energy nexus.","container-title":"Nature Communications","DOI":"10.1038/s41467-020-20706-y","ISSN":"2041-1723","issue":"1","journalAbbreviation":"Nat Commun","language":"en","page":"437","source":"DOI.org (Crossref)","title":"Ionic liquid enables highly efficient low temperature desalination by directional solvent extraction","volume":"12","author":[{"family":"Guo","given":"Jiaji"},{"family":"Tucker","given":"Zachary D."},{"family":"Wang","given":"Yu"},{"family":"Ashfeld","given":"Brandon L."},{"family":"Luo","given":"Tengfei"}],"issued":{"date-parts":[["2021",12]]}}}],"schema":"https://github.com/citation-style-language/schema/raw/master/csl-citation.json"} </w:instrText>
      </w:r>
      <w:r w:rsidRPr="00AD04DA">
        <w:rPr>
          <w:rFonts w:ascii="Times New Roman" w:hAnsi="Times New Roman" w:cs="Times New Roman"/>
          <w:sz w:val="24"/>
          <w:szCs w:val="24"/>
        </w:rPr>
        <w:fldChar w:fldCharType="separate"/>
      </w:r>
      <w:r w:rsidRPr="00AD04DA">
        <w:rPr>
          <w:rFonts w:ascii="Times New Roman" w:hAnsi="Times New Roman" w:cs="Times New Roman"/>
          <w:sz w:val="24"/>
          <w:szCs w:val="24"/>
          <w:vertAlign w:val="superscript"/>
        </w:rPr>
        <w:t>71</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The greater sensitivity of water solubility to temperature in [</w:t>
      </w:r>
      <w:proofErr w:type="spellStart"/>
      <w:r w:rsidRPr="00AD04DA">
        <w:rPr>
          <w:rFonts w:ascii="Times New Roman" w:hAnsi="Times New Roman" w:cs="Times New Roman"/>
          <w:sz w:val="24"/>
          <w:szCs w:val="24"/>
        </w:rPr>
        <w:t>emim</w:t>
      </w:r>
      <w:proofErr w:type="spellEnd"/>
      <w:r w:rsidRPr="00AD04DA">
        <w:rPr>
          <w:rFonts w:ascii="Times New Roman" w:hAnsi="Times New Roman" w:cs="Times New Roman"/>
          <w:sz w:val="24"/>
          <w:szCs w:val="24"/>
        </w:rPr>
        <w:t>][Tf</w:t>
      </w:r>
      <w:r w:rsidRPr="00AD04DA">
        <w:rPr>
          <w:rFonts w:ascii="Times New Roman" w:hAnsi="Times New Roman" w:cs="Times New Roman"/>
          <w:sz w:val="24"/>
          <w:szCs w:val="24"/>
          <w:vertAlign w:val="subscript"/>
        </w:rPr>
        <w:t>2</w:t>
      </w:r>
      <w:r w:rsidRPr="00AD04DA">
        <w:rPr>
          <w:rFonts w:ascii="Times New Roman" w:hAnsi="Times New Roman" w:cs="Times New Roman"/>
          <w:sz w:val="24"/>
          <w:szCs w:val="24"/>
        </w:rPr>
        <w:t>N] compared to DA suggests that the water recovery would be improved for TSSE with [</w:t>
      </w:r>
      <w:proofErr w:type="spellStart"/>
      <w:r w:rsidRPr="00AD04DA">
        <w:rPr>
          <w:rFonts w:ascii="Times New Roman" w:hAnsi="Times New Roman" w:cs="Times New Roman"/>
          <w:sz w:val="24"/>
          <w:szCs w:val="24"/>
        </w:rPr>
        <w:t>emim</w:t>
      </w:r>
      <w:proofErr w:type="spellEnd"/>
      <w:r w:rsidRPr="00AD04DA">
        <w:rPr>
          <w:rFonts w:ascii="Times New Roman" w:hAnsi="Times New Roman" w:cs="Times New Roman"/>
          <w:sz w:val="24"/>
          <w:szCs w:val="24"/>
        </w:rPr>
        <w:t>][Tf</w:t>
      </w:r>
      <w:r w:rsidRPr="00AD04DA">
        <w:rPr>
          <w:rFonts w:ascii="Times New Roman" w:hAnsi="Times New Roman" w:cs="Times New Roman"/>
          <w:sz w:val="24"/>
          <w:szCs w:val="24"/>
          <w:vertAlign w:val="subscript"/>
        </w:rPr>
        <w:t>2</w:t>
      </w:r>
      <w:r w:rsidRPr="00AD04DA">
        <w:rPr>
          <w:rFonts w:ascii="Times New Roman" w:hAnsi="Times New Roman" w:cs="Times New Roman"/>
          <w:sz w:val="24"/>
          <w:szCs w:val="24"/>
        </w:rPr>
        <w:t>N] with a similar solute rejection to TSSE with DA.</w:t>
      </w:r>
      <w:r w:rsidR="00F54499" w:rsidRPr="00AD04DA">
        <w:rPr>
          <w:rFonts w:ascii="Times New Roman" w:hAnsi="Times New Roman" w:cs="Times New Roman"/>
          <w:sz w:val="24"/>
          <w:szCs w:val="24"/>
        </w:rPr>
        <w:t xml:space="preserve"> If so, this would suggest that solute rejection is </w:t>
      </w:r>
      <w:r w:rsidR="00485DB9">
        <w:rPr>
          <w:rFonts w:ascii="Times New Roman" w:hAnsi="Times New Roman" w:cs="Times New Roman"/>
          <w:sz w:val="24"/>
          <w:szCs w:val="24"/>
        </w:rPr>
        <w:t xml:space="preserve">primarily </w:t>
      </w:r>
      <w:r w:rsidR="00F54499" w:rsidRPr="00AD04DA">
        <w:rPr>
          <w:rFonts w:ascii="Times New Roman" w:hAnsi="Times New Roman" w:cs="Times New Roman"/>
          <w:sz w:val="24"/>
          <w:szCs w:val="24"/>
        </w:rPr>
        <w:t>dependent on the partition between phases and water recovery is</w:t>
      </w:r>
      <w:r w:rsidR="00485DB9">
        <w:rPr>
          <w:rFonts w:ascii="Times New Roman" w:hAnsi="Times New Roman" w:cs="Times New Roman"/>
          <w:sz w:val="24"/>
          <w:szCs w:val="24"/>
        </w:rPr>
        <w:t xml:space="preserve"> primarily</w:t>
      </w:r>
      <w:r w:rsidR="00F54499" w:rsidRPr="00AD04DA">
        <w:rPr>
          <w:rFonts w:ascii="Times New Roman" w:hAnsi="Times New Roman" w:cs="Times New Roman"/>
          <w:sz w:val="24"/>
          <w:szCs w:val="24"/>
        </w:rPr>
        <w:t xml:space="preserve"> dependent on its solubility shift with temperature, indicating a tradeoff may not exist.</w:t>
      </w:r>
    </w:p>
    <w:p w14:paraId="4ECCD8EC" w14:textId="04A225D7" w:rsidR="001E2258" w:rsidRDefault="00F54499" w:rsidP="004A1CC4">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 xml:space="preserve">Considering dielectric constants of the phases in the experiments conducted here, </w:t>
      </w:r>
      <w:r w:rsidR="00C0602C">
        <w:rPr>
          <w:rFonts w:ascii="Times New Roman" w:hAnsi="Times New Roman" w:cs="Times New Roman"/>
          <w:sz w:val="24"/>
          <w:szCs w:val="24"/>
        </w:rPr>
        <w:t>on the other hand</w:t>
      </w:r>
      <w:r w:rsidRPr="00AD04DA">
        <w:rPr>
          <w:rFonts w:ascii="Times New Roman" w:hAnsi="Times New Roman" w:cs="Times New Roman"/>
          <w:sz w:val="24"/>
          <w:szCs w:val="24"/>
        </w:rPr>
        <w:t xml:space="preserve">, shows that a tradeoff between solute rejection and water recovery may be inevitable. </w:t>
      </w:r>
      <w:r w:rsidR="00A562A0">
        <w:rPr>
          <w:rFonts w:ascii="Times New Roman" w:hAnsi="Times New Roman" w:cs="Times New Roman"/>
          <w:sz w:val="24"/>
          <w:szCs w:val="24"/>
        </w:rPr>
        <w:t>The dielectric constant of a species is related to its structure and polarity. For liquids, a high dielectric constant indicates stronger interactions between an ion and the liquid, predicting a higher solubility of ions in that liquid</w:t>
      </w:r>
      <w:r w:rsidR="00A562A0">
        <w:rPr>
          <w:rFonts w:ascii="Times New Roman" w:hAnsi="Times New Roman" w:cs="Times New Roman"/>
          <w:sz w:val="24"/>
          <w:szCs w:val="24"/>
        </w:rPr>
        <w:fldChar w:fldCharType="begin"/>
      </w:r>
      <w:r w:rsidR="00153D07">
        <w:rPr>
          <w:rFonts w:ascii="Times New Roman" w:hAnsi="Times New Roman" w:cs="Times New Roman"/>
          <w:sz w:val="24"/>
          <w:szCs w:val="24"/>
        </w:rPr>
        <w:instrText xml:space="preserve"> ADDIN ZOTERO_ITEM CSL_CITATION {"citationID":"9XxdDtNV","properties":{"formattedCitation":"\\super 108,109\\nosupersub{}","plainCitation":"108,109","noteIndex":0},"citationItems":[{"id":916,"uris":["http://zotero.org/users/8284751/items/AUCHJE97"],"itemData":{"id":916,"type":"article-journal","abstract":"A correction scheme to improve predictions of dielectric constants of liquid mixtures from pair-wise additive force fields that considers electronic polarizability contributions and charge scaling.\n          , \n            Pair-wise additive force fields provide fairly accurate predictions, through classical molecular simulations, for a wide range of structural, thermodynamic, and dynamical properties of many materials. However, one key property that has not been well captured is the static dielectric constant, which characterizes the response of a system to an applied electric field and is important in determining the screening of electrostatic interactions through a system. A simple correction has been found to provide a relatively robust method to improve the estimate of the static dielectric constant from molecular simulations for a broad range of compounds. This approach accounts for the electronic contribution to molecular polarizability and assumes that the charges that couple a molecule to an applied electric field are proportional to the effective force field charges. In this work, we examine how this correction performs for systems at different temperatures and for binary mixtures. Using a value for the electronic polarizability, based on the experimental index of refraction, and a charge scaling factor, determined at a single temperature, we find that the static dielectric constant can be predicted remarkably well, in comparison to the experimentally measured values. This provides good evidence that the effective charges that appear in pair-wise additive force fields developed to reproduce the potential energy surface of a system are not the same as those that determine the static dielectric constant; however, they can be captured in a relatively simple manner, which is dependent on the particular force field.","container-title":"Physical Chemistry Chemical Physics","DOI":"10.1039/D0CP04034G","ISSN":"1463-9076, 1463-9084","issue":"38","journalAbbreviation":"Phys. Chem. Chem. Phys.","language":"en","page":"21741-21749","source":"DOI.org (Crossref)","title":"Simple corrections for the static dielectric constant of liquid mixtures from model force fields","volume":"22","author":[{"family":"Cardona","given":"Javier"},{"family":"Jorge","given":"Miguel"},{"family":"Lue","given":"Leo"}],"issued":{"date-parts":[["2020"]]}}},{"id":918,"uris":["http://zotero.org/users/8284751/items/XSZ5P8CM"],"itemData":{"id":918,"type":"article-journal","abstract":"AND CONCLUSIONS Improving solubility prediction methods or making them easy to use is highly demanded in the pharmaceutical industries. It can be used in formulation design and pharmaceutically related processes such as crystallization. In this work, we have showed that dielectric constants of solvents and their mixtures might be helpful in solubility prediction of electrolytes and zwitterions with acceptable error in water+ ethanol mixtures.","container-title":"AAPS PharmSciTech","DOI":"10.1208/s12249-010-9552-3","ISSN":"1530-9932","issue":"4","journalAbbreviation":"AAPS PharmSciTech","language":"en","page":"1726-1729","source":"DOI.org (Crossref)","title":"The Importance of Dielectric Constant for Drug Solubility Prediction in Binary Solvent Mixtures: Electrolytes and Zwitterions in Water + Ethanol","title-short":"The Importance of Dielectric Constant for Drug Solubility Prediction in Binary Solvent Mixtures","volume":"11","author":[{"family":"Abolghassemi Fakhree","given":"Mohammad Amin"},{"family":"Delgado","given":"Daniel R."},{"family":"Martínez","given":"Fleming"},{"family":"Jouyban","given":"Abolghasem"}],"issued":{"date-parts":[["2010",12]]}}}],"schema":"https://github.com/citation-style-language/schema/raw/master/csl-citation.json"} </w:instrText>
      </w:r>
      <w:r w:rsidR="00A562A0">
        <w:rPr>
          <w:rFonts w:ascii="Times New Roman" w:hAnsi="Times New Roman" w:cs="Times New Roman"/>
          <w:sz w:val="24"/>
          <w:szCs w:val="24"/>
        </w:rPr>
        <w:fldChar w:fldCharType="separate"/>
      </w:r>
      <w:r w:rsidR="00153D07" w:rsidRPr="00153D07">
        <w:rPr>
          <w:rFonts w:ascii="Times New Roman" w:hAnsi="Times New Roman" w:cs="Times New Roman"/>
          <w:sz w:val="24"/>
          <w:szCs w:val="24"/>
          <w:vertAlign w:val="superscript"/>
        </w:rPr>
        <w:t>108,109</w:t>
      </w:r>
      <w:r w:rsidR="00A562A0">
        <w:rPr>
          <w:rFonts w:ascii="Times New Roman" w:hAnsi="Times New Roman" w:cs="Times New Roman"/>
          <w:sz w:val="24"/>
          <w:szCs w:val="24"/>
        </w:rPr>
        <w:fldChar w:fldCharType="end"/>
      </w:r>
      <w:r w:rsidR="00A562A0">
        <w:rPr>
          <w:rFonts w:ascii="Times New Roman" w:hAnsi="Times New Roman" w:cs="Times New Roman"/>
          <w:sz w:val="24"/>
          <w:szCs w:val="24"/>
        </w:rPr>
        <w:t xml:space="preserve">. </w:t>
      </w:r>
      <w:r w:rsidR="00EB6533" w:rsidRPr="00AD04DA">
        <w:rPr>
          <w:rFonts w:ascii="Times New Roman" w:hAnsi="Times New Roman" w:cs="Times New Roman"/>
          <w:sz w:val="24"/>
          <w:szCs w:val="24"/>
        </w:rPr>
        <w:t>The dielectric constant of DA was estimated based on the constants of other acids</w:t>
      </w:r>
      <w:r w:rsidR="00EB6533" w:rsidRPr="00AD04DA">
        <w:rPr>
          <w:rFonts w:ascii="Times New Roman" w:hAnsi="Times New Roman" w:cs="Times New Roman"/>
          <w:sz w:val="24"/>
          <w:szCs w:val="24"/>
        </w:rPr>
        <w:fldChar w:fldCharType="begin"/>
      </w:r>
      <w:r w:rsidR="00153D07">
        <w:rPr>
          <w:rFonts w:ascii="Times New Roman" w:hAnsi="Times New Roman" w:cs="Times New Roman"/>
          <w:sz w:val="24"/>
          <w:szCs w:val="24"/>
        </w:rPr>
        <w:instrText xml:space="preserve"> ADDIN ZOTERO_ITEM CSL_CITATION {"citationID":"L5MR4YeE","properties":{"formattedCitation":"\\super 110\\nosupersub{}","plainCitation":"110","noteIndex":0},"citationItems":[{"id":905,"uris":["http://zotero.org/users/8284751/items/AI4KVRAR"],"itemData":{"id":905,"type":"document","publisher":"Department of General Chemistry, Indian Institute of Science, Bangalore","title":"Studies in the dielectric constants of fatty acids","author":[{"family":"Phadke","given":"R. S."}]}}],"schema":"https://github.com/citation-style-language/schema/raw/master/csl-citation.json"} </w:instrText>
      </w:r>
      <w:r w:rsidR="00EB6533" w:rsidRPr="00AD04DA">
        <w:rPr>
          <w:rFonts w:ascii="Times New Roman" w:hAnsi="Times New Roman" w:cs="Times New Roman"/>
          <w:sz w:val="24"/>
          <w:szCs w:val="24"/>
        </w:rPr>
        <w:fldChar w:fldCharType="separate"/>
      </w:r>
      <w:r w:rsidR="00153D07" w:rsidRPr="00153D07">
        <w:rPr>
          <w:rFonts w:ascii="Times New Roman" w:hAnsi="Times New Roman" w:cs="Times New Roman"/>
          <w:sz w:val="24"/>
          <w:szCs w:val="24"/>
          <w:vertAlign w:val="superscript"/>
        </w:rPr>
        <w:t>110</w:t>
      </w:r>
      <w:r w:rsidR="00EB6533" w:rsidRPr="00AD04DA">
        <w:rPr>
          <w:rFonts w:ascii="Times New Roman" w:hAnsi="Times New Roman" w:cs="Times New Roman"/>
          <w:sz w:val="24"/>
          <w:szCs w:val="24"/>
        </w:rPr>
        <w:fldChar w:fldCharType="end"/>
      </w:r>
      <w:r w:rsidR="00EB6533" w:rsidRPr="00AD04DA">
        <w:rPr>
          <w:rFonts w:ascii="Times New Roman" w:hAnsi="Times New Roman" w:cs="Times New Roman"/>
          <w:sz w:val="24"/>
          <w:szCs w:val="24"/>
        </w:rPr>
        <w:t xml:space="preserve"> to be 2.52</w:t>
      </w:r>
      <w:r w:rsidR="00B26629">
        <w:rPr>
          <w:rFonts w:ascii="Times New Roman" w:hAnsi="Times New Roman" w:cs="Times New Roman"/>
          <w:sz w:val="24"/>
          <w:szCs w:val="24"/>
        </w:rPr>
        <w:t>, while th</w:t>
      </w:r>
      <w:r w:rsidR="00827792">
        <w:rPr>
          <w:rFonts w:ascii="Times New Roman" w:hAnsi="Times New Roman" w:cs="Times New Roman"/>
          <w:sz w:val="24"/>
          <w:szCs w:val="24"/>
        </w:rPr>
        <w:t>ose</w:t>
      </w:r>
      <w:r w:rsidR="00B26629">
        <w:rPr>
          <w:rFonts w:ascii="Times New Roman" w:hAnsi="Times New Roman" w:cs="Times New Roman"/>
          <w:sz w:val="24"/>
          <w:szCs w:val="24"/>
        </w:rPr>
        <w:t xml:space="preserve"> of DPA and water </w:t>
      </w:r>
      <w:r w:rsidR="00827792">
        <w:rPr>
          <w:rFonts w:ascii="Times New Roman" w:hAnsi="Times New Roman" w:cs="Times New Roman"/>
          <w:sz w:val="24"/>
          <w:szCs w:val="24"/>
        </w:rPr>
        <w:t>are</w:t>
      </w:r>
      <w:r w:rsidR="00B26629">
        <w:rPr>
          <w:rFonts w:ascii="Times New Roman" w:hAnsi="Times New Roman" w:cs="Times New Roman"/>
          <w:sz w:val="24"/>
          <w:szCs w:val="24"/>
        </w:rPr>
        <w:t xml:space="preserve"> 3.04 and 80.4, respectively. </w:t>
      </w:r>
      <w:r w:rsidR="00E06BE7">
        <w:rPr>
          <w:rFonts w:ascii="Times New Roman" w:hAnsi="Times New Roman" w:cs="Times New Roman"/>
          <w:sz w:val="24"/>
          <w:szCs w:val="24"/>
        </w:rPr>
        <w:t>Water has a much higher dielectric constant than DA and DPA, suggesting ion partition will favor the aqueous phase and selectivity will be obtained, which agrees with results for DA at all feed ionic strengths and DPA at high feed ionic strengths. Additionally, DPA has a higher dielectric constant than DA, and a higher rejection is observed for DA.</w:t>
      </w:r>
    </w:p>
    <w:p w14:paraId="6B4193DD" w14:textId="17F1087F" w:rsidR="00AE4CC3" w:rsidRDefault="00AE4CC3" w:rsidP="00AE4CC3">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A quick estimate of the dielectric constant of a mixture of solvents can be performed by adding the product of the mole fraction of each component in the mixture by the dielectric constant of that component</w:t>
      </w:r>
      <w:r>
        <w:rPr>
          <w:rFonts w:ascii="Times New Roman" w:hAnsi="Times New Roman" w:cs="Times New Roman"/>
          <w:sz w:val="24"/>
          <w:szCs w:val="24"/>
        </w:rPr>
        <w:fldChar w:fldCharType="begin"/>
      </w:r>
      <w:r w:rsidR="002E5FB1">
        <w:rPr>
          <w:rFonts w:ascii="Times New Roman" w:hAnsi="Times New Roman" w:cs="Times New Roman"/>
          <w:sz w:val="24"/>
          <w:szCs w:val="24"/>
        </w:rPr>
        <w:instrText xml:space="preserve"> ADDIN ZOTERO_ITEM CSL_CITATION {"citationID":"u0F2pzTi","properties":{"formattedCitation":"\\super 111,112\\nosupersub{}","plainCitation":"111,112","noteIndex":0},"citationItems":[{"id":914,"uris":["http://zotero.org/users/8284751/items/UH3RDEL6"],"itemData":{"id":914,"type":"article-journal","container-title":"Journal of Inorganic and General Chemistry","DOI":"10.1002/zaac.202100032","issue":"647","page":"1305-1314","title":"Prediction of salting-out in liquid-liquid two-phase systems with ePC-SAFT: Effect of the Born term and of a concentration-dependent dielectric constant","author":[{"family":"Ascani","given":"Moreno"},{"family":"Held","given":"Christoph"}],"issued":{"date-parts":[["2021"]]}}},{"id":913,"uris":["http://zotero.org/users/8284751/items/IS859BC4"],"itemData":{"id":913,"type":"article-journal","container-title":"Fluid Phase Equilibria","DOI":"10.1016/j.fluid.2021.113346","ISSN":"03783812","journalAbbreviation":"Fluid Phase Equilibria","language":"en","page":"113346","source":"DOI.org (Crossref)","title":"Dielectric constant of mixed solvents based on perturbation theory","volume":"555","author":[{"family":"Neumaier","given":"Lisa"},{"family":"Schilling","given":"Johannes"},{"family":"Bardow","given":"André"},{"family":"Gross","given":"Joachim"}],"issued":{"date-parts":[["2022",4]]}}}],"schema":"https://github.com/citation-style-language/schema/raw/master/csl-citation.json"} </w:instrText>
      </w:r>
      <w:r>
        <w:rPr>
          <w:rFonts w:ascii="Times New Roman" w:hAnsi="Times New Roman" w:cs="Times New Roman"/>
          <w:sz w:val="24"/>
          <w:szCs w:val="24"/>
        </w:rPr>
        <w:fldChar w:fldCharType="separate"/>
      </w:r>
      <w:r w:rsidR="002E5FB1" w:rsidRPr="002E5FB1">
        <w:rPr>
          <w:rFonts w:ascii="Times New Roman" w:hAnsi="Times New Roman" w:cs="Times New Roman"/>
          <w:sz w:val="24"/>
          <w:szCs w:val="24"/>
          <w:vertAlign w:val="superscript"/>
        </w:rPr>
        <w:t>111,112</w:t>
      </w:r>
      <w:r>
        <w:rPr>
          <w:rFonts w:ascii="Times New Roman" w:hAnsi="Times New Roman" w:cs="Times New Roman"/>
          <w:sz w:val="24"/>
          <w:szCs w:val="24"/>
        </w:rPr>
        <w:fldChar w:fldCharType="end"/>
      </w:r>
      <w:r>
        <w:rPr>
          <w:rFonts w:ascii="Times New Roman" w:hAnsi="Times New Roman" w:cs="Times New Roman"/>
          <w:sz w:val="24"/>
          <w:szCs w:val="24"/>
        </w:rPr>
        <w:t>.</w:t>
      </w:r>
      <w:r w:rsidR="00721DD4">
        <w:rPr>
          <w:rFonts w:ascii="Times New Roman" w:hAnsi="Times New Roman" w:cs="Times New Roman"/>
          <w:sz w:val="24"/>
          <w:szCs w:val="24"/>
        </w:rPr>
        <w:t xml:space="preserve"> Table 2 shows the dielectric constants of the organic and aqueous phases estimated with the mole fraction of each species.</w:t>
      </w:r>
    </w:p>
    <w:p w14:paraId="79F3709C" w14:textId="570198EC" w:rsidR="00852F34" w:rsidRDefault="00852F34" w:rsidP="00852F3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Table 2:</w:t>
      </w:r>
      <w:r>
        <w:rPr>
          <w:rFonts w:ascii="Times New Roman" w:hAnsi="Times New Roman" w:cs="Times New Roman"/>
          <w:sz w:val="24"/>
          <w:szCs w:val="24"/>
        </w:rPr>
        <w:t xml:space="preserve"> Estimated dielectric constants of the aqueous phase, organic phase, and difference for 3.5 w/w% and 4.0M NaCl feed solution in equilibrium with DA or DPA.</w:t>
      </w:r>
    </w:p>
    <w:p w14:paraId="73547A5C" w14:textId="77777777" w:rsidR="00852F34" w:rsidRDefault="00852F34" w:rsidP="00852F34">
      <w:pPr>
        <w:spacing w:after="0" w:line="240" w:lineRule="auto"/>
        <w:jc w:val="center"/>
        <w:rPr>
          <w:rFonts w:ascii="Times New Roman" w:hAnsi="Times New Roman" w:cs="Times New Roman"/>
          <w:sz w:val="24"/>
          <w:szCs w:val="24"/>
        </w:rPr>
      </w:pPr>
    </w:p>
    <w:tbl>
      <w:tblPr>
        <w:tblStyle w:val="PlainTable4"/>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37"/>
        <w:gridCol w:w="2337"/>
        <w:gridCol w:w="2338"/>
        <w:gridCol w:w="2338"/>
      </w:tblGrid>
      <w:tr w:rsidR="00852F34" w14:paraId="1FB027B2" w14:textId="77777777" w:rsidTr="003E73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top w:val="single" w:sz="4" w:space="0" w:color="auto"/>
              <w:bottom w:val="single" w:sz="4" w:space="0" w:color="auto"/>
              <w:right w:val="single" w:sz="4" w:space="0" w:color="auto"/>
            </w:tcBorders>
          </w:tcPr>
          <w:p w14:paraId="0775B449" w14:textId="2BB81E54" w:rsidR="00852F34" w:rsidRDefault="00852F34" w:rsidP="00852F34">
            <w:pPr>
              <w:jc w:val="center"/>
              <w:rPr>
                <w:rFonts w:ascii="Times New Roman" w:hAnsi="Times New Roman" w:cs="Times New Roman"/>
                <w:sz w:val="24"/>
                <w:szCs w:val="24"/>
              </w:rPr>
            </w:pPr>
            <w:r>
              <w:rPr>
                <w:rFonts w:ascii="Times New Roman" w:hAnsi="Times New Roman" w:cs="Times New Roman"/>
                <w:sz w:val="24"/>
                <w:szCs w:val="24"/>
              </w:rPr>
              <w:t>System</w:t>
            </w:r>
          </w:p>
        </w:tc>
        <w:tc>
          <w:tcPr>
            <w:tcW w:w="2337" w:type="dxa"/>
            <w:tcBorders>
              <w:top w:val="single" w:sz="4" w:space="0" w:color="auto"/>
              <w:left w:val="single" w:sz="4" w:space="0" w:color="auto"/>
              <w:bottom w:val="single" w:sz="4" w:space="0" w:color="auto"/>
            </w:tcBorders>
          </w:tcPr>
          <w:p w14:paraId="4991FABC" w14:textId="447F3C29" w:rsidR="00852F34" w:rsidRDefault="00852F34" w:rsidP="00852F3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Organic Phase</w:t>
            </w:r>
          </w:p>
        </w:tc>
        <w:tc>
          <w:tcPr>
            <w:tcW w:w="2338" w:type="dxa"/>
            <w:tcBorders>
              <w:top w:val="single" w:sz="4" w:space="0" w:color="auto"/>
              <w:bottom w:val="single" w:sz="4" w:space="0" w:color="auto"/>
            </w:tcBorders>
          </w:tcPr>
          <w:p w14:paraId="004CCA34" w14:textId="3BCF0951" w:rsidR="00852F34" w:rsidRDefault="00852F34" w:rsidP="00852F3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Aqueous Phase</w:t>
            </w:r>
          </w:p>
        </w:tc>
        <w:tc>
          <w:tcPr>
            <w:tcW w:w="2338" w:type="dxa"/>
            <w:tcBorders>
              <w:top w:val="single" w:sz="4" w:space="0" w:color="auto"/>
              <w:bottom w:val="single" w:sz="4" w:space="0" w:color="auto"/>
            </w:tcBorders>
          </w:tcPr>
          <w:p w14:paraId="1CF5E072" w14:textId="7D59CC88" w:rsidR="00852F34" w:rsidRDefault="00852F34" w:rsidP="00852F3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Difference</w:t>
            </w:r>
          </w:p>
        </w:tc>
      </w:tr>
      <w:tr w:rsidR="00852F34" w14:paraId="32AE9881" w14:textId="77777777" w:rsidTr="003E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top w:val="single" w:sz="4" w:space="0" w:color="auto"/>
              <w:right w:val="single" w:sz="4" w:space="0" w:color="auto"/>
            </w:tcBorders>
          </w:tcPr>
          <w:p w14:paraId="43EF94F5" w14:textId="7593E945" w:rsidR="00852F34" w:rsidRDefault="00852F34" w:rsidP="00852F34">
            <w:pPr>
              <w:jc w:val="center"/>
              <w:rPr>
                <w:rFonts w:ascii="Times New Roman" w:hAnsi="Times New Roman" w:cs="Times New Roman"/>
                <w:sz w:val="24"/>
                <w:szCs w:val="24"/>
              </w:rPr>
            </w:pPr>
            <w:r>
              <w:rPr>
                <w:rFonts w:ascii="Times New Roman" w:hAnsi="Times New Roman" w:cs="Times New Roman"/>
                <w:sz w:val="24"/>
                <w:szCs w:val="24"/>
              </w:rPr>
              <w:t>3.5 w/w% in DA</w:t>
            </w:r>
          </w:p>
        </w:tc>
        <w:tc>
          <w:tcPr>
            <w:tcW w:w="2337" w:type="dxa"/>
            <w:tcBorders>
              <w:top w:val="single" w:sz="4" w:space="0" w:color="auto"/>
              <w:left w:val="single" w:sz="4" w:space="0" w:color="auto"/>
            </w:tcBorders>
          </w:tcPr>
          <w:p w14:paraId="593244CF" w14:textId="0D552A9A" w:rsidR="00852F34" w:rsidRDefault="00852F34" w:rsidP="00852F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w:t>
            </w:r>
          </w:p>
        </w:tc>
        <w:tc>
          <w:tcPr>
            <w:tcW w:w="2338" w:type="dxa"/>
            <w:tcBorders>
              <w:top w:val="single" w:sz="4" w:space="0" w:color="auto"/>
            </w:tcBorders>
          </w:tcPr>
          <w:p w14:paraId="78868FD0" w14:textId="30E9A48A" w:rsidR="00852F34" w:rsidRDefault="00852F34" w:rsidP="00852F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80.4</w:t>
            </w:r>
          </w:p>
        </w:tc>
        <w:tc>
          <w:tcPr>
            <w:tcW w:w="2338" w:type="dxa"/>
            <w:tcBorders>
              <w:top w:val="single" w:sz="4" w:space="0" w:color="auto"/>
            </w:tcBorders>
          </w:tcPr>
          <w:p w14:paraId="5D481DDD" w14:textId="145D6921" w:rsidR="00852F34" w:rsidRDefault="00852F34" w:rsidP="00852F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74.7</w:t>
            </w:r>
          </w:p>
        </w:tc>
      </w:tr>
      <w:tr w:rsidR="00852F34" w14:paraId="7E64F454" w14:textId="77777777" w:rsidTr="003E7397">
        <w:tc>
          <w:tcPr>
            <w:cnfStyle w:val="001000000000" w:firstRow="0" w:lastRow="0" w:firstColumn="1" w:lastColumn="0" w:oddVBand="0" w:evenVBand="0" w:oddHBand="0" w:evenHBand="0" w:firstRowFirstColumn="0" w:firstRowLastColumn="0" w:lastRowFirstColumn="0" w:lastRowLastColumn="0"/>
            <w:tcW w:w="2337" w:type="dxa"/>
            <w:tcBorders>
              <w:right w:val="single" w:sz="4" w:space="0" w:color="auto"/>
            </w:tcBorders>
          </w:tcPr>
          <w:p w14:paraId="6F1D51F2" w14:textId="19871EDB" w:rsidR="00852F34" w:rsidRDefault="00852F34" w:rsidP="00852F34">
            <w:pPr>
              <w:jc w:val="center"/>
              <w:rPr>
                <w:rFonts w:ascii="Times New Roman" w:hAnsi="Times New Roman" w:cs="Times New Roman"/>
                <w:sz w:val="24"/>
                <w:szCs w:val="24"/>
              </w:rPr>
            </w:pPr>
            <w:r>
              <w:rPr>
                <w:rFonts w:ascii="Times New Roman" w:hAnsi="Times New Roman" w:cs="Times New Roman"/>
                <w:sz w:val="24"/>
                <w:szCs w:val="24"/>
              </w:rPr>
              <w:t>4.0 M in DA</w:t>
            </w:r>
          </w:p>
        </w:tc>
        <w:tc>
          <w:tcPr>
            <w:tcW w:w="2337" w:type="dxa"/>
            <w:tcBorders>
              <w:left w:val="single" w:sz="4" w:space="0" w:color="auto"/>
            </w:tcBorders>
          </w:tcPr>
          <w:p w14:paraId="52DD9CE3" w14:textId="1ABEC70B" w:rsidR="00852F34" w:rsidRDefault="00852F34" w:rsidP="00852F3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w:t>
            </w:r>
          </w:p>
        </w:tc>
        <w:tc>
          <w:tcPr>
            <w:tcW w:w="2338" w:type="dxa"/>
          </w:tcPr>
          <w:p w14:paraId="1AD88091" w14:textId="5F00717D" w:rsidR="00852F34" w:rsidRDefault="00852F34" w:rsidP="00852F3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80.4</w:t>
            </w:r>
          </w:p>
        </w:tc>
        <w:tc>
          <w:tcPr>
            <w:tcW w:w="2338" w:type="dxa"/>
          </w:tcPr>
          <w:p w14:paraId="7EC8F4D1" w14:textId="5D6C0E0B" w:rsidR="00852F34" w:rsidRDefault="00852F34" w:rsidP="00852F3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74.6</w:t>
            </w:r>
          </w:p>
        </w:tc>
      </w:tr>
      <w:tr w:rsidR="00852F34" w14:paraId="74CB67AB" w14:textId="77777777" w:rsidTr="003E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right w:val="single" w:sz="4" w:space="0" w:color="auto"/>
            </w:tcBorders>
          </w:tcPr>
          <w:p w14:paraId="01FE24D8" w14:textId="1F2B1C74" w:rsidR="00852F34" w:rsidRDefault="00852F34" w:rsidP="00852F34">
            <w:pPr>
              <w:jc w:val="center"/>
              <w:rPr>
                <w:rFonts w:ascii="Times New Roman" w:hAnsi="Times New Roman" w:cs="Times New Roman"/>
                <w:sz w:val="24"/>
                <w:szCs w:val="24"/>
              </w:rPr>
            </w:pPr>
            <w:r>
              <w:rPr>
                <w:rFonts w:ascii="Times New Roman" w:hAnsi="Times New Roman" w:cs="Times New Roman"/>
                <w:sz w:val="24"/>
                <w:szCs w:val="24"/>
              </w:rPr>
              <w:t>3.5 w/w% in DPA</w:t>
            </w:r>
          </w:p>
        </w:tc>
        <w:tc>
          <w:tcPr>
            <w:tcW w:w="2337" w:type="dxa"/>
            <w:tcBorders>
              <w:left w:val="single" w:sz="4" w:space="0" w:color="auto"/>
            </w:tcBorders>
          </w:tcPr>
          <w:p w14:paraId="0DD81C5B" w14:textId="23E6B1A9" w:rsidR="00852F34" w:rsidRDefault="00852F34" w:rsidP="00852F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37.0</w:t>
            </w:r>
          </w:p>
        </w:tc>
        <w:tc>
          <w:tcPr>
            <w:tcW w:w="2338" w:type="dxa"/>
          </w:tcPr>
          <w:p w14:paraId="36C49725" w14:textId="22131111" w:rsidR="00852F34" w:rsidRDefault="00852F34" w:rsidP="00852F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80.0</w:t>
            </w:r>
          </w:p>
        </w:tc>
        <w:tc>
          <w:tcPr>
            <w:tcW w:w="2338" w:type="dxa"/>
          </w:tcPr>
          <w:p w14:paraId="2EE726E2" w14:textId="0ECC7FB7" w:rsidR="00852F34" w:rsidRDefault="00852F34" w:rsidP="00852F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43.0</w:t>
            </w:r>
          </w:p>
        </w:tc>
      </w:tr>
      <w:tr w:rsidR="00852F34" w14:paraId="7428FB52" w14:textId="77777777" w:rsidTr="003E7397">
        <w:tc>
          <w:tcPr>
            <w:cnfStyle w:val="001000000000" w:firstRow="0" w:lastRow="0" w:firstColumn="1" w:lastColumn="0" w:oddVBand="0" w:evenVBand="0" w:oddHBand="0" w:evenHBand="0" w:firstRowFirstColumn="0" w:firstRowLastColumn="0" w:lastRowFirstColumn="0" w:lastRowLastColumn="0"/>
            <w:tcW w:w="2337" w:type="dxa"/>
            <w:tcBorders>
              <w:bottom w:val="single" w:sz="4" w:space="0" w:color="auto"/>
              <w:right w:val="single" w:sz="4" w:space="0" w:color="auto"/>
            </w:tcBorders>
          </w:tcPr>
          <w:p w14:paraId="3A54F479" w14:textId="00F6B596" w:rsidR="00852F34" w:rsidRDefault="00852F34" w:rsidP="00852F34">
            <w:pPr>
              <w:jc w:val="center"/>
              <w:rPr>
                <w:rFonts w:ascii="Times New Roman" w:hAnsi="Times New Roman" w:cs="Times New Roman"/>
                <w:sz w:val="24"/>
                <w:szCs w:val="24"/>
              </w:rPr>
            </w:pPr>
            <w:r>
              <w:rPr>
                <w:rFonts w:ascii="Times New Roman" w:hAnsi="Times New Roman" w:cs="Times New Roman"/>
                <w:sz w:val="24"/>
                <w:szCs w:val="24"/>
              </w:rPr>
              <w:t>4.0 M in DPA</w:t>
            </w:r>
          </w:p>
        </w:tc>
        <w:tc>
          <w:tcPr>
            <w:tcW w:w="2337" w:type="dxa"/>
            <w:tcBorders>
              <w:left w:val="single" w:sz="4" w:space="0" w:color="auto"/>
            </w:tcBorders>
          </w:tcPr>
          <w:p w14:paraId="6833886B" w14:textId="3A5F1DA7" w:rsidR="00852F34" w:rsidRDefault="00852F34" w:rsidP="00852F3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20.8</w:t>
            </w:r>
          </w:p>
        </w:tc>
        <w:tc>
          <w:tcPr>
            <w:tcW w:w="2338" w:type="dxa"/>
          </w:tcPr>
          <w:p w14:paraId="1C054F22" w14:textId="6A9E7682" w:rsidR="00852F34" w:rsidRDefault="00852F34" w:rsidP="00852F3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80.0</w:t>
            </w:r>
          </w:p>
        </w:tc>
        <w:tc>
          <w:tcPr>
            <w:tcW w:w="2338" w:type="dxa"/>
          </w:tcPr>
          <w:p w14:paraId="12B99229" w14:textId="531A3332" w:rsidR="00852F34" w:rsidRDefault="00852F34" w:rsidP="00852F3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59.2</w:t>
            </w:r>
          </w:p>
        </w:tc>
      </w:tr>
    </w:tbl>
    <w:p w14:paraId="62F48F79" w14:textId="0AE71974" w:rsidR="00852F34" w:rsidRDefault="00852F34" w:rsidP="00852F34">
      <w:pPr>
        <w:spacing w:after="0" w:line="240" w:lineRule="auto"/>
        <w:jc w:val="center"/>
        <w:rPr>
          <w:rFonts w:ascii="Times New Roman" w:hAnsi="Times New Roman" w:cs="Times New Roman"/>
          <w:sz w:val="24"/>
          <w:szCs w:val="24"/>
        </w:rPr>
      </w:pPr>
    </w:p>
    <w:p w14:paraId="621E670A" w14:textId="53348CF1" w:rsidR="00852F34" w:rsidRDefault="003E7397" w:rsidP="003E73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14:paraId="4776788B" w14:textId="62DD4DD4" w:rsidR="004E0260" w:rsidRDefault="004E0260" w:rsidP="003E73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Considering the difference in dielectric constants of the aqueous and organic phase describes the experimental results well. First, the difference for 3.5 w/w% and 4.0 M NaCl extracted with DA is 74.7 and 74.6, respectively. These values are quite similar, indicating similar solute rejections should be obtained at both feeds, which was observed. </w:t>
      </w:r>
      <w:r w:rsidR="00A97DFC">
        <w:rPr>
          <w:rFonts w:ascii="Times New Roman" w:hAnsi="Times New Roman" w:cs="Times New Roman"/>
          <w:sz w:val="24"/>
          <w:szCs w:val="24"/>
        </w:rPr>
        <w:t>For both feeds, the value of the difference in equilibrium with DA is larger than that for DPA.</w:t>
      </w:r>
      <w:r w:rsidR="00DF209A">
        <w:rPr>
          <w:rFonts w:ascii="Times New Roman" w:hAnsi="Times New Roman" w:cs="Times New Roman"/>
          <w:sz w:val="24"/>
          <w:szCs w:val="24"/>
        </w:rPr>
        <w:t xml:space="preserve"> A larger difference suggests a stronger partition of solute into the aqueous phase, so these values predict a higher solute rejection for extraction by DA than DPA. </w:t>
      </w:r>
      <w:r w:rsidR="006602A1">
        <w:rPr>
          <w:rFonts w:ascii="Times New Roman" w:hAnsi="Times New Roman" w:cs="Times New Roman"/>
          <w:sz w:val="24"/>
          <w:szCs w:val="24"/>
        </w:rPr>
        <w:t xml:space="preserve">The experimental results agree with this prediction. </w:t>
      </w:r>
      <w:r w:rsidR="00CA5E5C">
        <w:rPr>
          <w:rFonts w:ascii="Times New Roman" w:hAnsi="Times New Roman" w:cs="Times New Roman"/>
          <w:sz w:val="24"/>
          <w:szCs w:val="24"/>
        </w:rPr>
        <w:t xml:space="preserve">Finally, the difference between the aqueous and DPA phase for 3.5 w/w% NaCl is lower than it is for the 4.0 M NaCl feed at 43.0 and 59.2, respectively. </w:t>
      </w:r>
      <w:r w:rsidR="00C41602">
        <w:rPr>
          <w:rFonts w:ascii="Times New Roman" w:hAnsi="Times New Roman" w:cs="Times New Roman"/>
          <w:sz w:val="24"/>
          <w:szCs w:val="24"/>
        </w:rPr>
        <w:t xml:space="preserve">This predicts that the </w:t>
      </w:r>
      <w:r w:rsidR="00E61559">
        <w:rPr>
          <w:rFonts w:ascii="Times New Roman" w:hAnsi="Times New Roman" w:cs="Times New Roman"/>
          <w:sz w:val="24"/>
          <w:szCs w:val="24"/>
        </w:rPr>
        <w:t>solute rejection for the 4.0 M NaCl will be higher than it will for 3.5 w/w% NaCl, which agrees with the experimental results.</w:t>
      </w:r>
      <w:r w:rsidR="00AC6050">
        <w:rPr>
          <w:rFonts w:ascii="Times New Roman" w:hAnsi="Times New Roman" w:cs="Times New Roman"/>
          <w:sz w:val="24"/>
          <w:szCs w:val="24"/>
        </w:rPr>
        <w:t xml:space="preserve"> The differences in dielectric constant difference between the organic and aqueous phases for DA and DPA is due to </w:t>
      </w:r>
      <w:r w:rsidR="003E1ABA">
        <w:rPr>
          <w:rFonts w:ascii="Times New Roman" w:hAnsi="Times New Roman" w:cs="Times New Roman"/>
          <w:sz w:val="24"/>
          <w:szCs w:val="24"/>
        </w:rPr>
        <w:t xml:space="preserve">differences </w:t>
      </w:r>
      <w:r w:rsidR="00AC6050">
        <w:rPr>
          <w:rFonts w:ascii="Times New Roman" w:hAnsi="Times New Roman" w:cs="Times New Roman"/>
          <w:sz w:val="24"/>
          <w:szCs w:val="24"/>
        </w:rPr>
        <w:t>in water recovery.</w:t>
      </w:r>
    </w:p>
    <w:p w14:paraId="1CAAACF2" w14:textId="728B3EFF" w:rsidR="00F562D4" w:rsidRPr="00852F34" w:rsidRDefault="00E61559" w:rsidP="00F562D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water recovery for extraction with DA for the 3.5 w/w% and 4.0 M NaCl feeds was low, at </w:t>
      </w:r>
      <w:r w:rsidRPr="00AD04DA">
        <w:rPr>
          <w:rFonts w:ascii="Times New Roman" w:hAnsi="Times New Roman" w:cs="Times New Roman"/>
          <w:sz w:val="24"/>
          <w:szCs w:val="24"/>
        </w:rPr>
        <w:t>0.045 ± 0.021and 0.038 ± 0.019</w:t>
      </w:r>
      <w:r>
        <w:rPr>
          <w:rFonts w:ascii="Times New Roman" w:hAnsi="Times New Roman" w:cs="Times New Roman"/>
          <w:sz w:val="24"/>
          <w:szCs w:val="24"/>
        </w:rPr>
        <w:t xml:space="preserve"> mL, respectively. As a result, the mole fraction of water </w:t>
      </w:r>
      <w:r>
        <w:rPr>
          <w:rFonts w:ascii="Times New Roman" w:hAnsi="Times New Roman" w:cs="Times New Roman"/>
          <w:sz w:val="24"/>
          <w:szCs w:val="24"/>
        </w:rPr>
        <w:lastRenderedPageBreak/>
        <w:t xml:space="preserve">within the organic phase remained low and the estimated dielectric constant of the organic phase remained similar to that of DA. Recovery of DPA for these feeds was higher, at </w:t>
      </w:r>
      <w:r w:rsidRPr="00AD04DA">
        <w:rPr>
          <w:rFonts w:ascii="Times New Roman" w:hAnsi="Times New Roman" w:cs="Times New Roman"/>
          <w:sz w:val="24"/>
          <w:szCs w:val="24"/>
        </w:rPr>
        <w:t>1.00 ± 0.14 and 0.38 ± 0.22</w:t>
      </w:r>
      <w:r>
        <w:rPr>
          <w:rFonts w:ascii="Times New Roman" w:hAnsi="Times New Roman" w:cs="Times New Roman"/>
          <w:sz w:val="24"/>
          <w:szCs w:val="24"/>
        </w:rPr>
        <w:t xml:space="preserve"> mL, respectively. As a result, the mole fraction of water in the organic phase was higher,</w:t>
      </w:r>
      <w:r w:rsidR="004C5099">
        <w:rPr>
          <w:rFonts w:ascii="Times New Roman" w:hAnsi="Times New Roman" w:cs="Times New Roman"/>
          <w:sz w:val="24"/>
          <w:szCs w:val="24"/>
        </w:rPr>
        <w:t xml:space="preserve"> especially for the 3.5 w/w% NaCl feed,</w:t>
      </w:r>
      <w:r>
        <w:rPr>
          <w:rFonts w:ascii="Times New Roman" w:hAnsi="Times New Roman" w:cs="Times New Roman"/>
          <w:sz w:val="24"/>
          <w:szCs w:val="24"/>
        </w:rPr>
        <w:t xml:space="preserve"> causing the estimated dielectric constant of the organic phase to increase.</w:t>
      </w:r>
      <w:r w:rsidR="000249C7">
        <w:rPr>
          <w:rFonts w:ascii="Times New Roman" w:hAnsi="Times New Roman" w:cs="Times New Roman"/>
          <w:sz w:val="24"/>
          <w:szCs w:val="24"/>
        </w:rPr>
        <w:t xml:space="preserve"> These estimates agree well with the experimental results and suggest that a tradeoff between solute rejection and water recovery is inevitable. </w:t>
      </w:r>
      <w:r w:rsidR="008E6B2C">
        <w:rPr>
          <w:rFonts w:ascii="Times New Roman" w:hAnsi="Times New Roman" w:cs="Times New Roman"/>
          <w:sz w:val="24"/>
          <w:szCs w:val="24"/>
        </w:rPr>
        <w:t>As the organic phase draws more water, the mole fraction of water in that phase increases. This raises the dielectric constant of the organic phase, lowering the difference between the two phases and causing lower solute rejection.</w:t>
      </w:r>
      <w:r w:rsidR="00F562D4">
        <w:rPr>
          <w:rFonts w:ascii="Times New Roman" w:hAnsi="Times New Roman" w:cs="Times New Roman"/>
          <w:sz w:val="24"/>
          <w:szCs w:val="24"/>
        </w:rPr>
        <w:t xml:space="preserve"> Therefore, any improvements in water recovery may incur a loss in selectivity. </w:t>
      </w:r>
      <w:r w:rsidR="00BF2F58">
        <w:rPr>
          <w:rFonts w:ascii="Times New Roman" w:hAnsi="Times New Roman" w:cs="Times New Roman"/>
          <w:sz w:val="24"/>
          <w:szCs w:val="24"/>
        </w:rPr>
        <w:t>The experimental results here suggest a tradeoff may exist, and investigations into a tradeoff represent and excellent opportunity for future research.</w:t>
      </w:r>
    </w:p>
    <w:p w14:paraId="710CC989" w14:textId="0527510A" w:rsidR="00401D28" w:rsidRPr="006C6357" w:rsidRDefault="00401D28" w:rsidP="00FC0029">
      <w:pPr>
        <w:pStyle w:val="Heading1"/>
        <w:spacing w:before="0" w:line="480" w:lineRule="auto"/>
        <w:rPr>
          <w:rFonts w:ascii="Times New Roman" w:hAnsi="Times New Roman" w:cs="Times New Roman"/>
          <w:color w:val="000000" w:themeColor="text1"/>
        </w:rPr>
      </w:pPr>
      <w:bookmarkStart w:id="23" w:name="_Toc100753474"/>
      <w:r w:rsidRPr="006C6357">
        <w:rPr>
          <w:rFonts w:ascii="Times New Roman" w:hAnsi="Times New Roman" w:cs="Times New Roman"/>
          <w:color w:val="000000" w:themeColor="text1"/>
        </w:rPr>
        <w:t>4. Discussion</w:t>
      </w:r>
      <w:bookmarkEnd w:id="23"/>
    </w:p>
    <w:p w14:paraId="2BE00720" w14:textId="5C50456E" w:rsidR="00401D28" w:rsidRPr="00AD04DA" w:rsidRDefault="000347B1" w:rsidP="002975C8">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DPA was ineffective at producing freshwater from feeds contaminated with 500 ppm selenate and selenite. For these feeds, the rejections of 4.14 ± 22.66% for selenate and 8.18 ± 46.37% for selenite </w:t>
      </w:r>
      <w:r w:rsidR="00E46EBF" w:rsidRPr="00AD04DA">
        <w:rPr>
          <w:rFonts w:ascii="Times New Roman" w:hAnsi="Times New Roman" w:cs="Times New Roman"/>
          <w:sz w:val="24"/>
          <w:szCs w:val="24"/>
        </w:rPr>
        <w:t>show that DPA loses its selectivity when the feed solute concentration gets</w:t>
      </w:r>
      <w:r w:rsidR="00316BD1" w:rsidRPr="00AD04DA">
        <w:rPr>
          <w:rFonts w:ascii="Times New Roman" w:hAnsi="Times New Roman" w:cs="Times New Roman"/>
          <w:sz w:val="24"/>
          <w:szCs w:val="24"/>
        </w:rPr>
        <w:t xml:space="preserve"> dilute</w:t>
      </w:r>
      <w:r w:rsidR="00E46EBF" w:rsidRPr="00AD04DA">
        <w:rPr>
          <w:rFonts w:ascii="Times New Roman" w:hAnsi="Times New Roman" w:cs="Times New Roman"/>
          <w:sz w:val="24"/>
          <w:szCs w:val="24"/>
        </w:rPr>
        <w:t xml:space="preserve">. Accordingly, TSSE with DPA is not suitable </w:t>
      </w:r>
      <w:r w:rsidR="00316BD1" w:rsidRPr="00AD04DA">
        <w:rPr>
          <w:rFonts w:ascii="Times New Roman" w:hAnsi="Times New Roman" w:cs="Times New Roman"/>
          <w:sz w:val="24"/>
          <w:szCs w:val="24"/>
        </w:rPr>
        <w:t>for treating dilute feeds</w:t>
      </w:r>
      <w:r w:rsidR="00E46EBF" w:rsidRPr="00AD04DA">
        <w:rPr>
          <w:rFonts w:ascii="Times New Roman" w:hAnsi="Times New Roman" w:cs="Times New Roman"/>
          <w:sz w:val="24"/>
          <w:szCs w:val="24"/>
        </w:rPr>
        <w:t>.</w:t>
      </w:r>
      <w:r w:rsidR="00E1567A" w:rsidRPr="00AD04DA">
        <w:rPr>
          <w:rFonts w:ascii="Times New Roman" w:hAnsi="Times New Roman" w:cs="Times New Roman"/>
          <w:sz w:val="24"/>
          <w:szCs w:val="24"/>
        </w:rPr>
        <w:t xml:space="preserve"> However, the solute rejection for 3.5 </w:t>
      </w:r>
      <w:r w:rsidR="00CB43B3" w:rsidRPr="00AD04DA">
        <w:rPr>
          <w:rFonts w:ascii="Times New Roman" w:hAnsi="Times New Roman" w:cs="Times New Roman"/>
          <w:sz w:val="24"/>
          <w:szCs w:val="24"/>
        </w:rPr>
        <w:t>w/w%</w:t>
      </w:r>
      <w:r w:rsidR="00E1567A" w:rsidRPr="00AD04DA">
        <w:rPr>
          <w:rFonts w:ascii="Times New Roman" w:hAnsi="Times New Roman" w:cs="Times New Roman"/>
          <w:sz w:val="24"/>
          <w:szCs w:val="24"/>
        </w:rPr>
        <w:t>, 1.0 M, and 4.0 M NaCl feeds was 81.38 ± 4.07, 85.66 ± 2.53, and 93.75 ± 3.93%, respectively</w:t>
      </w:r>
      <w:r w:rsidR="003C6897" w:rsidRPr="00AD04DA">
        <w:rPr>
          <w:rFonts w:ascii="Times New Roman" w:hAnsi="Times New Roman" w:cs="Times New Roman"/>
          <w:sz w:val="24"/>
          <w:szCs w:val="24"/>
        </w:rPr>
        <w:t>.</w:t>
      </w:r>
      <w:r w:rsidR="00DB4E7D" w:rsidRPr="00AD04DA">
        <w:rPr>
          <w:rFonts w:ascii="Times New Roman" w:hAnsi="Times New Roman" w:cs="Times New Roman"/>
          <w:sz w:val="24"/>
          <w:szCs w:val="24"/>
        </w:rPr>
        <w:t xml:space="preserve"> For synthetic FGD wastewater, DPA extraction showed selectivity against selenate, giving a rejection of 86.42 ± 6.78%, showing DPA extraction is selective against dilute solutes at higher </w:t>
      </w:r>
      <w:r w:rsidR="00CC404A" w:rsidRPr="00AD04DA">
        <w:rPr>
          <w:rFonts w:ascii="Times New Roman" w:hAnsi="Times New Roman" w:cs="Times New Roman"/>
          <w:sz w:val="24"/>
          <w:szCs w:val="24"/>
        </w:rPr>
        <w:t>feed ionic strength</w:t>
      </w:r>
      <w:r w:rsidR="00DB4E7D" w:rsidRPr="00AD04DA">
        <w:rPr>
          <w:rFonts w:ascii="Times New Roman" w:hAnsi="Times New Roman" w:cs="Times New Roman"/>
          <w:sz w:val="24"/>
          <w:szCs w:val="24"/>
        </w:rPr>
        <w:t>.</w:t>
      </w:r>
      <w:r w:rsidR="003C6897" w:rsidRPr="00AD04DA">
        <w:rPr>
          <w:rFonts w:ascii="Times New Roman" w:hAnsi="Times New Roman" w:cs="Times New Roman"/>
          <w:sz w:val="24"/>
          <w:szCs w:val="24"/>
        </w:rPr>
        <w:t xml:space="preserve"> TSSE with DPA is limited in its ability to produce high quality product water, especially when considering the relatively high partition of DPA into the aqueous phase. Therefore, TSSE with DPA is not promising as a standalone </w:t>
      </w:r>
      <w:r w:rsidR="00782DE5" w:rsidRPr="00AD04DA">
        <w:rPr>
          <w:rFonts w:ascii="Times New Roman" w:hAnsi="Times New Roman" w:cs="Times New Roman"/>
          <w:sz w:val="24"/>
          <w:szCs w:val="24"/>
        </w:rPr>
        <w:t>treatment for FGD wastewaters.</w:t>
      </w:r>
      <w:r w:rsidR="003C6897" w:rsidRPr="00AD04DA">
        <w:rPr>
          <w:rFonts w:ascii="Times New Roman" w:hAnsi="Times New Roman" w:cs="Times New Roman"/>
          <w:sz w:val="24"/>
          <w:szCs w:val="24"/>
        </w:rPr>
        <w:t xml:space="preserve"> However,</w:t>
      </w:r>
      <w:r w:rsidR="004F2035" w:rsidRPr="00AD04DA">
        <w:rPr>
          <w:rFonts w:ascii="Times New Roman" w:hAnsi="Times New Roman" w:cs="Times New Roman"/>
          <w:sz w:val="24"/>
          <w:szCs w:val="24"/>
        </w:rPr>
        <w:t xml:space="preserve"> </w:t>
      </w:r>
      <w:r w:rsidR="003C6897" w:rsidRPr="00AD04DA">
        <w:rPr>
          <w:rFonts w:ascii="Times New Roman" w:hAnsi="Times New Roman" w:cs="Times New Roman"/>
          <w:sz w:val="24"/>
          <w:szCs w:val="24"/>
        </w:rPr>
        <w:t xml:space="preserve">DPA </w:t>
      </w:r>
      <w:r w:rsidR="004F2035" w:rsidRPr="00AD04DA">
        <w:rPr>
          <w:rFonts w:ascii="Times New Roman" w:hAnsi="Times New Roman" w:cs="Times New Roman"/>
          <w:sz w:val="24"/>
          <w:szCs w:val="24"/>
        </w:rPr>
        <w:t>TSS</w:t>
      </w:r>
      <w:r w:rsidR="003C6897" w:rsidRPr="00AD04DA">
        <w:rPr>
          <w:rFonts w:ascii="Times New Roman" w:hAnsi="Times New Roman" w:cs="Times New Roman"/>
          <w:sz w:val="24"/>
          <w:szCs w:val="24"/>
        </w:rPr>
        <w:t>E</w:t>
      </w:r>
      <w:r w:rsidR="004F2035" w:rsidRPr="00AD04DA">
        <w:rPr>
          <w:rFonts w:ascii="Times New Roman" w:hAnsi="Times New Roman" w:cs="Times New Roman"/>
          <w:sz w:val="24"/>
          <w:szCs w:val="24"/>
        </w:rPr>
        <w:t xml:space="preserve"> </w:t>
      </w:r>
      <w:r w:rsidR="00BD7361" w:rsidRPr="00AD04DA">
        <w:rPr>
          <w:rFonts w:ascii="Times New Roman" w:hAnsi="Times New Roman" w:cs="Times New Roman"/>
          <w:sz w:val="24"/>
          <w:szCs w:val="24"/>
        </w:rPr>
        <w:t>could still be an effective pretreatment for other desalination technolog</w:t>
      </w:r>
      <w:r w:rsidR="003C6897" w:rsidRPr="00AD04DA">
        <w:rPr>
          <w:rFonts w:ascii="Times New Roman" w:hAnsi="Times New Roman" w:cs="Times New Roman"/>
          <w:sz w:val="24"/>
          <w:szCs w:val="24"/>
        </w:rPr>
        <w:t>ies</w:t>
      </w:r>
      <w:r w:rsidR="00BD7361" w:rsidRPr="00AD04DA">
        <w:rPr>
          <w:rFonts w:ascii="Times New Roman" w:hAnsi="Times New Roman" w:cs="Times New Roman"/>
          <w:sz w:val="24"/>
          <w:szCs w:val="24"/>
        </w:rPr>
        <w:t xml:space="preserve">. </w:t>
      </w:r>
      <w:r w:rsidR="00BD7361" w:rsidRPr="00AD04DA">
        <w:rPr>
          <w:rFonts w:ascii="Times New Roman" w:hAnsi="Times New Roman" w:cs="Times New Roman"/>
          <w:sz w:val="24"/>
          <w:szCs w:val="24"/>
        </w:rPr>
        <w:lastRenderedPageBreak/>
        <w:t xml:space="preserve">For example, </w:t>
      </w:r>
      <w:r w:rsidR="00B93C82" w:rsidRPr="00AD04DA">
        <w:rPr>
          <w:rFonts w:ascii="Times New Roman" w:hAnsi="Times New Roman" w:cs="Times New Roman"/>
          <w:sz w:val="24"/>
          <w:szCs w:val="24"/>
        </w:rPr>
        <w:t xml:space="preserve">the </w:t>
      </w:r>
      <w:r w:rsidR="0007543F" w:rsidRPr="00AD04DA">
        <w:rPr>
          <w:rFonts w:ascii="Times New Roman" w:hAnsi="Times New Roman" w:cs="Times New Roman"/>
          <w:sz w:val="24"/>
          <w:szCs w:val="24"/>
        </w:rPr>
        <w:t>salinity reduction in a hypersaline feed from a single pass of TSSE could act as a pretreatment for RO, which can be prohibitively energy intensive for feeds with high osmotic pressures</w:t>
      </w:r>
      <w:r w:rsidR="0007543F" w:rsidRPr="00AD04DA">
        <w:rPr>
          <w:rFonts w:ascii="Times New Roman" w:hAnsi="Times New Roman" w:cs="Times New Roman"/>
          <w:sz w:val="24"/>
          <w:szCs w:val="24"/>
        </w:rPr>
        <w:fldChar w:fldCharType="begin"/>
      </w:r>
      <w:r w:rsidR="002E5FB1">
        <w:rPr>
          <w:rFonts w:ascii="Times New Roman" w:hAnsi="Times New Roman" w:cs="Times New Roman"/>
          <w:sz w:val="24"/>
          <w:szCs w:val="24"/>
        </w:rPr>
        <w:instrText xml:space="preserve"> ADDIN ZOTERO_ITEM CSL_CITATION {"citationID":"sl8wPEX6","properties":{"formattedCitation":"\\super 76,113,114\\nosupersub{}","plainCitation":"76,113,114","noteIndex":0},"citationItems":[{"id":782,"uris":["http://zotero.org/users/8284751/items/IGN55MC2"],"itemData":{"id":782,"type":"article-journal","abstract":"Zero liquid discharge (ZLD) of hypersaline brines is technically and energetically challenging. This study demonstrates ZLD of ultrahigh-salinity brines using temperature swing solvent extraction (TSSE), a membrane-less and nonevaporative desalination technology. TSSE utilizes a low-polarity solvent to extract water from brine and then releases the water as a product with the application of low-temperature heat. Complete extraction of water from a hypersaline feed, simulated by 5.0 M NaCl solution (≈292 g/L TDS), was achieved using diisopropylamine solvent. Practically all of the salt is precipitated as mineral solid waste and the product water contains &lt;5% of NaCl relative to the hypersaline feed brine. Consistent ZLD performance of high salt removals and product water quality was maintained in three repeated semibatch TSSE cycles, highlighting recyclability of the solvent. The practical applicability of the technique for actual ﬁeld samples was demonstrated by ZLD of an irrigation drainage water concentrate. This study establishes the potential of TSSE as a more sustainable alternative to current thermal evaporation methods for zero liquid discharge of ultrahigh-salinity brines.","container-title":"Environmental Science &amp; Technology","DOI":"10.1021/acs.est.0c02555","ISSN":"0013-936X, 1520-5851","issue":"14","journalAbbreviation":"Environ. Sci. Technol.","language":"en","page":"9124-9131","source":"DOI.org (Crossref)","title":"Zero Liquid Discharge of Ultrahigh-Salinity Brines with Temperature Swing Solvent Extraction","volume":"54","author":[{"family":"Boo","given":"Chanhee"},{"family":"Billinge","given":"Ian H."},{"family":"Chen","given":"Xi"},{"family":"Shah","given":"Kinnari M."},{"family":"Yip","given":"Ngai Yin"}],"issued":{"date-parts":[["2020",7,21]]}}},{"id":61,"uris":["http://zotero.org/users/8284751/items/8F56HY6F"],"itemData":{"id":61,"type":"article-journal","abstract":"Vacuum-enhanced direct contact membrane distillation (VEDCMD) and forward osmosis (FO) were investigated for water recovery enhancement in desalination of brackish water. Past studies have demonstrated that both VEDCMD and FO can be effectively utilized in the treatment of a wide range of highly concentrated feed solutions. In the current study, two reverse osmosis (RO) brine streams with total dissolved solids concentrations averaging 7500 and 17,500 mg/L were further desalinated by VEDCMD and by FO. In both processes, high water recoveries were achieved; however, recoveries were limited by precipitation of inorganic salts on the membrane surface. Various cleaning techniques were able to remove the scale layer from the membrane and restore water ﬂux to almost initial levels. FO achieved water recoveries up to 90% from the brines and VEDCMD achieved water recoveries up to 81% from the brines. Addition of a scale inhibitor during both processes was effective at maintaining high water ﬂux for extended time. When considering the total water recovery (the recovery from the RO processes combined with the batch recovery from the VEDCMD or FO process), greater than 96 and 98% total recoveries were achieved for the two different brine streams.","container-title":"Journal of Membrane Science","DOI":"10.1016/j.memsci.2009.01.003","ISSN":"03767388","issue":"1-2","journalAbbreviation":"Journal of Membrane Science","language":"en","page":"31-39","source":"DOI.org (Crossref)","title":"High recovery of concentrated RO brines using forward osmosis and membrane distillation","volume":"331","author":[{"family":"Martinetti","given":"C. Riziero"},{"family":"Childress","given":"Amy E."},{"family":"Cath","given":"Tzahi Y."}],"issued":{"date-parts":[["2009",4]]}}},{"id":165,"uris":["http://zotero.org/users/8284751/items/F6YDG6MC"],"itemData":{"id":165,"type":"article-journal","container-title":"Nature","page":"301-310","title":"Science and technology for water purification in the coming decades","volume":"452","author":[{"family":"Shannon","given":"Mark A."},{"family":"Bohn","given":"Paul W."},{"family":"Elimelech","given":"Menachem"},{"family":"Georgiadis","given":"John G."},{"family":"Mariñas","given":"Benito J."},{"family":"Mayes,","given":"Anne M."}],"issued":{"date-parts":[["2008",3]]}}}],"schema":"https://github.com/citation-style-language/schema/raw/master/csl-citation.json"} </w:instrText>
      </w:r>
      <w:r w:rsidR="0007543F" w:rsidRPr="00AD04DA">
        <w:rPr>
          <w:rFonts w:ascii="Times New Roman" w:hAnsi="Times New Roman" w:cs="Times New Roman"/>
          <w:sz w:val="24"/>
          <w:szCs w:val="24"/>
        </w:rPr>
        <w:fldChar w:fldCharType="separate"/>
      </w:r>
      <w:r w:rsidR="002E5FB1" w:rsidRPr="002E5FB1">
        <w:rPr>
          <w:rFonts w:ascii="Times New Roman" w:hAnsi="Times New Roman" w:cs="Times New Roman"/>
          <w:sz w:val="24"/>
          <w:szCs w:val="24"/>
          <w:vertAlign w:val="superscript"/>
        </w:rPr>
        <w:t>76,113,114</w:t>
      </w:r>
      <w:r w:rsidR="0007543F" w:rsidRPr="00AD04DA">
        <w:rPr>
          <w:rFonts w:ascii="Times New Roman" w:hAnsi="Times New Roman" w:cs="Times New Roman"/>
          <w:sz w:val="24"/>
          <w:szCs w:val="24"/>
        </w:rPr>
        <w:fldChar w:fldCharType="end"/>
      </w:r>
      <w:r w:rsidR="00B93C82" w:rsidRPr="00AD04DA">
        <w:rPr>
          <w:rFonts w:ascii="Times New Roman" w:hAnsi="Times New Roman" w:cs="Times New Roman"/>
          <w:sz w:val="24"/>
          <w:szCs w:val="24"/>
        </w:rPr>
        <w:t>.</w:t>
      </w:r>
    </w:p>
    <w:p w14:paraId="505CA4AE" w14:textId="6B112C5C" w:rsidR="00401D28" w:rsidRPr="00AD04DA" w:rsidRDefault="005C61CB" w:rsidP="00F85AA8">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t xml:space="preserve">TSSE with DA showed a high solute rejection </w:t>
      </w:r>
      <w:r w:rsidR="00C814F7" w:rsidRPr="00AD04DA">
        <w:rPr>
          <w:rFonts w:ascii="Times New Roman" w:hAnsi="Times New Roman" w:cs="Times New Roman"/>
          <w:sz w:val="24"/>
          <w:szCs w:val="24"/>
        </w:rPr>
        <w:t>independent</w:t>
      </w:r>
      <w:r w:rsidRPr="00AD04DA">
        <w:rPr>
          <w:rFonts w:ascii="Times New Roman" w:hAnsi="Times New Roman" w:cs="Times New Roman"/>
          <w:sz w:val="24"/>
          <w:szCs w:val="24"/>
        </w:rPr>
        <w:t xml:space="preserve"> of the feed concentration. DA showed rejections of over 98% for dilute, 500 ppm selenium oxyanion  feeds and those containing 4.0 M NaCl.</w:t>
      </w:r>
      <w:r w:rsidR="001C70F9" w:rsidRPr="00AD04DA">
        <w:rPr>
          <w:rFonts w:ascii="Times New Roman" w:hAnsi="Times New Roman" w:cs="Times New Roman"/>
          <w:sz w:val="24"/>
          <w:szCs w:val="24"/>
        </w:rPr>
        <w:t xml:space="preserve"> DA rejection was lower for the synthetic FGD wastewater stream, giving a selenate rejection of 96.82 ± 2.79 and an NaCl rejection of 95.52 ± 1.14</w:t>
      </w:r>
      <w:r w:rsidR="0027022C" w:rsidRPr="00AD04DA">
        <w:rPr>
          <w:rFonts w:ascii="Times New Roman" w:hAnsi="Times New Roman" w:cs="Times New Roman"/>
          <w:sz w:val="24"/>
          <w:szCs w:val="24"/>
        </w:rPr>
        <w:t>.</w:t>
      </w:r>
      <w:r w:rsidR="00A02DCF" w:rsidRPr="00AD04DA">
        <w:rPr>
          <w:rFonts w:ascii="Times New Roman" w:hAnsi="Times New Roman" w:cs="Times New Roman"/>
          <w:sz w:val="24"/>
          <w:szCs w:val="24"/>
        </w:rPr>
        <w:t xml:space="preserve"> Though these values are slightly lower than the feeds containing only one solute, DA demonstrated high ion rejections that were indiscriminate of the ion species or concentration</w:t>
      </w:r>
      <w:r w:rsidR="004C7B5F" w:rsidRPr="00AD04DA">
        <w:rPr>
          <w:rFonts w:ascii="Times New Roman" w:hAnsi="Times New Roman" w:cs="Times New Roman"/>
          <w:sz w:val="24"/>
          <w:szCs w:val="24"/>
        </w:rPr>
        <w:t xml:space="preserve">. TSSE with DA </w:t>
      </w:r>
      <w:r w:rsidR="001C727F" w:rsidRPr="00AD04DA">
        <w:rPr>
          <w:rFonts w:ascii="Times New Roman" w:hAnsi="Times New Roman" w:cs="Times New Roman"/>
          <w:sz w:val="24"/>
          <w:szCs w:val="24"/>
        </w:rPr>
        <w:t>can</w:t>
      </w:r>
      <w:r w:rsidR="004C7B5F" w:rsidRPr="00AD04DA">
        <w:rPr>
          <w:rFonts w:ascii="Times New Roman" w:hAnsi="Times New Roman" w:cs="Times New Roman"/>
          <w:sz w:val="24"/>
          <w:szCs w:val="24"/>
        </w:rPr>
        <w:t xml:space="preserve"> create freshwater from feeds with salinities approximating what would be encountered in a real FGD wastewater treatment setting. Additionally, it can reject toxic ions of heavy species, including selenium oxyanions shown here and arsenic oxyanions shown by Guo </w:t>
      </w:r>
      <w:r w:rsidR="004C7B5F" w:rsidRPr="00AD04DA">
        <w:rPr>
          <w:rFonts w:ascii="Times New Roman" w:hAnsi="Times New Roman" w:cs="Times New Roman"/>
          <w:i/>
          <w:iCs/>
          <w:sz w:val="24"/>
          <w:szCs w:val="24"/>
        </w:rPr>
        <w:t>et al</w:t>
      </w:r>
      <w:r w:rsidR="004C7B5F" w:rsidRPr="00AD04DA">
        <w:rPr>
          <w:rFonts w:ascii="Times New Roman" w:hAnsi="Times New Roman" w:cs="Times New Roman"/>
          <w:i/>
          <w:iCs/>
          <w:sz w:val="24"/>
          <w:szCs w:val="24"/>
        </w:rPr>
        <w:fldChar w:fldCharType="begin"/>
      </w:r>
      <w:r w:rsidR="00AE4CC3">
        <w:rPr>
          <w:rFonts w:ascii="Times New Roman" w:hAnsi="Times New Roman" w:cs="Times New Roman"/>
          <w:i/>
          <w:iCs/>
          <w:sz w:val="24"/>
          <w:szCs w:val="24"/>
        </w:rPr>
        <w:instrText xml:space="preserve"> ADDIN ZOTERO_ITEM CSL_CITATION {"citationID":"3cVCoX6n","properties":{"formattedCitation":"\\super 50\\nosupersub{}","plainCitation":"50","noteIndex":0},"citationItems":[{"id":268,"uris":["http://zotero.org/users/8284751/items/V7HQE7DL"],"itemData":{"id":268,"type":"article-journal","abstract":"Arsenic (As) poisoning in water is a critical global problem. Current arsenic removal techniques involving chemical reaction, ion exchange, or membrane processes can be expensive, inaccessible, or infeasible for underdeveloped regions. Here, we demonstrate that by using a so-called a directional solvent extraction (DSE) process arsenic ions in water can be eﬀectively removed without membrane or chemical reaction, and this process promises to utilize low temperature heat (as low as 45 °C). We have tested feedwater with diﬀerent arsenic concentrations and arsenic ions in diﬀerent forms (As-III and As-V) commonly found in nature. It is demonstrated that DSE using decanoic acid as the directional solvent can purify contaminated water to meet the drinking water standard (arsenic concentration &lt;10 parts per billion, ppb), and the arsenic removal eﬃciencies are higher than 91% for As-III and 97% for As-V. DSE can potentially lead to eﬀective arsenic removal technologies with low resource settings.","container-title":"J. Chem. Eng. Data","language":"en","page":"9","source":"Zotero","title":"Direct Arsenic Removal from Water Using Non-Membrane, Low-Temperature Directional Solvent Extraction","author":[{"family":"Guo","given":"Jiaji"},{"family":"Luo","given":"Shirui"},{"family":"Liu","given":"Zeyu"},{"family":"Luo","given":"Tengfei"}],"issued":{"date-parts":[["2020"]]}}}],"schema":"https://github.com/citation-style-language/schema/raw/master/csl-citation.json"} </w:instrText>
      </w:r>
      <w:r w:rsidR="004C7B5F" w:rsidRPr="00AD04DA">
        <w:rPr>
          <w:rFonts w:ascii="Times New Roman" w:hAnsi="Times New Roman" w:cs="Times New Roman"/>
          <w:i/>
          <w:iCs/>
          <w:sz w:val="24"/>
          <w:szCs w:val="24"/>
        </w:rPr>
        <w:fldChar w:fldCharType="separate"/>
      </w:r>
      <w:r w:rsidR="00855E07" w:rsidRPr="00AD04DA">
        <w:rPr>
          <w:rFonts w:ascii="Times New Roman" w:hAnsi="Times New Roman" w:cs="Times New Roman"/>
          <w:sz w:val="24"/>
          <w:szCs w:val="24"/>
          <w:vertAlign w:val="superscript"/>
        </w:rPr>
        <w:t>50</w:t>
      </w:r>
      <w:r w:rsidR="004C7B5F" w:rsidRPr="00AD04DA">
        <w:rPr>
          <w:rFonts w:ascii="Times New Roman" w:hAnsi="Times New Roman" w:cs="Times New Roman"/>
          <w:i/>
          <w:iCs/>
          <w:sz w:val="24"/>
          <w:szCs w:val="24"/>
        </w:rPr>
        <w:fldChar w:fldCharType="end"/>
      </w:r>
      <w:r w:rsidR="004C7B5F" w:rsidRPr="00AD04DA">
        <w:rPr>
          <w:rFonts w:ascii="Times New Roman" w:hAnsi="Times New Roman" w:cs="Times New Roman"/>
          <w:sz w:val="24"/>
          <w:szCs w:val="24"/>
        </w:rPr>
        <w:t>.</w:t>
      </w:r>
      <w:r w:rsidR="00BB721A" w:rsidRPr="00AD04DA">
        <w:rPr>
          <w:rFonts w:ascii="Times New Roman" w:hAnsi="Times New Roman" w:cs="Times New Roman"/>
          <w:sz w:val="24"/>
          <w:szCs w:val="24"/>
        </w:rPr>
        <w:t xml:space="preserve"> </w:t>
      </w:r>
      <w:r w:rsidR="0057717B" w:rsidRPr="00AD04DA">
        <w:rPr>
          <w:rFonts w:ascii="Times New Roman" w:hAnsi="Times New Roman" w:cs="Times New Roman"/>
          <w:sz w:val="24"/>
          <w:szCs w:val="24"/>
        </w:rPr>
        <w:t>Therefore, TSSE with DA solvent is a promising standalone technology for FGD wastewater treatment.</w:t>
      </w:r>
      <w:r w:rsidR="00A02DCF" w:rsidRPr="00AD04DA">
        <w:rPr>
          <w:rFonts w:ascii="Times New Roman" w:hAnsi="Times New Roman" w:cs="Times New Roman"/>
          <w:sz w:val="24"/>
          <w:szCs w:val="24"/>
        </w:rPr>
        <w:t xml:space="preserve"> </w:t>
      </w:r>
      <w:r w:rsidR="00F85AA8" w:rsidRPr="00AD04DA">
        <w:rPr>
          <w:rFonts w:ascii="Times New Roman" w:hAnsi="Times New Roman" w:cs="Times New Roman"/>
          <w:sz w:val="24"/>
          <w:szCs w:val="24"/>
        </w:rPr>
        <w:t xml:space="preserve">However, </w:t>
      </w:r>
      <w:r w:rsidR="0057717B" w:rsidRPr="00AD04DA">
        <w:rPr>
          <w:rFonts w:ascii="Times New Roman" w:hAnsi="Times New Roman" w:cs="Times New Roman"/>
          <w:sz w:val="24"/>
          <w:szCs w:val="24"/>
        </w:rPr>
        <w:t xml:space="preserve">a major drawback of </w:t>
      </w:r>
      <w:r w:rsidR="00F85AA8" w:rsidRPr="00AD04DA">
        <w:rPr>
          <w:rFonts w:ascii="Times New Roman" w:hAnsi="Times New Roman" w:cs="Times New Roman"/>
          <w:sz w:val="24"/>
          <w:szCs w:val="24"/>
        </w:rPr>
        <w:t>TSSE with DA is the low water recovery</w:t>
      </w:r>
      <w:r w:rsidR="001E4ECA" w:rsidRPr="00AD04DA">
        <w:rPr>
          <w:rFonts w:ascii="Times New Roman" w:hAnsi="Times New Roman" w:cs="Times New Roman"/>
          <w:sz w:val="24"/>
          <w:szCs w:val="24"/>
        </w:rPr>
        <w:t xml:space="preserve"> </w:t>
      </w:r>
      <w:r w:rsidR="008746FE" w:rsidRPr="00AD04DA">
        <w:rPr>
          <w:rFonts w:ascii="Times New Roman" w:hAnsi="Times New Roman" w:cs="Times New Roman"/>
          <w:sz w:val="24"/>
          <w:szCs w:val="24"/>
        </w:rPr>
        <w:t>of only 0.41 ± 0.16% of the feed volume</w:t>
      </w:r>
      <w:r w:rsidR="001E4ECA" w:rsidRPr="00AD04DA">
        <w:rPr>
          <w:rFonts w:ascii="Times New Roman" w:hAnsi="Times New Roman" w:cs="Times New Roman"/>
          <w:sz w:val="24"/>
          <w:szCs w:val="24"/>
        </w:rPr>
        <w:t xml:space="preserve"> for one pass of synthetic FGD wastewater.</w:t>
      </w:r>
    </w:p>
    <w:p w14:paraId="0B5AEE8F" w14:textId="390E815C" w:rsidR="00401D28" w:rsidRPr="00AD04DA" w:rsidRDefault="00932642" w:rsidP="00EF684C">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6171B2" w:rsidRPr="00AD04DA">
        <w:rPr>
          <w:rFonts w:ascii="Times New Roman" w:hAnsi="Times New Roman" w:cs="Times New Roman"/>
          <w:sz w:val="24"/>
          <w:szCs w:val="24"/>
        </w:rPr>
        <w:t xml:space="preserve">Due to the low water recovery, TSSE with DA has a high specific </w:t>
      </w:r>
      <w:r w:rsidR="00534C78" w:rsidRPr="00AD04DA">
        <w:rPr>
          <w:rFonts w:ascii="Times New Roman" w:hAnsi="Times New Roman" w:cs="Times New Roman"/>
          <w:sz w:val="24"/>
          <w:szCs w:val="24"/>
        </w:rPr>
        <w:t>energy</w:t>
      </w:r>
      <w:r w:rsidR="006171B2" w:rsidRPr="00AD04DA">
        <w:rPr>
          <w:rFonts w:ascii="Times New Roman" w:hAnsi="Times New Roman" w:cs="Times New Roman"/>
          <w:sz w:val="24"/>
          <w:szCs w:val="24"/>
        </w:rPr>
        <w:t xml:space="preserve"> consumption of 350 to 460 kWh/m</w:t>
      </w:r>
      <w:r w:rsidR="006171B2" w:rsidRPr="00AD04DA">
        <w:rPr>
          <w:rFonts w:ascii="Times New Roman" w:hAnsi="Times New Roman" w:cs="Times New Roman"/>
          <w:sz w:val="24"/>
          <w:szCs w:val="24"/>
          <w:vertAlign w:val="superscript"/>
        </w:rPr>
        <w:t>3</w:t>
      </w:r>
      <w:r w:rsidR="00B66A9A" w:rsidRPr="00AD04DA">
        <w:rPr>
          <w:rFonts w:ascii="Times New Roman" w:hAnsi="Times New Roman" w:cs="Times New Roman"/>
          <w:sz w:val="24"/>
          <w:szCs w:val="24"/>
        </w:rPr>
        <w:t xml:space="preserve"> </w:t>
      </w:r>
      <w:r w:rsidR="006171B2" w:rsidRPr="00AD04DA">
        <w:rPr>
          <w:rFonts w:ascii="Times New Roman" w:hAnsi="Times New Roman" w:cs="Times New Roman"/>
          <w:sz w:val="24"/>
          <w:szCs w:val="24"/>
        </w:rPr>
        <w:t>with an optimal heat recovery network</w:t>
      </w:r>
      <w:r w:rsidR="006171B2"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{"citationID":"vRuEShoM","properties":{"formattedCitation":"\\super 59\\nosupersub{}","plainCitation":"59","noteIndex":0},"citationItems":[{"id":712,"uris":["http://zotero.org/users/8284751/items/SDNU2P73"],"itemData":{"id":712,"type":"article-journal","abstract":"Directional Solvent Extraction (DSE) is a novel alternative desalination technology to the traditional evaporation and membrane based desalination processes. This new process takes advantage of the fact that water is soluble in some solvents and its solubility increases with temperature. Furthermore, these solvents are insoluble in water and salts do not dissolve in them. These special characteristics of some “directional solvents” have been utilized in this new process to extract fresh water from seawater.","container-title":"Desalination","DOI":"10.1016/j.desal.2017.07.004","ISSN":"00119164","journalAbbreviation":"Desalination","language":"en","page":"114-124","source":"DOI.org (Crossref)","title":"Modeling of a continuous water desalination process using directional solvent extraction","volume":"420","author":[{"family":"Alotaibi","given":"Sorour"},{"family":"Ibrahim","given":"Osama M."},{"family":"Luo","given":"Shirui"},{"family":"Luo","given":"Tengfei"}],"issued":{"date-parts":[["2017",10]]}}}],"schema":"https://github.com/citation-style-language/schema/raw/master/csl-citation.json"} </w:instrText>
      </w:r>
      <w:r w:rsidR="006171B2"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59</w:t>
      </w:r>
      <w:r w:rsidR="006171B2" w:rsidRPr="00AD04DA">
        <w:rPr>
          <w:rFonts w:ascii="Times New Roman" w:hAnsi="Times New Roman" w:cs="Times New Roman"/>
          <w:sz w:val="24"/>
          <w:szCs w:val="24"/>
        </w:rPr>
        <w:fldChar w:fldCharType="end"/>
      </w:r>
      <w:r w:rsidR="006171B2" w:rsidRPr="00AD04DA">
        <w:rPr>
          <w:rFonts w:ascii="Times New Roman" w:hAnsi="Times New Roman" w:cs="Times New Roman"/>
          <w:sz w:val="24"/>
          <w:szCs w:val="24"/>
        </w:rPr>
        <w:t xml:space="preserve">. </w:t>
      </w:r>
      <w:r w:rsidR="00960662" w:rsidRPr="00AD04DA">
        <w:rPr>
          <w:rFonts w:ascii="Times New Roman" w:hAnsi="Times New Roman" w:cs="Times New Roman"/>
          <w:sz w:val="24"/>
          <w:szCs w:val="24"/>
        </w:rPr>
        <w:t>For comparison, reverse osmosis requires 1-7 kWh/m</w:t>
      </w:r>
      <w:r w:rsidR="00960662" w:rsidRPr="00AD04DA">
        <w:rPr>
          <w:rFonts w:ascii="Times New Roman" w:hAnsi="Times New Roman" w:cs="Times New Roman"/>
          <w:sz w:val="24"/>
          <w:szCs w:val="24"/>
          <w:vertAlign w:val="superscript"/>
        </w:rPr>
        <w:t>3</w:t>
      </w:r>
      <w:r w:rsidR="00960662" w:rsidRPr="00AD04DA">
        <w:rPr>
          <w:rFonts w:ascii="Times New Roman" w:hAnsi="Times New Roman" w:cs="Times New Roman"/>
          <w:sz w:val="24"/>
          <w:szCs w:val="24"/>
        </w:rPr>
        <w:t>, multi-stage flash requires 70-84 kWh/m</w:t>
      </w:r>
      <w:r w:rsidR="00960662" w:rsidRPr="00AD04DA">
        <w:rPr>
          <w:rFonts w:ascii="Times New Roman" w:hAnsi="Times New Roman" w:cs="Times New Roman"/>
          <w:sz w:val="24"/>
          <w:szCs w:val="24"/>
          <w:vertAlign w:val="superscript"/>
        </w:rPr>
        <w:t>3</w:t>
      </w:r>
      <w:r w:rsidR="00960662" w:rsidRPr="00AD04DA">
        <w:rPr>
          <w:rFonts w:ascii="Times New Roman" w:hAnsi="Times New Roman" w:cs="Times New Roman"/>
          <w:sz w:val="24"/>
          <w:szCs w:val="24"/>
        </w:rPr>
        <w:t>, multiple effect distillation requires 42-67 kWh/m</w:t>
      </w:r>
      <w:r w:rsidR="00960662" w:rsidRPr="00AD04DA">
        <w:rPr>
          <w:rFonts w:ascii="Times New Roman" w:hAnsi="Times New Roman" w:cs="Times New Roman"/>
          <w:sz w:val="24"/>
          <w:szCs w:val="24"/>
          <w:vertAlign w:val="superscript"/>
        </w:rPr>
        <w:t>3</w:t>
      </w:r>
      <w:r w:rsidR="00960662" w:rsidRPr="00AD04DA">
        <w:rPr>
          <w:rFonts w:ascii="Times New Roman" w:hAnsi="Times New Roman" w:cs="Times New Roman"/>
          <w:sz w:val="24"/>
          <w:szCs w:val="24"/>
        </w:rPr>
        <w:t>, and mechanical vapor compression requires 6.5-12 kWh/m</w:t>
      </w:r>
      <w:r w:rsidR="00960662" w:rsidRPr="00AD04DA">
        <w:rPr>
          <w:rFonts w:ascii="Times New Roman" w:hAnsi="Times New Roman" w:cs="Times New Roman"/>
          <w:sz w:val="24"/>
          <w:szCs w:val="24"/>
          <w:vertAlign w:val="superscript"/>
        </w:rPr>
        <w:t>3</w:t>
      </w:r>
      <w:r w:rsidR="00D30737" w:rsidRPr="00AD04DA">
        <w:rPr>
          <w:rFonts w:ascii="Times New Roman" w:hAnsi="Times New Roman" w:cs="Times New Roman"/>
          <w:sz w:val="24"/>
          <w:szCs w:val="24"/>
        </w:rPr>
        <w:t xml:space="preserve"> for desalination</w:t>
      </w:r>
      <w:r w:rsidR="00F01C1A" w:rsidRPr="00AD04DA">
        <w:rPr>
          <w:rFonts w:ascii="Times New Roman" w:hAnsi="Times New Roman" w:cs="Times New Roman"/>
          <w:sz w:val="24"/>
          <w:szCs w:val="24"/>
        </w:rPr>
        <w:fldChar w:fldCharType="begin"/>
      </w:r>
      <w:r w:rsidR="002E5FB1">
        <w:rPr>
          <w:rFonts w:ascii="Times New Roman" w:hAnsi="Times New Roman" w:cs="Times New Roman"/>
          <w:sz w:val="24"/>
          <w:szCs w:val="24"/>
        </w:rPr>
        <w:instrText xml:space="preserve"> ADDIN ZOTERO_ITEM CSL_CITATION {"citationID":"5X6ie7Na","properties":{"formattedCitation":"\\super 115\\uc0\\u8211{}120\\nosupersub{}","plainCitation":"115–120","noteIndex":0},"citationItems":[{"id":622,"uris":["http://zotero.org/users/8284751/items/QEGU9N72"],"itemData":{"id":622,"type":"article-journal","abstract":"In this paper, a study of the energy performance of a solar powered vacuum membrane distillation was investigated on four typical days that represent the four seasons of the year namely: the equinoxes (March 21st and September 21st) and the solstices (June 21st and December 21st), through the widely used energy criteria such as specific energy consumption, gained output ratio and heat recovery factor. The results indicate that the energy performance of the process is strongly linked to the solar irradiation and as long as the VMD is coupled with solar energy, the process could be competitive with industrialized desalination technologies such as RO, MSF and MED. Besides, the effect of the applied vacuum level on the specific energy consumption was examined. Obviously, the results reveal that for minimum SEEC an optimal vacuum pressure is between 5000 and 10000 Pa. As well a technique to optimize the energy performance by recycling hot cooling water, used for steam condensation, was discussed. An amelioration of about 35%, 26% and 31%, during the hottest day (June 21st) and of about 22%, 19% and 21%, during the coldest (December 21st) in the GOR, the SEC and the daily production could be achieved.","container-title":"Energy Conversion and Management","DOI":"10.1016/j.enconman.2019.02.011","ISSN":"01968904","journalAbbreviation":"Energy Conversion and Management","language":"en","page":"143-154","source":"DOI.org (Crossref)","title":"Energetic performance analysis of seawater desalination with a solar membrane distillation","volume":"185","author":[{"family":"Miladi","given":"Rihab"},{"family":"Frikha","given":"Nader"},{"family":"Kheiri","given":"Abdelhamid"},{"family":"Gabsi","given":"Slimane"}],"issued":{"date-parts":[["2019",4]]}}},{"id":141,"uris":["http://zotero.org/users/8284751/items/SLMZ3VFY"],"itemData":{"id":141,"type":"article-journal","abstract":"The aim of this work is to assess and evaluate the energy and the membrane replacement cost for the seawater reverse osmosis (SWRO) plants. As a result of that, suggestions are given for energy cost reduction as well as optimum membrane cleaning procedure. A detailed comparative study was conducted for the energy recovery systems for SWRO plants available in the market. The energy cor~sumption was measured in relation with other operating factors such as recovery, feed concentration, productiviW, temperature, etc. All the data were collected from existing SWRO plants in different locations in Greece under real operating conditions. Four different energy recovery systems, which are used in seawater SWRO plants, were examined. These are the classical Pelton wheel, the turbocharger, the pressure exchanger and the Pelton wheel introduced by Grundfos company. The above energy recovery systems have been applied in small and medium size RO plants commissioned by different companies. The deterioration of the membrane performance is an actual fact leading after 2-5 years to the replacement of the membranes with a considerable cost. The lifetime of the membranes is greatly effected by the feed water quality and the pretreatment process. It was found that the normal cleaning procedure, which is recommended by the SWRO plant builders and the membrane makers, gives poor results especially for small size SWRO plants, with severe bio-fouling problems. As it is presented in this work, in some cases, destruction of the membrane modules is the result of severe biofouling. In this work data of the performance of the membranes before and after the cleaning procedure are presented and a different cleaning procedure is recommended. The later is based on the combination of hydrodynamic and chelnical cleaning of the membranes, resulting in great improvement of the membranes performance. This cleaning procedure will extend the lifetime of the membranes and reduce the membrane replacement expenditures.","container-title":"Desalination","DOI":"10.1016/S0011-9164(03)00395-3","ISSN":"00119164","issue":"1-3","journalAbbreviation":"Desalination","language":"en","page":"151-158","source":"DOI.org (Crossref)","title":"Energy consumption and membrane replacement cost for seawater RO desalination plants","volume":"157","author":[{"family":"Avlonitis","given":"S.A."},{"family":"Kouroumbas","given":"K."},{"family":"Vlachakis","given":"N."}],"issued":{"date-parts":[["2003",8]]}}},{"id":882,"uris":["http://zotero.org/users/8284751/items/JDWPFT9Y"],"itemData":{"id":882,"type":"article-journal","abstract":"Membrane distillation (MD) is a promising desalination technology for water recovery from high-salinity solutions such as RO brine. Despite its great potential, MD has not been industrially realized because this technique generates a lower ﬂux than reverse osmosis processes and exhibits a lower thermal efﬁciency than multi-stage ﬂash. Enhancing the ﬂux and thermal efﬁciency of MD is a major research focus for membrane researchers. In this study, the principles, transfer mechanism and thermal efﬁciency characterization of the MD process were introduced. Various factors affecting the thermal efﬁciency were analyzed. Several heat recovery techniques in the MD ﬁeld that have been developed and widely employed were reviewed.","container-title":"Desalination","DOI":"10.1016/j.desal.2015.04.013","ISSN":"00119164","journalAbbreviation":"Desalination","language":"en","page":"223-239","source":"DOI.org (Crossref)","title":"Review of thermal efficiency and heat recycling in membrane distillation processes","volume":"367","author":[{"family":"Zhang","given":"Yonggang"},{"family":"Peng","given":"Yuelian"},{"family":"Ji","given":"Shulan"},{"family":"Li","given":"Zhehao"},{"family":"Chen","given":"Ping"}],"issued":{"date-parts":[["2015",7]]}}},{"id":884,"uris":["http://zotero.org/users/8284751/items/VN2DBZ78"],"itemData":{"id":884,"type":"paper-conference","abstract":"In response to increasing global water demand, desalination has become an important source of water in many regions of the world. The objective of this research is to compare four different desalination methods operating at a production capacity between 100 and 200 m3/d: 1) multi-stage flash (MSF), 2) multi-effect distillation (MED), 3) mechanical vapor compression (MVC), and 4) reverse osmosis (RO). Brine disposal and energy consumption for treatment are also discussed in the paper. The source water and brine disposal requirements for each method vary based on system efficiency. As a system’s treatment efficiency increased, the source water requirement decreased and the salinity of the brine solution increased. RO was the least energy intensive treatment method, requiring 3-5.5 kWh/m3. MED and MVC had similar energy requirements at 6.5-12 kWh/m3. The least efficient treatment method was MSF, requiring 13.5-25.5 kWh/m3. High salinity and large energy requirements can be mitigated by pairing the desalination facility with a waste water treatment plant. Effluent can be mixed with the brine to reduce salinity and thermal energy can be supplied to reduce energy demand.","container-title":"2016 ASEE Annual Conference &amp; Exposition Proceedings","DOI":"10.18260/p.26729","event":"2016 ASEE Annual Conference &amp; Exposition","event-place":"New Orleans, Louisiana","language":"en","page":"26729","publisher":"ASEE Conferences","publisher-place":"New Orleans, Louisiana","source":"DOI.org (Crossref)","title":"Environmental Impact Cost Analysis of Multi-Stage Flash, Multi-Effect Distillation, Mechanical Vapor Compression, and Reverse Osmosis Medium-Size Desalination Facilities","URL":"http://peer.asee.org/26729","author":[{"family":"Najafi","given":"Fazil"},{"family":"Alsaffar","given":"Mona"},{"family":"Schwerer","given":"Serafina"},{"family":"Brown","given":"Nicholas"},{"family":"Ouedraogo","given":"Josias"}],"accessed":{"date-parts":[["2022",4,11]]},"issued":{"date-parts":[["2016",6]]}}},{"id":886,"uris":["http://zotero.org/users/8284751/items/J7N2CR6G"],"itemData":{"id":886,"type":"article-journal","abstract":"Membrane distillation (MD) is a promising technology due to its ability to function using low temperature diﬀerences and low-quality heat sources, thus allowing it to operate on solar or waste heat. The ﬂux and energy eﬃciency of MD are inﬂuenced by temperature and concentration polarization, process conditions, and membrane-related parameters like thickness, tortuosity, thermal conductivity, pore size, and porosity. To date, a comprehensive review of membrane and distillation parameters on energy consumption has not yet been conducted. Accordingly, this review introduces the central energy parameters for MD (e.g., energy eﬃciency, gained output ratio, etc.) and discusses the reported impacts of membrane properties, mass and heat transfer, feed water properties, and system parameters on the energy parameters. The application of solar energy to direct contact MD (DCMD) is also discussed. A critical analysis of the energy eﬃciency of DCMD processes will help to establish its strengths and limitations and provide a road map for the development of this technology for both large-scale and portable applications.","container-title":"Desalination","DOI":"10.1016/j.desal.2018.01.025","ISSN":"00119164","journalAbbreviation":"Desalination","language":"en","page":"56-67","source":"DOI.org (Crossref)","title":"Energy efficiency of direct contact membrane distillation","volume":"433","author":[{"family":"Ullah","given":"Ruh"},{"family":"Khraisheh","given":"Majeda"},{"family":"Esteves","given":"Richard J."},{"family":"McLeskey","given":"James T."},{"family":"AlGhouti","given":"Mohammad"},{"family":"Gad-el-Hak","given":"Mohamed"},{"family":"Vahedi Tafreshi","given":"H."}],"issued":{"date-parts":[["2018",5]]}}},{"id":889,"uris":["http://zotero.org/users/8284751/items/UZWQJNCL"],"itemData":{"id":889,"type":"article-journal","container-title":"Energy Conversion and Management","DOI":"10.1016/j.enconman.2010.03.019","ISSN":"01968904","issue":"11","journalAbbreviation":"Energy Conversion and Management","language":"en","page":"2245-2251","source":"DOI.org (Crossref)","title":"Sustainable desalination using solar energy","volume":"51","author":[{"family":"Gude","given":"Veera Gnaneswar"},{"family":"Nirmalakhandan","given":"Nagamany"}],"issued":{"date-parts":[["2010",11]]}}}],"schema":"https://github.com/citation-style-language/schema/raw/master/csl-citation.json"} </w:instrText>
      </w:r>
      <w:r w:rsidR="00F01C1A" w:rsidRPr="00AD04DA">
        <w:rPr>
          <w:rFonts w:ascii="Times New Roman" w:hAnsi="Times New Roman" w:cs="Times New Roman"/>
          <w:sz w:val="24"/>
          <w:szCs w:val="24"/>
        </w:rPr>
        <w:fldChar w:fldCharType="separate"/>
      </w:r>
      <w:r w:rsidR="002E5FB1" w:rsidRPr="002E5FB1">
        <w:rPr>
          <w:rFonts w:ascii="Times New Roman" w:hAnsi="Times New Roman" w:cs="Times New Roman"/>
          <w:sz w:val="24"/>
          <w:szCs w:val="24"/>
          <w:vertAlign w:val="superscript"/>
        </w:rPr>
        <w:t>115–120</w:t>
      </w:r>
      <w:r w:rsidR="00F01C1A" w:rsidRPr="00AD04DA">
        <w:rPr>
          <w:rFonts w:ascii="Times New Roman" w:hAnsi="Times New Roman" w:cs="Times New Roman"/>
          <w:sz w:val="24"/>
          <w:szCs w:val="24"/>
        </w:rPr>
        <w:fldChar w:fldCharType="end"/>
      </w:r>
      <w:r w:rsidR="00D30737" w:rsidRPr="00AD04DA">
        <w:rPr>
          <w:rFonts w:ascii="Times New Roman" w:hAnsi="Times New Roman" w:cs="Times New Roman"/>
          <w:sz w:val="24"/>
          <w:szCs w:val="24"/>
        </w:rPr>
        <w:t>.</w:t>
      </w:r>
      <w:r w:rsidR="000F1F95" w:rsidRPr="00AD04DA">
        <w:rPr>
          <w:rFonts w:ascii="Times New Roman" w:hAnsi="Times New Roman" w:cs="Times New Roman"/>
          <w:sz w:val="24"/>
          <w:szCs w:val="24"/>
        </w:rPr>
        <w:t xml:space="preserve"> </w:t>
      </w:r>
      <w:r w:rsidR="00350FDE" w:rsidRPr="00AD04DA">
        <w:rPr>
          <w:rFonts w:ascii="Times New Roman" w:hAnsi="Times New Roman" w:cs="Times New Roman"/>
          <w:sz w:val="24"/>
          <w:szCs w:val="24"/>
        </w:rPr>
        <w:t xml:space="preserve">However, as discussed in section 1.3, this energy </w:t>
      </w:r>
      <w:r w:rsidR="00AB3212" w:rsidRPr="00AD04DA">
        <w:rPr>
          <w:rFonts w:ascii="Times New Roman" w:hAnsi="Times New Roman" w:cs="Times New Roman"/>
          <w:sz w:val="24"/>
          <w:szCs w:val="24"/>
        </w:rPr>
        <w:t>could be provided by</w:t>
      </w:r>
      <w:r w:rsidR="00350FDE" w:rsidRPr="00AD04DA">
        <w:rPr>
          <w:rFonts w:ascii="Times New Roman" w:hAnsi="Times New Roman" w:cs="Times New Roman"/>
          <w:sz w:val="24"/>
          <w:szCs w:val="24"/>
        </w:rPr>
        <w:t xml:space="preserve"> low grade thermal energy and could therefore be considered free with the integration of waste heat. Membrane distillation is another desalination technology with a relatively high specific energy consumption but that can exploit waste or other low-grade sources of heat to offset </w:t>
      </w:r>
      <w:r w:rsidR="008E51FA" w:rsidRPr="00AD04DA">
        <w:rPr>
          <w:rFonts w:ascii="Times New Roman" w:hAnsi="Times New Roman" w:cs="Times New Roman"/>
          <w:sz w:val="24"/>
          <w:szCs w:val="24"/>
        </w:rPr>
        <w:t xml:space="preserve">the high energy demand. </w:t>
      </w:r>
      <w:r w:rsidR="00832486" w:rsidRPr="00AD04DA">
        <w:rPr>
          <w:rFonts w:ascii="Times New Roman" w:hAnsi="Times New Roman" w:cs="Times New Roman"/>
          <w:sz w:val="24"/>
          <w:szCs w:val="24"/>
        </w:rPr>
        <w:t xml:space="preserve">For </w:t>
      </w:r>
      <w:r w:rsidR="00832486" w:rsidRPr="00AD04DA">
        <w:rPr>
          <w:rFonts w:ascii="Times New Roman" w:hAnsi="Times New Roman" w:cs="Times New Roman"/>
          <w:sz w:val="24"/>
          <w:szCs w:val="24"/>
        </w:rPr>
        <w:lastRenderedPageBreak/>
        <w:t xml:space="preserve">FGD wastewater, </w:t>
      </w:r>
      <w:r w:rsidR="003E475D" w:rsidRPr="00AD04DA">
        <w:rPr>
          <w:rFonts w:ascii="Times New Roman" w:hAnsi="Times New Roman" w:cs="Times New Roman"/>
          <w:sz w:val="24"/>
          <w:szCs w:val="24"/>
        </w:rPr>
        <w:t xml:space="preserve">TSSE </w:t>
      </w:r>
      <w:r w:rsidR="00B945C1" w:rsidRPr="00AD04DA">
        <w:rPr>
          <w:rFonts w:ascii="Times New Roman" w:hAnsi="Times New Roman" w:cs="Times New Roman"/>
          <w:sz w:val="24"/>
          <w:szCs w:val="24"/>
        </w:rPr>
        <w:t>has a major advantage over</w:t>
      </w:r>
      <w:r w:rsidR="003E475D" w:rsidRPr="00AD04DA">
        <w:rPr>
          <w:rFonts w:ascii="Times New Roman" w:hAnsi="Times New Roman" w:cs="Times New Roman"/>
          <w:sz w:val="24"/>
          <w:szCs w:val="24"/>
        </w:rPr>
        <w:t xml:space="preserve"> membrane distillation. </w:t>
      </w:r>
      <w:r w:rsidR="00000839" w:rsidRPr="00AD04DA">
        <w:rPr>
          <w:rFonts w:ascii="Times New Roman" w:hAnsi="Times New Roman" w:cs="Times New Roman"/>
          <w:sz w:val="24"/>
          <w:szCs w:val="24"/>
        </w:rPr>
        <w:t>FGD wastewater is saturated in gypsum (CaS</w:t>
      </w:r>
      <w:r w:rsidR="00000839" w:rsidRPr="00AD04DA">
        <w:rPr>
          <w:rFonts w:ascii="Times New Roman" w:hAnsi="Times New Roman" w:cs="Times New Roman"/>
          <w:color w:val="000000" w:themeColor="text1"/>
          <w:sz w:val="24"/>
          <w:szCs w:val="24"/>
        </w:rPr>
        <w:t>O</w:t>
      </w:r>
      <w:r w:rsidR="00000839" w:rsidRPr="00AD04DA">
        <w:rPr>
          <w:rFonts w:ascii="Times New Roman" w:hAnsi="Times New Roman" w:cs="Times New Roman"/>
          <w:color w:val="000000" w:themeColor="text1"/>
          <w:sz w:val="24"/>
          <w:szCs w:val="24"/>
          <w:vertAlign w:val="subscript"/>
        </w:rPr>
        <w:t>4</w:t>
      </w:r>
      <w:r w:rsidR="00000839" w:rsidRPr="00AD04DA">
        <w:rPr>
          <w:rFonts w:ascii="Times New Roman" w:hAnsi="Times New Roman" w:cs="Times New Roman"/>
          <w:b/>
          <w:bCs/>
          <w:color w:val="000000" w:themeColor="text1"/>
          <w:sz w:val="24"/>
          <w:szCs w:val="24"/>
          <w:shd w:val="clear" w:color="auto" w:fill="FFFFFF"/>
        </w:rPr>
        <w:t>·</w:t>
      </w:r>
      <w:r w:rsidR="00000839" w:rsidRPr="00AD04DA">
        <w:rPr>
          <w:rFonts w:ascii="Times New Roman" w:hAnsi="Times New Roman" w:cs="Times New Roman"/>
          <w:color w:val="000000" w:themeColor="text1"/>
          <w:sz w:val="24"/>
          <w:szCs w:val="24"/>
          <w:shd w:val="clear" w:color="auto" w:fill="FFFFFF"/>
        </w:rPr>
        <w:t>2</w:t>
      </w:r>
      <w:r w:rsidR="00000839" w:rsidRPr="00AD04DA">
        <w:rPr>
          <w:rFonts w:ascii="Times New Roman" w:hAnsi="Times New Roman" w:cs="Times New Roman"/>
          <w:sz w:val="24"/>
          <w:szCs w:val="24"/>
        </w:rPr>
        <w:t>H</w:t>
      </w:r>
      <w:r w:rsidR="00000839" w:rsidRPr="00AD04DA">
        <w:rPr>
          <w:rFonts w:ascii="Times New Roman" w:hAnsi="Times New Roman" w:cs="Times New Roman"/>
          <w:sz w:val="24"/>
          <w:szCs w:val="24"/>
          <w:vertAlign w:val="subscript"/>
        </w:rPr>
        <w:t>2</w:t>
      </w:r>
      <w:r w:rsidR="00000839" w:rsidRPr="00AD04DA">
        <w:rPr>
          <w:rFonts w:ascii="Times New Roman" w:hAnsi="Times New Roman" w:cs="Times New Roman"/>
          <w:sz w:val="24"/>
          <w:szCs w:val="24"/>
        </w:rPr>
        <w:t>O)</w:t>
      </w:r>
      <w:r w:rsidR="00000839"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{"citationID":"DDLSGyJj","properties":{"formattedCitation":"\\super 14\\nosupersub{}","plainCitation":"14","noteIndex":0},"citationItems":[{"id":704,"uris":["http://zotero.org/users/8284751/items/INWVR4BC"],"itemData":{"id":704,"type":"article-journal","abstract":"Dissolution rates of two very pure limestone samples were measured experimentally by means of the pH-stat method under conditions where mechanical stirring did not aﬀect the rates considerably. The experimental results were modeled mathematically by considering the surface areas of the particles changing dynamically through the reaction; moreover, a surface factor was introduced in order to account for the nonsphericity of the particles. The surface areas were measured by means of gas adsorption and by particle size distribution (laser diﬀraction). Liquid-phase concentrations were measured by inductively coupled plasma optical emission spectrometry, and surface compositions were measured by X-ray spectroscopy. Furthermore, scanning electron microscope images of the samples are presented. Subsequently, an optimization model of a scrubber was developed by using the intrinsic parameters of the samples, which were determined experimentally. The optimization results indicate that up to 34−50% of the power required for milling can be saved by milling to a coarser particle size than the commonly used size of 44 μm, depending on the sample type. The present model of the lab-scale experimental study and the optimization model can be employed to estimate the actual impact that using diﬀerent types of raw material would have in the operation of a wet ﬂue gas desulfurization scrubber.","container-title":"Industrial &amp; Engineering Chemistry Research","DOI":"10.1021/acs.iecr.5b02691","ISSN":"0888-5885, 1520-5045","issue":"40","journalAbbreviation":"Ind. Eng. Chem. Res.","language":"en","page":"9783-9797","source":"DOI.org (Crossref)","title":"Optimization of a Wet Flue Gas Desulfurization Scrubber through Mathematical Modeling of Limestone Dissolution Experiments","volume":"54","author":[{"family":"Carletti","given":"Claudio"},{"family":"Blasio","given":"Cataldo De"},{"family":"Mäkilä","given":"Ermei"},{"family":"Salonen","given":"Jarno"},{"family":"Westerlund","given":"Tapio"}],"issued":{"date-parts":[["2015",10,14]]}}}],"schema":"https://github.com/citation-style-language/schema/raw/master/csl-citation.json"} </w:instrText>
      </w:r>
      <w:r w:rsidR="00000839"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14</w:t>
      </w:r>
      <w:r w:rsidR="00000839" w:rsidRPr="00AD04DA">
        <w:rPr>
          <w:rFonts w:ascii="Times New Roman" w:hAnsi="Times New Roman" w:cs="Times New Roman"/>
          <w:sz w:val="24"/>
          <w:szCs w:val="24"/>
        </w:rPr>
        <w:fldChar w:fldCharType="end"/>
      </w:r>
      <w:r w:rsidR="00000839" w:rsidRPr="00AD04DA">
        <w:rPr>
          <w:rFonts w:ascii="Times New Roman" w:hAnsi="Times New Roman" w:cs="Times New Roman"/>
          <w:sz w:val="24"/>
          <w:szCs w:val="24"/>
        </w:rPr>
        <w:t xml:space="preserve">. </w:t>
      </w:r>
      <w:r w:rsidR="00A50128" w:rsidRPr="00AD04DA">
        <w:rPr>
          <w:rFonts w:ascii="Times New Roman" w:hAnsi="Times New Roman" w:cs="Times New Roman"/>
          <w:sz w:val="24"/>
          <w:szCs w:val="24"/>
        </w:rPr>
        <w:t xml:space="preserve">DA </w:t>
      </w:r>
      <w:r w:rsidR="00AB3212" w:rsidRPr="00AD04DA">
        <w:rPr>
          <w:rFonts w:ascii="Times New Roman" w:hAnsi="Times New Roman" w:cs="Times New Roman"/>
          <w:sz w:val="24"/>
          <w:szCs w:val="24"/>
        </w:rPr>
        <w:t xml:space="preserve">TSSE </w:t>
      </w:r>
      <w:r w:rsidR="00A50128" w:rsidRPr="00AD04DA">
        <w:rPr>
          <w:rFonts w:ascii="Times New Roman" w:hAnsi="Times New Roman" w:cs="Times New Roman"/>
          <w:sz w:val="24"/>
          <w:szCs w:val="24"/>
        </w:rPr>
        <w:t>has been shown capable of handling feeds which contain calcium ions and sulfate anions</w:t>
      </w:r>
      <w:r w:rsidR="00A50128"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{"citationID":"rP0kq6aW","properties":{"formattedCitation":"\\super 77\\nosupersub{}","plainCitation":"77","noteIndex":0},"citationItems":[{"id":254,"uris":["http://zotero.org/users/8284751/items/4RBKW9A8"],"itemData":{"id":254,"type":"article-journal","container-title":"Applied Physics Letters","DOI":"10.1063/1.4861835","ISSN":"0003-6951, 1077-3118","issue":"2","journalAbbreviation":"Appl. Phys. Lett.","language":"en","page":"024102","source":"DOI.org (Crossref)","title":"Exceptional ion rejection ability of directional solvent for non-membrane desalination","volume":"104","author":[{"family":"Rish","given":"Daniel"},{"family":"Luo","given":"Shirui"},{"family":"Kurtz","given":"Brien"},{"family":"Luo","given":"Tengfei"}],"issued":{"date-parts":[["2014",1,13]]}}}],"schema":"https://github.com/citation-style-language/schema/raw/master/csl-citation.json"} </w:instrText>
      </w:r>
      <w:r w:rsidR="00A50128"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77</w:t>
      </w:r>
      <w:r w:rsidR="00A50128" w:rsidRPr="00AD04DA">
        <w:rPr>
          <w:rFonts w:ascii="Times New Roman" w:hAnsi="Times New Roman" w:cs="Times New Roman"/>
          <w:sz w:val="24"/>
          <w:szCs w:val="24"/>
        </w:rPr>
        <w:fldChar w:fldCharType="end"/>
      </w:r>
      <w:r w:rsidR="00A50128" w:rsidRPr="00AD04DA">
        <w:rPr>
          <w:rFonts w:ascii="Times New Roman" w:hAnsi="Times New Roman" w:cs="Times New Roman"/>
          <w:sz w:val="24"/>
          <w:szCs w:val="24"/>
        </w:rPr>
        <w:t>.</w:t>
      </w:r>
      <w:r w:rsidR="009815EC" w:rsidRPr="00AD04DA">
        <w:rPr>
          <w:rFonts w:ascii="Times New Roman" w:hAnsi="Times New Roman" w:cs="Times New Roman"/>
          <w:sz w:val="24"/>
          <w:szCs w:val="24"/>
        </w:rPr>
        <w:t xml:space="preserve"> For membrane distillation, gypsum in the feed water causes mineral scaling, blocking pores and causing a loss of selectivity</w:t>
      </w:r>
      <w:r w:rsidR="009815EC" w:rsidRPr="00AD04DA">
        <w:rPr>
          <w:rFonts w:ascii="Times New Roman" w:hAnsi="Times New Roman" w:cs="Times New Roman"/>
          <w:sz w:val="24"/>
          <w:szCs w:val="24"/>
        </w:rPr>
        <w:fldChar w:fldCharType="begin"/>
      </w:r>
      <w:r w:rsidR="002E5FB1">
        <w:rPr>
          <w:rFonts w:ascii="Times New Roman" w:hAnsi="Times New Roman" w:cs="Times New Roman"/>
          <w:sz w:val="24"/>
          <w:szCs w:val="24"/>
        </w:rPr>
        <w:instrText xml:space="preserve"> ADDIN ZOTERO_ITEM CSL_CITATION {"citationID":"EgTMndxG","properties":{"formattedCitation":"\\super 121\\nosupersub{}","plainCitation":"121","noteIndex":0},"citationItems":[{"id":178,"uris":["http://zotero.org/users/8284751/items/XP472PDI"],"itemData":{"id":178,"type":"article-journal","abstract":"Mineral scaling constrains membrane distillation (MD) and limits its application in treating hypersaline wastewater. Addressing this challenge requires enhanced fundamental understanding of the scaling phenomenon. However, MD scaling with diﬀerent types of scalants may have distinctive mechanisms and consequences which have not been systematically investigated in the literature. In this work, we compared gypsum and silica scaling in MD and demonstrated that gypsum scaling caused earlier water ﬂux decline and induced membrane wetting that was not observed in silica scaling. Microscopic imaging and elemental mapping revealed contrasting scale morphology and distribution for gypsum and silica, respectively. Notably, while gypsum crystals grew both on the membrane surface and deep in the membrane matrix, silica only formed on the membrane surface in the form of a relatively thin ﬁlm composed of connected submicrometer silica particles. We attribute the intrusion of gypsum into membrane pores to the crystallization pressure as a result of rapid, oriented crystal growth, which leads to pore deformation and the subsequent membrane wetting. In contrast, the silica scale layer was formed via polymerization of silicic acid and gelation of silica particles, which were less intrusive and had a milder eﬀect on membrane pore structure. This hypothesis was supported by the result of tensile testing, which showed that the MD membrane was signiﬁcantly weakened by gypsum scaling. The fact that diﬀerent scaling mechanisms could yield diﬀerent consequences on membrane performance provides valuable insights for the future development of cost-eﬀective strategies for scaling control.","container-title":"Environmental Science &amp; Technology","DOI":"10.1021/acs.est.9b06023","ISSN":"0013-936X, 1520-5851","journalAbbreviation":"Environ. Sci. Technol.","language":"en","page":"acs.est.9b06023","source":"DOI.org (Crossref)","title":"Distinct Behaviors between Gypsum and Silica Scaling in Membrane Distillation","author":[{"family":"Christie","given":"Kofi S. S."},{"family":"Yin","given":"Yiming"},{"family":"Lin","given":"Shihong"},{"family":"Tong","given":"Tiezheng"}],"issued":{"date-parts":[["2019",12,27]]}}}],"schema":"https://github.com/citation-style-language/schema/raw/master/csl-citation.json"} </w:instrText>
      </w:r>
      <w:r w:rsidR="009815EC" w:rsidRPr="00AD04DA">
        <w:rPr>
          <w:rFonts w:ascii="Times New Roman" w:hAnsi="Times New Roman" w:cs="Times New Roman"/>
          <w:sz w:val="24"/>
          <w:szCs w:val="24"/>
        </w:rPr>
        <w:fldChar w:fldCharType="separate"/>
      </w:r>
      <w:r w:rsidR="002E5FB1" w:rsidRPr="002E5FB1">
        <w:rPr>
          <w:rFonts w:ascii="Times New Roman" w:hAnsi="Times New Roman" w:cs="Times New Roman"/>
          <w:sz w:val="24"/>
          <w:szCs w:val="24"/>
          <w:vertAlign w:val="superscript"/>
        </w:rPr>
        <w:t>121</w:t>
      </w:r>
      <w:r w:rsidR="009815EC" w:rsidRPr="00AD04DA">
        <w:rPr>
          <w:rFonts w:ascii="Times New Roman" w:hAnsi="Times New Roman" w:cs="Times New Roman"/>
          <w:sz w:val="24"/>
          <w:szCs w:val="24"/>
        </w:rPr>
        <w:fldChar w:fldCharType="end"/>
      </w:r>
      <w:r w:rsidR="009815EC" w:rsidRPr="00AD04DA">
        <w:rPr>
          <w:rFonts w:ascii="Times New Roman" w:hAnsi="Times New Roman" w:cs="Times New Roman"/>
          <w:sz w:val="24"/>
          <w:szCs w:val="24"/>
        </w:rPr>
        <w:t>.</w:t>
      </w:r>
      <w:r w:rsidR="00EF684C" w:rsidRPr="00AD04DA">
        <w:rPr>
          <w:rFonts w:ascii="Times New Roman" w:hAnsi="Times New Roman" w:cs="Times New Roman"/>
          <w:sz w:val="24"/>
          <w:szCs w:val="24"/>
        </w:rPr>
        <w:t xml:space="preserve"> </w:t>
      </w:r>
      <w:r w:rsidR="000321C5" w:rsidRPr="00AD04DA">
        <w:rPr>
          <w:rFonts w:ascii="Times New Roman" w:hAnsi="Times New Roman" w:cs="Times New Roman"/>
          <w:sz w:val="24"/>
          <w:szCs w:val="24"/>
        </w:rPr>
        <w:t xml:space="preserve">Therefore, </w:t>
      </w:r>
      <w:r w:rsidR="00335F0C" w:rsidRPr="00AD04DA">
        <w:rPr>
          <w:rFonts w:ascii="Times New Roman" w:hAnsi="Times New Roman" w:cs="Times New Roman"/>
          <w:sz w:val="24"/>
          <w:szCs w:val="24"/>
        </w:rPr>
        <w:t xml:space="preserve">as long as waste heat integration is </w:t>
      </w:r>
      <w:r w:rsidR="00491948" w:rsidRPr="00AD04DA">
        <w:rPr>
          <w:rFonts w:ascii="Times New Roman" w:hAnsi="Times New Roman" w:cs="Times New Roman"/>
          <w:sz w:val="24"/>
          <w:szCs w:val="24"/>
        </w:rPr>
        <w:t>implemented</w:t>
      </w:r>
      <w:r w:rsidR="00335F0C" w:rsidRPr="00AD04DA">
        <w:rPr>
          <w:rFonts w:ascii="Times New Roman" w:hAnsi="Times New Roman" w:cs="Times New Roman"/>
          <w:sz w:val="24"/>
          <w:szCs w:val="24"/>
        </w:rPr>
        <w:t xml:space="preserve">, </w:t>
      </w:r>
      <w:r w:rsidR="000321C5" w:rsidRPr="00AD04DA">
        <w:rPr>
          <w:rFonts w:ascii="Times New Roman" w:hAnsi="Times New Roman" w:cs="Times New Roman"/>
          <w:sz w:val="24"/>
          <w:szCs w:val="24"/>
        </w:rPr>
        <w:t>TSSE with DA could be a competitive commercial technology for FGD wastewater, capable of producing fresh water from the saline waste while also removing trace heavy metals.</w:t>
      </w:r>
    </w:p>
    <w:p w14:paraId="411B1295" w14:textId="0151F839" w:rsidR="00872C65" w:rsidRPr="00AD04DA" w:rsidRDefault="00DA1F43" w:rsidP="002529B9">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680BFD" w:rsidRPr="00AD04DA">
        <w:rPr>
          <w:rFonts w:ascii="Times New Roman" w:hAnsi="Times New Roman" w:cs="Times New Roman"/>
          <w:sz w:val="24"/>
          <w:szCs w:val="24"/>
        </w:rPr>
        <w:t>The low water recovery limits TSSE potential in applications without readily available waste heat.</w:t>
      </w:r>
      <w:r w:rsidR="00634AB3" w:rsidRPr="00AD04DA">
        <w:rPr>
          <w:rFonts w:ascii="Times New Roman" w:hAnsi="Times New Roman" w:cs="Times New Roman"/>
          <w:sz w:val="24"/>
          <w:szCs w:val="24"/>
        </w:rPr>
        <w:t xml:space="preserve"> </w:t>
      </w:r>
      <w:r w:rsidR="00B40F5F" w:rsidRPr="00AD04DA">
        <w:rPr>
          <w:rFonts w:ascii="Times New Roman" w:hAnsi="Times New Roman" w:cs="Times New Roman"/>
          <w:sz w:val="24"/>
          <w:szCs w:val="24"/>
        </w:rPr>
        <w:t xml:space="preserve">Though the feed can undergo several cycles to raise achieve higher total water recoveries, the low water recovery per cycle causes a high specific energy demand compared to other desalination </w:t>
      </w:r>
      <w:r w:rsidR="004017DA" w:rsidRPr="00AD04DA">
        <w:rPr>
          <w:rFonts w:ascii="Times New Roman" w:hAnsi="Times New Roman" w:cs="Times New Roman"/>
          <w:sz w:val="24"/>
          <w:szCs w:val="24"/>
        </w:rPr>
        <w:t>processes.</w:t>
      </w:r>
      <w:r w:rsidR="00872C65" w:rsidRPr="00AD04DA">
        <w:rPr>
          <w:rFonts w:ascii="Times New Roman" w:hAnsi="Times New Roman" w:cs="Times New Roman"/>
          <w:sz w:val="24"/>
          <w:szCs w:val="24"/>
        </w:rPr>
        <w:t xml:space="preserve"> Solvents with higher water recovery but similar rejection to DA are needed to improve process output without sacrificing selectivity. </w:t>
      </w:r>
      <w:r w:rsidR="00C0771A" w:rsidRPr="00AD04DA">
        <w:rPr>
          <w:rFonts w:ascii="Times New Roman" w:hAnsi="Times New Roman" w:cs="Times New Roman"/>
          <w:sz w:val="24"/>
          <w:szCs w:val="24"/>
        </w:rPr>
        <w:t xml:space="preserve">For an effective solvent, the partition of feed solutes between the organic and aqueous phase would need to strongly favor the aqueous phase. Additionally, the solubility of water within the organic phase would need to have a stronger dependence on temperature than DA. </w:t>
      </w:r>
    </w:p>
    <w:p w14:paraId="49817C83" w14:textId="4EE1F29F" w:rsidR="003613D6" w:rsidRPr="00AD04DA" w:rsidRDefault="00D82F16" w:rsidP="005F162F">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Although DA is readily biodegradable</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{"citationID":"XQKqug4L","properties":{"formattedCitation":"\\super 100\\nosupersub{}","plainCitation":"100","noteIndex":0},"citationItems":[{"id":867,"uris":["http://zotero.org/users/8284751/items/JHJF9YZY"],"itemData":{"id":867,"type":"article-journal","container-title":"Sigma-Aldrich","language":"en","page":"9","source":"Zotero","title":"Decanoic Acid Safety Data Sheet","issued":{"date-parts":[["2021",10,7]]}}}],"schema":"https://github.com/citation-style-language/schema/raw/master/csl-citation.json"} </w:instrText>
      </w:r>
      <w:r w:rsidRPr="00AD04DA">
        <w:rPr>
          <w:rFonts w:ascii="Times New Roman" w:hAnsi="Times New Roman" w:cs="Times New Roman"/>
          <w:sz w:val="24"/>
          <w:szCs w:val="24"/>
        </w:rPr>
        <w:fldChar w:fldCharType="separate"/>
      </w:r>
      <w:r w:rsidR="00ED636E" w:rsidRPr="00AD04DA">
        <w:rPr>
          <w:rFonts w:ascii="Times New Roman" w:hAnsi="Times New Roman" w:cs="Times New Roman"/>
          <w:sz w:val="24"/>
          <w:szCs w:val="24"/>
          <w:vertAlign w:val="superscript"/>
        </w:rPr>
        <w:t>100</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xml:space="preserve"> and has a relatively low concentration of 36 ppm</w:t>
      </w:r>
      <w:r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{"citationID":"GueAJZig","properties":{"formattedCitation":"\\super 49\\nosupersub{}","plainCitation":"49","noteIndex":0},"citationItems":[{"id":256,"uris":["http://zotero.org/users/8284751/items/FIJMS6Q2"],"itemData":{"id":256,"type":"article-journal","language":"en","page":"4","source":"Zotero","title":"Very low temperature membrane-free desalination by directional solvent extraction","author":[{"family":"Bajpayee","given":"Anurag"},{"family":"Luo","given":"Tengfei"},{"family":"Muto","given":"Andrew"},{"family":"Chen","given":"Gang"}],"issued":{"date-parts":[["2011"]]}}}],"schema":"https://github.com/citation-style-language/schema/raw/master/csl-citation.json"} </w:instrText>
      </w:r>
      <w:r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49</w:t>
      </w:r>
      <w:r w:rsidRPr="00AD04DA">
        <w:rPr>
          <w:rFonts w:ascii="Times New Roman" w:hAnsi="Times New Roman" w:cs="Times New Roman"/>
          <w:sz w:val="24"/>
          <w:szCs w:val="24"/>
        </w:rPr>
        <w:fldChar w:fldCharType="end"/>
      </w:r>
      <w:r w:rsidRPr="00AD04DA">
        <w:rPr>
          <w:rFonts w:ascii="Times New Roman" w:hAnsi="Times New Roman" w:cs="Times New Roman"/>
          <w:sz w:val="24"/>
          <w:szCs w:val="24"/>
        </w:rPr>
        <w:t xml:space="preserve"> in the product water, the aquatic toxicity of DA poses environmental concern in applications where the effluent will be discharged into the environment</w:t>
      </w:r>
      <w:r w:rsidR="003613D6" w:rsidRPr="00AD04DA">
        <w:rPr>
          <w:rFonts w:ascii="Times New Roman" w:hAnsi="Times New Roman" w:cs="Times New Roman"/>
          <w:sz w:val="24"/>
          <w:szCs w:val="24"/>
        </w:rPr>
        <w:t>. DA shows indiscriminate rejection of ions regardless of species or concentration but could be cost prohibitive because of the low water recovery.</w:t>
      </w:r>
      <w:r w:rsidR="005F162F" w:rsidRPr="00AD04DA">
        <w:rPr>
          <w:rFonts w:ascii="Times New Roman" w:hAnsi="Times New Roman" w:cs="Times New Roman"/>
          <w:sz w:val="24"/>
          <w:szCs w:val="24"/>
        </w:rPr>
        <w:t xml:space="preserve"> </w:t>
      </w:r>
      <w:r w:rsidR="009A0444" w:rsidRPr="00AD04DA">
        <w:rPr>
          <w:rFonts w:ascii="Times New Roman" w:hAnsi="Times New Roman" w:cs="Times New Roman"/>
          <w:sz w:val="24"/>
          <w:szCs w:val="24"/>
        </w:rPr>
        <w:t xml:space="preserve">DPA </w:t>
      </w:r>
      <w:r w:rsidR="003613D6" w:rsidRPr="00AD04DA">
        <w:rPr>
          <w:rFonts w:ascii="Times New Roman" w:hAnsi="Times New Roman" w:cs="Times New Roman"/>
          <w:sz w:val="24"/>
          <w:szCs w:val="24"/>
        </w:rPr>
        <w:t>gives much higher water recovery than DA, but has lower solute rejection, is volatile, an aquatic hazard</w:t>
      </w:r>
      <w:r w:rsidR="003613D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{"citationID":"Hx3CAs8y","properties":{"formattedCitation":"\\super 99\\nosupersub{}","plainCitation":"99","noteIndex":0},"citationItems":[{"id":868,"uris":["http://zotero.org/users/8284751/items/MCMPKU84"],"itemData":{"id":868,"type":"article-journal","container-title":"Sigma-Aldrich","language":"en","page":"11","source":"Zotero","title":"Diisopropylamine Safety Data Sheet","issued":{"date-parts":[["2022",11,29]]}}}],"schema":"https://github.com/citation-style-language/schema/raw/master/csl-citation.json"} </w:instrText>
      </w:r>
      <w:r w:rsidR="003613D6" w:rsidRPr="00AD04DA">
        <w:rPr>
          <w:rFonts w:ascii="Times New Roman" w:hAnsi="Times New Roman" w:cs="Times New Roman"/>
          <w:sz w:val="24"/>
          <w:szCs w:val="24"/>
        </w:rPr>
        <w:fldChar w:fldCharType="separate"/>
      </w:r>
      <w:r w:rsidR="00ED636E" w:rsidRPr="00AD04DA">
        <w:rPr>
          <w:rFonts w:ascii="Times New Roman" w:hAnsi="Times New Roman" w:cs="Times New Roman"/>
          <w:sz w:val="24"/>
          <w:szCs w:val="24"/>
          <w:vertAlign w:val="superscript"/>
        </w:rPr>
        <w:t>99</w:t>
      </w:r>
      <w:r w:rsidR="003613D6" w:rsidRPr="00AD04DA">
        <w:rPr>
          <w:rFonts w:ascii="Times New Roman" w:hAnsi="Times New Roman" w:cs="Times New Roman"/>
          <w:sz w:val="24"/>
          <w:szCs w:val="24"/>
        </w:rPr>
        <w:fldChar w:fldCharType="end"/>
      </w:r>
      <w:r w:rsidR="003613D6" w:rsidRPr="00AD04DA">
        <w:rPr>
          <w:rFonts w:ascii="Times New Roman" w:hAnsi="Times New Roman" w:cs="Times New Roman"/>
          <w:sz w:val="24"/>
          <w:szCs w:val="24"/>
        </w:rPr>
        <w:t>, and partitions heavily into the product water</w:t>
      </w:r>
      <w:r w:rsidR="003613D6"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{"citationID":"wuqI8MJg","properties":{"formattedCitation":"\\super 76\\nosupersub{}","plainCitation":"76","noteIndex":0},"citationItems":[{"id":782,"uris":["http://zotero.org/users/8284751/items/IGN55MC2"],"itemData":{"id":782,"type":"article-journal","abstract":"Zero liquid discharge (ZLD) of hypersaline brines is technically and energetically challenging. This study demonstrates ZLD of ultrahigh-salinity brines using temperature swing solvent extraction (TSSE), a membrane-less and nonevaporative desalination technology. TSSE utilizes a low-polarity solvent to extract water from brine and then releases the water as a product with the application of low-temperature heat. Complete extraction of water from a hypersaline feed, simulated by 5.0 M NaCl solution (≈292 g/L TDS), was achieved using diisopropylamine solvent. Practically all of the salt is precipitated as mineral solid waste and the product water contains &lt;5% of NaCl relative to the hypersaline feed brine. Consistent ZLD performance of high salt removals and product water quality was maintained in three repeated semibatch TSSE cycles, highlighting recyclability of the solvent. The practical applicability of the technique for actual ﬁeld samples was demonstrated by ZLD of an irrigation drainage water concentrate. This study establishes the potential of TSSE as a more sustainable alternative to current thermal evaporation methods for zero liquid discharge of ultrahigh-salinity brines.","container-title":"Environmental Science &amp; Technology","DOI":"10.1021/acs.est.0c02555","ISSN":"0013-936X, 1520-5851","issue":"14","journalAbbreviation":"Environ. Sci. Technol.","language":"en","page":"9124-9131","source":"DOI.org (Crossref)","title":"Zero Liquid Discharge of Ultrahigh-Salinity Brines with Temperature Swing Solvent Extraction","volume":"54","author":[{"family":"Boo","given":"Chanhee"},{"family":"Billinge","given":"Ian H."},{"family":"Chen","given":"Xi"},{"family":"Shah","given":"Kinnari M."},{"family":"Yip","given":"Ngai Yin"}],"issued":{"date-parts":[["2020",7,21]]}}}],"schema":"https://github.com/citation-style-language/schema/raw/master/csl-citation.json"} </w:instrText>
      </w:r>
      <w:r w:rsidR="003613D6" w:rsidRPr="00AD04DA">
        <w:rPr>
          <w:rFonts w:ascii="Times New Roman" w:hAnsi="Times New Roman" w:cs="Times New Roman"/>
          <w:sz w:val="24"/>
          <w:szCs w:val="24"/>
        </w:rPr>
        <w:fldChar w:fldCharType="separate"/>
      </w:r>
      <w:r w:rsidR="003613D6" w:rsidRPr="00AD04DA">
        <w:rPr>
          <w:rFonts w:ascii="Times New Roman" w:hAnsi="Times New Roman" w:cs="Times New Roman"/>
          <w:sz w:val="24"/>
          <w:szCs w:val="24"/>
          <w:vertAlign w:val="superscript"/>
        </w:rPr>
        <w:t>76</w:t>
      </w:r>
      <w:r w:rsidR="003613D6" w:rsidRPr="00AD04DA">
        <w:rPr>
          <w:rFonts w:ascii="Times New Roman" w:hAnsi="Times New Roman" w:cs="Times New Roman"/>
          <w:sz w:val="24"/>
          <w:szCs w:val="24"/>
        </w:rPr>
        <w:fldChar w:fldCharType="end"/>
      </w:r>
      <w:r w:rsidR="003613D6" w:rsidRPr="00AD04DA">
        <w:rPr>
          <w:rFonts w:ascii="Times New Roman" w:hAnsi="Times New Roman" w:cs="Times New Roman"/>
          <w:sz w:val="24"/>
          <w:szCs w:val="24"/>
        </w:rPr>
        <w:t>. Ultimately, broader application of TSSE is limited by</w:t>
      </w:r>
      <w:r w:rsidR="005C4E85" w:rsidRPr="00AD04DA">
        <w:rPr>
          <w:rFonts w:ascii="Times New Roman" w:hAnsi="Times New Roman" w:cs="Times New Roman"/>
          <w:sz w:val="24"/>
          <w:szCs w:val="24"/>
        </w:rPr>
        <w:t xml:space="preserve"> faults in</w:t>
      </w:r>
      <w:r w:rsidR="003613D6" w:rsidRPr="00AD04DA">
        <w:rPr>
          <w:rFonts w:ascii="Times New Roman" w:hAnsi="Times New Roman" w:cs="Times New Roman"/>
          <w:sz w:val="24"/>
          <w:szCs w:val="24"/>
        </w:rPr>
        <w:t xml:space="preserve"> the available solvents.</w:t>
      </w:r>
    </w:p>
    <w:p w14:paraId="0275D8F9" w14:textId="6C1DBC3F" w:rsidR="00401D28" w:rsidRPr="00AD04DA" w:rsidRDefault="00DE2EEC" w:rsidP="005F162F">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lastRenderedPageBreak/>
        <w:t xml:space="preserve">The primary focus of future research should </w:t>
      </w:r>
      <w:r w:rsidR="001429A5" w:rsidRPr="00AD04DA">
        <w:rPr>
          <w:rFonts w:ascii="Times New Roman" w:hAnsi="Times New Roman" w:cs="Times New Roman"/>
          <w:sz w:val="24"/>
          <w:szCs w:val="24"/>
        </w:rPr>
        <w:t xml:space="preserve">be on identifying and testing new solvents for TSSE. </w:t>
      </w:r>
      <w:r w:rsidR="004869A8" w:rsidRPr="00AD04DA">
        <w:rPr>
          <w:rFonts w:ascii="Times New Roman" w:hAnsi="Times New Roman" w:cs="Times New Roman"/>
          <w:sz w:val="24"/>
          <w:szCs w:val="24"/>
        </w:rPr>
        <w:t>Potential solvents are those that are hydrophobic, creating a biphasic system with water, but contain a moiety that allows hydrogen bonding with water. Potential solvents should be investigated for their suitability as</w:t>
      </w:r>
      <w:r w:rsidR="0055438D" w:rsidRPr="00AD04DA">
        <w:rPr>
          <w:rFonts w:ascii="Times New Roman" w:hAnsi="Times New Roman" w:cs="Times New Roman"/>
          <w:sz w:val="24"/>
          <w:szCs w:val="24"/>
        </w:rPr>
        <w:t xml:space="preserve"> a</w:t>
      </w:r>
      <w:r w:rsidR="004869A8" w:rsidRPr="00AD04DA">
        <w:rPr>
          <w:rFonts w:ascii="Times New Roman" w:hAnsi="Times New Roman" w:cs="Times New Roman"/>
          <w:sz w:val="24"/>
          <w:szCs w:val="24"/>
        </w:rPr>
        <w:t xml:space="preserve"> TSSE solvent. </w:t>
      </w:r>
      <w:r w:rsidR="001429A5" w:rsidRPr="00AD04DA">
        <w:rPr>
          <w:rFonts w:ascii="Times New Roman" w:hAnsi="Times New Roman" w:cs="Times New Roman"/>
          <w:sz w:val="24"/>
          <w:szCs w:val="24"/>
        </w:rPr>
        <w:t xml:space="preserve">Specifically, solvents in which water solubility has a stronger dependence on temperature will allow for improved water recovery, which will lower the specific energy consumption of the process. Those that </w:t>
      </w:r>
      <w:r w:rsidR="006218EE" w:rsidRPr="00AD04DA">
        <w:rPr>
          <w:rFonts w:ascii="Times New Roman" w:hAnsi="Times New Roman" w:cs="Times New Roman"/>
          <w:sz w:val="24"/>
          <w:szCs w:val="24"/>
        </w:rPr>
        <w:t>achieve high solute rejection regardless of ion or concentration, such as DA, will be more broadly applicable</w:t>
      </w:r>
      <w:r w:rsidR="007765C1" w:rsidRPr="00AD04DA">
        <w:rPr>
          <w:rFonts w:ascii="Times New Roman" w:hAnsi="Times New Roman" w:cs="Times New Roman"/>
          <w:sz w:val="24"/>
          <w:szCs w:val="24"/>
        </w:rPr>
        <w:t xml:space="preserve">, allowing for remediation of highly saline brines and water contaminated with trace elements </w:t>
      </w:r>
      <w:r w:rsidR="007E7786" w:rsidRPr="00AD04DA">
        <w:rPr>
          <w:rFonts w:ascii="Times New Roman" w:hAnsi="Times New Roman" w:cs="Times New Roman"/>
          <w:sz w:val="24"/>
          <w:szCs w:val="24"/>
        </w:rPr>
        <w:t xml:space="preserve">with minimal extractions. </w:t>
      </w:r>
      <w:r w:rsidR="00773D4D" w:rsidRPr="00AD04DA">
        <w:rPr>
          <w:rFonts w:ascii="Times New Roman" w:hAnsi="Times New Roman" w:cs="Times New Roman"/>
          <w:sz w:val="24"/>
          <w:szCs w:val="24"/>
        </w:rPr>
        <w:t xml:space="preserve">Finally, </w:t>
      </w:r>
      <w:r w:rsidR="000B66FA" w:rsidRPr="00AD04DA">
        <w:rPr>
          <w:rFonts w:ascii="Times New Roman" w:hAnsi="Times New Roman" w:cs="Times New Roman"/>
          <w:sz w:val="24"/>
          <w:szCs w:val="24"/>
        </w:rPr>
        <w:t>solvents that are biodegradable, nonvolatile, and have low miscibility in water should be targeted to maximize the effluent quality and minimize the environmental concerns associated with TSSE.</w:t>
      </w:r>
      <w:r w:rsidR="001429A5" w:rsidRPr="00AD04DA">
        <w:rPr>
          <w:rFonts w:ascii="Times New Roman" w:hAnsi="Times New Roman" w:cs="Times New Roman"/>
          <w:sz w:val="24"/>
          <w:szCs w:val="24"/>
        </w:rPr>
        <w:t xml:space="preserve"> </w:t>
      </w:r>
      <w:r w:rsidR="001218A6" w:rsidRPr="00AD04DA">
        <w:rPr>
          <w:rFonts w:ascii="Times New Roman" w:hAnsi="Times New Roman" w:cs="Times New Roman"/>
          <w:sz w:val="24"/>
          <w:szCs w:val="24"/>
        </w:rPr>
        <w:t xml:space="preserve">Molecular dynamics simulations </w:t>
      </w:r>
      <w:r w:rsidR="00BB129D" w:rsidRPr="00AD04DA">
        <w:rPr>
          <w:rFonts w:ascii="Times New Roman" w:hAnsi="Times New Roman" w:cs="Times New Roman"/>
          <w:sz w:val="24"/>
          <w:szCs w:val="24"/>
        </w:rPr>
        <w:t xml:space="preserve">are an invaluable tool in estimating the suitability of potential solvents for TSSE. </w:t>
      </w:r>
      <w:r w:rsidR="009903D2" w:rsidRPr="00AD04DA">
        <w:rPr>
          <w:rFonts w:ascii="Times New Roman" w:hAnsi="Times New Roman" w:cs="Times New Roman"/>
          <w:sz w:val="24"/>
          <w:szCs w:val="24"/>
        </w:rPr>
        <w:t>Free energy of solvation calculations can be performed on a solute existing in water and the solvent to estimate which phase the solute will favor</w:t>
      </w:r>
      <w:r w:rsidR="0050366B"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{"citationID":"JlEUN3AR","properties":{"formattedCitation":"\\super 81,82\\nosupersub{}","plainCitation":"81,82","noteIndex":0},"citationItems":[{"id":788,"uris":["http://zotero.org/users/8284751/items/ULBA3WUR"],"itemData":{"id":788,"type":"webpage","title":"Free energy calculations — GROMACS 2022 documentation","URL":"https://manual.gromacs.org/documentation/current/reference-manual/algorithms/free-energy-calculations.html","accessed":{"date-parts":[["2022",3,30]]}}},{"id":794,"uris":["http://zotero.org/users/8284751/items/6W39XDGQ"],"itemData":{"id":794,"type":"webpage","title":"Free energy interactions — GROMACS 2019.1 documentation","URL":"https://manual.gromacs.org/2019.1/reference-manual/functions/free-energy-interactions.html#soft-core-interactions","accessed":{"date-parts":[["2022",3,30]]}}}],"schema":"https://github.com/citation-style-language/schema/raw/master/csl-citation.json"} </w:instrText>
      </w:r>
      <w:r w:rsidR="0050366B" w:rsidRPr="00AD04DA">
        <w:rPr>
          <w:rFonts w:ascii="Times New Roman" w:hAnsi="Times New Roman" w:cs="Times New Roman"/>
          <w:sz w:val="24"/>
          <w:szCs w:val="24"/>
        </w:rPr>
        <w:fldChar w:fldCharType="separate"/>
      </w:r>
      <w:r w:rsidR="003878B7" w:rsidRPr="00AD04DA">
        <w:rPr>
          <w:rFonts w:ascii="Times New Roman" w:hAnsi="Times New Roman" w:cs="Times New Roman"/>
          <w:sz w:val="24"/>
          <w:szCs w:val="24"/>
          <w:vertAlign w:val="superscript"/>
        </w:rPr>
        <w:t>81,82</w:t>
      </w:r>
      <w:r w:rsidR="0050366B" w:rsidRPr="00AD04DA">
        <w:rPr>
          <w:rFonts w:ascii="Times New Roman" w:hAnsi="Times New Roman" w:cs="Times New Roman"/>
          <w:sz w:val="24"/>
          <w:szCs w:val="24"/>
        </w:rPr>
        <w:fldChar w:fldCharType="end"/>
      </w:r>
      <w:r w:rsidR="009903D2" w:rsidRPr="00AD04DA">
        <w:rPr>
          <w:rFonts w:ascii="Times New Roman" w:hAnsi="Times New Roman" w:cs="Times New Roman"/>
          <w:sz w:val="24"/>
          <w:szCs w:val="24"/>
        </w:rPr>
        <w:t xml:space="preserve">. Solvents for which solutes strongly favor the aqueous phase are candidates for TSSE. </w:t>
      </w:r>
      <w:r w:rsidR="008F3BC4" w:rsidRPr="00AD04DA">
        <w:rPr>
          <w:rFonts w:ascii="Times New Roman" w:hAnsi="Times New Roman" w:cs="Times New Roman"/>
          <w:sz w:val="24"/>
          <w:szCs w:val="24"/>
        </w:rPr>
        <w:t xml:space="preserve">Additional free energy of solvation calculations should be performed for water in solvent and solvent in water to give an indication for the water recovery and solute partition into the effluent. </w:t>
      </w:r>
      <w:r w:rsidR="001A25CA" w:rsidRPr="00AD04DA">
        <w:rPr>
          <w:rFonts w:ascii="Times New Roman" w:hAnsi="Times New Roman" w:cs="Times New Roman"/>
          <w:sz w:val="24"/>
          <w:szCs w:val="24"/>
        </w:rPr>
        <w:t xml:space="preserve">Solvents that are identified as potential TSSE solvents should be experimentally tested. The </w:t>
      </w:r>
      <w:r w:rsidR="002B75A0" w:rsidRPr="00AD04DA">
        <w:rPr>
          <w:rFonts w:ascii="Times New Roman" w:hAnsi="Times New Roman" w:cs="Times New Roman"/>
          <w:sz w:val="24"/>
          <w:szCs w:val="24"/>
        </w:rPr>
        <w:t>volatility</w:t>
      </w:r>
      <w:r w:rsidR="001A25CA" w:rsidRPr="00AD04DA">
        <w:rPr>
          <w:rFonts w:ascii="Times New Roman" w:hAnsi="Times New Roman" w:cs="Times New Roman"/>
          <w:sz w:val="24"/>
          <w:szCs w:val="24"/>
        </w:rPr>
        <w:t xml:space="preserve">, aquatic toxicity, and biodegradability should be considered </w:t>
      </w:r>
      <w:r w:rsidR="00A07C40" w:rsidRPr="00AD04DA">
        <w:rPr>
          <w:rFonts w:ascii="Times New Roman" w:hAnsi="Times New Roman" w:cs="Times New Roman"/>
          <w:sz w:val="24"/>
          <w:szCs w:val="24"/>
        </w:rPr>
        <w:t>to quantify the environmental impacts of the solvent</w:t>
      </w:r>
      <w:r w:rsidR="00622D64" w:rsidRPr="00AD04DA">
        <w:rPr>
          <w:rFonts w:ascii="Times New Roman" w:hAnsi="Times New Roman" w:cs="Times New Roman"/>
          <w:sz w:val="24"/>
          <w:szCs w:val="24"/>
        </w:rPr>
        <w:t xml:space="preserve"> should be considered to develop selective, green solvents with high throughput for wastewater treatment.</w:t>
      </w:r>
    </w:p>
    <w:p w14:paraId="36EB9842" w14:textId="37063B8D" w:rsidR="00FA7A66" w:rsidRPr="005E6A0F" w:rsidRDefault="00401D28" w:rsidP="00450153">
      <w:pPr>
        <w:pStyle w:val="Heading1"/>
        <w:spacing w:before="0" w:line="480" w:lineRule="auto"/>
        <w:rPr>
          <w:rFonts w:ascii="Times New Roman" w:hAnsi="Times New Roman" w:cs="Times New Roman"/>
          <w:color w:val="000000" w:themeColor="text1"/>
        </w:rPr>
      </w:pPr>
      <w:bookmarkStart w:id="24" w:name="_Toc100753475"/>
      <w:r w:rsidRPr="005E6A0F">
        <w:rPr>
          <w:rFonts w:ascii="Times New Roman" w:hAnsi="Times New Roman" w:cs="Times New Roman"/>
          <w:color w:val="000000" w:themeColor="text1"/>
        </w:rPr>
        <w:t>5</w:t>
      </w:r>
      <w:r w:rsidR="00FA7A66" w:rsidRPr="005E6A0F">
        <w:rPr>
          <w:rFonts w:ascii="Times New Roman" w:hAnsi="Times New Roman" w:cs="Times New Roman"/>
          <w:color w:val="000000" w:themeColor="text1"/>
        </w:rPr>
        <w:t>. Conclusions</w:t>
      </w:r>
      <w:bookmarkEnd w:id="24"/>
    </w:p>
    <w:p w14:paraId="4F45250C" w14:textId="62A44107" w:rsidR="00C32667" w:rsidRPr="00AD04DA" w:rsidRDefault="00AD55AA" w:rsidP="00450153">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 xml:space="preserve">Repeated extractions of saline feeds were performed with DA and DPA. For both solvents, the product water quality remained constant despite repeated use of the solvent, demonstrating that </w:t>
      </w:r>
      <w:r w:rsidRPr="00AD04DA">
        <w:rPr>
          <w:rFonts w:ascii="Times New Roman" w:hAnsi="Times New Roman" w:cs="Times New Roman"/>
          <w:sz w:val="24"/>
          <w:szCs w:val="24"/>
        </w:rPr>
        <w:lastRenderedPageBreak/>
        <w:t>solvent can be recycled directly into the process with no extra regeneration, a major advantage over other solvent extraction processes.</w:t>
      </w:r>
    </w:p>
    <w:p w14:paraId="52BCA7D0" w14:textId="5F2A2AE4" w:rsidR="000C1007" w:rsidRPr="00AD04DA" w:rsidRDefault="00AD55AA" w:rsidP="00E528BE">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0436F1" w:rsidRPr="00AD04DA">
        <w:rPr>
          <w:rFonts w:ascii="Times New Roman" w:hAnsi="Times New Roman" w:cs="Times New Roman"/>
          <w:sz w:val="24"/>
          <w:szCs w:val="24"/>
        </w:rPr>
        <w:t xml:space="preserve">Comparative TSSE studies were performed on DA and DPA, the two leading solvents for this process. DA showed stable NaCl rejections regardless of feed concentration for a 3.5 </w:t>
      </w:r>
      <w:r w:rsidR="00CB43B3" w:rsidRPr="00AD04DA">
        <w:rPr>
          <w:rFonts w:ascii="Times New Roman" w:hAnsi="Times New Roman" w:cs="Times New Roman"/>
          <w:sz w:val="24"/>
          <w:szCs w:val="24"/>
        </w:rPr>
        <w:t>w/w%</w:t>
      </w:r>
      <w:r w:rsidR="000436F1" w:rsidRPr="00AD04DA">
        <w:rPr>
          <w:rFonts w:ascii="Times New Roman" w:hAnsi="Times New Roman" w:cs="Times New Roman"/>
          <w:sz w:val="24"/>
          <w:szCs w:val="24"/>
        </w:rPr>
        <w:t>, 1.0 M, and 4.0 M NaCl feed.</w:t>
      </w:r>
      <w:r w:rsidR="00E528BE" w:rsidRPr="00AD04DA">
        <w:rPr>
          <w:rFonts w:ascii="Times New Roman" w:hAnsi="Times New Roman" w:cs="Times New Roman"/>
          <w:sz w:val="24"/>
          <w:szCs w:val="24"/>
        </w:rPr>
        <w:t xml:space="preserve"> This rejection was maintained for 500 ppm selenate and 500 ppm selenite feeds, showing that DA extraction gives high rejection even for dilute feeds.</w:t>
      </w:r>
      <w:r w:rsidR="000436F1" w:rsidRPr="00AD04DA">
        <w:rPr>
          <w:rFonts w:ascii="Times New Roman" w:hAnsi="Times New Roman" w:cs="Times New Roman"/>
          <w:sz w:val="24"/>
          <w:szCs w:val="24"/>
        </w:rPr>
        <w:t xml:space="preserve"> </w:t>
      </w:r>
      <w:r w:rsidR="00092103" w:rsidRPr="00AD04DA">
        <w:rPr>
          <w:rFonts w:ascii="Times New Roman" w:hAnsi="Times New Roman" w:cs="Times New Roman"/>
          <w:sz w:val="24"/>
          <w:szCs w:val="24"/>
        </w:rPr>
        <w:t xml:space="preserve">DPA showed NaCl rejections that depended on the feed concentration, achieving higher rejections for higher feed concentrations. </w:t>
      </w:r>
      <w:r w:rsidR="00E528BE" w:rsidRPr="00AD04DA">
        <w:rPr>
          <w:rFonts w:ascii="Times New Roman" w:hAnsi="Times New Roman" w:cs="Times New Roman"/>
          <w:sz w:val="24"/>
          <w:szCs w:val="24"/>
        </w:rPr>
        <w:t xml:space="preserve">For the dilute selenate and selenite feeds, DPA displayed almost no selectivity against the solutes. </w:t>
      </w:r>
    </w:p>
    <w:p w14:paraId="64D3E2AB" w14:textId="04A6A966" w:rsidR="00FD5A72" w:rsidRPr="00AD04DA" w:rsidRDefault="000C1007" w:rsidP="00450153">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tab/>
      </w:r>
      <w:r w:rsidR="00491579" w:rsidRPr="00AD04DA">
        <w:rPr>
          <w:rFonts w:ascii="Times New Roman" w:hAnsi="Times New Roman" w:cs="Times New Roman"/>
          <w:sz w:val="24"/>
          <w:szCs w:val="24"/>
        </w:rPr>
        <w:t>A synthetic FGD wastewater stream with 20 g L</w:t>
      </w:r>
      <w:r w:rsidR="00491579" w:rsidRPr="00AD04DA">
        <w:rPr>
          <w:rFonts w:ascii="Times New Roman" w:hAnsi="Times New Roman" w:cs="Times New Roman"/>
          <w:sz w:val="24"/>
          <w:szCs w:val="24"/>
          <w:vertAlign w:val="superscript"/>
        </w:rPr>
        <w:t>-1</w:t>
      </w:r>
      <w:r w:rsidR="00491579" w:rsidRPr="00AD04DA">
        <w:rPr>
          <w:rFonts w:ascii="Times New Roman" w:hAnsi="Times New Roman" w:cs="Times New Roman"/>
          <w:sz w:val="24"/>
          <w:szCs w:val="24"/>
        </w:rPr>
        <w:t xml:space="preserve"> chloride and 500 ppm was extracted with both solvents.</w:t>
      </w:r>
      <w:r w:rsidR="00FD5A72" w:rsidRPr="00AD04DA">
        <w:rPr>
          <w:rFonts w:ascii="Times New Roman" w:hAnsi="Times New Roman" w:cs="Times New Roman"/>
          <w:sz w:val="24"/>
          <w:szCs w:val="24"/>
        </w:rPr>
        <w:t xml:space="preserve"> DPA showed a solute rejection of 86.42 ± 6.78% for selenate, against which it had previously shown no selectivity. This means that the total </w:t>
      </w:r>
      <w:r w:rsidR="001C727F" w:rsidRPr="00AD04DA">
        <w:rPr>
          <w:rFonts w:ascii="Times New Roman" w:hAnsi="Times New Roman" w:cs="Times New Roman"/>
          <w:sz w:val="24"/>
          <w:szCs w:val="24"/>
        </w:rPr>
        <w:t xml:space="preserve">ionic strength </w:t>
      </w:r>
      <w:r w:rsidR="00FD5A72" w:rsidRPr="00AD04DA">
        <w:rPr>
          <w:rFonts w:ascii="Times New Roman" w:hAnsi="Times New Roman" w:cs="Times New Roman"/>
          <w:sz w:val="24"/>
          <w:szCs w:val="24"/>
        </w:rPr>
        <w:t xml:space="preserve">of the solution is more important in determining DPA selectivity than the concentration of an individual species. </w:t>
      </w:r>
      <w:r w:rsidR="00C2751E" w:rsidRPr="00AD04DA">
        <w:rPr>
          <w:rFonts w:ascii="Times New Roman" w:hAnsi="Times New Roman" w:cs="Times New Roman"/>
          <w:sz w:val="24"/>
          <w:szCs w:val="24"/>
        </w:rPr>
        <w:t xml:space="preserve">The synthetic FGD stream showed that DPA </w:t>
      </w:r>
      <w:r w:rsidR="00F409C6" w:rsidRPr="00AD04DA">
        <w:rPr>
          <w:rFonts w:ascii="Times New Roman" w:hAnsi="Times New Roman" w:cs="Times New Roman"/>
          <w:sz w:val="24"/>
          <w:szCs w:val="24"/>
        </w:rPr>
        <w:t>can treat</w:t>
      </w:r>
      <w:r w:rsidR="0046478E" w:rsidRPr="00AD04DA">
        <w:rPr>
          <w:rFonts w:ascii="Times New Roman" w:hAnsi="Times New Roman" w:cs="Times New Roman"/>
          <w:sz w:val="24"/>
          <w:szCs w:val="24"/>
        </w:rPr>
        <w:t xml:space="preserve"> saline feeds with dilute contaminants </w:t>
      </w:r>
      <w:r w:rsidR="00C2751E" w:rsidRPr="00AD04DA">
        <w:rPr>
          <w:rFonts w:ascii="Times New Roman" w:hAnsi="Times New Roman" w:cs="Times New Roman"/>
          <w:sz w:val="24"/>
          <w:szCs w:val="24"/>
        </w:rPr>
        <w:t>but is limited in the quality of product water it can achieve. TSSE with DPA would be suitable as a pretreatment in a TSSE reverse osmosis system, but not as a standalone desalination technology for environmental discharge of FGD wastewater.</w:t>
      </w:r>
    </w:p>
    <w:p w14:paraId="54D70093" w14:textId="6284A4E6" w:rsidR="000C1007" w:rsidRPr="00AD04DA" w:rsidRDefault="00C2751E" w:rsidP="00C2751E">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DA extraction of the synthetic FGD wastewater achieved solute rejections of</w:t>
      </w:r>
      <w:r w:rsidR="00491579" w:rsidRPr="00AD04DA">
        <w:rPr>
          <w:rFonts w:ascii="Times New Roman" w:hAnsi="Times New Roman" w:cs="Times New Roman"/>
          <w:sz w:val="24"/>
          <w:szCs w:val="24"/>
        </w:rPr>
        <w:t xml:space="preserve"> 96.82 ± 2.79% for selenate and 95.52 ± 1.14% for NaCl. </w:t>
      </w:r>
      <w:r w:rsidRPr="00AD04DA">
        <w:rPr>
          <w:rFonts w:ascii="Times New Roman" w:hAnsi="Times New Roman" w:cs="Times New Roman"/>
          <w:sz w:val="24"/>
          <w:szCs w:val="24"/>
        </w:rPr>
        <w:t xml:space="preserve">Though these rejections are lower than the rejections of the NaCl only and selenium oxyanion only feeds, they show that DA </w:t>
      </w:r>
      <w:r w:rsidR="00F409C6" w:rsidRPr="00AD04DA">
        <w:rPr>
          <w:rFonts w:ascii="Times New Roman" w:hAnsi="Times New Roman" w:cs="Times New Roman"/>
          <w:sz w:val="24"/>
          <w:szCs w:val="24"/>
        </w:rPr>
        <w:t>can produce</w:t>
      </w:r>
      <w:r w:rsidRPr="00AD04DA">
        <w:rPr>
          <w:rFonts w:ascii="Times New Roman" w:hAnsi="Times New Roman" w:cs="Times New Roman"/>
          <w:sz w:val="24"/>
          <w:szCs w:val="24"/>
        </w:rPr>
        <w:t xml:space="preserve"> high quality water from saline feeds with dilute heavy contaminants. </w:t>
      </w:r>
      <w:r w:rsidR="00E528BE" w:rsidRPr="00AD04DA">
        <w:rPr>
          <w:rFonts w:ascii="Times New Roman" w:hAnsi="Times New Roman" w:cs="Times New Roman"/>
          <w:sz w:val="24"/>
          <w:szCs w:val="24"/>
        </w:rPr>
        <w:t xml:space="preserve"> </w:t>
      </w:r>
      <w:r w:rsidR="00841398" w:rsidRPr="00AD04DA">
        <w:rPr>
          <w:rFonts w:ascii="Times New Roman" w:hAnsi="Times New Roman" w:cs="Times New Roman"/>
          <w:sz w:val="24"/>
          <w:szCs w:val="24"/>
        </w:rPr>
        <w:t xml:space="preserve">This makes DA feasible as a commercial FGD wastewater treatment technique, but the low water recovery </w:t>
      </w:r>
      <w:r w:rsidR="00F369DA" w:rsidRPr="00AD04DA">
        <w:rPr>
          <w:rFonts w:ascii="Times New Roman" w:hAnsi="Times New Roman" w:cs="Times New Roman"/>
          <w:sz w:val="24"/>
          <w:szCs w:val="24"/>
        </w:rPr>
        <w:t>will limit its potential, especially in the absence of waste heat sources.</w:t>
      </w:r>
    </w:p>
    <w:p w14:paraId="7F073451" w14:textId="36513B5D" w:rsidR="00F409C6" w:rsidRPr="00AD04DA" w:rsidRDefault="000C1007" w:rsidP="006B453A">
      <w:pPr>
        <w:spacing w:after="0" w:line="480" w:lineRule="auto"/>
        <w:jc w:val="both"/>
        <w:rPr>
          <w:rFonts w:ascii="Times New Roman" w:hAnsi="Times New Roman" w:cs="Times New Roman"/>
          <w:sz w:val="24"/>
          <w:szCs w:val="24"/>
        </w:rPr>
      </w:pPr>
      <w:r w:rsidRPr="00AD04DA">
        <w:rPr>
          <w:rFonts w:ascii="Times New Roman" w:hAnsi="Times New Roman" w:cs="Times New Roman"/>
          <w:sz w:val="24"/>
          <w:szCs w:val="24"/>
        </w:rPr>
        <w:lastRenderedPageBreak/>
        <w:tab/>
      </w:r>
      <w:r w:rsidR="008174C8" w:rsidRPr="00AD04DA">
        <w:rPr>
          <w:rFonts w:ascii="Times New Roman" w:hAnsi="Times New Roman" w:cs="Times New Roman"/>
          <w:sz w:val="24"/>
          <w:szCs w:val="24"/>
        </w:rPr>
        <w:t>For the same feed, trials with DPA recovered 9-2</w:t>
      </w:r>
      <w:r w:rsidR="00694594" w:rsidRPr="00AD04DA">
        <w:rPr>
          <w:rFonts w:ascii="Times New Roman" w:hAnsi="Times New Roman" w:cs="Times New Roman"/>
          <w:sz w:val="24"/>
          <w:szCs w:val="24"/>
        </w:rPr>
        <w:t>3</w:t>
      </w:r>
      <w:r w:rsidR="008174C8" w:rsidRPr="00AD04DA">
        <w:rPr>
          <w:rFonts w:ascii="Times New Roman" w:hAnsi="Times New Roman" w:cs="Times New Roman"/>
          <w:sz w:val="24"/>
          <w:szCs w:val="24"/>
        </w:rPr>
        <w:t xml:space="preserve"> times the volume of water as the trials with DA, though DPA always showed a lower selectivity. This</w:t>
      </w:r>
      <w:r w:rsidR="00756273" w:rsidRPr="00AD04DA">
        <w:rPr>
          <w:rFonts w:ascii="Times New Roman" w:hAnsi="Times New Roman" w:cs="Times New Roman"/>
          <w:sz w:val="24"/>
          <w:szCs w:val="24"/>
        </w:rPr>
        <w:t xml:space="preserve"> suggests there may be a tradeoff between process productivity and selectivity.</w:t>
      </w:r>
      <w:r w:rsidR="0087784A" w:rsidRPr="00AD04DA">
        <w:rPr>
          <w:rFonts w:ascii="Times New Roman" w:hAnsi="Times New Roman" w:cs="Times New Roman"/>
          <w:sz w:val="24"/>
          <w:szCs w:val="24"/>
        </w:rPr>
        <w:t xml:space="preserve"> However, simulations have identified [</w:t>
      </w:r>
      <w:proofErr w:type="spellStart"/>
      <w:r w:rsidR="0087784A" w:rsidRPr="00AD04DA">
        <w:rPr>
          <w:rFonts w:ascii="Times New Roman" w:hAnsi="Times New Roman" w:cs="Times New Roman"/>
          <w:sz w:val="24"/>
          <w:szCs w:val="24"/>
        </w:rPr>
        <w:t>emim</w:t>
      </w:r>
      <w:proofErr w:type="spellEnd"/>
      <w:r w:rsidR="0087784A" w:rsidRPr="00AD04DA">
        <w:rPr>
          <w:rFonts w:ascii="Times New Roman" w:hAnsi="Times New Roman" w:cs="Times New Roman"/>
          <w:sz w:val="24"/>
          <w:szCs w:val="24"/>
        </w:rPr>
        <w:t>][Tf</w:t>
      </w:r>
      <w:r w:rsidR="0087784A" w:rsidRPr="00AD04DA">
        <w:rPr>
          <w:rFonts w:ascii="Times New Roman" w:hAnsi="Times New Roman" w:cs="Times New Roman"/>
          <w:sz w:val="24"/>
          <w:szCs w:val="24"/>
          <w:vertAlign w:val="subscript"/>
        </w:rPr>
        <w:t>2</w:t>
      </w:r>
      <w:r w:rsidR="0087784A" w:rsidRPr="00AD04DA">
        <w:rPr>
          <w:rFonts w:ascii="Times New Roman" w:hAnsi="Times New Roman" w:cs="Times New Roman"/>
          <w:sz w:val="24"/>
          <w:szCs w:val="24"/>
        </w:rPr>
        <w:t>N] as a suitable solvent for TSSE, giving similar solute rejection to DA b</w:t>
      </w:r>
      <w:r w:rsidR="005D08AC" w:rsidRPr="00AD04DA">
        <w:rPr>
          <w:rFonts w:ascii="Times New Roman" w:hAnsi="Times New Roman" w:cs="Times New Roman"/>
          <w:sz w:val="24"/>
          <w:szCs w:val="24"/>
        </w:rPr>
        <w:t xml:space="preserve">ut with a stronger water solubility dependence on temperature, indicating higher water recovery with similar rejections is </w:t>
      </w:r>
      <w:r w:rsidR="005E6A0F">
        <w:rPr>
          <w:rFonts w:ascii="Times New Roman" w:hAnsi="Times New Roman" w:cs="Times New Roman"/>
          <w:sz w:val="24"/>
          <w:szCs w:val="24"/>
        </w:rPr>
        <w:t>attainable</w:t>
      </w:r>
      <w:r w:rsidR="0087784A" w:rsidRPr="00AD04DA">
        <w:rPr>
          <w:rFonts w:ascii="Times New Roman" w:hAnsi="Times New Roman" w:cs="Times New Roman"/>
          <w:sz w:val="24"/>
          <w:szCs w:val="24"/>
        </w:rPr>
        <w:fldChar w:fldCharType="begin"/>
      </w:r>
      <w:r w:rsidR="00AE4CC3">
        <w:rPr>
          <w:rFonts w:ascii="Times New Roman" w:hAnsi="Times New Roman" w:cs="Times New Roman"/>
          <w:sz w:val="24"/>
          <w:szCs w:val="24"/>
        </w:rPr>
        <w:instrText xml:space="preserve"> ADDIN ZOTERO_ITEM CSL_CITATION {"citationID":"9OW9Aern","properties":{"formattedCitation":"\\super 71\\nosupersub{}","plainCitation":"71","noteIndex":0},"citationItems":[{"id":781,"uris":["http://zotero.org/users/8284751/items/6VNQU3MR"],"itemData":{"id":781,"type":"article-journal","abstract":"Abstract\n            \n              Seawater desalination plays a critical role in addressing the global water shortage challenge. Directional Solvent Extraction (DSE) is an emerging non-membrane desalination technology that features the ability to utilize very low temperature waste heat (as low as 40 °C). This is enabled by the subtly balanced solubility properties of directional solvents, which do not dissolve in water but can dissolve water and reject salt ions. However, the low water yield of the state-of-the-art directional solvent (decanoic acid) significantly limits its throughput and energy efficiency. In this paper, we demonstrate that by using ionic liquid as a new directional solvent, saline water can be desalinated with much higher production rate and thus significantly lower the energy and exergy consumptions. The ionic liquid identified suitable for DSE is [emim][Tf\n              2\n              N], which has a much (~10×) higher water yield than the currently used decanoic acid. Using molecular dynamics simulations with Gibbs free energy calculations, we reveal that water dissolving in [emim][Tf\n              2\n              N] is energetically favorable, but it takes significant energy for [emim][Tf\n              2\n              N] ions to dissolve in water. Our findings may significantly advance the DSE technology as a solution to the challenges in the global water-energy nexus.","container-title":"Nature Communications","DOI":"10.1038/s41467-020-20706-y","ISSN":"2041-1723","issue":"1","journalAbbreviation":"Nat Commun","language":"en","page":"437","source":"DOI.org (Crossref)","title":"Ionic liquid enables highly efficient low temperature desalination by directional solvent extraction","volume":"12","author":[{"family":"Guo","given":"Jiaji"},{"family":"Tucker","given":"Zachary D."},{"family":"Wang","given":"Yu"},{"family":"Ashfeld","given":"Brandon L."},{"family":"Luo","given":"Tengfei"}],"issued":{"date-parts":[["2021",12]]}}}],"schema":"https://github.com/citation-style-language/schema/raw/master/csl-citation.json"} </w:instrText>
      </w:r>
      <w:r w:rsidR="0087784A" w:rsidRPr="00AD04DA">
        <w:rPr>
          <w:rFonts w:ascii="Times New Roman" w:hAnsi="Times New Roman" w:cs="Times New Roman"/>
          <w:sz w:val="24"/>
          <w:szCs w:val="24"/>
        </w:rPr>
        <w:fldChar w:fldCharType="separate"/>
      </w:r>
      <w:r w:rsidR="00BC74F0" w:rsidRPr="00AD04DA">
        <w:rPr>
          <w:rFonts w:ascii="Times New Roman" w:hAnsi="Times New Roman" w:cs="Times New Roman"/>
          <w:sz w:val="24"/>
          <w:szCs w:val="24"/>
          <w:vertAlign w:val="superscript"/>
        </w:rPr>
        <w:t>71</w:t>
      </w:r>
      <w:r w:rsidR="0087784A" w:rsidRPr="00AD04DA">
        <w:rPr>
          <w:rFonts w:ascii="Times New Roman" w:hAnsi="Times New Roman" w:cs="Times New Roman"/>
          <w:sz w:val="24"/>
          <w:szCs w:val="24"/>
        </w:rPr>
        <w:fldChar w:fldCharType="end"/>
      </w:r>
      <w:r w:rsidR="0087784A" w:rsidRPr="00AD04DA">
        <w:rPr>
          <w:rFonts w:ascii="Times New Roman" w:hAnsi="Times New Roman" w:cs="Times New Roman"/>
          <w:sz w:val="24"/>
          <w:szCs w:val="24"/>
        </w:rPr>
        <w:t>.</w:t>
      </w:r>
      <w:r w:rsidR="00F409C6" w:rsidRPr="00AD04DA">
        <w:rPr>
          <w:rFonts w:ascii="Times New Roman" w:hAnsi="Times New Roman" w:cs="Times New Roman"/>
          <w:sz w:val="24"/>
          <w:szCs w:val="24"/>
        </w:rPr>
        <w:t xml:space="preserve"> </w:t>
      </w:r>
      <w:r w:rsidR="005E6A0F">
        <w:rPr>
          <w:rFonts w:ascii="Times New Roman" w:hAnsi="Times New Roman" w:cs="Times New Roman"/>
          <w:sz w:val="24"/>
          <w:szCs w:val="24"/>
        </w:rPr>
        <w:t>On the other hand, estimating the dielectric constants of equilibrated systems</w:t>
      </w:r>
      <w:r w:rsidR="001057DB">
        <w:rPr>
          <w:rFonts w:ascii="Times New Roman" w:hAnsi="Times New Roman" w:cs="Times New Roman"/>
          <w:sz w:val="24"/>
          <w:szCs w:val="24"/>
        </w:rPr>
        <w:t xml:space="preserve"> demonstrated that higher water recovery causes a decline in the dielectric constant difference between the organic and aqueous phases, </w:t>
      </w:r>
      <w:r w:rsidR="007F32EF">
        <w:rPr>
          <w:rFonts w:ascii="Times New Roman" w:hAnsi="Times New Roman" w:cs="Times New Roman"/>
          <w:sz w:val="24"/>
          <w:szCs w:val="24"/>
        </w:rPr>
        <w:t xml:space="preserve">suggesting that a tradeoff between water recovery and solute rejection is inevitable. </w:t>
      </w:r>
      <w:r w:rsidR="00EE4185">
        <w:rPr>
          <w:rFonts w:ascii="Times New Roman" w:hAnsi="Times New Roman" w:cs="Times New Roman"/>
          <w:sz w:val="24"/>
          <w:szCs w:val="24"/>
        </w:rPr>
        <w:t>The existence of this tradeoff is an opportunity for future research.</w:t>
      </w:r>
    </w:p>
    <w:p w14:paraId="6743C84D" w14:textId="59B944D0" w:rsidR="00051624" w:rsidRPr="00AD04DA" w:rsidRDefault="006B453A" w:rsidP="00F409C6">
      <w:pPr>
        <w:spacing w:after="0" w:line="480" w:lineRule="auto"/>
        <w:ind w:firstLine="720"/>
        <w:jc w:val="both"/>
        <w:rPr>
          <w:rFonts w:ascii="Times New Roman" w:hAnsi="Times New Roman" w:cs="Times New Roman"/>
          <w:sz w:val="24"/>
          <w:szCs w:val="24"/>
        </w:rPr>
      </w:pPr>
      <w:r w:rsidRPr="00AD04DA">
        <w:rPr>
          <w:rFonts w:ascii="Times New Roman" w:hAnsi="Times New Roman" w:cs="Times New Roman"/>
          <w:sz w:val="24"/>
          <w:szCs w:val="24"/>
        </w:rPr>
        <w:t>Ultimately</w:t>
      </w:r>
      <w:r w:rsidR="00A3333F" w:rsidRPr="00AD04DA">
        <w:rPr>
          <w:rFonts w:ascii="Times New Roman" w:hAnsi="Times New Roman" w:cs="Times New Roman"/>
          <w:sz w:val="24"/>
          <w:szCs w:val="24"/>
        </w:rPr>
        <w:t>, TSSE is limited by the range of available solvents. DPA shows low selectivity, partitions strongly into the aqueous product, is volatile, an aquatic hazard, and incapable of treating low TDS feeds. The solubility of water in DA does not shift significantly with temperature, limiting the water recovery per cycle and giving TSSE a high energy consumption.</w:t>
      </w:r>
      <w:r w:rsidR="00F409C6" w:rsidRPr="00AD04DA">
        <w:rPr>
          <w:rFonts w:ascii="Times New Roman" w:hAnsi="Times New Roman" w:cs="Times New Roman"/>
          <w:sz w:val="24"/>
          <w:szCs w:val="24"/>
        </w:rPr>
        <w:t xml:space="preserve"> </w:t>
      </w:r>
      <w:r w:rsidR="00051624" w:rsidRPr="00AD04DA">
        <w:rPr>
          <w:rFonts w:ascii="Times New Roman" w:hAnsi="Times New Roman" w:cs="Times New Roman"/>
          <w:sz w:val="24"/>
          <w:szCs w:val="24"/>
        </w:rPr>
        <w:t>Future TSSE research should use molecular dynamic simulations to identify solvents that will improve process performance. Solvents that water recovery without sacrificing selectivity, especially those that have low miscibility with water, low boiling points, low environmental toxicity, and are biodegradable, are crucial for TSSE to become an economical commercial wastewater treatment process.</w:t>
      </w:r>
    </w:p>
    <w:p w14:paraId="34E3F9EA" w14:textId="02101341" w:rsidR="001E18E1" w:rsidRPr="00AD04DA" w:rsidRDefault="001E18E1" w:rsidP="00450153">
      <w:pPr>
        <w:spacing w:after="0" w:line="480" w:lineRule="auto"/>
        <w:rPr>
          <w:rFonts w:ascii="Times New Roman" w:eastAsiaTheme="majorEastAsia" w:hAnsi="Times New Roman" w:cs="Times New Roman"/>
          <w:color w:val="000000" w:themeColor="text1"/>
          <w:sz w:val="24"/>
          <w:szCs w:val="24"/>
        </w:rPr>
      </w:pPr>
      <w:r w:rsidRPr="00AD04DA">
        <w:rPr>
          <w:rFonts w:ascii="Times New Roman" w:hAnsi="Times New Roman" w:cs="Times New Roman"/>
          <w:color w:val="000000" w:themeColor="text1"/>
          <w:sz w:val="24"/>
          <w:szCs w:val="24"/>
        </w:rPr>
        <w:br w:type="page"/>
      </w:r>
    </w:p>
    <w:p w14:paraId="60C30A64" w14:textId="16839F36" w:rsidR="00B731FC" w:rsidRPr="00A81609" w:rsidRDefault="00515CE6" w:rsidP="00B731FC">
      <w:pPr>
        <w:pStyle w:val="Heading1"/>
        <w:spacing w:before="0" w:line="480" w:lineRule="auto"/>
        <w:rPr>
          <w:rFonts w:ascii="Times New Roman" w:hAnsi="Times New Roman" w:cs="Times New Roman"/>
          <w:color w:val="000000" w:themeColor="text1"/>
        </w:rPr>
      </w:pPr>
      <w:bookmarkStart w:id="25" w:name="_Toc100753476"/>
      <w:r w:rsidRPr="00A81609">
        <w:rPr>
          <w:rFonts w:ascii="Times New Roman" w:hAnsi="Times New Roman" w:cs="Times New Roman"/>
          <w:color w:val="000000" w:themeColor="text1"/>
        </w:rPr>
        <w:lastRenderedPageBreak/>
        <w:t>5</w:t>
      </w:r>
      <w:r w:rsidR="00FA7A66" w:rsidRPr="00A81609">
        <w:rPr>
          <w:rFonts w:ascii="Times New Roman" w:hAnsi="Times New Roman" w:cs="Times New Roman"/>
          <w:color w:val="000000" w:themeColor="text1"/>
        </w:rPr>
        <w:t>. References</w:t>
      </w:r>
      <w:bookmarkEnd w:id="25"/>
    </w:p>
    <w:p w14:paraId="7D9E582B" w14:textId="77777777" w:rsidR="00153D07" w:rsidRPr="007634E5" w:rsidRDefault="00B731FC" w:rsidP="00153D07">
      <w:pPr>
        <w:pStyle w:val="Bibliography"/>
        <w:rPr>
          <w:rFonts w:ascii="Times New Roman" w:hAnsi="Times New Roman" w:cs="Times New Roman"/>
          <w:sz w:val="24"/>
          <w:szCs w:val="24"/>
        </w:rPr>
      </w:pPr>
      <w:r w:rsidRPr="00AD04DA">
        <w:fldChar w:fldCharType="begin"/>
      </w:r>
      <w:r w:rsidR="00153D07">
        <w:instrText xml:space="preserve"> ADDIN ZOTERO_BIBL {"uncited":[],"omitted":[],"custom":[]} CSL_BIBLIOGRAPHY </w:instrText>
      </w:r>
      <w:r w:rsidRPr="00AD04DA">
        <w:fldChar w:fldCharType="separate"/>
      </w:r>
      <w:r w:rsidR="00153D07" w:rsidRPr="007634E5">
        <w:rPr>
          <w:rFonts w:ascii="Times New Roman" w:hAnsi="Times New Roman" w:cs="Times New Roman"/>
          <w:sz w:val="24"/>
          <w:szCs w:val="24"/>
        </w:rPr>
        <w:t xml:space="preserve">(1) </w:t>
      </w:r>
      <w:r w:rsidR="00153D07" w:rsidRPr="007634E5">
        <w:rPr>
          <w:rFonts w:ascii="Times New Roman" w:hAnsi="Times New Roman" w:cs="Times New Roman"/>
          <w:sz w:val="24"/>
          <w:szCs w:val="24"/>
        </w:rPr>
        <w:tab/>
        <w:t>International - U.S. Energy Information Administration (EIA) https://www.eia.gov/international/data/world/coal-and-coke/coal-and-coke-consumption?pd=1&amp;p=00000000000000000000000000000000000000jg0880000000008&amp;u=0&amp;f=A&amp;v=mapbubble&amp;a=-&amp;i=none&amp;vo=value&amp;&amp;t=C&amp;g=00000000000000000000000000000000000000000000000001&amp;l=249-ruvvvvvfvtvnvv1vrvvvvfvvvvvvfvvvou20evvvvvvvvvvnvvvs0008&amp;s=315532800000&amp;e=1577836800000 (accessed 2022 -03 -28).</w:t>
      </w:r>
    </w:p>
    <w:p w14:paraId="3EA96E3F"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(2) </w:t>
      </w:r>
      <w:r w:rsidRPr="007634E5">
        <w:rPr>
          <w:rFonts w:ascii="Times New Roman" w:hAnsi="Times New Roman" w:cs="Times New Roman"/>
          <w:sz w:val="24"/>
          <w:szCs w:val="24"/>
        </w:rPr>
        <w:tab/>
        <w:t>Frequently Asked Questions (FAQs) - U.S. Energy Information Administration (EIA) https://www.eia.gov/tools/faqs/faq.php (accessed 2022 -03 -28).</w:t>
      </w:r>
    </w:p>
    <w:p w14:paraId="04F72DD9"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(3) </w:t>
      </w:r>
      <w:r w:rsidRPr="007634E5">
        <w:rPr>
          <w:rFonts w:ascii="Times New Roman" w:hAnsi="Times New Roman" w:cs="Times New Roman"/>
          <w:sz w:val="24"/>
          <w:szCs w:val="24"/>
        </w:rPr>
        <w:tab/>
        <w:t>Electricity in the U.S. - U.S. Energy Information Administration (EIA) https://www.eia.gov/energyexplained/electricity/electricity-in-the-us.php (accessed 2022 -03 -28).</w:t>
      </w:r>
    </w:p>
    <w:p w14:paraId="19A691D6"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(4) </w:t>
      </w:r>
      <w:r w:rsidRPr="007634E5">
        <w:rPr>
          <w:rFonts w:ascii="Times New Roman" w:hAnsi="Times New Roman" w:cs="Times New Roman"/>
          <w:sz w:val="24"/>
          <w:szCs w:val="24"/>
        </w:rPr>
        <w:tab/>
        <w:t xml:space="preserve">Bürkle, S.; Becker, L. G.; Dreizler, A.; Wagner, S. Experimental Investigation of the Flue Gas Thermochemical Composition of an Oxy-Fuel Swirl Burner. </w:t>
      </w:r>
      <w:r w:rsidRPr="007634E5">
        <w:rPr>
          <w:rFonts w:ascii="Times New Roman" w:hAnsi="Times New Roman" w:cs="Times New Roman"/>
          <w:i/>
          <w:iCs/>
          <w:sz w:val="24"/>
          <w:szCs w:val="24"/>
        </w:rPr>
        <w:t>Fuel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2018</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231</w:t>
      </w:r>
      <w:r w:rsidRPr="007634E5">
        <w:rPr>
          <w:rFonts w:ascii="Times New Roman" w:hAnsi="Times New Roman" w:cs="Times New Roman"/>
          <w:sz w:val="24"/>
          <w:szCs w:val="24"/>
        </w:rPr>
        <w:t>, 61–72. https://doi.org/10.1016/j.fuel.2018.05.039.</w:t>
      </w:r>
    </w:p>
    <w:p w14:paraId="26357478"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(5) </w:t>
      </w:r>
      <w:r w:rsidRPr="007634E5">
        <w:rPr>
          <w:rFonts w:ascii="Times New Roman" w:hAnsi="Times New Roman" w:cs="Times New Roman"/>
          <w:sz w:val="24"/>
          <w:szCs w:val="24"/>
        </w:rPr>
        <w:tab/>
        <w:t xml:space="preserve">Hu, Y.; Naito, S.; Kobayashi, N.; Hasatani, M. CO2, NOx and SO2 Emissions from the Combustion of Coal with High Oxygen Concentration Gases. </w:t>
      </w:r>
      <w:r w:rsidRPr="007634E5">
        <w:rPr>
          <w:rFonts w:ascii="Times New Roman" w:hAnsi="Times New Roman" w:cs="Times New Roman"/>
          <w:i/>
          <w:iCs/>
          <w:sz w:val="24"/>
          <w:szCs w:val="24"/>
        </w:rPr>
        <w:t>Fuel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79</w:t>
      </w:r>
      <w:r w:rsidRPr="007634E5">
        <w:rPr>
          <w:rFonts w:ascii="Times New Roman" w:hAnsi="Times New Roman" w:cs="Times New Roman"/>
          <w:sz w:val="24"/>
          <w:szCs w:val="24"/>
        </w:rPr>
        <w:t xml:space="preserve"> (15), 1925–1932. https://doi.org/10.1016/S0016-2361(00)00047-8.</w:t>
      </w:r>
    </w:p>
    <w:p w14:paraId="6BC1DC2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(6) </w:t>
      </w:r>
      <w:r w:rsidRPr="007634E5">
        <w:rPr>
          <w:rFonts w:ascii="Times New Roman" w:hAnsi="Times New Roman" w:cs="Times New Roman"/>
          <w:sz w:val="24"/>
          <w:szCs w:val="24"/>
        </w:rPr>
        <w:tab/>
        <w:t xml:space="preserve">Feng, K.; Davis, S. J.; Sun, L.; Hubacek, K. Drivers of the US CO2 Emissions 1997–2013. </w:t>
      </w:r>
      <w:r w:rsidRPr="007634E5">
        <w:rPr>
          <w:rFonts w:ascii="Times New Roman" w:hAnsi="Times New Roman" w:cs="Times New Roman"/>
          <w:i/>
          <w:iCs/>
          <w:sz w:val="24"/>
          <w:szCs w:val="24"/>
        </w:rPr>
        <w:t>Nat. Commun.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2015</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6</w:t>
      </w:r>
      <w:r w:rsidRPr="007634E5">
        <w:rPr>
          <w:rFonts w:ascii="Times New Roman" w:hAnsi="Times New Roman" w:cs="Times New Roman"/>
          <w:sz w:val="24"/>
          <w:szCs w:val="24"/>
        </w:rPr>
        <w:t xml:space="preserve"> (1), 7714. https://doi.org/10.1038/ncomms8714.</w:t>
      </w:r>
    </w:p>
    <w:p w14:paraId="0726FB91"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(7) </w:t>
      </w:r>
      <w:r w:rsidRPr="007634E5">
        <w:rPr>
          <w:rFonts w:ascii="Times New Roman" w:hAnsi="Times New Roman" w:cs="Times New Roman"/>
          <w:sz w:val="24"/>
          <w:szCs w:val="24"/>
        </w:rPr>
        <w:tab/>
        <w:t xml:space="preserve">Lacis, A. A.; Schmidt, G. A.; Rind, D.; Ruedy, R. A. Atmospheric CO </w:t>
      </w:r>
      <w:r w:rsidRPr="007634E5">
        <w:rPr>
          <w:rFonts w:ascii="Times New Roman" w:hAnsi="Times New Roman" w:cs="Times New Roman"/>
          <w:sz w:val="24"/>
          <w:szCs w:val="24"/>
          <w:vertAlign w:val="subscript"/>
        </w:rPr>
        <w:t>2</w:t>
      </w:r>
      <w:r w:rsidRPr="007634E5">
        <w:rPr>
          <w:rFonts w:ascii="Times New Roman" w:hAnsi="Times New Roman" w:cs="Times New Roman"/>
          <w:sz w:val="24"/>
          <w:szCs w:val="24"/>
        </w:rPr>
        <w:t xml:space="preserve"> : Principal Control Knob Governing Earth’s Temperature. </w:t>
      </w:r>
      <w:r w:rsidRPr="007634E5">
        <w:rPr>
          <w:rFonts w:ascii="Times New Roman" w:hAnsi="Times New Roman" w:cs="Times New Roman"/>
          <w:i/>
          <w:iCs/>
          <w:sz w:val="24"/>
          <w:szCs w:val="24"/>
        </w:rPr>
        <w:t>Science</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330</w:t>
      </w:r>
      <w:r w:rsidRPr="007634E5">
        <w:rPr>
          <w:rFonts w:ascii="Times New Roman" w:hAnsi="Times New Roman" w:cs="Times New Roman"/>
          <w:sz w:val="24"/>
          <w:szCs w:val="24"/>
        </w:rPr>
        <w:t xml:space="preserve"> (6002), 356–359. https://doi.org/10.1126/science.1190653.</w:t>
      </w:r>
    </w:p>
    <w:p w14:paraId="7D8D9CD9"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(8) </w:t>
      </w:r>
      <w:r w:rsidRPr="007634E5">
        <w:rPr>
          <w:rFonts w:ascii="Times New Roman" w:hAnsi="Times New Roman" w:cs="Times New Roman"/>
          <w:sz w:val="24"/>
          <w:szCs w:val="24"/>
        </w:rPr>
        <w:tab/>
        <w:t xml:space="preserve">Wang, J.; Anthony, E. J. Clean Combustion of Solid Fuels. </w:t>
      </w:r>
      <w:r w:rsidRPr="007634E5">
        <w:rPr>
          <w:rFonts w:ascii="Times New Roman" w:hAnsi="Times New Roman" w:cs="Times New Roman"/>
          <w:i/>
          <w:iCs/>
          <w:sz w:val="24"/>
          <w:szCs w:val="24"/>
        </w:rPr>
        <w:t>Appl. Energy</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2008</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85</w:t>
      </w:r>
      <w:r w:rsidRPr="007634E5">
        <w:rPr>
          <w:rFonts w:ascii="Times New Roman" w:hAnsi="Times New Roman" w:cs="Times New Roman"/>
          <w:sz w:val="24"/>
          <w:szCs w:val="24"/>
        </w:rPr>
        <w:t xml:space="preserve"> (2–3), 73–79. https://doi.org/10.1016/j.apenergy.2007.07.002.</w:t>
      </w:r>
    </w:p>
    <w:p w14:paraId="3CC7335C"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(9) </w:t>
      </w:r>
      <w:r w:rsidRPr="007634E5">
        <w:rPr>
          <w:rFonts w:ascii="Times New Roman" w:hAnsi="Times New Roman" w:cs="Times New Roman"/>
          <w:sz w:val="24"/>
          <w:szCs w:val="24"/>
        </w:rPr>
        <w:tab/>
        <w:t xml:space="preserve">Pikoñ, K. Environmental Impact of Combustion. </w:t>
      </w:r>
      <w:r w:rsidRPr="007634E5">
        <w:rPr>
          <w:rFonts w:ascii="Times New Roman" w:hAnsi="Times New Roman" w:cs="Times New Roman"/>
          <w:i/>
          <w:iCs/>
          <w:sz w:val="24"/>
          <w:szCs w:val="24"/>
        </w:rPr>
        <w:t>Appl. Energy</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2003</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75</w:t>
      </w:r>
      <w:r w:rsidRPr="007634E5">
        <w:rPr>
          <w:rFonts w:ascii="Times New Roman" w:hAnsi="Times New Roman" w:cs="Times New Roman"/>
          <w:sz w:val="24"/>
          <w:szCs w:val="24"/>
        </w:rPr>
        <w:t xml:space="preserve"> (3–4), 213–220. https://doi.org/10.1016/S0306-2619(03)00034-5.</w:t>
      </w:r>
    </w:p>
    <w:p w14:paraId="410A1415"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(10) </w:t>
      </w:r>
      <w:r w:rsidRPr="007634E5">
        <w:rPr>
          <w:rFonts w:ascii="Times New Roman" w:hAnsi="Times New Roman" w:cs="Times New Roman"/>
          <w:sz w:val="24"/>
          <w:szCs w:val="24"/>
        </w:rPr>
        <w:tab/>
        <w:t xml:space="preserve">Yun, J.; Zhu, C.; Wang, Q.; Hu, Q.; Yang, G. Strong Affinity of Mineral Dusts for Sulfur Dioxide and Catalytic Mechanisms towards Acid Rain Formation. </w:t>
      </w:r>
      <w:r w:rsidRPr="007634E5">
        <w:rPr>
          <w:rFonts w:ascii="Times New Roman" w:hAnsi="Times New Roman" w:cs="Times New Roman"/>
          <w:i/>
          <w:iCs/>
          <w:sz w:val="24"/>
          <w:szCs w:val="24"/>
        </w:rPr>
        <w:t>Catal. Commun.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2018</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114</w:t>
      </w:r>
      <w:r w:rsidRPr="007634E5">
        <w:rPr>
          <w:rFonts w:ascii="Times New Roman" w:hAnsi="Times New Roman" w:cs="Times New Roman"/>
          <w:sz w:val="24"/>
          <w:szCs w:val="24"/>
        </w:rPr>
        <w:t>, 79–83. https://doi.org/10.1016/j.catcom.2018.06.011.</w:t>
      </w:r>
    </w:p>
    <w:p w14:paraId="3AB1444B"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(11) </w:t>
      </w:r>
      <w:r w:rsidRPr="007634E5">
        <w:rPr>
          <w:rFonts w:ascii="Times New Roman" w:hAnsi="Times New Roman" w:cs="Times New Roman"/>
          <w:sz w:val="24"/>
          <w:szCs w:val="24"/>
        </w:rPr>
        <w:tab/>
        <w:t xml:space="preserve">Kaminski, J. Technologies and Costs of SO2-Emissions Reduction for the Energy Sector. </w:t>
      </w:r>
      <w:r w:rsidRPr="007634E5">
        <w:rPr>
          <w:rFonts w:ascii="Times New Roman" w:hAnsi="Times New Roman" w:cs="Times New Roman"/>
          <w:i/>
          <w:iCs/>
          <w:sz w:val="24"/>
          <w:szCs w:val="24"/>
        </w:rPr>
        <w:t>Appl. Energy</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2003</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75</w:t>
      </w:r>
      <w:r w:rsidRPr="007634E5">
        <w:rPr>
          <w:rFonts w:ascii="Times New Roman" w:hAnsi="Times New Roman" w:cs="Times New Roman"/>
          <w:sz w:val="24"/>
          <w:szCs w:val="24"/>
        </w:rPr>
        <w:t xml:space="preserve"> (3–4), 165–172. https://doi.org/10.1016/S0306-2619(03)00029-1.</w:t>
      </w:r>
    </w:p>
    <w:p w14:paraId="3D95C2D8"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lastRenderedPageBreak/>
        <w:t xml:space="preserve">(12) </w:t>
      </w:r>
      <w:r w:rsidRPr="007634E5">
        <w:rPr>
          <w:rFonts w:ascii="Times New Roman" w:hAnsi="Times New Roman" w:cs="Times New Roman"/>
          <w:sz w:val="24"/>
          <w:szCs w:val="24"/>
        </w:rPr>
        <w:tab/>
        <w:t xml:space="preserve">Srivastava, R. K.; Jozewicz, W. Flue Gas Desulfurization: The State of the Art. </w:t>
      </w:r>
      <w:r w:rsidRPr="007634E5">
        <w:rPr>
          <w:rFonts w:ascii="Times New Roman" w:hAnsi="Times New Roman" w:cs="Times New Roman"/>
          <w:i/>
          <w:iCs/>
          <w:sz w:val="24"/>
          <w:szCs w:val="24"/>
        </w:rPr>
        <w:t>J. Air Waste Manag. Assoc.</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2001</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51</w:t>
      </w:r>
      <w:r w:rsidRPr="007634E5">
        <w:rPr>
          <w:rFonts w:ascii="Times New Roman" w:hAnsi="Times New Roman" w:cs="Times New Roman"/>
          <w:sz w:val="24"/>
          <w:szCs w:val="24"/>
        </w:rPr>
        <w:t xml:space="preserve"> (12), 1676–1688. https://doi.org/10.1080/10473289.2001.10464387.</w:t>
      </w:r>
    </w:p>
    <w:p w14:paraId="3560AAE4"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(13) </w:t>
      </w:r>
      <w:r w:rsidRPr="007634E5">
        <w:rPr>
          <w:rFonts w:ascii="Times New Roman" w:hAnsi="Times New Roman" w:cs="Times New Roman"/>
          <w:sz w:val="24"/>
          <w:szCs w:val="24"/>
        </w:rPr>
        <w:tab/>
        <w:t>U.S. Environmental Protection Agency, Flue Gas Desulfurization - Wet, Spray Dry, and Dry Scrubbers https://www3.epa.gov/ttncatc1/dir1/ffdg.pdf (accessed 2022 -03 -28).</w:t>
      </w:r>
    </w:p>
    <w:p w14:paraId="5888BF2C"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(14) </w:t>
      </w:r>
      <w:r w:rsidRPr="007634E5">
        <w:rPr>
          <w:rFonts w:ascii="Times New Roman" w:hAnsi="Times New Roman" w:cs="Times New Roman"/>
          <w:sz w:val="24"/>
          <w:szCs w:val="24"/>
        </w:rPr>
        <w:tab/>
        <w:t xml:space="preserve">Carletti, C.; Blasio, C. D.; Mäkilä, E.; Salonen, J.; Westerlund, T. Optimization of a Wet Flue Gas Desulfurization Scrubber through Mathematical Modeling of Limestone Dissolution Experiments. </w:t>
      </w:r>
      <w:r w:rsidRPr="007634E5">
        <w:rPr>
          <w:rFonts w:ascii="Times New Roman" w:hAnsi="Times New Roman" w:cs="Times New Roman"/>
          <w:i/>
          <w:iCs/>
          <w:sz w:val="24"/>
          <w:szCs w:val="24"/>
        </w:rPr>
        <w:t>Ind. Eng. Chem. Res.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2015</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54</w:t>
      </w:r>
      <w:r w:rsidRPr="007634E5">
        <w:rPr>
          <w:rFonts w:ascii="Times New Roman" w:hAnsi="Times New Roman" w:cs="Times New Roman"/>
          <w:sz w:val="24"/>
          <w:szCs w:val="24"/>
        </w:rPr>
        <w:t xml:space="preserve"> (40), 9783–9797. https://doi.org/10.1021/acs.iecr.5b02691.</w:t>
      </w:r>
    </w:p>
    <w:p w14:paraId="111AECBB"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(15) </w:t>
      </w:r>
      <w:r w:rsidRPr="007634E5">
        <w:rPr>
          <w:rFonts w:ascii="Times New Roman" w:hAnsi="Times New Roman" w:cs="Times New Roman"/>
          <w:sz w:val="24"/>
          <w:szCs w:val="24"/>
        </w:rPr>
        <w:tab/>
        <w:t xml:space="preserve">Ketris, M. P.; Yudovich, Ya. E. Estimations of Clarkes for Carbonaceous Biolithes: World Averages for Trace Element Contents in Black Shales and Coals. </w:t>
      </w:r>
      <w:r w:rsidRPr="007634E5">
        <w:rPr>
          <w:rFonts w:ascii="Times New Roman" w:hAnsi="Times New Roman" w:cs="Times New Roman"/>
          <w:i/>
          <w:iCs/>
          <w:sz w:val="24"/>
          <w:szCs w:val="24"/>
        </w:rPr>
        <w:t>Int. J. Coal Geol.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2009</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78</w:t>
      </w:r>
      <w:r w:rsidRPr="007634E5">
        <w:rPr>
          <w:rFonts w:ascii="Times New Roman" w:hAnsi="Times New Roman" w:cs="Times New Roman"/>
          <w:sz w:val="24"/>
          <w:szCs w:val="24"/>
        </w:rPr>
        <w:t xml:space="preserve"> (2), 135–148. https://doi.org/10.1016/j.coal.2009.01.002.</w:t>
      </w:r>
    </w:p>
    <w:p w14:paraId="50F86B1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(16) </w:t>
      </w:r>
      <w:r w:rsidRPr="007634E5">
        <w:rPr>
          <w:rFonts w:ascii="Times New Roman" w:hAnsi="Times New Roman" w:cs="Times New Roman"/>
          <w:sz w:val="24"/>
          <w:szCs w:val="24"/>
        </w:rPr>
        <w:tab/>
        <w:t xml:space="preserve">Vejahati, F.; Xu, Z.; Gupta, R. Trace Elements in Coal: Associations with Coal and Minerals and Their Behavior during Coal Utilization – A Review. </w:t>
      </w:r>
      <w:r w:rsidRPr="007634E5">
        <w:rPr>
          <w:rFonts w:ascii="Times New Roman" w:hAnsi="Times New Roman" w:cs="Times New Roman"/>
          <w:i/>
          <w:iCs/>
          <w:sz w:val="24"/>
          <w:szCs w:val="24"/>
        </w:rPr>
        <w:t>Fuel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89</w:t>
      </w:r>
      <w:r w:rsidRPr="007634E5">
        <w:rPr>
          <w:rFonts w:ascii="Times New Roman" w:hAnsi="Times New Roman" w:cs="Times New Roman"/>
          <w:sz w:val="24"/>
          <w:szCs w:val="24"/>
        </w:rPr>
        <w:t xml:space="preserve"> (4), 904–911. https://doi.org/10.1016/j.fuel.2009.06.013.</w:t>
      </w:r>
    </w:p>
    <w:p w14:paraId="653060A9"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(17) </w:t>
      </w:r>
      <w:r w:rsidRPr="007634E5">
        <w:rPr>
          <w:rFonts w:ascii="Times New Roman" w:hAnsi="Times New Roman" w:cs="Times New Roman"/>
          <w:sz w:val="24"/>
          <w:szCs w:val="24"/>
        </w:rPr>
        <w:tab/>
        <w:t xml:space="preserve">Hower, J.; Granite, E.; Mayfield, D.; Lewis, A.; Finkelman, R. Notes on Contributions to the Science of Rare Earth Element Enrichment in Coal and Coal Combustion Byproducts. </w:t>
      </w:r>
      <w:r w:rsidRPr="007634E5">
        <w:rPr>
          <w:rFonts w:ascii="Times New Roman" w:hAnsi="Times New Roman" w:cs="Times New Roman"/>
          <w:i/>
          <w:iCs/>
          <w:sz w:val="24"/>
          <w:szCs w:val="24"/>
        </w:rPr>
        <w:t>Minerals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2016</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6</w:t>
      </w:r>
      <w:r w:rsidRPr="007634E5">
        <w:rPr>
          <w:rFonts w:ascii="Times New Roman" w:hAnsi="Times New Roman" w:cs="Times New Roman"/>
          <w:sz w:val="24"/>
          <w:szCs w:val="24"/>
        </w:rPr>
        <w:t xml:space="preserve"> (2), 32. https://doi.org/10.3390/min6020032.</w:t>
      </w:r>
    </w:p>
    <w:p w14:paraId="0BF92C68"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(18) </w:t>
      </w:r>
      <w:r w:rsidRPr="007634E5">
        <w:rPr>
          <w:rFonts w:ascii="Times New Roman" w:hAnsi="Times New Roman" w:cs="Times New Roman"/>
          <w:sz w:val="24"/>
          <w:szCs w:val="24"/>
        </w:rPr>
        <w:tab/>
        <w:t xml:space="preserve">Zhang, Q.; Ghanem, H.; Branam, T. D.; Elswick, E. R.; Olyphant, G. A. Geochemical Characterization of Engineered Coal-Combustion Byproducts (CCBs): Occurrence and Mobility of Trace Elements, Implications for Interactions with Acidic and Ambient Groundwater. </w:t>
      </w:r>
      <w:r w:rsidRPr="007634E5">
        <w:rPr>
          <w:rFonts w:ascii="Times New Roman" w:hAnsi="Times New Roman" w:cs="Times New Roman"/>
          <w:i/>
          <w:iCs/>
          <w:sz w:val="24"/>
          <w:szCs w:val="24"/>
        </w:rPr>
        <w:t>Fuel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2016</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177</w:t>
      </w:r>
      <w:r w:rsidRPr="007634E5">
        <w:rPr>
          <w:rFonts w:ascii="Times New Roman" w:hAnsi="Times New Roman" w:cs="Times New Roman"/>
          <w:sz w:val="24"/>
          <w:szCs w:val="24"/>
        </w:rPr>
        <w:t>, 304–314. https://doi.org/10.1016/j.fuel.2016.02.083.</w:t>
      </w:r>
    </w:p>
    <w:p w14:paraId="712952AB"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(19) </w:t>
      </w:r>
      <w:r w:rsidRPr="007634E5">
        <w:rPr>
          <w:rFonts w:ascii="Times New Roman" w:hAnsi="Times New Roman" w:cs="Times New Roman"/>
          <w:sz w:val="24"/>
          <w:szCs w:val="24"/>
        </w:rPr>
        <w:tab/>
        <w:t xml:space="preserve">Cheng, C.-M.; Hack, P.; Chu, P.; Chang, Y.-N.; Lin, T.-Y.; Ko, C.-S.; Chiang, P.-H.; He, C.-C.; Lai, Y.-M.; Pan, W.-P. Partitioning of Mercury, Arsenic, Selenium, Boron, and Chloride in a Full-Scale Coal Combustion Process Equipped with Selective Catalytic Reduction, Electrostatic Precipitation, and Flue Gas Desulfurization Systems </w:t>
      </w:r>
      <w:r w:rsidRPr="007634E5">
        <w:rPr>
          <w:rFonts w:ascii="Times New Roman" w:hAnsi="Times New Roman" w:cs="Times New Roman"/>
          <w:sz w:val="24"/>
          <w:szCs w:val="24"/>
          <w:vertAlign w:val="superscript"/>
        </w:rPr>
        <w:t>†</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Energy Fuels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2009</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23</w:t>
      </w:r>
      <w:r w:rsidRPr="007634E5">
        <w:rPr>
          <w:rFonts w:ascii="Times New Roman" w:hAnsi="Times New Roman" w:cs="Times New Roman"/>
          <w:sz w:val="24"/>
          <w:szCs w:val="24"/>
        </w:rPr>
        <w:t xml:space="preserve"> (10), 4805–4816. https://doi.org/10.1021/ef900293u.</w:t>
      </w:r>
    </w:p>
    <w:p w14:paraId="59554F7F"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(20) </w:t>
      </w:r>
      <w:r w:rsidRPr="007634E5">
        <w:rPr>
          <w:rFonts w:ascii="Times New Roman" w:hAnsi="Times New Roman" w:cs="Times New Roman"/>
          <w:sz w:val="24"/>
          <w:szCs w:val="24"/>
        </w:rPr>
        <w:tab/>
        <w:t>Technical Development Document for the Effluent Limitations Guidelines and Standards for the Steam Electric Power Generating Point Source Category, 2015.</w:t>
      </w:r>
    </w:p>
    <w:p w14:paraId="38D7B233"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(21) </w:t>
      </w:r>
      <w:r w:rsidRPr="007634E5">
        <w:rPr>
          <w:rFonts w:ascii="Times New Roman" w:hAnsi="Times New Roman" w:cs="Times New Roman"/>
          <w:sz w:val="24"/>
          <w:szCs w:val="24"/>
        </w:rPr>
        <w:tab/>
        <w:t xml:space="preserve">He, Y.; Xiang, Y.; Zhou, Y.; Yang, Y.; Zhang, J.; Huang, H.; Shang, C.; Luo, L.; Gao, J.; Tang, L. Selenium Contamination, Consequences and Remediation Techniques in Water and Soils: A Review. </w:t>
      </w:r>
      <w:r w:rsidRPr="007634E5">
        <w:rPr>
          <w:rFonts w:ascii="Times New Roman" w:hAnsi="Times New Roman" w:cs="Times New Roman"/>
          <w:i/>
          <w:iCs/>
          <w:sz w:val="24"/>
          <w:szCs w:val="24"/>
        </w:rPr>
        <w:t>Environ. Res.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2018</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164</w:t>
      </w:r>
      <w:r w:rsidRPr="007634E5">
        <w:rPr>
          <w:rFonts w:ascii="Times New Roman" w:hAnsi="Times New Roman" w:cs="Times New Roman"/>
          <w:sz w:val="24"/>
          <w:szCs w:val="24"/>
        </w:rPr>
        <w:t>, 288–301. https://doi.org/10.1016/j.envres.2018.02.037.</w:t>
      </w:r>
    </w:p>
    <w:p w14:paraId="45DC1A0E"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(22) </w:t>
      </w:r>
      <w:r w:rsidRPr="007634E5">
        <w:rPr>
          <w:rFonts w:ascii="Times New Roman" w:hAnsi="Times New Roman" w:cs="Times New Roman"/>
          <w:sz w:val="24"/>
          <w:szCs w:val="24"/>
        </w:rPr>
        <w:tab/>
        <w:t xml:space="preserve">Gingerich, D. B.; Grol, E.; Mauter, M. S. Fundamental Challenges and Engineering Opportunities in Flue Gas Desulfurization Wastewater Treatment at Coal Fired Power Plants. </w:t>
      </w:r>
      <w:r w:rsidRPr="007634E5">
        <w:rPr>
          <w:rFonts w:ascii="Times New Roman" w:hAnsi="Times New Roman" w:cs="Times New Roman"/>
          <w:i/>
          <w:iCs/>
          <w:sz w:val="24"/>
          <w:szCs w:val="24"/>
        </w:rPr>
        <w:t>Environ. Sci. Water Res. Technol.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2018</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4</w:t>
      </w:r>
      <w:r w:rsidRPr="007634E5">
        <w:rPr>
          <w:rFonts w:ascii="Times New Roman" w:hAnsi="Times New Roman" w:cs="Times New Roman"/>
          <w:sz w:val="24"/>
          <w:szCs w:val="24"/>
        </w:rPr>
        <w:t xml:space="preserve"> (7), 909–925. https://doi.org/10.1039/C8EW00264A.</w:t>
      </w:r>
    </w:p>
    <w:p w14:paraId="27E06886"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lastRenderedPageBreak/>
        <w:t xml:space="preserve">(23) </w:t>
      </w:r>
      <w:r w:rsidRPr="007634E5">
        <w:rPr>
          <w:rFonts w:ascii="Times New Roman" w:hAnsi="Times New Roman" w:cs="Times New Roman"/>
          <w:sz w:val="24"/>
          <w:szCs w:val="24"/>
        </w:rPr>
        <w:tab/>
        <w:t>Ohlendorf, H. M.; Covington, S. M.; Byron, E. R.; Arenal, C. A. Conducting Site-Specific Assessments of Selenium Bioaccumulation in Aquatic Systems, 2010.</w:t>
      </w:r>
    </w:p>
    <w:p w14:paraId="6716A38F"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(24) </w:t>
      </w:r>
      <w:r w:rsidRPr="007634E5">
        <w:rPr>
          <w:rFonts w:ascii="Times New Roman" w:hAnsi="Times New Roman" w:cs="Times New Roman"/>
          <w:sz w:val="24"/>
          <w:szCs w:val="24"/>
        </w:rPr>
        <w:tab/>
        <w:t xml:space="preserve">Hatfield, D. L.; Tsuji, P. A.; Carlson, B. A.; Gladyshev, V. N. Selenium and Selenocysteine: Roles in Cancer, Health, and Development. </w:t>
      </w:r>
      <w:r w:rsidRPr="007634E5">
        <w:rPr>
          <w:rFonts w:ascii="Times New Roman" w:hAnsi="Times New Roman" w:cs="Times New Roman"/>
          <w:i/>
          <w:iCs/>
          <w:sz w:val="24"/>
          <w:szCs w:val="24"/>
        </w:rPr>
        <w:t>Trends Biochem. Sci.</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2014</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39</w:t>
      </w:r>
      <w:r w:rsidRPr="007634E5">
        <w:rPr>
          <w:rFonts w:ascii="Times New Roman" w:hAnsi="Times New Roman" w:cs="Times New Roman"/>
          <w:sz w:val="24"/>
          <w:szCs w:val="24"/>
        </w:rPr>
        <w:t xml:space="preserve"> (3), 112–120. https://doi.org/10.1016/j.tibs.2013.12.007.</w:t>
      </w:r>
    </w:p>
    <w:p w14:paraId="6A8D9EB5"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(25) </w:t>
      </w:r>
      <w:r w:rsidRPr="007634E5">
        <w:rPr>
          <w:rFonts w:ascii="Times New Roman" w:hAnsi="Times New Roman" w:cs="Times New Roman"/>
          <w:sz w:val="24"/>
          <w:szCs w:val="24"/>
        </w:rPr>
        <w:tab/>
        <w:t xml:space="preserve">Rotruck, J. T.; Pope, A. L.; Ganther, H. E.; Swanson, A. B.; Hafeman, D. G.; Hoekstra, W. G. Selenium: Biochemical Role as a Component of Glutathione Peroxidase. </w:t>
      </w:r>
      <w:r w:rsidRPr="007634E5">
        <w:rPr>
          <w:rFonts w:ascii="Times New Roman" w:hAnsi="Times New Roman" w:cs="Times New Roman"/>
          <w:i/>
          <w:iCs/>
          <w:sz w:val="24"/>
          <w:szCs w:val="24"/>
        </w:rPr>
        <w:t>Science</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1973</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179</w:t>
      </w:r>
      <w:r w:rsidRPr="007634E5">
        <w:rPr>
          <w:rFonts w:ascii="Times New Roman" w:hAnsi="Times New Roman" w:cs="Times New Roman"/>
          <w:sz w:val="24"/>
          <w:szCs w:val="24"/>
        </w:rPr>
        <w:t xml:space="preserve"> (4073), 588–590. https://doi.org/10.1126/science.179.4073.588.</w:t>
      </w:r>
    </w:p>
    <w:p w14:paraId="560E65F6"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(26) </w:t>
      </w:r>
      <w:r w:rsidRPr="007634E5">
        <w:rPr>
          <w:rFonts w:ascii="Times New Roman" w:hAnsi="Times New Roman" w:cs="Times New Roman"/>
          <w:sz w:val="24"/>
          <w:szCs w:val="24"/>
        </w:rPr>
        <w:tab/>
        <w:t xml:space="preserve">Bellinger, F. P.; Raman, A. V.; Reeves, M. A.; Berry, M. J. Regulation and Function of Selenoproteins in Human Disease. </w:t>
      </w:r>
      <w:r w:rsidRPr="007634E5">
        <w:rPr>
          <w:rFonts w:ascii="Times New Roman" w:hAnsi="Times New Roman" w:cs="Times New Roman"/>
          <w:i/>
          <w:iCs/>
          <w:sz w:val="24"/>
          <w:szCs w:val="24"/>
        </w:rPr>
        <w:t>Biochem. J.</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2009</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422</w:t>
      </w:r>
      <w:r w:rsidRPr="007634E5">
        <w:rPr>
          <w:rFonts w:ascii="Times New Roman" w:hAnsi="Times New Roman" w:cs="Times New Roman"/>
          <w:sz w:val="24"/>
          <w:szCs w:val="24"/>
        </w:rPr>
        <w:t xml:space="preserve"> (1), 11–22. https://doi.org/10.1042/BJ20090219.</w:t>
      </w:r>
    </w:p>
    <w:p w14:paraId="016A70E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(27) </w:t>
      </w:r>
      <w:r w:rsidRPr="007634E5">
        <w:rPr>
          <w:rFonts w:ascii="Times New Roman" w:hAnsi="Times New Roman" w:cs="Times New Roman"/>
          <w:sz w:val="24"/>
          <w:szCs w:val="24"/>
        </w:rPr>
        <w:tab/>
        <w:t xml:space="preserve">Huang, Z.; Rose, A. H.; Hoffmann, P. R. The Role of Selenium in Inflammation and Immunity: From Molecular Mechanisms to Therapeutic Opportunities. </w:t>
      </w:r>
      <w:r w:rsidRPr="007634E5">
        <w:rPr>
          <w:rFonts w:ascii="Times New Roman" w:hAnsi="Times New Roman" w:cs="Times New Roman"/>
          <w:i/>
          <w:iCs/>
          <w:sz w:val="24"/>
          <w:szCs w:val="24"/>
        </w:rPr>
        <w:t>Antioxid. Redox Signal.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2012</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16</w:t>
      </w:r>
      <w:r w:rsidRPr="007634E5">
        <w:rPr>
          <w:rFonts w:ascii="Times New Roman" w:hAnsi="Times New Roman" w:cs="Times New Roman"/>
          <w:sz w:val="24"/>
          <w:szCs w:val="24"/>
        </w:rPr>
        <w:t xml:space="preserve"> (7), 705–743. https://doi.org/10.1089/ars.2011.4145.</w:t>
      </w:r>
    </w:p>
    <w:p w14:paraId="6B79FBEC"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(28) </w:t>
      </w:r>
      <w:r w:rsidRPr="007634E5">
        <w:rPr>
          <w:rFonts w:ascii="Times New Roman" w:hAnsi="Times New Roman" w:cs="Times New Roman"/>
          <w:sz w:val="24"/>
          <w:szCs w:val="24"/>
        </w:rPr>
        <w:tab/>
        <w:t xml:space="preserve">Schoenmakers, E.; Agostini, M.; Mitchell, C.; Schoenmakers, N.; Papp, L.; Rajanayagam, O.; Padidela, R.; Ceron-Gutierrez, L.; Doffinger, R.; Prevosto, C.; Luan, J.; Montano, S.; Lu, J.; Castanet, M.; Clemons, N.; Groeneveld, M.; Castets, P.; Karbaschi, M.; Aitken, S.; Dixon, A.; Williams, J.; Campi, I.; Blount, M.; Burton, H.; Muntoni, F.; O’Donovan, D.; Dean, A.; Warren, A.; Brierley, C.; Baguley, D.; Guicheney, P.; Fitzgerald, R.; Coles, A.; Gaston, H.; Todd, P.; Holmgren, A.; Khanna, K. K.; Cooke, M.; Semple, R.; Halsall, D.; Wareham, N.; Schwabe, J.; Grasso, L.; Beck-Peccoz, P.; Ogunko, A.; Dattani, M.; Gurnell, M.; Chatterjee, K. Mutations in the Selenocysteine Insertion Sequence–Binding Protein 2 Gene Lead to a Multisystem Selenoprotein Deficiency Disorder in Humans. </w:t>
      </w:r>
      <w:r w:rsidRPr="007634E5">
        <w:rPr>
          <w:rFonts w:ascii="Times New Roman" w:hAnsi="Times New Roman" w:cs="Times New Roman"/>
          <w:i/>
          <w:iCs/>
          <w:sz w:val="24"/>
          <w:szCs w:val="24"/>
        </w:rPr>
        <w:t>J. Clin. Invest.</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120</w:t>
      </w:r>
      <w:r w:rsidRPr="007634E5">
        <w:rPr>
          <w:rFonts w:ascii="Times New Roman" w:hAnsi="Times New Roman" w:cs="Times New Roman"/>
          <w:sz w:val="24"/>
          <w:szCs w:val="24"/>
        </w:rPr>
        <w:t xml:space="preserve"> (12), 4220–4235. https://doi.org/10.1172/JCI43653.</w:t>
      </w:r>
    </w:p>
    <w:p w14:paraId="41C27ACE"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(29) </w:t>
      </w:r>
      <w:r w:rsidRPr="007634E5">
        <w:rPr>
          <w:rFonts w:ascii="Times New Roman" w:hAnsi="Times New Roman" w:cs="Times New Roman"/>
          <w:sz w:val="24"/>
          <w:szCs w:val="24"/>
        </w:rPr>
        <w:tab/>
        <w:t xml:space="preserve">Skalnaya, M. G.; Skalny, A. V. ESSENTIAL TRACE ELEMENTS IN HUMAN HEALTH: A PHYSICIAN’S VIEW. </w:t>
      </w:r>
      <w:r w:rsidRPr="007634E5">
        <w:rPr>
          <w:rFonts w:ascii="Times New Roman" w:hAnsi="Times New Roman" w:cs="Times New Roman"/>
          <w:i/>
          <w:iCs/>
          <w:sz w:val="24"/>
          <w:szCs w:val="24"/>
        </w:rPr>
        <w:t>Publ. House Tomsk State Univ.</w:t>
      </w:r>
      <w:r w:rsidRPr="007634E5">
        <w:rPr>
          <w:rFonts w:ascii="Times New Roman" w:hAnsi="Times New Roman" w:cs="Times New Roman"/>
          <w:sz w:val="24"/>
          <w:szCs w:val="24"/>
        </w:rPr>
        <w:t xml:space="preserve"> 224.</w:t>
      </w:r>
    </w:p>
    <w:p w14:paraId="5CEE0FC5"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(30) </w:t>
      </w:r>
      <w:r w:rsidRPr="007634E5">
        <w:rPr>
          <w:rFonts w:ascii="Times New Roman" w:hAnsi="Times New Roman" w:cs="Times New Roman"/>
          <w:sz w:val="24"/>
          <w:szCs w:val="24"/>
        </w:rPr>
        <w:tab/>
        <w:t xml:space="preserve">Mehri, A. Trace Elements in Human Nutrition (II) - An Update. </w:t>
      </w:r>
      <w:r w:rsidRPr="007634E5">
        <w:rPr>
          <w:rFonts w:ascii="Times New Roman" w:hAnsi="Times New Roman" w:cs="Times New Roman"/>
          <w:i/>
          <w:iCs/>
          <w:sz w:val="24"/>
          <w:szCs w:val="24"/>
        </w:rPr>
        <w:t>Int. J. Prev. Med.</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11</w:t>
      </w:r>
      <w:r w:rsidRPr="007634E5">
        <w:rPr>
          <w:rFonts w:ascii="Times New Roman" w:hAnsi="Times New Roman" w:cs="Times New Roman"/>
          <w:sz w:val="24"/>
          <w:szCs w:val="24"/>
        </w:rPr>
        <w:t xml:space="preserve"> (2).</w:t>
      </w:r>
    </w:p>
    <w:p w14:paraId="33DFD7BA"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(31) </w:t>
      </w:r>
      <w:r w:rsidRPr="007634E5">
        <w:rPr>
          <w:rFonts w:ascii="Times New Roman" w:hAnsi="Times New Roman" w:cs="Times New Roman"/>
          <w:sz w:val="24"/>
          <w:szCs w:val="24"/>
        </w:rPr>
        <w:tab/>
        <w:t>Effects of Selenium and Vitamin E on White Muscle Disease. 2.</w:t>
      </w:r>
    </w:p>
    <w:p w14:paraId="2D63C846"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(32) </w:t>
      </w:r>
      <w:r w:rsidRPr="007634E5">
        <w:rPr>
          <w:rFonts w:ascii="Times New Roman" w:hAnsi="Times New Roman" w:cs="Times New Roman"/>
          <w:sz w:val="24"/>
          <w:szCs w:val="24"/>
        </w:rPr>
        <w:tab/>
        <w:t xml:space="preserve">Presser, T. S. “The Kesterson Effect.” </w:t>
      </w:r>
      <w:r w:rsidRPr="007634E5">
        <w:rPr>
          <w:rFonts w:ascii="Times New Roman" w:hAnsi="Times New Roman" w:cs="Times New Roman"/>
          <w:i/>
          <w:iCs/>
          <w:sz w:val="24"/>
          <w:szCs w:val="24"/>
        </w:rPr>
        <w:t>Environ. Manage.</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1994</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18</w:t>
      </w:r>
      <w:r w:rsidRPr="007634E5">
        <w:rPr>
          <w:rFonts w:ascii="Times New Roman" w:hAnsi="Times New Roman" w:cs="Times New Roman"/>
          <w:sz w:val="24"/>
          <w:szCs w:val="24"/>
        </w:rPr>
        <w:t xml:space="preserve"> (3), 437–454. https://doi.org/10.1007/BF02393872.</w:t>
      </w:r>
    </w:p>
    <w:p w14:paraId="6806E6C4"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(33) </w:t>
      </w:r>
      <w:r w:rsidRPr="007634E5">
        <w:rPr>
          <w:rFonts w:ascii="Times New Roman" w:hAnsi="Times New Roman" w:cs="Times New Roman"/>
          <w:sz w:val="24"/>
          <w:szCs w:val="24"/>
        </w:rPr>
        <w:tab/>
        <w:t xml:space="preserve">Hamilton, S. J. Review of Selenium Toxicity in the Aquatic Food Chain. </w:t>
      </w:r>
      <w:r w:rsidRPr="007634E5">
        <w:rPr>
          <w:rFonts w:ascii="Times New Roman" w:hAnsi="Times New Roman" w:cs="Times New Roman"/>
          <w:i/>
          <w:iCs/>
          <w:sz w:val="24"/>
          <w:szCs w:val="24"/>
        </w:rPr>
        <w:t>Sci. Total Environ.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2004</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326</w:t>
      </w:r>
      <w:r w:rsidRPr="007634E5">
        <w:rPr>
          <w:rFonts w:ascii="Times New Roman" w:hAnsi="Times New Roman" w:cs="Times New Roman"/>
          <w:sz w:val="24"/>
          <w:szCs w:val="24"/>
        </w:rPr>
        <w:t xml:space="preserve"> (1–3), 1–31. https://doi.org/10.1016/j.scitotenv.2004.01.019.</w:t>
      </w:r>
    </w:p>
    <w:p w14:paraId="6BCFD60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(34) </w:t>
      </w:r>
      <w:r w:rsidRPr="007634E5">
        <w:rPr>
          <w:rFonts w:ascii="Times New Roman" w:hAnsi="Times New Roman" w:cs="Times New Roman"/>
          <w:sz w:val="24"/>
          <w:szCs w:val="24"/>
        </w:rPr>
        <w:tab/>
        <w:t xml:space="preserve">Stadtman, T. C. Selenium Biochemistry: Proteins Containing Selenium Are Essential Components of Certain Bacterial and Mammalian Enzyme Systems. </w:t>
      </w:r>
      <w:r w:rsidRPr="007634E5">
        <w:rPr>
          <w:rFonts w:ascii="Times New Roman" w:hAnsi="Times New Roman" w:cs="Times New Roman"/>
          <w:i/>
          <w:iCs/>
          <w:sz w:val="24"/>
          <w:szCs w:val="24"/>
        </w:rPr>
        <w:t>Science</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1974</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183</w:t>
      </w:r>
      <w:r w:rsidRPr="007634E5">
        <w:rPr>
          <w:rFonts w:ascii="Times New Roman" w:hAnsi="Times New Roman" w:cs="Times New Roman"/>
          <w:sz w:val="24"/>
          <w:szCs w:val="24"/>
        </w:rPr>
        <w:t xml:space="preserve"> (4128), 915–922. https://doi.org/10.1126/science.183.4128.915.</w:t>
      </w:r>
    </w:p>
    <w:p w14:paraId="1F52A8CE"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lastRenderedPageBreak/>
        <w:t xml:space="preserve">(35) </w:t>
      </w:r>
      <w:r w:rsidRPr="007634E5">
        <w:rPr>
          <w:rFonts w:ascii="Times New Roman" w:hAnsi="Times New Roman" w:cs="Times New Roman"/>
          <w:sz w:val="24"/>
          <w:szCs w:val="24"/>
        </w:rPr>
        <w:tab/>
        <w:t xml:space="preserve">Mehdi, Y.; Hornick, J.-L.; Istasse, L.; Dufrasne, I. Selenium in the Environment, Metabolism and Involvement in Body Functions. </w:t>
      </w:r>
      <w:r w:rsidRPr="007634E5">
        <w:rPr>
          <w:rFonts w:ascii="Times New Roman" w:hAnsi="Times New Roman" w:cs="Times New Roman"/>
          <w:i/>
          <w:iCs/>
          <w:sz w:val="24"/>
          <w:szCs w:val="24"/>
        </w:rPr>
        <w:t>Molecules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2013</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18</w:t>
      </w:r>
      <w:r w:rsidRPr="007634E5">
        <w:rPr>
          <w:rFonts w:ascii="Times New Roman" w:hAnsi="Times New Roman" w:cs="Times New Roman"/>
          <w:sz w:val="24"/>
          <w:szCs w:val="24"/>
        </w:rPr>
        <w:t xml:space="preserve"> (3), 3292–3311. https://doi.org/10.3390/molecules18033292.</w:t>
      </w:r>
    </w:p>
    <w:p w14:paraId="4122ADCB"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(36) </w:t>
      </w:r>
      <w:r w:rsidRPr="007634E5">
        <w:rPr>
          <w:rFonts w:ascii="Times New Roman" w:hAnsi="Times New Roman" w:cs="Times New Roman"/>
          <w:sz w:val="24"/>
          <w:szCs w:val="24"/>
        </w:rPr>
        <w:tab/>
        <w:t>Effluent Limitations Guidelines and Standards for Steam Electric Power Generating Point Source Category, 2015.</w:t>
      </w:r>
    </w:p>
    <w:p w14:paraId="6A721F1B"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(37) </w:t>
      </w:r>
      <w:r w:rsidRPr="007634E5">
        <w:rPr>
          <w:rFonts w:ascii="Times New Roman" w:hAnsi="Times New Roman" w:cs="Times New Roman"/>
          <w:sz w:val="24"/>
          <w:szCs w:val="24"/>
        </w:rPr>
        <w:tab/>
        <w:t>Postponement of Certain Compliance Dates for the Effluent Limitations Guidelines and Standards for the Steam Electric Power Generating Point Source Category https://www.federalregister.gov/documents/2017/09/18/2017-19821/postponement-of-certain-compliance-dates-for-the-effluent-limitations-guidelines-and-standards-for (accessed 2022 -03 -29).</w:t>
      </w:r>
    </w:p>
    <w:p w14:paraId="3720514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(38) </w:t>
      </w:r>
      <w:r w:rsidRPr="007634E5">
        <w:rPr>
          <w:rFonts w:ascii="Times New Roman" w:hAnsi="Times New Roman" w:cs="Times New Roman"/>
          <w:sz w:val="24"/>
          <w:szCs w:val="24"/>
        </w:rPr>
        <w:tab/>
        <w:t>Treatment Technology Summary For Critical Pollutants of Concern in Power Plant Wastewaters. 88.</w:t>
      </w:r>
    </w:p>
    <w:p w14:paraId="6DDA33E1"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(39) </w:t>
      </w:r>
      <w:r w:rsidRPr="007634E5">
        <w:rPr>
          <w:rFonts w:ascii="Times New Roman" w:hAnsi="Times New Roman" w:cs="Times New Roman"/>
          <w:sz w:val="24"/>
          <w:szCs w:val="24"/>
        </w:rPr>
        <w:tab/>
        <w:t xml:space="preserve">Staicu, L. C.; van Hullebusch, E. D.; Lens, P. N. L. Production, Recovery and Reuse of Biogenic Elemental Selenium. </w:t>
      </w:r>
      <w:r w:rsidRPr="007634E5">
        <w:rPr>
          <w:rFonts w:ascii="Times New Roman" w:hAnsi="Times New Roman" w:cs="Times New Roman"/>
          <w:i/>
          <w:iCs/>
          <w:sz w:val="24"/>
          <w:szCs w:val="24"/>
        </w:rPr>
        <w:t>Environ. Chem. Lett.</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2015</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13</w:t>
      </w:r>
      <w:r w:rsidRPr="007634E5">
        <w:rPr>
          <w:rFonts w:ascii="Times New Roman" w:hAnsi="Times New Roman" w:cs="Times New Roman"/>
          <w:sz w:val="24"/>
          <w:szCs w:val="24"/>
        </w:rPr>
        <w:t xml:space="preserve"> (1), 89–96. https://doi.org/10.1007/s10311-015-0492-8.</w:t>
      </w:r>
    </w:p>
    <w:p w14:paraId="670535F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(40) </w:t>
      </w:r>
      <w:r w:rsidRPr="007634E5">
        <w:rPr>
          <w:rFonts w:ascii="Times New Roman" w:hAnsi="Times New Roman" w:cs="Times New Roman"/>
          <w:sz w:val="24"/>
          <w:szCs w:val="24"/>
        </w:rPr>
        <w:tab/>
        <w:t xml:space="preserve">Tan, L. C.; Nancharaiah, Y. V.; van Hullebusch, E. D.; Lens, P. N. L. Selenium: Environmental Significance, Pollution, and Biological Treatment Technologies. </w:t>
      </w:r>
      <w:r w:rsidRPr="007634E5">
        <w:rPr>
          <w:rFonts w:ascii="Times New Roman" w:hAnsi="Times New Roman" w:cs="Times New Roman"/>
          <w:i/>
          <w:iCs/>
          <w:sz w:val="24"/>
          <w:szCs w:val="24"/>
        </w:rPr>
        <w:t>Biotechnol. Adv.</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2016</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34</w:t>
      </w:r>
      <w:r w:rsidRPr="007634E5">
        <w:rPr>
          <w:rFonts w:ascii="Times New Roman" w:hAnsi="Times New Roman" w:cs="Times New Roman"/>
          <w:sz w:val="24"/>
          <w:szCs w:val="24"/>
        </w:rPr>
        <w:t xml:space="preserve"> (5), 886–907. https://doi.org/10.1016/j.biotechadv.2016.05.005.</w:t>
      </w:r>
    </w:p>
    <w:p w14:paraId="4DF384D1"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(41) </w:t>
      </w:r>
      <w:r w:rsidRPr="007634E5">
        <w:rPr>
          <w:rFonts w:ascii="Times New Roman" w:hAnsi="Times New Roman" w:cs="Times New Roman"/>
          <w:sz w:val="24"/>
          <w:szCs w:val="24"/>
        </w:rPr>
        <w:tab/>
        <w:t xml:space="preserve">Staicu, L. C.; Ackerson, C. J.; Cornelis, P.; Ye, L.; Berendsen, R. L.; Hunter, W. J.; Noblitt, S. D.; Henry, C. S.; Cappa, J. J.; Montenieri, R. L.; Wong, A. O.; Musilova, L.; Sura-de Jong, M.; van Hullebusch, E. D.; Lens, P. N. L.; Reynolds, R. J. B.; Pilon-Smits, E. A. H. </w:t>
      </w:r>
      <w:r w:rsidRPr="007634E5">
        <w:rPr>
          <w:rFonts w:ascii="Times New Roman" w:hAnsi="Times New Roman" w:cs="Times New Roman"/>
          <w:i/>
          <w:iCs/>
          <w:sz w:val="24"/>
          <w:szCs w:val="24"/>
        </w:rPr>
        <w:t>Pseudomonas Moraviensis</w:t>
      </w:r>
      <w:r w:rsidRPr="007634E5">
        <w:rPr>
          <w:rFonts w:ascii="Times New Roman" w:hAnsi="Times New Roman" w:cs="Times New Roman"/>
          <w:sz w:val="24"/>
          <w:szCs w:val="24"/>
        </w:rPr>
        <w:t xml:space="preserve"> Subsp. Stanleyae, a Bacterial Endophyte of Hyperaccumulator </w:t>
      </w:r>
      <w:r w:rsidRPr="007634E5">
        <w:rPr>
          <w:rFonts w:ascii="Times New Roman" w:hAnsi="Times New Roman" w:cs="Times New Roman"/>
          <w:i/>
          <w:iCs/>
          <w:sz w:val="24"/>
          <w:szCs w:val="24"/>
        </w:rPr>
        <w:t>Stanleya Pinnata</w:t>
      </w:r>
      <w:r w:rsidRPr="007634E5">
        <w:rPr>
          <w:rFonts w:ascii="Times New Roman" w:hAnsi="Times New Roman" w:cs="Times New Roman"/>
          <w:sz w:val="24"/>
          <w:szCs w:val="24"/>
        </w:rPr>
        <w:t xml:space="preserve"> , Is Capable of Efficient Selenite Reduction to Elemental Selenium under Aerobic Conditions. </w:t>
      </w:r>
      <w:r w:rsidRPr="007634E5">
        <w:rPr>
          <w:rFonts w:ascii="Times New Roman" w:hAnsi="Times New Roman" w:cs="Times New Roman"/>
          <w:i/>
          <w:iCs/>
          <w:sz w:val="24"/>
          <w:szCs w:val="24"/>
        </w:rPr>
        <w:t>J. Appl. Microbiol.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2015</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119</w:t>
      </w:r>
      <w:r w:rsidRPr="007634E5">
        <w:rPr>
          <w:rFonts w:ascii="Times New Roman" w:hAnsi="Times New Roman" w:cs="Times New Roman"/>
          <w:sz w:val="24"/>
          <w:szCs w:val="24"/>
        </w:rPr>
        <w:t xml:space="preserve"> (2), 400–410. https://doi.org/10.1111/jam.12842.</w:t>
      </w:r>
    </w:p>
    <w:p w14:paraId="123B221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(42) </w:t>
      </w:r>
      <w:r w:rsidRPr="007634E5">
        <w:rPr>
          <w:rFonts w:ascii="Times New Roman" w:hAnsi="Times New Roman" w:cs="Times New Roman"/>
          <w:sz w:val="24"/>
          <w:szCs w:val="24"/>
        </w:rPr>
        <w:tab/>
        <w:t xml:space="preserve">Huang, Y. H.; Peddi, P. K.; Tang, C.; Zeng, H.; Teng, X. Hybrid Zero-Valent Iron Process for Removing Heavy Metals and Nitrate from Flue-Gas-Desulfurization Wastewater. </w:t>
      </w:r>
      <w:r w:rsidRPr="007634E5">
        <w:rPr>
          <w:rFonts w:ascii="Times New Roman" w:hAnsi="Times New Roman" w:cs="Times New Roman"/>
          <w:i/>
          <w:iCs/>
          <w:sz w:val="24"/>
          <w:szCs w:val="24"/>
        </w:rPr>
        <w:t>Sep. Purif. Technol.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2013</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118</w:t>
      </w:r>
      <w:r w:rsidRPr="007634E5">
        <w:rPr>
          <w:rFonts w:ascii="Times New Roman" w:hAnsi="Times New Roman" w:cs="Times New Roman"/>
          <w:sz w:val="24"/>
          <w:szCs w:val="24"/>
        </w:rPr>
        <w:t>, 690–698. https://doi.org/10.1016/j.seppur.2013.07.009.</w:t>
      </w:r>
    </w:p>
    <w:p w14:paraId="01978FDF"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(43) </w:t>
      </w:r>
      <w:r w:rsidRPr="007634E5">
        <w:rPr>
          <w:rFonts w:ascii="Times New Roman" w:hAnsi="Times New Roman" w:cs="Times New Roman"/>
          <w:sz w:val="24"/>
          <w:szCs w:val="24"/>
        </w:rPr>
        <w:tab/>
        <w:t xml:space="preserve">Tokunaga, K.; Takahashi, Y. Effective Removal of Selenite and Selenate Ions from Aqueous Solution by Barite. </w:t>
      </w:r>
      <w:r w:rsidRPr="007634E5">
        <w:rPr>
          <w:rFonts w:ascii="Times New Roman" w:hAnsi="Times New Roman" w:cs="Times New Roman"/>
          <w:i/>
          <w:iCs/>
          <w:sz w:val="24"/>
          <w:szCs w:val="24"/>
        </w:rPr>
        <w:t>Environ. Sci. Technol.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2017</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51</w:t>
      </w:r>
      <w:r w:rsidRPr="007634E5">
        <w:rPr>
          <w:rFonts w:ascii="Times New Roman" w:hAnsi="Times New Roman" w:cs="Times New Roman"/>
          <w:sz w:val="24"/>
          <w:szCs w:val="24"/>
        </w:rPr>
        <w:t xml:space="preserve"> (16), 9194–9201. https://doi.org/10.1021/acs.est.7b01219.</w:t>
      </w:r>
    </w:p>
    <w:p w14:paraId="2E770460"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(44) </w:t>
      </w:r>
      <w:r w:rsidRPr="007634E5">
        <w:rPr>
          <w:rFonts w:ascii="Times New Roman" w:hAnsi="Times New Roman" w:cs="Times New Roman"/>
          <w:sz w:val="24"/>
          <w:szCs w:val="24"/>
        </w:rPr>
        <w:tab/>
      </w:r>
      <w:r w:rsidRPr="007634E5">
        <w:rPr>
          <w:rFonts w:ascii="Times New Roman" w:hAnsi="Times New Roman" w:cs="Times New Roman"/>
          <w:i/>
          <w:iCs/>
          <w:sz w:val="24"/>
          <w:szCs w:val="24"/>
        </w:rPr>
        <w:t>Steam Electric Power Generating Point Source Category: Final Detailed Study Report</w:t>
      </w:r>
      <w:r w:rsidRPr="007634E5">
        <w:rPr>
          <w:rFonts w:ascii="Times New Roman" w:hAnsi="Times New Roman" w:cs="Times New Roman"/>
          <w:sz w:val="24"/>
          <w:szCs w:val="24"/>
        </w:rPr>
        <w:t>; EPA 821-R-09-008; US Environmental Protection Agency, 2009.</w:t>
      </w:r>
    </w:p>
    <w:p w14:paraId="26EFB0B8"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(45) </w:t>
      </w:r>
      <w:r w:rsidRPr="007634E5">
        <w:rPr>
          <w:rFonts w:ascii="Times New Roman" w:hAnsi="Times New Roman" w:cs="Times New Roman"/>
          <w:sz w:val="24"/>
          <w:szCs w:val="24"/>
        </w:rPr>
        <w:tab/>
        <w:t xml:space="preserve">Electric Power Research Institute. </w:t>
      </w:r>
      <w:r w:rsidRPr="007634E5">
        <w:rPr>
          <w:rFonts w:ascii="Times New Roman" w:hAnsi="Times New Roman" w:cs="Times New Roman"/>
          <w:i/>
          <w:iCs/>
          <w:sz w:val="24"/>
          <w:szCs w:val="24"/>
        </w:rPr>
        <w:t>Conditions Impacting Treatment of Wet Flue Gas Desulfurization Wastewater</w:t>
      </w:r>
      <w:r w:rsidRPr="007634E5">
        <w:rPr>
          <w:rFonts w:ascii="Times New Roman" w:hAnsi="Times New Roman" w:cs="Times New Roman"/>
          <w:sz w:val="24"/>
          <w:szCs w:val="24"/>
        </w:rPr>
        <w:t>; 3002011388; Palo Aloto, CA, 2007; p 40.</w:t>
      </w:r>
    </w:p>
    <w:p w14:paraId="545B39A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(46) </w:t>
      </w:r>
      <w:r w:rsidRPr="007634E5">
        <w:rPr>
          <w:rFonts w:ascii="Times New Roman" w:hAnsi="Times New Roman" w:cs="Times New Roman"/>
          <w:sz w:val="24"/>
          <w:szCs w:val="24"/>
        </w:rPr>
        <w:tab/>
        <w:t>Utility Water Act Group. Comments on EPA’s Proposed Effluent Limitations Guidelines and Standards for the Steam Electric Power Generating Point Source Category, 2013.</w:t>
      </w:r>
    </w:p>
    <w:p w14:paraId="4ABFA3B5"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lastRenderedPageBreak/>
        <w:t xml:space="preserve">(47) </w:t>
      </w:r>
      <w:r w:rsidRPr="007634E5">
        <w:rPr>
          <w:rFonts w:ascii="Times New Roman" w:hAnsi="Times New Roman" w:cs="Times New Roman"/>
          <w:sz w:val="24"/>
          <w:szCs w:val="24"/>
        </w:rPr>
        <w:tab/>
        <w:t xml:space="preserve">Li, X.-M.; Zhao, B.; Wang, Z.; Xie, M.; Song, J.; Nghiem, L. D.; He, T.; Yang, C.; Li, C.; Chen, G. Water Reclamation from Shale Gas Drilling Flow-Back Fluid Using a Novel Forward Osmosis–Vacuum Membrane Distillation Hybrid System. </w:t>
      </w:r>
      <w:r w:rsidRPr="007634E5">
        <w:rPr>
          <w:rFonts w:ascii="Times New Roman" w:hAnsi="Times New Roman" w:cs="Times New Roman"/>
          <w:i/>
          <w:iCs/>
          <w:sz w:val="24"/>
          <w:szCs w:val="24"/>
        </w:rPr>
        <w:t>Water Sci. Technol.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2014</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69</w:t>
      </w:r>
      <w:r w:rsidRPr="007634E5">
        <w:rPr>
          <w:rFonts w:ascii="Times New Roman" w:hAnsi="Times New Roman" w:cs="Times New Roman"/>
          <w:sz w:val="24"/>
          <w:szCs w:val="24"/>
        </w:rPr>
        <w:t xml:space="preserve"> (5), 1036–1044. https://doi.org/10.2166/wst.2014.003.</w:t>
      </w:r>
    </w:p>
    <w:p w14:paraId="34F8256E"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(48) </w:t>
      </w:r>
      <w:r w:rsidRPr="007634E5">
        <w:rPr>
          <w:rFonts w:ascii="Times New Roman" w:hAnsi="Times New Roman" w:cs="Times New Roman"/>
          <w:sz w:val="24"/>
          <w:szCs w:val="24"/>
        </w:rPr>
        <w:tab/>
        <w:t xml:space="preserve">Alkhudhiri, A.; Darwish, N.; Hilal, N. Membrane Distillation: A Comprehensive Review. </w:t>
      </w:r>
      <w:r w:rsidRPr="007634E5">
        <w:rPr>
          <w:rFonts w:ascii="Times New Roman" w:hAnsi="Times New Roman" w:cs="Times New Roman"/>
          <w:i/>
          <w:iCs/>
          <w:sz w:val="24"/>
          <w:szCs w:val="24"/>
        </w:rPr>
        <w:t>Desalination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2012</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287</w:t>
      </w:r>
      <w:r w:rsidRPr="007634E5">
        <w:rPr>
          <w:rFonts w:ascii="Times New Roman" w:hAnsi="Times New Roman" w:cs="Times New Roman"/>
          <w:sz w:val="24"/>
          <w:szCs w:val="24"/>
        </w:rPr>
        <w:t>, 2–18. https://doi.org/10.1016/j.desal.2011.08.027.</w:t>
      </w:r>
    </w:p>
    <w:p w14:paraId="2EC0BC29"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(49) </w:t>
      </w:r>
      <w:r w:rsidRPr="007634E5">
        <w:rPr>
          <w:rFonts w:ascii="Times New Roman" w:hAnsi="Times New Roman" w:cs="Times New Roman"/>
          <w:sz w:val="24"/>
          <w:szCs w:val="24"/>
        </w:rPr>
        <w:tab/>
        <w:t xml:space="preserve">Bajpayee, A.; Luo, T.; Muto, A.; Chen, G. Very Low Temperature Membrane-Free Desalination by Directional Solvent Extraction. </w:t>
      </w:r>
      <w:r w:rsidRPr="007634E5">
        <w:rPr>
          <w:rFonts w:ascii="Times New Roman" w:hAnsi="Times New Roman" w:cs="Times New Roman"/>
          <w:b/>
          <w:bCs/>
          <w:sz w:val="24"/>
          <w:szCs w:val="24"/>
        </w:rPr>
        <w:t>2011</w:t>
      </w:r>
      <w:r w:rsidRPr="007634E5">
        <w:rPr>
          <w:rFonts w:ascii="Times New Roman" w:hAnsi="Times New Roman" w:cs="Times New Roman"/>
          <w:sz w:val="24"/>
          <w:szCs w:val="24"/>
        </w:rPr>
        <w:t>, 4.</w:t>
      </w:r>
    </w:p>
    <w:p w14:paraId="32FF4A83"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(50) </w:t>
      </w:r>
      <w:r w:rsidRPr="007634E5">
        <w:rPr>
          <w:rFonts w:ascii="Times New Roman" w:hAnsi="Times New Roman" w:cs="Times New Roman"/>
          <w:sz w:val="24"/>
          <w:szCs w:val="24"/>
        </w:rPr>
        <w:tab/>
        <w:t xml:space="preserve">Guo, J.; Luo, S.; Liu, Z.; Luo, T. Direct Arsenic Removal from Water Using Non-Membrane, Low-Temperature Directional Solvent Extraction. </w:t>
      </w:r>
      <w:r w:rsidRPr="007634E5">
        <w:rPr>
          <w:rFonts w:ascii="Times New Roman" w:hAnsi="Times New Roman" w:cs="Times New Roman"/>
          <w:i/>
          <w:iCs/>
          <w:sz w:val="24"/>
          <w:szCs w:val="24"/>
        </w:rPr>
        <w:t>J Chem Eng Data</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2020</w:t>
      </w:r>
      <w:r w:rsidRPr="007634E5">
        <w:rPr>
          <w:rFonts w:ascii="Times New Roman" w:hAnsi="Times New Roman" w:cs="Times New Roman"/>
          <w:sz w:val="24"/>
          <w:szCs w:val="24"/>
        </w:rPr>
        <w:t>, 9.</w:t>
      </w:r>
    </w:p>
    <w:p w14:paraId="06DA405C"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(51) </w:t>
      </w:r>
      <w:r w:rsidRPr="007634E5">
        <w:rPr>
          <w:rFonts w:ascii="Times New Roman" w:hAnsi="Times New Roman" w:cs="Times New Roman"/>
          <w:sz w:val="24"/>
          <w:szCs w:val="24"/>
        </w:rPr>
        <w:tab/>
        <w:t xml:space="preserve">Boo, C.; Winton, R. K.; Conway, K. M.; Yip, N. Y. Membrane-Less and Non-Evaporative Desalination of Hypersaline Brines by Temperature Swing Solvent Extraction. </w:t>
      </w:r>
      <w:r w:rsidRPr="007634E5">
        <w:rPr>
          <w:rFonts w:ascii="Times New Roman" w:hAnsi="Times New Roman" w:cs="Times New Roman"/>
          <w:i/>
          <w:iCs/>
          <w:sz w:val="24"/>
          <w:szCs w:val="24"/>
        </w:rPr>
        <w:t>Environ. Sci. Technol. Lett.</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2019</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6</w:t>
      </w:r>
      <w:r w:rsidRPr="007634E5">
        <w:rPr>
          <w:rFonts w:ascii="Times New Roman" w:hAnsi="Times New Roman" w:cs="Times New Roman"/>
          <w:sz w:val="24"/>
          <w:szCs w:val="24"/>
        </w:rPr>
        <w:t xml:space="preserve"> (6), 359–364. https://doi.org/10.1021/acs.estlett.9b00182.</w:t>
      </w:r>
    </w:p>
    <w:p w14:paraId="7DE3C8CF"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(52) </w:t>
      </w:r>
      <w:r w:rsidRPr="007634E5">
        <w:rPr>
          <w:rFonts w:ascii="Times New Roman" w:hAnsi="Times New Roman" w:cs="Times New Roman"/>
          <w:sz w:val="24"/>
          <w:szCs w:val="24"/>
        </w:rPr>
        <w:tab/>
        <w:t xml:space="preserve">Barbosa, G. D.; Bara, J. E.; Weinman, S. T.; Turner, C. H. Molecular Aspects of Temperature Swing Solvent Extraction for Brine Desalination Using Imidazole-Based Solvents. </w:t>
      </w:r>
      <w:r w:rsidRPr="007634E5">
        <w:rPr>
          <w:rFonts w:ascii="Times New Roman" w:hAnsi="Times New Roman" w:cs="Times New Roman"/>
          <w:i/>
          <w:iCs/>
          <w:sz w:val="24"/>
          <w:szCs w:val="24"/>
        </w:rPr>
        <w:t>Chem. Eng. Sci.</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2022</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247</w:t>
      </w:r>
      <w:r w:rsidRPr="007634E5">
        <w:rPr>
          <w:rFonts w:ascii="Times New Roman" w:hAnsi="Times New Roman" w:cs="Times New Roman"/>
          <w:sz w:val="24"/>
          <w:szCs w:val="24"/>
        </w:rPr>
        <w:t>, 116866. https://doi.org/10.1016/j.ces.2021.116866.</w:t>
      </w:r>
    </w:p>
    <w:p w14:paraId="269BA0AA"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(53) </w:t>
      </w:r>
      <w:r w:rsidRPr="007634E5">
        <w:rPr>
          <w:rFonts w:ascii="Times New Roman" w:hAnsi="Times New Roman" w:cs="Times New Roman"/>
          <w:sz w:val="24"/>
          <w:szCs w:val="24"/>
        </w:rPr>
        <w:tab/>
        <w:t xml:space="preserve">Jiang, S.; Li, Y.; Ladewig, B. P. A Review of Reverse Osmosis Membrane Fouling and Control Strategies. </w:t>
      </w:r>
      <w:r w:rsidRPr="007634E5">
        <w:rPr>
          <w:rFonts w:ascii="Times New Roman" w:hAnsi="Times New Roman" w:cs="Times New Roman"/>
          <w:i/>
          <w:iCs/>
          <w:sz w:val="24"/>
          <w:szCs w:val="24"/>
        </w:rPr>
        <w:t>Sci. Total Environ.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2017</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595</w:t>
      </w:r>
      <w:r w:rsidRPr="007634E5">
        <w:rPr>
          <w:rFonts w:ascii="Times New Roman" w:hAnsi="Times New Roman" w:cs="Times New Roman"/>
          <w:sz w:val="24"/>
          <w:szCs w:val="24"/>
        </w:rPr>
        <w:t>, 567–583. https://doi.org/10.1016/j.scitotenv.2017.03.235.</w:t>
      </w:r>
    </w:p>
    <w:p w14:paraId="3B6F702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(54) </w:t>
      </w:r>
      <w:r w:rsidRPr="007634E5">
        <w:rPr>
          <w:rFonts w:ascii="Times New Roman" w:hAnsi="Times New Roman" w:cs="Times New Roman"/>
          <w:sz w:val="24"/>
          <w:szCs w:val="24"/>
        </w:rPr>
        <w:tab/>
        <w:t xml:space="preserve">Lee, K. P.; Arnot, T. C.; Mattia, D. A Review of Reverse Osmosis Membrane Materials for Desalination—Development to Date and Future Potential. </w:t>
      </w:r>
      <w:r w:rsidRPr="007634E5">
        <w:rPr>
          <w:rFonts w:ascii="Times New Roman" w:hAnsi="Times New Roman" w:cs="Times New Roman"/>
          <w:i/>
          <w:iCs/>
          <w:sz w:val="24"/>
          <w:szCs w:val="24"/>
        </w:rPr>
        <w:t>J. Membr. Sci.</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2011</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370</w:t>
      </w:r>
      <w:r w:rsidRPr="007634E5">
        <w:rPr>
          <w:rFonts w:ascii="Times New Roman" w:hAnsi="Times New Roman" w:cs="Times New Roman"/>
          <w:sz w:val="24"/>
          <w:szCs w:val="24"/>
        </w:rPr>
        <w:t xml:space="preserve"> (1–2), 1–22. https://doi.org/10.1016/j.memsci.2010.12.036.</w:t>
      </w:r>
    </w:p>
    <w:p w14:paraId="3D2E4C34"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(55) </w:t>
      </w:r>
      <w:r w:rsidRPr="007634E5">
        <w:rPr>
          <w:rFonts w:ascii="Times New Roman" w:hAnsi="Times New Roman" w:cs="Times New Roman"/>
          <w:sz w:val="24"/>
          <w:szCs w:val="24"/>
        </w:rPr>
        <w:tab/>
        <w:t xml:space="preserve">Li, X.; Hasson, D.; Semiat, R.; Shemer, H. Intermediate Concentrate Demineralization Techniques for Enhanced Brackish Water Reverse Osmosis Water Recovery – A Review. </w:t>
      </w:r>
      <w:r w:rsidRPr="007634E5">
        <w:rPr>
          <w:rFonts w:ascii="Times New Roman" w:hAnsi="Times New Roman" w:cs="Times New Roman"/>
          <w:i/>
          <w:iCs/>
          <w:sz w:val="24"/>
          <w:szCs w:val="24"/>
        </w:rPr>
        <w:t>Desalination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2019</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466</w:t>
      </w:r>
      <w:r w:rsidRPr="007634E5">
        <w:rPr>
          <w:rFonts w:ascii="Times New Roman" w:hAnsi="Times New Roman" w:cs="Times New Roman"/>
          <w:sz w:val="24"/>
          <w:szCs w:val="24"/>
        </w:rPr>
        <w:t>, 24–35. https://doi.org/10.1016/j.desal.2019.05.004.</w:t>
      </w:r>
    </w:p>
    <w:p w14:paraId="342E3E09"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(56) </w:t>
      </w:r>
      <w:r w:rsidRPr="007634E5">
        <w:rPr>
          <w:rFonts w:ascii="Times New Roman" w:hAnsi="Times New Roman" w:cs="Times New Roman"/>
          <w:sz w:val="24"/>
          <w:szCs w:val="24"/>
        </w:rPr>
        <w:tab/>
        <w:t xml:space="preserve">Abdel-Karim, A.; Leaper, S.; Skuse, C.; Zaragoza, G.; Gryta, M.; Gorgojo, P. Membrane Cleaning and Pretreatments in Membrane Distillation – a Review. </w:t>
      </w:r>
      <w:r w:rsidRPr="007634E5">
        <w:rPr>
          <w:rFonts w:ascii="Times New Roman" w:hAnsi="Times New Roman" w:cs="Times New Roman"/>
          <w:i/>
          <w:iCs/>
          <w:sz w:val="24"/>
          <w:szCs w:val="24"/>
        </w:rPr>
        <w:t>Chem. Eng. J.</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2021</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422</w:t>
      </w:r>
      <w:r w:rsidRPr="007634E5">
        <w:rPr>
          <w:rFonts w:ascii="Times New Roman" w:hAnsi="Times New Roman" w:cs="Times New Roman"/>
          <w:sz w:val="24"/>
          <w:szCs w:val="24"/>
        </w:rPr>
        <w:t>, 129696. https://doi.org/10.1016/j.cej.2021.129696.</w:t>
      </w:r>
    </w:p>
    <w:p w14:paraId="6D0E9C4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(57) </w:t>
      </w:r>
      <w:r w:rsidRPr="007634E5">
        <w:rPr>
          <w:rFonts w:ascii="Times New Roman" w:hAnsi="Times New Roman" w:cs="Times New Roman"/>
          <w:sz w:val="24"/>
          <w:szCs w:val="24"/>
        </w:rPr>
        <w:tab/>
        <w:t xml:space="preserve">Ahmed, F. E.; Lalia, B. S.; Hashaikeh, R.; Hilal, N. Alternative Heating Techniques in Membrane Distillation: A Review. </w:t>
      </w:r>
      <w:r w:rsidRPr="007634E5">
        <w:rPr>
          <w:rFonts w:ascii="Times New Roman" w:hAnsi="Times New Roman" w:cs="Times New Roman"/>
          <w:i/>
          <w:iCs/>
          <w:sz w:val="24"/>
          <w:szCs w:val="24"/>
        </w:rPr>
        <w:t>Desalination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496</w:t>
      </w:r>
      <w:r w:rsidRPr="007634E5">
        <w:rPr>
          <w:rFonts w:ascii="Times New Roman" w:hAnsi="Times New Roman" w:cs="Times New Roman"/>
          <w:sz w:val="24"/>
          <w:szCs w:val="24"/>
        </w:rPr>
        <w:t>, 114713. https://doi.org/10.1016/j.desal.2020.114713.</w:t>
      </w:r>
    </w:p>
    <w:p w14:paraId="648D8AA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(58) </w:t>
      </w:r>
      <w:r w:rsidRPr="007634E5">
        <w:rPr>
          <w:rFonts w:ascii="Times New Roman" w:hAnsi="Times New Roman" w:cs="Times New Roman"/>
          <w:sz w:val="24"/>
          <w:szCs w:val="24"/>
        </w:rPr>
        <w:tab/>
        <w:t xml:space="preserve">Ashoor, B. B.; Mansour, S.; Giwa, A.; Dufour, V.; Hasan, S. W. Principles and Applications of Direct Contact Membrane Distillation (DCMD): A Comprehensive Review. </w:t>
      </w:r>
      <w:r w:rsidRPr="007634E5">
        <w:rPr>
          <w:rFonts w:ascii="Times New Roman" w:hAnsi="Times New Roman" w:cs="Times New Roman"/>
          <w:i/>
          <w:iCs/>
          <w:sz w:val="24"/>
          <w:szCs w:val="24"/>
        </w:rPr>
        <w:t>Desalination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2016</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398</w:t>
      </w:r>
      <w:r w:rsidRPr="007634E5">
        <w:rPr>
          <w:rFonts w:ascii="Times New Roman" w:hAnsi="Times New Roman" w:cs="Times New Roman"/>
          <w:sz w:val="24"/>
          <w:szCs w:val="24"/>
        </w:rPr>
        <w:t>, 222–246. https://doi.org/10.1016/j.desal.2016.07.043.</w:t>
      </w:r>
    </w:p>
    <w:p w14:paraId="250C5008"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(59) </w:t>
      </w:r>
      <w:r w:rsidRPr="007634E5">
        <w:rPr>
          <w:rFonts w:ascii="Times New Roman" w:hAnsi="Times New Roman" w:cs="Times New Roman"/>
          <w:sz w:val="24"/>
          <w:szCs w:val="24"/>
        </w:rPr>
        <w:tab/>
        <w:t xml:space="preserve">Alotaibi, S.; Ibrahim, O. M.; Luo, S.; Luo, T. Modeling of a Continuous Water Desalination Process Using Directional Solvent Extraction. </w:t>
      </w:r>
      <w:r w:rsidRPr="007634E5">
        <w:rPr>
          <w:rFonts w:ascii="Times New Roman" w:hAnsi="Times New Roman" w:cs="Times New Roman"/>
          <w:i/>
          <w:iCs/>
          <w:sz w:val="24"/>
          <w:szCs w:val="24"/>
        </w:rPr>
        <w:t>Desalination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2017</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420</w:t>
      </w:r>
      <w:r w:rsidRPr="007634E5">
        <w:rPr>
          <w:rFonts w:ascii="Times New Roman" w:hAnsi="Times New Roman" w:cs="Times New Roman"/>
          <w:sz w:val="24"/>
          <w:szCs w:val="24"/>
        </w:rPr>
        <w:t>, 114–124. https://doi.org/10.1016/j.desal.2017.07.004.</w:t>
      </w:r>
    </w:p>
    <w:p w14:paraId="6466FAF3"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lastRenderedPageBreak/>
        <w:t xml:space="preserve">(60) </w:t>
      </w:r>
      <w:r w:rsidRPr="007634E5">
        <w:rPr>
          <w:rFonts w:ascii="Times New Roman" w:hAnsi="Times New Roman" w:cs="Times New Roman"/>
          <w:sz w:val="24"/>
          <w:szCs w:val="24"/>
        </w:rPr>
        <w:tab/>
        <w:t xml:space="preserve">Zheng, H.; Zheng, C.; Li, X.; Xu, S.; Liu, S.; Zhang, Y.; Weng, W.; Gao, X. Evaporation and Concentration of Desulfurization Wastewater with Waste Heat from Coal-Fired Power Plants. </w:t>
      </w:r>
      <w:r w:rsidRPr="007634E5">
        <w:rPr>
          <w:rFonts w:ascii="Times New Roman" w:hAnsi="Times New Roman" w:cs="Times New Roman"/>
          <w:i/>
          <w:iCs/>
          <w:sz w:val="24"/>
          <w:szCs w:val="24"/>
        </w:rPr>
        <w:t>Environ. Sci. Pollut. Res.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2019</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26</w:t>
      </w:r>
      <w:r w:rsidRPr="007634E5">
        <w:rPr>
          <w:rFonts w:ascii="Times New Roman" w:hAnsi="Times New Roman" w:cs="Times New Roman"/>
          <w:sz w:val="24"/>
          <w:szCs w:val="24"/>
        </w:rPr>
        <w:t xml:space="preserve"> (26), 27494–27504. https://doi.org/10.1007/s11356-019-05297-6.</w:t>
      </w:r>
    </w:p>
    <w:p w14:paraId="5DB6376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(61) </w:t>
      </w:r>
      <w:r w:rsidRPr="007634E5">
        <w:rPr>
          <w:rFonts w:ascii="Times New Roman" w:hAnsi="Times New Roman" w:cs="Times New Roman"/>
          <w:sz w:val="24"/>
          <w:szCs w:val="24"/>
        </w:rPr>
        <w:tab/>
        <w:t xml:space="preserve">Rodríguez-Llorente, D.; Cañada-Barcala, A.; Álvarez-Torrellas, S.; Águeda, V. I.; García, J.; Larriba, M. A Review of the Use of Eutectic Solvents, Terpenes and Terpenoids in Liquid–Liquid Extraction Processes. </w:t>
      </w:r>
      <w:r w:rsidRPr="007634E5">
        <w:rPr>
          <w:rFonts w:ascii="Times New Roman" w:hAnsi="Times New Roman" w:cs="Times New Roman"/>
          <w:i/>
          <w:iCs/>
          <w:sz w:val="24"/>
          <w:szCs w:val="24"/>
        </w:rPr>
        <w:t>Processes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8</w:t>
      </w:r>
      <w:r w:rsidRPr="007634E5">
        <w:rPr>
          <w:rFonts w:ascii="Times New Roman" w:hAnsi="Times New Roman" w:cs="Times New Roman"/>
          <w:sz w:val="24"/>
          <w:szCs w:val="24"/>
        </w:rPr>
        <w:t xml:space="preserve"> (10), 1220. https://doi.org/10.3390/pr8101220.</w:t>
      </w:r>
    </w:p>
    <w:p w14:paraId="3277952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(62) </w:t>
      </w:r>
      <w:r w:rsidRPr="007634E5">
        <w:rPr>
          <w:rFonts w:ascii="Times New Roman" w:hAnsi="Times New Roman" w:cs="Times New Roman"/>
          <w:sz w:val="24"/>
          <w:szCs w:val="24"/>
        </w:rPr>
        <w:tab/>
        <w:t xml:space="preserve">Abdul Hadi, N.; Ng, M. H.; Choo, Y. M.; Hashim, M. A.; Jayakumar, N. S. Performance of Choline-Based Deep Eutectic Solvents in the Extraction of Tocols from Crude Palm Oil. </w:t>
      </w:r>
      <w:r w:rsidRPr="007634E5">
        <w:rPr>
          <w:rFonts w:ascii="Times New Roman" w:hAnsi="Times New Roman" w:cs="Times New Roman"/>
          <w:i/>
          <w:iCs/>
          <w:sz w:val="24"/>
          <w:szCs w:val="24"/>
        </w:rPr>
        <w:t>J. Am. Oil Chem. Soc.</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2015</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92</w:t>
      </w:r>
      <w:r w:rsidRPr="007634E5">
        <w:rPr>
          <w:rFonts w:ascii="Times New Roman" w:hAnsi="Times New Roman" w:cs="Times New Roman"/>
          <w:sz w:val="24"/>
          <w:szCs w:val="24"/>
        </w:rPr>
        <w:t xml:space="preserve"> (11–12), 1709–1716. https://doi.org/10.1007/s11746-015-2720-6.</w:t>
      </w:r>
    </w:p>
    <w:p w14:paraId="30A1B7E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(63) </w:t>
      </w:r>
      <w:r w:rsidRPr="007634E5">
        <w:rPr>
          <w:rFonts w:ascii="Times New Roman" w:hAnsi="Times New Roman" w:cs="Times New Roman"/>
          <w:sz w:val="24"/>
          <w:szCs w:val="24"/>
        </w:rPr>
        <w:tab/>
        <w:t xml:space="preserve">An, J.; Trujillo-Rodríguez, M. J.; Pino, V.; Anderson, J. L. Non-Conventional Solvents in Liquid Phase Microextraction and Aqueous Biphasic Systems. </w:t>
      </w:r>
      <w:r w:rsidRPr="007634E5">
        <w:rPr>
          <w:rFonts w:ascii="Times New Roman" w:hAnsi="Times New Roman" w:cs="Times New Roman"/>
          <w:i/>
          <w:iCs/>
          <w:sz w:val="24"/>
          <w:szCs w:val="24"/>
        </w:rPr>
        <w:t>J. Chromatogr. A</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2017</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1500</w:t>
      </w:r>
      <w:r w:rsidRPr="007634E5">
        <w:rPr>
          <w:rFonts w:ascii="Times New Roman" w:hAnsi="Times New Roman" w:cs="Times New Roman"/>
          <w:sz w:val="24"/>
          <w:szCs w:val="24"/>
        </w:rPr>
        <w:t>, 1–23. https://doi.org/10.1016/j.chroma.2017.04.012.</w:t>
      </w:r>
    </w:p>
    <w:p w14:paraId="4718343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(64) </w:t>
      </w:r>
      <w:r w:rsidRPr="007634E5">
        <w:rPr>
          <w:rFonts w:ascii="Times New Roman" w:hAnsi="Times New Roman" w:cs="Times New Roman"/>
          <w:sz w:val="24"/>
          <w:szCs w:val="24"/>
        </w:rPr>
        <w:tab/>
        <w:t xml:space="preserve">Pena-Pereira, F.; Lavilla, I.; Bendicho, C. Liquid-Phase Microextraction Techniques within the Framework of Green Chemistry. </w:t>
      </w:r>
      <w:r w:rsidRPr="007634E5">
        <w:rPr>
          <w:rFonts w:ascii="Times New Roman" w:hAnsi="Times New Roman" w:cs="Times New Roman"/>
          <w:i/>
          <w:iCs/>
          <w:sz w:val="24"/>
          <w:szCs w:val="24"/>
        </w:rPr>
        <w:t>TrAC Trends Anal. Chem.</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29</w:t>
      </w:r>
      <w:r w:rsidRPr="007634E5">
        <w:rPr>
          <w:rFonts w:ascii="Times New Roman" w:hAnsi="Times New Roman" w:cs="Times New Roman"/>
          <w:sz w:val="24"/>
          <w:szCs w:val="24"/>
        </w:rPr>
        <w:t xml:space="preserve"> (7), 617–628. https://doi.org/10.1016/j.trac.2010.02.016.</w:t>
      </w:r>
    </w:p>
    <w:p w14:paraId="0697F70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(65) </w:t>
      </w:r>
      <w:r w:rsidRPr="007634E5">
        <w:rPr>
          <w:rFonts w:ascii="Times New Roman" w:hAnsi="Times New Roman" w:cs="Times New Roman"/>
          <w:sz w:val="24"/>
          <w:szCs w:val="24"/>
        </w:rPr>
        <w:tab/>
        <w:t xml:space="preserve">Sheldon, R. A. The E Factor 25 Years on: The Rise of Green Chemistry and Sustainability. </w:t>
      </w:r>
      <w:r w:rsidRPr="007634E5">
        <w:rPr>
          <w:rFonts w:ascii="Times New Roman" w:hAnsi="Times New Roman" w:cs="Times New Roman"/>
          <w:i/>
          <w:iCs/>
          <w:sz w:val="24"/>
          <w:szCs w:val="24"/>
        </w:rPr>
        <w:t>Green Chem.</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2017</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19</w:t>
      </w:r>
      <w:r w:rsidRPr="007634E5">
        <w:rPr>
          <w:rFonts w:ascii="Times New Roman" w:hAnsi="Times New Roman" w:cs="Times New Roman"/>
          <w:sz w:val="24"/>
          <w:szCs w:val="24"/>
        </w:rPr>
        <w:t xml:space="preserve"> (1), 18–43. https://doi.org/10.1039/C6GC02157C.</w:t>
      </w:r>
    </w:p>
    <w:p w14:paraId="0EEC813E"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(66) </w:t>
      </w:r>
      <w:r w:rsidRPr="007634E5">
        <w:rPr>
          <w:rFonts w:ascii="Times New Roman" w:hAnsi="Times New Roman" w:cs="Times New Roman"/>
          <w:sz w:val="24"/>
          <w:szCs w:val="24"/>
        </w:rPr>
        <w:tab/>
        <w:t xml:space="preserve">Lei, Z.; Chen, B.; Koo, Y.-M.; MacFarlane, D. R. Introduction: Ionic Liquids. </w:t>
      </w:r>
      <w:r w:rsidRPr="007634E5">
        <w:rPr>
          <w:rFonts w:ascii="Times New Roman" w:hAnsi="Times New Roman" w:cs="Times New Roman"/>
          <w:i/>
          <w:iCs/>
          <w:sz w:val="24"/>
          <w:szCs w:val="24"/>
        </w:rPr>
        <w:t>Chem. Rev.</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2017</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117</w:t>
      </w:r>
      <w:r w:rsidRPr="007634E5">
        <w:rPr>
          <w:rFonts w:ascii="Times New Roman" w:hAnsi="Times New Roman" w:cs="Times New Roman"/>
          <w:sz w:val="24"/>
          <w:szCs w:val="24"/>
        </w:rPr>
        <w:t xml:space="preserve"> (10), 6633–6635. https://doi.org/10.1021/acs.chemrev.7b00246.</w:t>
      </w:r>
    </w:p>
    <w:p w14:paraId="2226D5C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(67) </w:t>
      </w:r>
      <w:r w:rsidRPr="007634E5">
        <w:rPr>
          <w:rFonts w:ascii="Times New Roman" w:hAnsi="Times New Roman" w:cs="Times New Roman"/>
          <w:sz w:val="24"/>
          <w:szCs w:val="24"/>
        </w:rPr>
        <w:tab/>
        <w:t xml:space="preserve">Ventura, S. P. M.; e Silva, F. A.; Quental, M. V.; Mondal, D.; Freire, M. G.; Coutinho, J. A. P. Ionic-Liquid-Mediated Extraction and Separation Processes for Bioactive Compounds: Past, Present, and Future Trends. </w:t>
      </w:r>
      <w:r w:rsidRPr="007634E5">
        <w:rPr>
          <w:rFonts w:ascii="Times New Roman" w:hAnsi="Times New Roman" w:cs="Times New Roman"/>
          <w:i/>
          <w:iCs/>
          <w:sz w:val="24"/>
          <w:szCs w:val="24"/>
        </w:rPr>
        <w:t>Chem. Rev.</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2017</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117</w:t>
      </w:r>
      <w:r w:rsidRPr="007634E5">
        <w:rPr>
          <w:rFonts w:ascii="Times New Roman" w:hAnsi="Times New Roman" w:cs="Times New Roman"/>
          <w:sz w:val="24"/>
          <w:szCs w:val="24"/>
        </w:rPr>
        <w:t xml:space="preserve"> (10), 6984–7052. https://doi.org/10.1021/acs.chemrev.6b00550.</w:t>
      </w:r>
    </w:p>
    <w:p w14:paraId="46E329B9"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(68) </w:t>
      </w:r>
      <w:r w:rsidRPr="007634E5">
        <w:rPr>
          <w:rFonts w:ascii="Times New Roman" w:hAnsi="Times New Roman" w:cs="Times New Roman"/>
          <w:sz w:val="24"/>
          <w:szCs w:val="24"/>
        </w:rPr>
        <w:tab/>
        <w:t xml:space="preserve">Lei, Z.; Dai, C.; Chen, B. Gas Solubility in Ionic Liquids. </w:t>
      </w:r>
      <w:r w:rsidRPr="007634E5">
        <w:rPr>
          <w:rFonts w:ascii="Times New Roman" w:hAnsi="Times New Roman" w:cs="Times New Roman"/>
          <w:i/>
          <w:iCs/>
          <w:sz w:val="24"/>
          <w:szCs w:val="24"/>
        </w:rPr>
        <w:t>Chem. Rev.</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2014</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114</w:t>
      </w:r>
      <w:r w:rsidRPr="007634E5">
        <w:rPr>
          <w:rFonts w:ascii="Times New Roman" w:hAnsi="Times New Roman" w:cs="Times New Roman"/>
          <w:sz w:val="24"/>
          <w:szCs w:val="24"/>
        </w:rPr>
        <w:t xml:space="preserve"> (2), 1289–1326. https://doi.org/10.1021/cr300497a.</w:t>
      </w:r>
    </w:p>
    <w:p w14:paraId="13C48B88"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(69) </w:t>
      </w:r>
      <w:r w:rsidRPr="007634E5">
        <w:rPr>
          <w:rFonts w:ascii="Times New Roman" w:hAnsi="Times New Roman" w:cs="Times New Roman"/>
          <w:sz w:val="24"/>
          <w:szCs w:val="24"/>
        </w:rPr>
        <w:tab/>
        <w:t xml:space="preserve">Hallett, J. P.; Welton, T. Room-Temperature Ionic Liquids: Solvents for Synthesis and Catalysis. 2. </w:t>
      </w:r>
      <w:r w:rsidRPr="007634E5">
        <w:rPr>
          <w:rFonts w:ascii="Times New Roman" w:hAnsi="Times New Roman" w:cs="Times New Roman"/>
          <w:i/>
          <w:iCs/>
          <w:sz w:val="24"/>
          <w:szCs w:val="24"/>
        </w:rPr>
        <w:t>Chem. Rev.</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2011</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111</w:t>
      </w:r>
      <w:r w:rsidRPr="007634E5">
        <w:rPr>
          <w:rFonts w:ascii="Times New Roman" w:hAnsi="Times New Roman" w:cs="Times New Roman"/>
          <w:sz w:val="24"/>
          <w:szCs w:val="24"/>
        </w:rPr>
        <w:t xml:space="preserve"> (5), 3508–3576. https://doi.org/10.1021/cr1003248.</w:t>
      </w:r>
    </w:p>
    <w:p w14:paraId="7629946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(70) </w:t>
      </w:r>
      <w:r w:rsidRPr="007634E5">
        <w:rPr>
          <w:rFonts w:ascii="Times New Roman" w:hAnsi="Times New Roman" w:cs="Times New Roman"/>
          <w:sz w:val="24"/>
          <w:szCs w:val="24"/>
        </w:rPr>
        <w:tab/>
        <w:t xml:space="preserve">Sarmad, S.; Mikkola, J.-P.; Ji, X. Carbon Dioxide Capture with Ionic Liquids and Deep Eutectic Solvents: A New Generation of Sorbents. </w:t>
      </w:r>
      <w:r w:rsidRPr="007634E5">
        <w:rPr>
          <w:rFonts w:ascii="Times New Roman" w:hAnsi="Times New Roman" w:cs="Times New Roman"/>
          <w:i/>
          <w:iCs/>
          <w:sz w:val="24"/>
          <w:szCs w:val="24"/>
        </w:rPr>
        <w:t>ChemSusChem</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2017</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10</w:t>
      </w:r>
      <w:r w:rsidRPr="007634E5">
        <w:rPr>
          <w:rFonts w:ascii="Times New Roman" w:hAnsi="Times New Roman" w:cs="Times New Roman"/>
          <w:sz w:val="24"/>
          <w:szCs w:val="24"/>
        </w:rPr>
        <w:t xml:space="preserve"> (2), 324–352. https://doi.org/10.1002/cssc.201600987.</w:t>
      </w:r>
    </w:p>
    <w:p w14:paraId="342F35DF"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(71) </w:t>
      </w:r>
      <w:r w:rsidRPr="007634E5">
        <w:rPr>
          <w:rFonts w:ascii="Times New Roman" w:hAnsi="Times New Roman" w:cs="Times New Roman"/>
          <w:sz w:val="24"/>
          <w:szCs w:val="24"/>
        </w:rPr>
        <w:tab/>
        <w:t xml:space="preserve">Guo, J.; Tucker, Z. D.; Wang, Y.; Ashfeld, B. L.; Luo, T. Ionic Liquid Enables Highly Efficient Low Temperature Desalination by Directional Solvent Extraction. </w:t>
      </w:r>
      <w:r w:rsidRPr="007634E5">
        <w:rPr>
          <w:rFonts w:ascii="Times New Roman" w:hAnsi="Times New Roman" w:cs="Times New Roman"/>
          <w:i/>
          <w:iCs/>
          <w:sz w:val="24"/>
          <w:szCs w:val="24"/>
        </w:rPr>
        <w:t>Nat. Commun.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2021</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12</w:t>
      </w:r>
      <w:r w:rsidRPr="007634E5">
        <w:rPr>
          <w:rFonts w:ascii="Times New Roman" w:hAnsi="Times New Roman" w:cs="Times New Roman"/>
          <w:sz w:val="24"/>
          <w:szCs w:val="24"/>
        </w:rPr>
        <w:t xml:space="preserve"> (1), 437. https://doi.org/10.1038/s41467-020-20706-y.</w:t>
      </w:r>
    </w:p>
    <w:p w14:paraId="123268A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lastRenderedPageBreak/>
        <w:t xml:space="preserve">(72) </w:t>
      </w:r>
      <w:r w:rsidRPr="007634E5">
        <w:rPr>
          <w:rFonts w:ascii="Times New Roman" w:hAnsi="Times New Roman" w:cs="Times New Roman"/>
          <w:sz w:val="24"/>
          <w:szCs w:val="24"/>
        </w:rPr>
        <w:tab/>
        <w:t xml:space="preserve">Tong, T.; Elimelech, M. The Global Rise of Zero Liquid Discharge for Wastewater Management: Drivers, Technologies, and Future Directions. </w:t>
      </w:r>
      <w:r w:rsidRPr="007634E5">
        <w:rPr>
          <w:rFonts w:ascii="Times New Roman" w:hAnsi="Times New Roman" w:cs="Times New Roman"/>
          <w:i/>
          <w:iCs/>
          <w:sz w:val="24"/>
          <w:szCs w:val="24"/>
        </w:rPr>
        <w:t>Environ. Sci. Technol.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2016</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50</w:t>
      </w:r>
      <w:r w:rsidRPr="007634E5">
        <w:rPr>
          <w:rFonts w:ascii="Times New Roman" w:hAnsi="Times New Roman" w:cs="Times New Roman"/>
          <w:sz w:val="24"/>
          <w:szCs w:val="24"/>
        </w:rPr>
        <w:t xml:space="preserve"> (13), 6846–6855. https://doi.org/10.1021/acs.est.6b01000.</w:t>
      </w:r>
    </w:p>
    <w:p w14:paraId="32E4C04E"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(73) </w:t>
      </w:r>
      <w:r w:rsidRPr="007634E5">
        <w:rPr>
          <w:rFonts w:ascii="Times New Roman" w:hAnsi="Times New Roman" w:cs="Times New Roman"/>
          <w:sz w:val="24"/>
          <w:szCs w:val="24"/>
        </w:rPr>
        <w:tab/>
        <w:t xml:space="preserve">Guo, J.; Zhou, Z.; Ming, Q.; Sun, D.; Li, F.; Xi, J.; Wu, Q.; Yang, J.; Xia, Q.; Zhao, X. Recovering Chemical Sludge from the Zero Liquid Discharge System of FLue Gas Desulfurization Wastewater as Flame Retardants by a Stepwise Precipitation Process. </w:t>
      </w:r>
      <w:r w:rsidRPr="007634E5">
        <w:rPr>
          <w:rFonts w:ascii="Times New Roman" w:hAnsi="Times New Roman" w:cs="Times New Roman"/>
          <w:i/>
          <w:iCs/>
          <w:sz w:val="24"/>
          <w:szCs w:val="24"/>
        </w:rPr>
        <w:t>J. Hazard. Mater.</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2021</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417</w:t>
      </w:r>
      <w:r w:rsidRPr="007634E5">
        <w:rPr>
          <w:rFonts w:ascii="Times New Roman" w:hAnsi="Times New Roman" w:cs="Times New Roman"/>
          <w:sz w:val="24"/>
          <w:szCs w:val="24"/>
        </w:rPr>
        <w:t>, 126054. https://doi.org/10.1016/j.jhazmat.2021.126054.</w:t>
      </w:r>
    </w:p>
    <w:p w14:paraId="0CB245AF"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(74) </w:t>
      </w:r>
      <w:r w:rsidRPr="007634E5">
        <w:rPr>
          <w:rFonts w:ascii="Times New Roman" w:hAnsi="Times New Roman" w:cs="Times New Roman"/>
          <w:sz w:val="24"/>
          <w:szCs w:val="24"/>
        </w:rPr>
        <w:tab/>
        <w:t xml:space="preserve">Liang, Y.; Lin, X.; Kong, X.; Duan, Q.; Wang, P.; Mei, X.; Ma, J. Making Waves: Zero Liquid Discharge for Sustainable Industrial Effluent Management. </w:t>
      </w:r>
      <w:r w:rsidRPr="007634E5">
        <w:rPr>
          <w:rFonts w:ascii="Times New Roman" w:hAnsi="Times New Roman" w:cs="Times New Roman"/>
          <w:i/>
          <w:iCs/>
          <w:sz w:val="24"/>
          <w:szCs w:val="24"/>
        </w:rPr>
        <w:t>Water</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2021</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13</w:t>
      </w:r>
      <w:r w:rsidRPr="007634E5">
        <w:rPr>
          <w:rFonts w:ascii="Times New Roman" w:hAnsi="Times New Roman" w:cs="Times New Roman"/>
          <w:sz w:val="24"/>
          <w:szCs w:val="24"/>
        </w:rPr>
        <w:t xml:space="preserve"> (20), 2852. https://doi.org/10.3390/w13202852.</w:t>
      </w:r>
    </w:p>
    <w:p w14:paraId="2E27F9C8"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(75) </w:t>
      </w:r>
      <w:r w:rsidRPr="007634E5">
        <w:rPr>
          <w:rFonts w:ascii="Times New Roman" w:hAnsi="Times New Roman" w:cs="Times New Roman"/>
          <w:sz w:val="24"/>
          <w:szCs w:val="24"/>
        </w:rPr>
        <w:tab/>
        <w:t xml:space="preserve">Morillo, J.; Usero, J.; Rosado, D.; El Bakouri, H.; Riaza, A.; Bernaola, F.-J. Comparative Study of Brine Management Technologies for Desalination Plants. </w:t>
      </w:r>
      <w:r w:rsidRPr="007634E5">
        <w:rPr>
          <w:rFonts w:ascii="Times New Roman" w:hAnsi="Times New Roman" w:cs="Times New Roman"/>
          <w:i/>
          <w:iCs/>
          <w:sz w:val="24"/>
          <w:szCs w:val="24"/>
        </w:rPr>
        <w:t>Desalination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2014</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336</w:t>
      </w:r>
      <w:r w:rsidRPr="007634E5">
        <w:rPr>
          <w:rFonts w:ascii="Times New Roman" w:hAnsi="Times New Roman" w:cs="Times New Roman"/>
          <w:sz w:val="24"/>
          <w:szCs w:val="24"/>
        </w:rPr>
        <w:t>, 32–49. https://doi.org/10.1016/j.desal.2013.12.038.</w:t>
      </w:r>
    </w:p>
    <w:p w14:paraId="4EA631C4"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(76) </w:t>
      </w:r>
      <w:r w:rsidRPr="007634E5">
        <w:rPr>
          <w:rFonts w:ascii="Times New Roman" w:hAnsi="Times New Roman" w:cs="Times New Roman"/>
          <w:sz w:val="24"/>
          <w:szCs w:val="24"/>
        </w:rPr>
        <w:tab/>
        <w:t xml:space="preserve">Boo, C.; Billinge, I. H.; Chen, X.; Shah, K. M.; Yip, N. Y. Zero Liquid Discharge of Ultrahigh-Salinity Brines with Temperature Swing Solvent Extraction. </w:t>
      </w:r>
      <w:r w:rsidRPr="007634E5">
        <w:rPr>
          <w:rFonts w:ascii="Times New Roman" w:hAnsi="Times New Roman" w:cs="Times New Roman"/>
          <w:i/>
          <w:iCs/>
          <w:sz w:val="24"/>
          <w:szCs w:val="24"/>
        </w:rPr>
        <w:t>Environ. Sci. Technol.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54</w:t>
      </w:r>
      <w:r w:rsidRPr="007634E5">
        <w:rPr>
          <w:rFonts w:ascii="Times New Roman" w:hAnsi="Times New Roman" w:cs="Times New Roman"/>
          <w:sz w:val="24"/>
          <w:szCs w:val="24"/>
        </w:rPr>
        <w:t xml:space="preserve"> (14), 9124–9131. https://doi.org/10.1021/acs.est.0c02555.</w:t>
      </w:r>
    </w:p>
    <w:p w14:paraId="58D00A50"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(77) </w:t>
      </w:r>
      <w:r w:rsidRPr="007634E5">
        <w:rPr>
          <w:rFonts w:ascii="Times New Roman" w:hAnsi="Times New Roman" w:cs="Times New Roman"/>
          <w:sz w:val="24"/>
          <w:szCs w:val="24"/>
        </w:rPr>
        <w:tab/>
        <w:t xml:space="preserve">Rish, D.; Luo, S.; Kurtz, B.; Luo, T. Exceptional Ion Rejection Ability of Directional Solvent for Non-Membrane Desalination. </w:t>
      </w:r>
      <w:r w:rsidRPr="007634E5">
        <w:rPr>
          <w:rFonts w:ascii="Times New Roman" w:hAnsi="Times New Roman" w:cs="Times New Roman"/>
          <w:i/>
          <w:iCs/>
          <w:sz w:val="24"/>
          <w:szCs w:val="24"/>
        </w:rPr>
        <w:t>Appl. Phys. Lett.</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2014</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104</w:t>
      </w:r>
      <w:r w:rsidRPr="007634E5">
        <w:rPr>
          <w:rFonts w:ascii="Times New Roman" w:hAnsi="Times New Roman" w:cs="Times New Roman"/>
          <w:sz w:val="24"/>
          <w:szCs w:val="24"/>
        </w:rPr>
        <w:t xml:space="preserve"> (2), 024102. https://doi.org/10.1063/1.4861835.</w:t>
      </w:r>
    </w:p>
    <w:p w14:paraId="40287E4C"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(78) </w:t>
      </w:r>
      <w:r w:rsidRPr="007634E5">
        <w:rPr>
          <w:rFonts w:ascii="Times New Roman" w:hAnsi="Times New Roman" w:cs="Times New Roman"/>
          <w:sz w:val="24"/>
          <w:szCs w:val="24"/>
        </w:rPr>
        <w:tab/>
        <w:t xml:space="preserve">Sappidi, P.; Barbosa, G.; Rabideau, B. D.; Weinman, S. T.; Turner, C. H. Molecular Simulation of High-Salinity Brines in Contact with Diisopropylamine and Tripropylamine Solvents. </w:t>
      </w:r>
      <w:r w:rsidRPr="007634E5">
        <w:rPr>
          <w:rFonts w:ascii="Times New Roman" w:hAnsi="Times New Roman" w:cs="Times New Roman"/>
          <w:i/>
          <w:iCs/>
          <w:sz w:val="24"/>
          <w:szCs w:val="24"/>
        </w:rPr>
        <w:t>Ind. Eng. Chem. Res.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2021</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60</w:t>
      </w:r>
      <w:r w:rsidRPr="007634E5">
        <w:rPr>
          <w:rFonts w:ascii="Times New Roman" w:hAnsi="Times New Roman" w:cs="Times New Roman"/>
          <w:sz w:val="24"/>
          <w:szCs w:val="24"/>
        </w:rPr>
        <w:t xml:space="preserve"> (21), 7917–7925. https://doi.org/10.1021/acs.iecr.1c01057.</w:t>
      </w:r>
    </w:p>
    <w:p w14:paraId="6C81FE4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(79) </w:t>
      </w:r>
      <w:r w:rsidRPr="007634E5">
        <w:rPr>
          <w:rFonts w:ascii="Times New Roman" w:hAnsi="Times New Roman" w:cs="Times New Roman"/>
          <w:sz w:val="24"/>
          <w:szCs w:val="24"/>
        </w:rPr>
        <w:tab/>
        <w:t xml:space="preserve">Zhang, H.; Lai, Y.; Yang, X.; Li, C.; Dong, Y. Non-Evaporative Solvent Extraction Technology Applied to Water and Heat Recovery from Low-Temperature Flue Gas: Parametric Analysis and Feasibility Evaluation. </w:t>
      </w:r>
      <w:r w:rsidRPr="007634E5">
        <w:rPr>
          <w:rFonts w:ascii="Times New Roman" w:hAnsi="Times New Roman" w:cs="Times New Roman"/>
          <w:i/>
          <w:iCs/>
          <w:sz w:val="24"/>
          <w:szCs w:val="24"/>
        </w:rPr>
        <w:t>Energy</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2022</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244</w:t>
      </w:r>
      <w:r w:rsidRPr="007634E5">
        <w:rPr>
          <w:rFonts w:ascii="Times New Roman" w:hAnsi="Times New Roman" w:cs="Times New Roman"/>
          <w:sz w:val="24"/>
          <w:szCs w:val="24"/>
        </w:rPr>
        <w:t>, 123062. https://doi.org/10.1016/j.energy.2021.123062.</w:t>
      </w:r>
    </w:p>
    <w:p w14:paraId="5204CD5F"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(80) </w:t>
      </w:r>
      <w:r w:rsidRPr="007634E5">
        <w:rPr>
          <w:rFonts w:ascii="Times New Roman" w:hAnsi="Times New Roman" w:cs="Times New Roman"/>
          <w:sz w:val="24"/>
          <w:szCs w:val="24"/>
        </w:rPr>
        <w:tab/>
        <w:t>Straatsma, T. P.; McCammon, J. A. Computational Alchemy. 29.</w:t>
      </w:r>
    </w:p>
    <w:p w14:paraId="1D479ECA"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(81) </w:t>
      </w:r>
      <w:r w:rsidRPr="007634E5">
        <w:rPr>
          <w:rFonts w:ascii="Times New Roman" w:hAnsi="Times New Roman" w:cs="Times New Roman"/>
          <w:sz w:val="24"/>
          <w:szCs w:val="24"/>
        </w:rPr>
        <w:tab/>
        <w:t>Free energy calculations — GROMACS 2022 documentation https://manual.gromacs.org/documentation/current/reference-manual/algorithms/free-energy-calculations.html (accessed 2022 -03 -30).</w:t>
      </w:r>
    </w:p>
    <w:p w14:paraId="5FA366B9"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(82) </w:t>
      </w:r>
      <w:r w:rsidRPr="007634E5">
        <w:rPr>
          <w:rFonts w:ascii="Times New Roman" w:hAnsi="Times New Roman" w:cs="Times New Roman"/>
          <w:sz w:val="24"/>
          <w:szCs w:val="24"/>
        </w:rPr>
        <w:tab/>
        <w:t>Free energy interactions — GROMACS 2019.1 documentation https://manual.gromacs.org/2019.1/reference-manual/functions/free-energy-interactions.html#soft-core-interactions (accessed 2022 -03 -30).</w:t>
      </w:r>
    </w:p>
    <w:p w14:paraId="1AA8C204"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(83) </w:t>
      </w:r>
      <w:r w:rsidRPr="007634E5">
        <w:rPr>
          <w:rFonts w:ascii="Times New Roman" w:hAnsi="Times New Roman" w:cs="Times New Roman"/>
          <w:sz w:val="24"/>
          <w:szCs w:val="24"/>
        </w:rPr>
        <w:tab/>
        <w:t>GROMACS Documentation.</w:t>
      </w:r>
    </w:p>
    <w:p w14:paraId="5727E220"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lastRenderedPageBreak/>
        <w:t xml:space="preserve">(84) </w:t>
      </w:r>
      <w:r w:rsidRPr="007634E5">
        <w:rPr>
          <w:rFonts w:ascii="Times New Roman" w:hAnsi="Times New Roman" w:cs="Times New Roman"/>
          <w:sz w:val="24"/>
          <w:szCs w:val="24"/>
        </w:rPr>
        <w:tab/>
        <w:t xml:space="preserve">Jorgensen, W. L.; Maxwell, D. S.; Tirado-Rives, J. Development and Testing of the OPLS All-Atom Force Field on Conformational Energetics and Properties of Organic Liquids. </w:t>
      </w:r>
      <w:r w:rsidRPr="007634E5">
        <w:rPr>
          <w:rFonts w:ascii="Times New Roman" w:hAnsi="Times New Roman" w:cs="Times New Roman"/>
          <w:i/>
          <w:iCs/>
          <w:sz w:val="24"/>
          <w:szCs w:val="24"/>
        </w:rPr>
        <w:t>J. Am. Chem. Soc.</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1996</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118</w:t>
      </w:r>
      <w:r w:rsidRPr="007634E5">
        <w:rPr>
          <w:rFonts w:ascii="Times New Roman" w:hAnsi="Times New Roman" w:cs="Times New Roman"/>
          <w:sz w:val="24"/>
          <w:szCs w:val="24"/>
        </w:rPr>
        <w:t xml:space="preserve"> (45), 11225–11236. https://doi.org/10.1021/ja9621760.</w:t>
      </w:r>
    </w:p>
    <w:p w14:paraId="301ADB30"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(85) </w:t>
      </w:r>
      <w:r w:rsidRPr="007634E5">
        <w:rPr>
          <w:rFonts w:ascii="Times New Roman" w:hAnsi="Times New Roman" w:cs="Times New Roman"/>
          <w:sz w:val="24"/>
          <w:szCs w:val="24"/>
        </w:rPr>
        <w:tab/>
        <w:t xml:space="preserve">Berendsen, H. J. C.; Grigera, J. R.; Straatsma, T. P. The Missing Term in Effective Pair Potentials. </w:t>
      </w:r>
      <w:r w:rsidRPr="007634E5">
        <w:rPr>
          <w:rFonts w:ascii="Times New Roman" w:hAnsi="Times New Roman" w:cs="Times New Roman"/>
          <w:i/>
          <w:iCs/>
          <w:sz w:val="24"/>
          <w:szCs w:val="24"/>
        </w:rPr>
        <w:t>J. Phys. Chem.</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1987</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91</w:t>
      </w:r>
      <w:r w:rsidRPr="007634E5">
        <w:rPr>
          <w:rFonts w:ascii="Times New Roman" w:hAnsi="Times New Roman" w:cs="Times New Roman"/>
          <w:sz w:val="24"/>
          <w:szCs w:val="24"/>
        </w:rPr>
        <w:t xml:space="preserve"> (24), 6269–6271. https://doi.org/10.1021/j100308a038.</w:t>
      </w:r>
    </w:p>
    <w:p w14:paraId="11579A0E"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(86) </w:t>
      </w:r>
      <w:r w:rsidRPr="007634E5">
        <w:rPr>
          <w:rFonts w:ascii="Times New Roman" w:hAnsi="Times New Roman" w:cs="Times New Roman"/>
          <w:sz w:val="24"/>
          <w:szCs w:val="24"/>
        </w:rPr>
        <w:tab/>
        <w:t xml:space="preserve">Schmid, N.; Eichenberger, A.; Choutko, A.; Riniker, S.; Winger, M.; Mark, A.; van Gunsteren, W. Definition and Testing of the GROMOS Force-Field Versions 54A7 and 54B7. </w:t>
      </w:r>
      <w:r w:rsidRPr="007634E5">
        <w:rPr>
          <w:rFonts w:ascii="Times New Roman" w:hAnsi="Times New Roman" w:cs="Times New Roman"/>
          <w:i/>
          <w:iCs/>
          <w:sz w:val="24"/>
          <w:szCs w:val="24"/>
        </w:rPr>
        <w:t>Eur. Biophys. J.</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2011</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40</w:t>
      </w:r>
      <w:r w:rsidRPr="007634E5">
        <w:rPr>
          <w:rFonts w:ascii="Times New Roman" w:hAnsi="Times New Roman" w:cs="Times New Roman"/>
          <w:sz w:val="24"/>
          <w:szCs w:val="24"/>
        </w:rPr>
        <w:t>, 843–856.</w:t>
      </w:r>
    </w:p>
    <w:p w14:paraId="68BDC7DA"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(87) </w:t>
      </w:r>
      <w:r w:rsidRPr="007634E5">
        <w:rPr>
          <w:rFonts w:ascii="Times New Roman" w:hAnsi="Times New Roman" w:cs="Times New Roman"/>
          <w:sz w:val="24"/>
          <w:szCs w:val="24"/>
        </w:rPr>
        <w:tab/>
        <w:t xml:space="preserve">Koziara, K. B.; Stroet, M.; Malde, A. K.; Mark, A. E. Testing and Validation of the Automated Topology Builder (ATB) Version 2.0: Prediction of Hydration Free Enthalpies. </w:t>
      </w:r>
      <w:r w:rsidRPr="007634E5">
        <w:rPr>
          <w:rFonts w:ascii="Times New Roman" w:hAnsi="Times New Roman" w:cs="Times New Roman"/>
          <w:i/>
          <w:iCs/>
          <w:sz w:val="24"/>
          <w:szCs w:val="24"/>
        </w:rPr>
        <w:t>J. Comput. Aided Mol. Des.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2014</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28</w:t>
      </w:r>
      <w:r w:rsidRPr="007634E5">
        <w:rPr>
          <w:rFonts w:ascii="Times New Roman" w:hAnsi="Times New Roman" w:cs="Times New Roman"/>
          <w:sz w:val="24"/>
          <w:szCs w:val="24"/>
        </w:rPr>
        <w:t xml:space="preserve"> (3), 221–233. https://doi.org/10.1007/s10822-014-9713-7.</w:t>
      </w:r>
    </w:p>
    <w:p w14:paraId="53A8DBF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(88) </w:t>
      </w:r>
      <w:r w:rsidRPr="007634E5">
        <w:rPr>
          <w:rFonts w:ascii="Times New Roman" w:hAnsi="Times New Roman" w:cs="Times New Roman"/>
          <w:sz w:val="24"/>
          <w:szCs w:val="24"/>
        </w:rPr>
        <w:tab/>
        <w:t xml:space="preserve">Brooks, B. R.; Brooks, C. L.; Mackerell, A. D.; Nilsson, L.; Petrella, R. J.; Roux, B.; Won, Y.; Archontis, G.; Bartels, C.; Boresch, S.; Caflisch, A.; Caves, L.; Cui, Q.; Dinner, A. R.; Feig, M.; Fischer, S.; Gao, J.; Hodoscek, M.; Im, W.; Kuczera, K.; Lazaridis, T.; Ma, J.; Ovchinnikov, V.; Paci, E.; Pastor, R. W.; Post, C. B.; Pu, J. Z.; Schaefer, M.; Tidor, B.; Venable, R. M.; Woodcock, H. L.; Wu, X.; Yang, W.; York, D. M.; Karplus, M. CHARMM: The Biomolecular Simulation Program. </w:t>
      </w:r>
      <w:r w:rsidRPr="007634E5">
        <w:rPr>
          <w:rFonts w:ascii="Times New Roman" w:hAnsi="Times New Roman" w:cs="Times New Roman"/>
          <w:i/>
          <w:iCs/>
          <w:sz w:val="24"/>
          <w:szCs w:val="24"/>
        </w:rPr>
        <w:t>J. Comput. Chem.</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2009</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30</w:t>
      </w:r>
      <w:r w:rsidRPr="007634E5">
        <w:rPr>
          <w:rFonts w:ascii="Times New Roman" w:hAnsi="Times New Roman" w:cs="Times New Roman"/>
          <w:sz w:val="24"/>
          <w:szCs w:val="24"/>
        </w:rPr>
        <w:t xml:space="preserve"> (10), 1545–1614. https://doi.org/10.1002/jcc.21287.</w:t>
      </w:r>
    </w:p>
    <w:p w14:paraId="100AC66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(89) </w:t>
      </w:r>
      <w:r w:rsidRPr="007634E5">
        <w:rPr>
          <w:rFonts w:ascii="Times New Roman" w:hAnsi="Times New Roman" w:cs="Times New Roman"/>
          <w:sz w:val="24"/>
          <w:szCs w:val="24"/>
        </w:rPr>
        <w:tab/>
        <w:t xml:space="preserve">Lee, J.; Cheng, X.; Swails, J. M.; Yeom, M. S.; Eastman, P. K.; Lemkul, J. A.; Wei, S.; Buckner, J.; Jeong, J. C.; Qi, Y.; Jo, S.; Pande, V. S.; Case, D. A.; Brooks, C. L.; MacKerell, A. D.; Klauda, J. B.; Im, W. CHARMM-GUI Input Generator for NAMD, GROMACS, AMBER, OpenMM, and CHARMM/OpenMM Simulations Using the CHARMM36 Additive Force Field. </w:t>
      </w:r>
      <w:r w:rsidRPr="007634E5">
        <w:rPr>
          <w:rFonts w:ascii="Times New Roman" w:hAnsi="Times New Roman" w:cs="Times New Roman"/>
          <w:i/>
          <w:iCs/>
          <w:sz w:val="24"/>
          <w:szCs w:val="24"/>
        </w:rPr>
        <w:t>J. Chem. Theory Comput.</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2016</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12</w:t>
      </w:r>
      <w:r w:rsidRPr="007634E5">
        <w:rPr>
          <w:rFonts w:ascii="Times New Roman" w:hAnsi="Times New Roman" w:cs="Times New Roman"/>
          <w:sz w:val="24"/>
          <w:szCs w:val="24"/>
        </w:rPr>
        <w:t xml:space="preserve"> (1), 405–413. https://doi.org/10.1021/acs.jctc.5b00935.</w:t>
      </w:r>
    </w:p>
    <w:p w14:paraId="08694D8F"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(90) </w:t>
      </w:r>
      <w:r w:rsidRPr="007634E5">
        <w:rPr>
          <w:rFonts w:ascii="Times New Roman" w:hAnsi="Times New Roman" w:cs="Times New Roman"/>
          <w:sz w:val="24"/>
          <w:szCs w:val="24"/>
        </w:rPr>
        <w:tab/>
        <w:t xml:space="preserve">Jo, S.; Kim, T.; Iyer, V. G.; Im, W. CHARMM-GUI: A Web-Based Graphical User Interface for CHARMM. </w:t>
      </w:r>
      <w:r w:rsidRPr="007634E5">
        <w:rPr>
          <w:rFonts w:ascii="Times New Roman" w:hAnsi="Times New Roman" w:cs="Times New Roman"/>
          <w:i/>
          <w:iCs/>
          <w:sz w:val="24"/>
          <w:szCs w:val="24"/>
        </w:rPr>
        <w:t>J. Comput. Chem.</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2008</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29</w:t>
      </w:r>
      <w:r w:rsidRPr="007634E5">
        <w:rPr>
          <w:rFonts w:ascii="Times New Roman" w:hAnsi="Times New Roman" w:cs="Times New Roman"/>
          <w:sz w:val="24"/>
          <w:szCs w:val="24"/>
        </w:rPr>
        <w:t xml:space="preserve"> (11), 1859–1865. https://doi.org/10.1002/jcc.20945.</w:t>
      </w:r>
    </w:p>
    <w:p w14:paraId="4AD12404"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(91) </w:t>
      </w:r>
      <w:r w:rsidRPr="007634E5">
        <w:rPr>
          <w:rFonts w:ascii="Times New Roman" w:hAnsi="Times New Roman" w:cs="Times New Roman"/>
          <w:sz w:val="24"/>
          <w:szCs w:val="24"/>
        </w:rPr>
        <w:tab/>
        <w:t xml:space="preserve">Louisnathan, S. J.; Hill, R. J.; Gibbs, G. V. Tetrahedral Bond Length Variations in Sulfates. </w:t>
      </w:r>
      <w:r w:rsidRPr="007634E5">
        <w:rPr>
          <w:rFonts w:ascii="Times New Roman" w:hAnsi="Times New Roman" w:cs="Times New Roman"/>
          <w:i/>
          <w:iCs/>
          <w:sz w:val="24"/>
          <w:szCs w:val="24"/>
        </w:rPr>
        <w:t>Phys. Chem. Miner.</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1977</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w:t>
      </w:r>
      <w:r w:rsidRPr="007634E5">
        <w:rPr>
          <w:rFonts w:ascii="Times New Roman" w:hAnsi="Times New Roman" w:cs="Times New Roman"/>
          <w:sz w:val="24"/>
          <w:szCs w:val="24"/>
        </w:rPr>
        <w:t xml:space="preserve"> (1), 53–69. https://doi.org/10.1007/BF00307979.</w:t>
      </w:r>
    </w:p>
    <w:p w14:paraId="545F88B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(92) </w:t>
      </w:r>
      <w:r w:rsidRPr="007634E5">
        <w:rPr>
          <w:rFonts w:ascii="Times New Roman" w:hAnsi="Times New Roman" w:cs="Times New Roman"/>
          <w:sz w:val="24"/>
          <w:szCs w:val="24"/>
        </w:rPr>
        <w:tab/>
        <w:t xml:space="preserve">Eklund, L.; Persson, I. Structure and Hydrogen Bonding of the Hydrated Selenite and Selenate Ions in Aqueous Solution. </w:t>
      </w:r>
      <w:r w:rsidRPr="007634E5">
        <w:rPr>
          <w:rFonts w:ascii="Times New Roman" w:hAnsi="Times New Roman" w:cs="Times New Roman"/>
          <w:i/>
          <w:iCs/>
          <w:sz w:val="24"/>
          <w:szCs w:val="24"/>
        </w:rPr>
        <w:t>Dalton Trans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2014</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43</w:t>
      </w:r>
      <w:r w:rsidRPr="007634E5">
        <w:rPr>
          <w:rFonts w:ascii="Times New Roman" w:hAnsi="Times New Roman" w:cs="Times New Roman"/>
          <w:sz w:val="24"/>
          <w:szCs w:val="24"/>
        </w:rPr>
        <w:t xml:space="preserve"> (17), 6315–6321. https://doi.org/10.1039/C3DT53468E.</w:t>
      </w:r>
    </w:p>
    <w:p w14:paraId="700CB775"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(93) </w:t>
      </w:r>
      <w:r w:rsidRPr="007634E5">
        <w:rPr>
          <w:rFonts w:ascii="Times New Roman" w:hAnsi="Times New Roman" w:cs="Times New Roman"/>
          <w:sz w:val="24"/>
          <w:szCs w:val="24"/>
        </w:rPr>
        <w:tab/>
        <w:t xml:space="preserve">Scott, W. R. P.; Hünenberger, P. H.; Tironi, I. G.; Mark, A. E.; Billeter, S. R.; Fennen, J.; Torda, A. E.; Huber, T.; Krüger, P.; van Gunsteren, W. F. The GROMOS Biomolecular Simulation Program Package. </w:t>
      </w:r>
      <w:r w:rsidRPr="007634E5">
        <w:rPr>
          <w:rFonts w:ascii="Times New Roman" w:hAnsi="Times New Roman" w:cs="Times New Roman"/>
          <w:i/>
          <w:iCs/>
          <w:sz w:val="24"/>
          <w:szCs w:val="24"/>
        </w:rPr>
        <w:t>J. Phys. Chem. A</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1999</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103</w:t>
      </w:r>
      <w:r w:rsidRPr="007634E5">
        <w:rPr>
          <w:rFonts w:ascii="Times New Roman" w:hAnsi="Times New Roman" w:cs="Times New Roman"/>
          <w:sz w:val="24"/>
          <w:szCs w:val="24"/>
        </w:rPr>
        <w:t xml:space="preserve"> (19), 3596–3607. https://doi.org/10.1021/jp984217f.</w:t>
      </w:r>
    </w:p>
    <w:p w14:paraId="32E701AF"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(94) </w:t>
      </w:r>
      <w:r w:rsidRPr="007634E5">
        <w:rPr>
          <w:rFonts w:ascii="Times New Roman" w:hAnsi="Times New Roman" w:cs="Times New Roman"/>
          <w:sz w:val="24"/>
          <w:szCs w:val="24"/>
        </w:rPr>
        <w:tab/>
        <w:t xml:space="preserve">Oostenbrink, C.; Villa, A.; Mark, A. E.; Van Gunsteren, W. F. A Biomolecular Force Field Based on the Free Enthalpy of Hydration and Solvation: The GROMOS Force-Field </w:t>
      </w:r>
      <w:r w:rsidRPr="007634E5">
        <w:rPr>
          <w:rFonts w:ascii="Times New Roman" w:hAnsi="Times New Roman" w:cs="Times New Roman"/>
          <w:sz w:val="24"/>
          <w:szCs w:val="24"/>
        </w:rPr>
        <w:lastRenderedPageBreak/>
        <w:t xml:space="preserve">Parameter Sets 53A5 and 53A6. </w:t>
      </w:r>
      <w:r w:rsidRPr="007634E5">
        <w:rPr>
          <w:rFonts w:ascii="Times New Roman" w:hAnsi="Times New Roman" w:cs="Times New Roman"/>
          <w:i/>
          <w:iCs/>
          <w:sz w:val="24"/>
          <w:szCs w:val="24"/>
        </w:rPr>
        <w:t>J. Comput. Chem.</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2004</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25</w:t>
      </w:r>
      <w:r w:rsidRPr="007634E5">
        <w:rPr>
          <w:rFonts w:ascii="Times New Roman" w:hAnsi="Times New Roman" w:cs="Times New Roman"/>
          <w:sz w:val="24"/>
          <w:szCs w:val="24"/>
        </w:rPr>
        <w:t xml:space="preserve"> (13), 1656–1676. https://doi.org/10.1002/jcc.20090.</w:t>
      </w:r>
    </w:p>
    <w:p w14:paraId="63386BEA"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(95) </w:t>
      </w:r>
      <w:r w:rsidRPr="007634E5">
        <w:rPr>
          <w:rFonts w:ascii="Times New Roman" w:hAnsi="Times New Roman" w:cs="Times New Roman"/>
          <w:sz w:val="24"/>
          <w:szCs w:val="24"/>
        </w:rPr>
        <w:tab/>
        <w:t xml:space="preserve">Darden, T.; York, D.; Pedersen, L. Particle Mesh Ewald: An </w:t>
      </w:r>
      <w:r w:rsidRPr="007634E5">
        <w:rPr>
          <w:rFonts w:ascii="Times New Roman" w:hAnsi="Times New Roman" w:cs="Times New Roman"/>
          <w:i/>
          <w:iCs/>
          <w:sz w:val="24"/>
          <w:szCs w:val="24"/>
        </w:rPr>
        <w:t>N</w:t>
      </w:r>
      <w:r w:rsidRPr="007634E5">
        <w:rPr>
          <w:rFonts w:ascii="Times New Roman" w:hAnsi="Times New Roman" w:cs="Times New Roman"/>
          <w:sz w:val="24"/>
          <w:szCs w:val="24"/>
        </w:rPr>
        <w:t xml:space="preserve"> </w:t>
      </w:r>
      <w:r w:rsidRPr="007634E5">
        <w:rPr>
          <w:rFonts w:ascii="Cambria Math" w:hAnsi="Cambria Math" w:cs="Cambria Math"/>
          <w:sz w:val="24"/>
          <w:szCs w:val="24"/>
        </w:rPr>
        <w:t>⋅</w:t>
      </w:r>
      <w:r w:rsidRPr="007634E5">
        <w:rPr>
          <w:rFonts w:ascii="Times New Roman" w:hAnsi="Times New Roman" w:cs="Times New Roman"/>
          <w:sz w:val="24"/>
          <w:szCs w:val="24"/>
        </w:rPr>
        <w:t xml:space="preserve">log( </w:t>
      </w:r>
      <w:r w:rsidRPr="007634E5">
        <w:rPr>
          <w:rFonts w:ascii="Times New Roman" w:hAnsi="Times New Roman" w:cs="Times New Roman"/>
          <w:i/>
          <w:iCs/>
          <w:sz w:val="24"/>
          <w:szCs w:val="24"/>
        </w:rPr>
        <w:t>N</w:t>
      </w:r>
      <w:r w:rsidRPr="007634E5">
        <w:rPr>
          <w:rFonts w:ascii="Times New Roman" w:hAnsi="Times New Roman" w:cs="Times New Roman"/>
          <w:sz w:val="24"/>
          <w:szCs w:val="24"/>
        </w:rPr>
        <w:t xml:space="preserve"> ) Method for Ewald Sums in Large Systems. </w:t>
      </w:r>
      <w:r w:rsidRPr="007634E5">
        <w:rPr>
          <w:rFonts w:ascii="Times New Roman" w:hAnsi="Times New Roman" w:cs="Times New Roman"/>
          <w:i/>
          <w:iCs/>
          <w:sz w:val="24"/>
          <w:szCs w:val="24"/>
        </w:rPr>
        <w:t>J. Chem. Phys.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1993</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98</w:t>
      </w:r>
      <w:r w:rsidRPr="007634E5">
        <w:rPr>
          <w:rFonts w:ascii="Times New Roman" w:hAnsi="Times New Roman" w:cs="Times New Roman"/>
          <w:sz w:val="24"/>
          <w:szCs w:val="24"/>
        </w:rPr>
        <w:t xml:space="preserve"> (12), 10089–10092. https://doi.org/10.1063/1.464397.</w:t>
      </w:r>
    </w:p>
    <w:p w14:paraId="0690EBF1"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(96) </w:t>
      </w:r>
      <w:r w:rsidRPr="007634E5">
        <w:rPr>
          <w:rFonts w:ascii="Times New Roman" w:hAnsi="Times New Roman" w:cs="Times New Roman"/>
          <w:sz w:val="24"/>
          <w:szCs w:val="24"/>
        </w:rPr>
        <w:tab/>
        <w:t xml:space="preserve">Shi, Y.; Beck, T. L. Absolute Ion Hydration Free Energy Scale and the Surface Potential of Water via Quantum Simulation. </w:t>
      </w:r>
      <w:r w:rsidRPr="007634E5">
        <w:rPr>
          <w:rFonts w:ascii="Times New Roman" w:hAnsi="Times New Roman" w:cs="Times New Roman"/>
          <w:i/>
          <w:iCs/>
          <w:sz w:val="24"/>
          <w:szCs w:val="24"/>
        </w:rPr>
        <w:t>Proc. Natl. Acad. Sci.</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117</w:t>
      </w:r>
      <w:r w:rsidRPr="007634E5">
        <w:rPr>
          <w:rFonts w:ascii="Times New Roman" w:hAnsi="Times New Roman" w:cs="Times New Roman"/>
          <w:sz w:val="24"/>
          <w:szCs w:val="24"/>
        </w:rPr>
        <w:t xml:space="preserve"> (48), 30151–30158. https://doi.org/10.1073/pnas.2017214117.</w:t>
      </w:r>
    </w:p>
    <w:p w14:paraId="00B840AA"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(97) </w:t>
      </w:r>
      <w:r w:rsidRPr="007634E5">
        <w:rPr>
          <w:rFonts w:ascii="Times New Roman" w:hAnsi="Times New Roman" w:cs="Times New Roman"/>
          <w:sz w:val="24"/>
          <w:szCs w:val="24"/>
        </w:rPr>
        <w:tab/>
        <w:t xml:space="preserve">Smith, E. J.; Bryk, T.; Haymet, A. D. J. Free Energy of Solvation of Simple Ions: Molecular-Dynamics Study of Solvation of Cl− and Na+ in the Ice/Water Interface. </w:t>
      </w:r>
      <w:r w:rsidRPr="007634E5">
        <w:rPr>
          <w:rFonts w:ascii="Times New Roman" w:hAnsi="Times New Roman" w:cs="Times New Roman"/>
          <w:i/>
          <w:iCs/>
          <w:sz w:val="24"/>
          <w:szCs w:val="24"/>
        </w:rPr>
        <w:t>J. Chem. Phys.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2005</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123</w:t>
      </w:r>
      <w:r w:rsidRPr="007634E5">
        <w:rPr>
          <w:rFonts w:ascii="Times New Roman" w:hAnsi="Times New Roman" w:cs="Times New Roman"/>
          <w:sz w:val="24"/>
          <w:szCs w:val="24"/>
        </w:rPr>
        <w:t xml:space="preserve"> (3), 034706. https://doi.org/10.1063/1.1953578.</w:t>
      </w:r>
    </w:p>
    <w:p w14:paraId="37957181"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(98) </w:t>
      </w:r>
      <w:r w:rsidRPr="007634E5">
        <w:rPr>
          <w:rFonts w:ascii="Times New Roman" w:hAnsi="Times New Roman" w:cs="Times New Roman"/>
          <w:sz w:val="24"/>
          <w:szCs w:val="24"/>
        </w:rPr>
        <w:tab/>
        <w:t xml:space="preserve">Sandler, S. I. </w:t>
      </w:r>
      <w:r w:rsidRPr="007634E5">
        <w:rPr>
          <w:rFonts w:ascii="Times New Roman" w:hAnsi="Times New Roman" w:cs="Times New Roman"/>
          <w:i/>
          <w:iCs/>
          <w:sz w:val="24"/>
          <w:szCs w:val="24"/>
        </w:rPr>
        <w:t>Chemical, Biochemical, and Engineering Thermodynamics</w:t>
      </w:r>
      <w:r w:rsidRPr="007634E5">
        <w:rPr>
          <w:rFonts w:ascii="Times New Roman" w:hAnsi="Times New Roman" w:cs="Times New Roman"/>
          <w:sz w:val="24"/>
          <w:szCs w:val="24"/>
        </w:rPr>
        <w:t>, 5th ed.; Wiley, 2017.</w:t>
      </w:r>
    </w:p>
    <w:p w14:paraId="7B304118"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(99) </w:t>
      </w:r>
      <w:r w:rsidRPr="007634E5">
        <w:rPr>
          <w:rFonts w:ascii="Times New Roman" w:hAnsi="Times New Roman" w:cs="Times New Roman"/>
          <w:sz w:val="24"/>
          <w:szCs w:val="24"/>
        </w:rPr>
        <w:tab/>
        <w:t xml:space="preserve">Diisopropylamine Safety Data Sheet. </w:t>
      </w:r>
      <w:r w:rsidRPr="007634E5">
        <w:rPr>
          <w:rFonts w:ascii="Times New Roman" w:hAnsi="Times New Roman" w:cs="Times New Roman"/>
          <w:i/>
          <w:iCs/>
          <w:sz w:val="24"/>
          <w:szCs w:val="24"/>
        </w:rPr>
        <w:t>Sigma-Aldrich</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2022</w:t>
      </w:r>
      <w:r w:rsidRPr="007634E5">
        <w:rPr>
          <w:rFonts w:ascii="Times New Roman" w:hAnsi="Times New Roman" w:cs="Times New Roman"/>
          <w:sz w:val="24"/>
          <w:szCs w:val="24"/>
        </w:rPr>
        <w:t>, 11.</w:t>
      </w:r>
    </w:p>
    <w:p w14:paraId="053E3C38"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(100) </w:t>
      </w:r>
      <w:r w:rsidRPr="007634E5">
        <w:rPr>
          <w:rFonts w:ascii="Times New Roman" w:hAnsi="Times New Roman" w:cs="Times New Roman"/>
          <w:sz w:val="24"/>
          <w:szCs w:val="24"/>
        </w:rPr>
        <w:tab/>
        <w:t xml:space="preserve">Decanoic Acid Safety Data Sheet. </w:t>
      </w:r>
      <w:r w:rsidRPr="007634E5">
        <w:rPr>
          <w:rFonts w:ascii="Times New Roman" w:hAnsi="Times New Roman" w:cs="Times New Roman"/>
          <w:i/>
          <w:iCs/>
          <w:sz w:val="24"/>
          <w:szCs w:val="24"/>
        </w:rPr>
        <w:t>Sigma-Aldrich</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2021</w:t>
      </w:r>
      <w:r w:rsidRPr="007634E5">
        <w:rPr>
          <w:rFonts w:ascii="Times New Roman" w:hAnsi="Times New Roman" w:cs="Times New Roman"/>
          <w:sz w:val="24"/>
          <w:szCs w:val="24"/>
        </w:rPr>
        <w:t>, 9.</w:t>
      </w:r>
    </w:p>
    <w:p w14:paraId="3F98E59E"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(101) </w:t>
      </w:r>
      <w:r w:rsidRPr="007634E5">
        <w:rPr>
          <w:rFonts w:ascii="Times New Roman" w:hAnsi="Times New Roman" w:cs="Times New Roman"/>
          <w:sz w:val="24"/>
          <w:szCs w:val="24"/>
        </w:rPr>
        <w:tab/>
        <w:t xml:space="preserve">Rodhe, H. A Comparison of the Contribution of Various Gases to the Greenhouse Effect. </w:t>
      </w:r>
      <w:r w:rsidRPr="007634E5">
        <w:rPr>
          <w:rFonts w:ascii="Times New Roman" w:hAnsi="Times New Roman" w:cs="Times New Roman"/>
          <w:i/>
          <w:iCs/>
          <w:sz w:val="24"/>
          <w:szCs w:val="24"/>
        </w:rPr>
        <w:t>Science</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1990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248</w:t>
      </w:r>
      <w:r w:rsidRPr="007634E5">
        <w:rPr>
          <w:rFonts w:ascii="Times New Roman" w:hAnsi="Times New Roman" w:cs="Times New Roman"/>
          <w:sz w:val="24"/>
          <w:szCs w:val="24"/>
        </w:rPr>
        <w:t xml:space="preserve"> (4960), 1217–1219. https://doi.org/10.1126/science.248.4960.1217.</w:t>
      </w:r>
    </w:p>
    <w:p w14:paraId="67ADBDDB"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(102) </w:t>
      </w:r>
      <w:r w:rsidRPr="007634E5">
        <w:rPr>
          <w:rFonts w:ascii="Times New Roman" w:hAnsi="Times New Roman" w:cs="Times New Roman"/>
          <w:sz w:val="24"/>
          <w:szCs w:val="24"/>
        </w:rPr>
        <w:tab/>
        <w:t xml:space="preserve">Peng, J.; Wang, S. Performance and Characterization of Supported Metal Catalysts for Complete Oxidation of Formaldehyde at Low Temperatures. </w:t>
      </w:r>
      <w:r w:rsidRPr="007634E5">
        <w:rPr>
          <w:rFonts w:ascii="Times New Roman" w:hAnsi="Times New Roman" w:cs="Times New Roman"/>
          <w:i/>
          <w:iCs/>
          <w:sz w:val="24"/>
          <w:szCs w:val="24"/>
        </w:rPr>
        <w:t>Appl. Catal. B Environ.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2007</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73</w:t>
      </w:r>
      <w:r w:rsidRPr="007634E5">
        <w:rPr>
          <w:rFonts w:ascii="Times New Roman" w:hAnsi="Times New Roman" w:cs="Times New Roman"/>
          <w:sz w:val="24"/>
          <w:szCs w:val="24"/>
        </w:rPr>
        <w:t xml:space="preserve"> (3–4), 282–291. https://doi.org/10.1016/j.apcatb.2006.12.012.</w:t>
      </w:r>
    </w:p>
    <w:p w14:paraId="0F596423"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(103) </w:t>
      </w:r>
      <w:r w:rsidRPr="007634E5">
        <w:rPr>
          <w:rFonts w:ascii="Times New Roman" w:hAnsi="Times New Roman" w:cs="Times New Roman"/>
          <w:sz w:val="24"/>
          <w:szCs w:val="24"/>
        </w:rPr>
        <w:tab/>
        <w:t xml:space="preserve">Lakshmanan, P.; Delannoy, L.; Richard, V.; Méthivier, C.; Potvin, C.; Louis, C. Total Oxidation of Propene over Au/XCeO2-Al2O3 Catalysts: Influence of the CeO2 Loading and the Activation Treatment. </w:t>
      </w:r>
      <w:r w:rsidRPr="007634E5">
        <w:rPr>
          <w:rFonts w:ascii="Times New Roman" w:hAnsi="Times New Roman" w:cs="Times New Roman"/>
          <w:i/>
          <w:iCs/>
          <w:sz w:val="24"/>
          <w:szCs w:val="24"/>
        </w:rPr>
        <w:t>Appl. Catal. B Environ.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96</w:t>
      </w:r>
      <w:r w:rsidRPr="007634E5">
        <w:rPr>
          <w:rFonts w:ascii="Times New Roman" w:hAnsi="Times New Roman" w:cs="Times New Roman"/>
          <w:sz w:val="24"/>
          <w:szCs w:val="24"/>
        </w:rPr>
        <w:t xml:space="preserve"> (1–2), 117–125. https://doi.org/10.1016/j.apcatb.2010.02.009.</w:t>
      </w:r>
    </w:p>
    <w:p w14:paraId="73634391"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(104) </w:t>
      </w:r>
      <w:r w:rsidRPr="007634E5">
        <w:rPr>
          <w:rFonts w:ascii="Times New Roman" w:hAnsi="Times New Roman" w:cs="Times New Roman"/>
          <w:sz w:val="24"/>
          <w:szCs w:val="24"/>
        </w:rPr>
        <w:tab/>
        <w:t xml:space="preserve">Amann, M.; Lutz, M. The Revision of the Air Quality Legislation in the European Union Related to Ground-Level Ozoneq. </w:t>
      </w:r>
      <w:r w:rsidRPr="007634E5">
        <w:rPr>
          <w:rFonts w:ascii="Times New Roman" w:hAnsi="Times New Roman" w:cs="Times New Roman"/>
          <w:b/>
          <w:bCs/>
          <w:sz w:val="24"/>
          <w:szCs w:val="24"/>
        </w:rPr>
        <w:t>2000</w:t>
      </w:r>
      <w:r w:rsidRPr="007634E5">
        <w:rPr>
          <w:rFonts w:ascii="Times New Roman" w:hAnsi="Times New Roman" w:cs="Times New Roman"/>
          <w:sz w:val="24"/>
          <w:szCs w:val="24"/>
        </w:rPr>
        <w:t>, 22.</w:t>
      </w:r>
    </w:p>
    <w:p w14:paraId="4223FC00"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(105) </w:t>
      </w:r>
      <w:r w:rsidRPr="007634E5">
        <w:rPr>
          <w:rFonts w:ascii="Times New Roman" w:hAnsi="Times New Roman" w:cs="Times New Roman"/>
          <w:sz w:val="24"/>
          <w:szCs w:val="24"/>
        </w:rPr>
        <w:tab/>
        <w:t xml:space="preserve">Kamal, M. S.; Razzak, S. A.; Hossain, M. M. Catalytic Oxidation of Volatile Organic Compounds (VOCs) – A Review. </w:t>
      </w:r>
      <w:r w:rsidRPr="007634E5">
        <w:rPr>
          <w:rFonts w:ascii="Times New Roman" w:hAnsi="Times New Roman" w:cs="Times New Roman"/>
          <w:i/>
          <w:iCs/>
          <w:sz w:val="24"/>
          <w:szCs w:val="24"/>
        </w:rPr>
        <w:t>Atmos. Environ.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2016</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140</w:t>
      </w:r>
      <w:r w:rsidRPr="007634E5">
        <w:rPr>
          <w:rFonts w:ascii="Times New Roman" w:hAnsi="Times New Roman" w:cs="Times New Roman"/>
          <w:sz w:val="24"/>
          <w:szCs w:val="24"/>
        </w:rPr>
        <w:t>, 117–134. https://doi.org/10.1016/j.atmosenv.2016.05.031.</w:t>
      </w:r>
    </w:p>
    <w:p w14:paraId="79875C3F"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(106) </w:t>
      </w:r>
      <w:r w:rsidRPr="007634E5">
        <w:rPr>
          <w:rFonts w:ascii="Times New Roman" w:hAnsi="Times New Roman" w:cs="Times New Roman"/>
          <w:sz w:val="24"/>
          <w:szCs w:val="24"/>
        </w:rPr>
        <w:tab/>
        <w:t>Marcus, Y. Ionic Radii in Aqueous Solutions. 24.</w:t>
      </w:r>
    </w:p>
    <w:p w14:paraId="58EACB54"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(107) </w:t>
      </w:r>
      <w:r w:rsidRPr="007634E5">
        <w:rPr>
          <w:rFonts w:ascii="Times New Roman" w:hAnsi="Times New Roman" w:cs="Times New Roman"/>
          <w:sz w:val="24"/>
          <w:szCs w:val="24"/>
        </w:rPr>
        <w:tab/>
        <w:t xml:space="preserve">Wang, W.; Du, X.; Vahabi, H.; Zhao, S.; Yin, Y.; Kota, A. K.; Tong, T. Trade-off in Membrane Distillation with Monolithic Omniphobic Membranes. </w:t>
      </w:r>
      <w:r w:rsidRPr="007634E5">
        <w:rPr>
          <w:rFonts w:ascii="Times New Roman" w:hAnsi="Times New Roman" w:cs="Times New Roman"/>
          <w:i/>
          <w:iCs/>
          <w:sz w:val="24"/>
          <w:szCs w:val="24"/>
        </w:rPr>
        <w:t>Nat. Commun.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2019</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10</w:t>
      </w:r>
      <w:r w:rsidRPr="007634E5">
        <w:rPr>
          <w:rFonts w:ascii="Times New Roman" w:hAnsi="Times New Roman" w:cs="Times New Roman"/>
          <w:sz w:val="24"/>
          <w:szCs w:val="24"/>
        </w:rPr>
        <w:t xml:space="preserve"> (1), 3220. https://doi.org/10.1038/s41467-019-11209-6.</w:t>
      </w:r>
    </w:p>
    <w:p w14:paraId="42874BD4"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(108) </w:t>
      </w:r>
      <w:r w:rsidRPr="007634E5">
        <w:rPr>
          <w:rFonts w:ascii="Times New Roman" w:hAnsi="Times New Roman" w:cs="Times New Roman"/>
          <w:sz w:val="24"/>
          <w:szCs w:val="24"/>
        </w:rPr>
        <w:tab/>
        <w:t xml:space="preserve">Cardona, J.; Jorge, M.; Lue, L. Simple Corrections for the Static Dielectric Constant of Liquid Mixtures from Model Force Fields. </w:t>
      </w:r>
      <w:r w:rsidRPr="007634E5">
        <w:rPr>
          <w:rFonts w:ascii="Times New Roman" w:hAnsi="Times New Roman" w:cs="Times New Roman"/>
          <w:i/>
          <w:iCs/>
          <w:sz w:val="24"/>
          <w:szCs w:val="24"/>
        </w:rPr>
        <w:t>Phys. Chem. Chem. Phys.</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22</w:t>
      </w:r>
      <w:r w:rsidRPr="007634E5">
        <w:rPr>
          <w:rFonts w:ascii="Times New Roman" w:hAnsi="Times New Roman" w:cs="Times New Roman"/>
          <w:sz w:val="24"/>
          <w:szCs w:val="24"/>
        </w:rPr>
        <w:t xml:space="preserve"> (38), 21741–21749. https://doi.org/10.1039/D0CP04034G.</w:t>
      </w:r>
    </w:p>
    <w:p w14:paraId="5B74D696"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lastRenderedPageBreak/>
        <w:t xml:space="preserve">(109) </w:t>
      </w:r>
      <w:r w:rsidRPr="007634E5">
        <w:rPr>
          <w:rFonts w:ascii="Times New Roman" w:hAnsi="Times New Roman" w:cs="Times New Roman"/>
          <w:sz w:val="24"/>
          <w:szCs w:val="24"/>
        </w:rPr>
        <w:tab/>
        <w:t xml:space="preserve">Abolghassemi Fakhree, M. A.; Delgado, D. R.; Martínez, F.; Jouyban, A. The Importance of Dielectric Constant for Drug Solubility Prediction in Binary Solvent Mixtures: Electrolytes and Zwitterions in Water + Ethanol. </w:t>
      </w:r>
      <w:r w:rsidRPr="007634E5">
        <w:rPr>
          <w:rFonts w:ascii="Times New Roman" w:hAnsi="Times New Roman" w:cs="Times New Roman"/>
          <w:i/>
          <w:iCs/>
          <w:sz w:val="24"/>
          <w:szCs w:val="24"/>
        </w:rPr>
        <w:t>AAPS PharmSciTech</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11</w:t>
      </w:r>
      <w:r w:rsidRPr="007634E5">
        <w:rPr>
          <w:rFonts w:ascii="Times New Roman" w:hAnsi="Times New Roman" w:cs="Times New Roman"/>
          <w:sz w:val="24"/>
          <w:szCs w:val="24"/>
        </w:rPr>
        <w:t xml:space="preserve"> (4), 1726–1729. https://doi.org/10.1208/s12249-010-9552-3.</w:t>
      </w:r>
    </w:p>
    <w:p w14:paraId="2C5918C7"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(110) </w:t>
      </w:r>
      <w:r w:rsidRPr="007634E5">
        <w:rPr>
          <w:rFonts w:ascii="Times New Roman" w:hAnsi="Times New Roman" w:cs="Times New Roman"/>
          <w:sz w:val="24"/>
          <w:szCs w:val="24"/>
        </w:rPr>
        <w:tab/>
        <w:t>Phadke, R. S. Studies in the Dielectric Constants of Fatty Acids.</w:t>
      </w:r>
    </w:p>
    <w:p w14:paraId="71184D6D"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(111) </w:t>
      </w:r>
      <w:r w:rsidRPr="007634E5">
        <w:rPr>
          <w:rFonts w:ascii="Times New Roman" w:hAnsi="Times New Roman" w:cs="Times New Roman"/>
          <w:sz w:val="24"/>
          <w:szCs w:val="24"/>
        </w:rPr>
        <w:tab/>
        <w:t xml:space="preserve">Ascani, M.; Held, C. Prediction of Salting-out in Liquid-Liquid Two-Phase Systems with EPC-SAFT: Effect of the Born Term and of a Concentration-Dependent Dielectric Constant. </w:t>
      </w:r>
      <w:r w:rsidRPr="007634E5">
        <w:rPr>
          <w:rFonts w:ascii="Times New Roman" w:hAnsi="Times New Roman" w:cs="Times New Roman"/>
          <w:i/>
          <w:iCs/>
          <w:sz w:val="24"/>
          <w:szCs w:val="24"/>
        </w:rPr>
        <w:t>J. Inorg. Gen. Chem.</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2021</w:t>
      </w:r>
      <w:r w:rsidRPr="007634E5">
        <w:rPr>
          <w:rFonts w:ascii="Times New Roman" w:hAnsi="Times New Roman" w:cs="Times New Roman"/>
          <w:sz w:val="24"/>
          <w:szCs w:val="24"/>
        </w:rPr>
        <w:t>, No. 647, 1305–1314. https://doi.org/10.1002/zaac.202100032.</w:t>
      </w:r>
    </w:p>
    <w:p w14:paraId="4C5F4535"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(112) </w:t>
      </w:r>
      <w:r w:rsidRPr="007634E5">
        <w:rPr>
          <w:rFonts w:ascii="Times New Roman" w:hAnsi="Times New Roman" w:cs="Times New Roman"/>
          <w:sz w:val="24"/>
          <w:szCs w:val="24"/>
        </w:rPr>
        <w:tab/>
        <w:t xml:space="preserve">Neumaier, L.; Schilling, J.; Bardow, A.; Gross, J. Dielectric Constant of Mixed Solvents Based on Perturbation Theory. </w:t>
      </w:r>
      <w:r w:rsidRPr="007634E5">
        <w:rPr>
          <w:rFonts w:ascii="Times New Roman" w:hAnsi="Times New Roman" w:cs="Times New Roman"/>
          <w:i/>
          <w:iCs/>
          <w:sz w:val="24"/>
          <w:szCs w:val="24"/>
        </w:rPr>
        <w:t>Fluid Phase Equilibria</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2022</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555</w:t>
      </w:r>
      <w:r w:rsidRPr="007634E5">
        <w:rPr>
          <w:rFonts w:ascii="Times New Roman" w:hAnsi="Times New Roman" w:cs="Times New Roman"/>
          <w:sz w:val="24"/>
          <w:szCs w:val="24"/>
        </w:rPr>
        <w:t>, 113346. https://doi.org/10.1016/j.fluid.2021.113346.</w:t>
      </w:r>
    </w:p>
    <w:p w14:paraId="7DEEF0C5"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(113) </w:t>
      </w:r>
      <w:r w:rsidRPr="007634E5">
        <w:rPr>
          <w:rFonts w:ascii="Times New Roman" w:hAnsi="Times New Roman" w:cs="Times New Roman"/>
          <w:sz w:val="24"/>
          <w:szCs w:val="24"/>
        </w:rPr>
        <w:tab/>
        <w:t xml:space="preserve">Martinetti, C. R.; Childress, A. E.; Cath, T. Y. High Recovery of Concentrated RO Brines Using Forward Osmosis and Membrane Distillation. </w:t>
      </w:r>
      <w:r w:rsidRPr="007634E5">
        <w:rPr>
          <w:rFonts w:ascii="Times New Roman" w:hAnsi="Times New Roman" w:cs="Times New Roman"/>
          <w:i/>
          <w:iCs/>
          <w:sz w:val="24"/>
          <w:szCs w:val="24"/>
        </w:rPr>
        <w:t>J. Membr. Sci.</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2009</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331</w:t>
      </w:r>
      <w:r w:rsidRPr="007634E5">
        <w:rPr>
          <w:rFonts w:ascii="Times New Roman" w:hAnsi="Times New Roman" w:cs="Times New Roman"/>
          <w:sz w:val="24"/>
          <w:szCs w:val="24"/>
        </w:rPr>
        <w:t xml:space="preserve"> (1–2), 31–39. https://doi.org/10.1016/j.memsci.2009.01.003.</w:t>
      </w:r>
    </w:p>
    <w:p w14:paraId="5297B2B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(114) </w:t>
      </w:r>
      <w:r w:rsidRPr="007634E5">
        <w:rPr>
          <w:rFonts w:ascii="Times New Roman" w:hAnsi="Times New Roman" w:cs="Times New Roman"/>
          <w:sz w:val="24"/>
          <w:szCs w:val="24"/>
        </w:rPr>
        <w:tab/>
        <w:t xml:space="preserve">Shannon, M. A.; Bohn, P. W.; Elimelech, M.; Georgiadis, J. G.; Mariñas, B. J.; Mayes, A. M. Science and Technology for Water Purification in the Coming Decades. </w:t>
      </w:r>
      <w:r w:rsidRPr="007634E5">
        <w:rPr>
          <w:rFonts w:ascii="Times New Roman" w:hAnsi="Times New Roman" w:cs="Times New Roman"/>
          <w:i/>
          <w:iCs/>
          <w:sz w:val="24"/>
          <w:szCs w:val="24"/>
        </w:rPr>
        <w:t>Nature</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2008</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452</w:t>
      </w:r>
      <w:r w:rsidRPr="007634E5">
        <w:rPr>
          <w:rFonts w:ascii="Times New Roman" w:hAnsi="Times New Roman" w:cs="Times New Roman"/>
          <w:sz w:val="24"/>
          <w:szCs w:val="24"/>
        </w:rPr>
        <w:t>, 301–310.</w:t>
      </w:r>
    </w:p>
    <w:p w14:paraId="20AF3DB1"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(115) </w:t>
      </w:r>
      <w:r w:rsidRPr="007634E5">
        <w:rPr>
          <w:rFonts w:ascii="Times New Roman" w:hAnsi="Times New Roman" w:cs="Times New Roman"/>
          <w:sz w:val="24"/>
          <w:szCs w:val="24"/>
        </w:rPr>
        <w:tab/>
        <w:t xml:space="preserve">Miladi, R.; Frikha, N.; Kheiri, A.; Gabsi, S. Energetic Performance Analysis of Seawater Desalination with a Solar Membrane Distillation. </w:t>
      </w:r>
      <w:r w:rsidRPr="007634E5">
        <w:rPr>
          <w:rFonts w:ascii="Times New Roman" w:hAnsi="Times New Roman" w:cs="Times New Roman"/>
          <w:i/>
          <w:iCs/>
          <w:sz w:val="24"/>
          <w:szCs w:val="24"/>
        </w:rPr>
        <w:t>Energy Convers. Manag.</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2019</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185</w:t>
      </w:r>
      <w:r w:rsidRPr="007634E5">
        <w:rPr>
          <w:rFonts w:ascii="Times New Roman" w:hAnsi="Times New Roman" w:cs="Times New Roman"/>
          <w:sz w:val="24"/>
          <w:szCs w:val="24"/>
        </w:rPr>
        <w:t>, 143–154. https://doi.org/10.1016/j.enconman.2019.02.011.</w:t>
      </w:r>
    </w:p>
    <w:p w14:paraId="7DDE7FC5"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(116) </w:t>
      </w:r>
      <w:r w:rsidRPr="007634E5">
        <w:rPr>
          <w:rFonts w:ascii="Times New Roman" w:hAnsi="Times New Roman" w:cs="Times New Roman"/>
          <w:sz w:val="24"/>
          <w:szCs w:val="24"/>
        </w:rPr>
        <w:tab/>
        <w:t xml:space="preserve">Avlonitis, S. A.; Kouroumbas, K.; Vlachakis, N. Energy Consumption and Membrane Replacement Cost for Seawater RO Desalination Plants. </w:t>
      </w:r>
      <w:r w:rsidRPr="007634E5">
        <w:rPr>
          <w:rFonts w:ascii="Times New Roman" w:hAnsi="Times New Roman" w:cs="Times New Roman"/>
          <w:i/>
          <w:iCs/>
          <w:sz w:val="24"/>
          <w:szCs w:val="24"/>
        </w:rPr>
        <w:t>Desalination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2003</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157</w:t>
      </w:r>
      <w:r w:rsidRPr="007634E5">
        <w:rPr>
          <w:rFonts w:ascii="Times New Roman" w:hAnsi="Times New Roman" w:cs="Times New Roman"/>
          <w:sz w:val="24"/>
          <w:szCs w:val="24"/>
        </w:rPr>
        <w:t xml:space="preserve"> (1–3), 151–158. https://doi.org/10.1016/S0011-9164(03)00395-3.</w:t>
      </w:r>
    </w:p>
    <w:p w14:paraId="5BD8ABEA"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(117) </w:t>
      </w:r>
      <w:r w:rsidRPr="007634E5">
        <w:rPr>
          <w:rFonts w:ascii="Times New Roman" w:hAnsi="Times New Roman" w:cs="Times New Roman"/>
          <w:sz w:val="24"/>
          <w:szCs w:val="24"/>
        </w:rPr>
        <w:tab/>
        <w:t xml:space="preserve">Zhang, Y.; Peng, Y.; Ji, S.; Li, Z.; Chen, P. Review of Thermal Efficiency and Heat Recycling in Membrane Distillation Processes. </w:t>
      </w:r>
      <w:r w:rsidRPr="007634E5">
        <w:rPr>
          <w:rFonts w:ascii="Times New Roman" w:hAnsi="Times New Roman" w:cs="Times New Roman"/>
          <w:i/>
          <w:iCs/>
          <w:sz w:val="24"/>
          <w:szCs w:val="24"/>
        </w:rPr>
        <w:t>Desalination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2015</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367</w:t>
      </w:r>
      <w:r w:rsidRPr="007634E5">
        <w:rPr>
          <w:rFonts w:ascii="Times New Roman" w:hAnsi="Times New Roman" w:cs="Times New Roman"/>
          <w:sz w:val="24"/>
          <w:szCs w:val="24"/>
        </w:rPr>
        <w:t>, 223–239. https://doi.org/10.1016/j.desal.2015.04.013.</w:t>
      </w:r>
    </w:p>
    <w:p w14:paraId="224819E2"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(118) </w:t>
      </w:r>
      <w:r w:rsidRPr="007634E5">
        <w:rPr>
          <w:rFonts w:ascii="Times New Roman" w:hAnsi="Times New Roman" w:cs="Times New Roman"/>
          <w:sz w:val="24"/>
          <w:szCs w:val="24"/>
        </w:rPr>
        <w:tab/>
        <w:t xml:space="preserve">Najafi, F.; Alsaffar, M.; Schwerer, S.; Brown, N.; Ouedraogo, J. Environmental Impact Cost Analysis of Multi-Stage Flash, Multi-Effect Distillation, Mechanical Vapor Compression, and Reverse Osmosis Medium-Size Desalination Facilities. In </w:t>
      </w:r>
      <w:r w:rsidRPr="007634E5">
        <w:rPr>
          <w:rFonts w:ascii="Times New Roman" w:hAnsi="Times New Roman" w:cs="Times New Roman"/>
          <w:i/>
          <w:iCs/>
          <w:sz w:val="24"/>
          <w:szCs w:val="24"/>
        </w:rPr>
        <w:t>2016 ASEE Annual Conference &amp; Exposition Proceedings</w:t>
      </w:r>
      <w:r w:rsidRPr="007634E5">
        <w:rPr>
          <w:rFonts w:ascii="Times New Roman" w:hAnsi="Times New Roman" w:cs="Times New Roman"/>
          <w:sz w:val="24"/>
          <w:szCs w:val="24"/>
        </w:rPr>
        <w:t>; ASEE Conferences: New Orleans, Louisiana, 2016; p 26729. https://doi.org/10.18260/p.26729.</w:t>
      </w:r>
    </w:p>
    <w:p w14:paraId="4315BFD4"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(119) </w:t>
      </w:r>
      <w:r w:rsidRPr="007634E5">
        <w:rPr>
          <w:rFonts w:ascii="Times New Roman" w:hAnsi="Times New Roman" w:cs="Times New Roman"/>
          <w:sz w:val="24"/>
          <w:szCs w:val="24"/>
        </w:rPr>
        <w:tab/>
        <w:t xml:space="preserve">Ullah, R.; Khraisheh, M.; Esteves, R. J.; McLeskey, J. T.; AlGhouti, M.; Gad-el-Hak, M.; Vahedi Tafreshi, H. Energy Efficiency of Direct Contact Membrane Distillation. </w:t>
      </w:r>
      <w:r w:rsidRPr="007634E5">
        <w:rPr>
          <w:rFonts w:ascii="Times New Roman" w:hAnsi="Times New Roman" w:cs="Times New Roman"/>
          <w:i/>
          <w:iCs/>
          <w:sz w:val="24"/>
          <w:szCs w:val="24"/>
        </w:rPr>
        <w:t>Desalination</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2018</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433</w:t>
      </w:r>
      <w:r w:rsidRPr="007634E5">
        <w:rPr>
          <w:rFonts w:ascii="Times New Roman" w:hAnsi="Times New Roman" w:cs="Times New Roman"/>
          <w:sz w:val="24"/>
          <w:szCs w:val="24"/>
        </w:rPr>
        <w:t>, 56–67. https://doi.org/10.1016/j.desal.2018.01.025.</w:t>
      </w:r>
    </w:p>
    <w:p w14:paraId="346D01DB" w14:textId="77777777" w:rsidR="00153D07" w:rsidRPr="007634E5" w:rsidRDefault="00153D07" w:rsidP="00153D07">
      <w:pPr>
        <w:pStyle w:val="Bibliography"/>
        <w:rPr>
          <w:rFonts w:ascii="Times New Roman" w:hAnsi="Times New Roman" w:cs="Times New Roman"/>
          <w:sz w:val="24"/>
          <w:szCs w:val="24"/>
        </w:rPr>
      </w:pPr>
      <w:r w:rsidRPr="007634E5">
        <w:rPr>
          <w:rFonts w:ascii="Times New Roman" w:hAnsi="Times New Roman" w:cs="Times New Roman"/>
          <w:sz w:val="24"/>
          <w:szCs w:val="24"/>
        </w:rPr>
        <w:t xml:space="preserve">(120) </w:t>
      </w:r>
      <w:r w:rsidRPr="007634E5">
        <w:rPr>
          <w:rFonts w:ascii="Times New Roman" w:hAnsi="Times New Roman" w:cs="Times New Roman"/>
          <w:sz w:val="24"/>
          <w:szCs w:val="24"/>
        </w:rPr>
        <w:tab/>
        <w:t xml:space="preserve">Gude, V. G.; Nirmalakhandan, N. Sustainable Desalination Using Solar Energy. </w:t>
      </w:r>
      <w:r w:rsidRPr="007634E5">
        <w:rPr>
          <w:rFonts w:ascii="Times New Roman" w:hAnsi="Times New Roman" w:cs="Times New Roman"/>
          <w:i/>
          <w:iCs/>
          <w:sz w:val="24"/>
          <w:szCs w:val="24"/>
        </w:rPr>
        <w:t>Energy Convers. Manag.</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2010</w:t>
      </w:r>
      <w:r w:rsidRPr="007634E5">
        <w:rPr>
          <w:rFonts w:ascii="Times New Roman" w:hAnsi="Times New Roman" w:cs="Times New Roman"/>
          <w:sz w:val="24"/>
          <w:szCs w:val="24"/>
        </w:rPr>
        <w:t xml:space="preserve">, </w:t>
      </w:r>
      <w:r w:rsidRPr="007634E5">
        <w:rPr>
          <w:rFonts w:ascii="Times New Roman" w:hAnsi="Times New Roman" w:cs="Times New Roman"/>
          <w:i/>
          <w:iCs/>
          <w:sz w:val="24"/>
          <w:szCs w:val="24"/>
        </w:rPr>
        <w:t>51</w:t>
      </w:r>
      <w:r w:rsidRPr="007634E5">
        <w:rPr>
          <w:rFonts w:ascii="Times New Roman" w:hAnsi="Times New Roman" w:cs="Times New Roman"/>
          <w:sz w:val="24"/>
          <w:szCs w:val="24"/>
        </w:rPr>
        <w:t xml:space="preserve"> (11), 2245–2251. https://doi.org/10.1016/j.enconman.2010.03.019.</w:t>
      </w:r>
    </w:p>
    <w:p w14:paraId="54ED003B" w14:textId="77777777" w:rsidR="00153D07" w:rsidRDefault="00153D07" w:rsidP="00153D07">
      <w:pPr>
        <w:pStyle w:val="Bibliography"/>
      </w:pPr>
      <w:r w:rsidRPr="007634E5">
        <w:rPr>
          <w:rFonts w:ascii="Times New Roman" w:hAnsi="Times New Roman" w:cs="Times New Roman"/>
          <w:sz w:val="24"/>
          <w:szCs w:val="24"/>
        </w:rPr>
        <w:lastRenderedPageBreak/>
        <w:t xml:space="preserve">(121) </w:t>
      </w:r>
      <w:r w:rsidRPr="007634E5">
        <w:rPr>
          <w:rFonts w:ascii="Times New Roman" w:hAnsi="Times New Roman" w:cs="Times New Roman"/>
          <w:sz w:val="24"/>
          <w:szCs w:val="24"/>
        </w:rPr>
        <w:tab/>
        <w:t xml:space="preserve">Christie, K. S. S.; Yin, Y.; Lin, S.; Tong, T. Distinct Behaviors between Gypsum and Silica Scaling in Membrane Distillation. </w:t>
      </w:r>
      <w:r w:rsidRPr="007634E5">
        <w:rPr>
          <w:rFonts w:ascii="Times New Roman" w:hAnsi="Times New Roman" w:cs="Times New Roman"/>
          <w:i/>
          <w:iCs/>
          <w:sz w:val="24"/>
          <w:szCs w:val="24"/>
        </w:rPr>
        <w:t>Environ. Sci. Technol.</w:t>
      </w:r>
      <w:r w:rsidRPr="007634E5">
        <w:rPr>
          <w:rFonts w:ascii="Times New Roman" w:hAnsi="Times New Roman" w:cs="Times New Roman"/>
          <w:sz w:val="24"/>
          <w:szCs w:val="24"/>
        </w:rPr>
        <w:t xml:space="preserve"> </w:t>
      </w:r>
      <w:r w:rsidRPr="007634E5">
        <w:rPr>
          <w:rFonts w:ascii="Times New Roman" w:hAnsi="Times New Roman" w:cs="Times New Roman"/>
          <w:b/>
          <w:bCs/>
          <w:sz w:val="24"/>
          <w:szCs w:val="24"/>
        </w:rPr>
        <w:t>2019</w:t>
      </w:r>
      <w:r w:rsidRPr="007634E5">
        <w:rPr>
          <w:rFonts w:ascii="Times New Roman" w:hAnsi="Times New Roman" w:cs="Times New Roman"/>
          <w:sz w:val="24"/>
          <w:szCs w:val="24"/>
        </w:rPr>
        <w:t>, acs.est.9b06023. https://doi.org/10.1021/acs.est.9b06023.</w:t>
      </w:r>
    </w:p>
    <w:p w14:paraId="00CBE124" w14:textId="51425CE0" w:rsidR="00935991" w:rsidRPr="00AD04DA" w:rsidRDefault="00B731FC" w:rsidP="00B731FC">
      <w:pPr>
        <w:pStyle w:val="Bibliography"/>
        <w:jc w:val="both"/>
        <w:rPr>
          <w:rFonts w:ascii="Times New Roman" w:hAnsi="Times New Roman" w:cs="Times New Roman"/>
          <w:sz w:val="24"/>
          <w:szCs w:val="24"/>
        </w:rPr>
      </w:pPr>
      <w:r w:rsidRPr="00AD04DA">
        <w:rPr>
          <w:rFonts w:ascii="Times New Roman" w:hAnsi="Times New Roman" w:cs="Times New Roman"/>
          <w:sz w:val="24"/>
          <w:szCs w:val="24"/>
        </w:rPr>
        <w:fldChar w:fldCharType="end"/>
      </w:r>
    </w:p>
    <w:p w14:paraId="5EC65A67" w14:textId="77777777" w:rsidR="00935991" w:rsidRPr="00AD04DA" w:rsidRDefault="00935991">
      <w:pPr>
        <w:rPr>
          <w:rFonts w:ascii="Times New Roman" w:hAnsi="Times New Roman" w:cs="Times New Roman"/>
          <w:sz w:val="24"/>
          <w:szCs w:val="24"/>
        </w:rPr>
      </w:pPr>
      <w:r w:rsidRPr="00AD04DA">
        <w:rPr>
          <w:rFonts w:ascii="Times New Roman" w:hAnsi="Times New Roman" w:cs="Times New Roman"/>
          <w:sz w:val="24"/>
          <w:szCs w:val="24"/>
        </w:rPr>
        <w:br w:type="page"/>
      </w:r>
    </w:p>
    <w:p w14:paraId="4530EE2D" w14:textId="3A2A9B5C" w:rsidR="00D97D2C" w:rsidRPr="00153D07" w:rsidRDefault="00935991" w:rsidP="00B02CBC">
      <w:pPr>
        <w:pStyle w:val="Heading1"/>
        <w:spacing w:before="0" w:line="480" w:lineRule="auto"/>
        <w:rPr>
          <w:rFonts w:ascii="Times New Roman" w:hAnsi="Times New Roman" w:cs="Times New Roman"/>
          <w:color w:val="000000" w:themeColor="text1"/>
        </w:rPr>
      </w:pPr>
      <w:bookmarkStart w:id="26" w:name="_Toc100753477"/>
      <w:r w:rsidRPr="00153D07">
        <w:rPr>
          <w:rFonts w:ascii="Times New Roman" w:hAnsi="Times New Roman" w:cs="Times New Roman"/>
          <w:color w:val="000000" w:themeColor="text1"/>
        </w:rPr>
        <w:lastRenderedPageBreak/>
        <w:t>Appendix A: Tabulated Data</w:t>
      </w:r>
      <w:bookmarkEnd w:id="26"/>
    </w:p>
    <w:p w14:paraId="0F96F4BD" w14:textId="64DC42DE" w:rsidR="009A30A8" w:rsidRPr="00AD04DA" w:rsidRDefault="009A30A8"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A1</w:t>
      </w:r>
      <w:r w:rsidRPr="00AD04DA">
        <w:rPr>
          <w:rFonts w:ascii="Times New Roman" w:hAnsi="Times New Roman" w:cs="Times New Roman"/>
          <w:sz w:val="24"/>
          <w:szCs w:val="24"/>
        </w:rPr>
        <w:t xml:space="preserve">: </w:t>
      </w:r>
      <w:r w:rsidR="003B2578" w:rsidRPr="00AD04DA">
        <w:rPr>
          <w:rFonts w:ascii="Times New Roman" w:hAnsi="Times New Roman" w:cs="Times New Roman"/>
          <w:sz w:val="24"/>
          <w:szCs w:val="24"/>
        </w:rPr>
        <w:t>Feed</w:t>
      </w:r>
      <w:r w:rsidRPr="00AD04DA">
        <w:rPr>
          <w:rFonts w:ascii="Times New Roman" w:hAnsi="Times New Roman" w:cs="Times New Roman"/>
          <w:sz w:val="24"/>
          <w:szCs w:val="24"/>
        </w:rPr>
        <w:t xml:space="preserve"> solutions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985"/>
        <w:gridCol w:w="1959"/>
        <w:gridCol w:w="1802"/>
        <w:gridCol w:w="1802"/>
        <w:gridCol w:w="1802"/>
      </w:tblGrid>
      <w:tr w:rsidR="009A30A8" w:rsidRPr="00AD04DA" w14:paraId="0F6D5C08" w14:textId="77777777" w:rsidTr="00B02CBC">
        <w:tc>
          <w:tcPr>
            <w:tcW w:w="1985" w:type="dxa"/>
            <w:tcBorders>
              <w:top w:val="single" w:sz="4" w:space="0" w:color="auto"/>
              <w:bottom w:val="single" w:sz="4" w:space="0" w:color="auto"/>
              <w:right w:val="single" w:sz="4" w:space="0" w:color="auto"/>
            </w:tcBorders>
          </w:tcPr>
          <w:p w14:paraId="65FE6CB2" w14:textId="421DCAF5" w:rsidR="009A30A8" w:rsidRPr="00AD04DA" w:rsidRDefault="003B2578"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Feed</w:t>
            </w:r>
          </w:p>
        </w:tc>
        <w:tc>
          <w:tcPr>
            <w:tcW w:w="1959" w:type="dxa"/>
            <w:tcBorders>
              <w:top w:val="single" w:sz="4" w:space="0" w:color="auto"/>
              <w:left w:val="single" w:sz="4" w:space="0" w:color="auto"/>
              <w:bottom w:val="single" w:sz="4" w:space="0" w:color="auto"/>
            </w:tcBorders>
          </w:tcPr>
          <w:p w14:paraId="6C9CC6FF" w14:textId="0B0FF5F4" w:rsidR="009A30A8" w:rsidRPr="00AD04DA" w:rsidRDefault="009A30A8"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Target Concentration</w:t>
            </w:r>
          </w:p>
        </w:tc>
        <w:tc>
          <w:tcPr>
            <w:tcW w:w="1802" w:type="dxa"/>
            <w:tcBorders>
              <w:top w:val="single" w:sz="4" w:space="0" w:color="auto"/>
              <w:bottom w:val="single" w:sz="4" w:space="0" w:color="auto"/>
            </w:tcBorders>
          </w:tcPr>
          <w:p w14:paraId="66FD2A82" w14:textId="3E05E24B" w:rsidR="009A30A8" w:rsidRPr="00AD04DA" w:rsidRDefault="009A30A8"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Target mass (g)</w:t>
            </w:r>
          </w:p>
        </w:tc>
        <w:tc>
          <w:tcPr>
            <w:tcW w:w="1802" w:type="dxa"/>
            <w:tcBorders>
              <w:top w:val="single" w:sz="4" w:space="0" w:color="auto"/>
              <w:bottom w:val="single" w:sz="4" w:space="0" w:color="auto"/>
            </w:tcBorders>
          </w:tcPr>
          <w:p w14:paraId="558B18C6" w14:textId="76B0306A" w:rsidR="009A30A8" w:rsidRPr="00AD04DA" w:rsidRDefault="009A30A8"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Actual mass (g)</w:t>
            </w:r>
          </w:p>
        </w:tc>
        <w:tc>
          <w:tcPr>
            <w:tcW w:w="1802" w:type="dxa"/>
            <w:tcBorders>
              <w:top w:val="single" w:sz="4" w:space="0" w:color="auto"/>
              <w:bottom w:val="single" w:sz="4" w:space="0" w:color="auto"/>
            </w:tcBorders>
          </w:tcPr>
          <w:p w14:paraId="544252BF" w14:textId="73389CED" w:rsidR="009A30A8" w:rsidRPr="00AD04DA" w:rsidRDefault="009A30A8"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Actual concentration</w:t>
            </w:r>
          </w:p>
        </w:tc>
      </w:tr>
      <w:tr w:rsidR="009A30A8" w:rsidRPr="00AD04DA" w14:paraId="6A892B9A" w14:textId="77777777" w:rsidTr="00B02CBC">
        <w:tc>
          <w:tcPr>
            <w:tcW w:w="1985" w:type="dxa"/>
            <w:tcBorders>
              <w:top w:val="single" w:sz="4" w:space="0" w:color="auto"/>
              <w:right w:val="single" w:sz="4" w:space="0" w:color="auto"/>
            </w:tcBorders>
          </w:tcPr>
          <w:p w14:paraId="71704EEF" w14:textId="519EAA71" w:rsidR="009A30A8" w:rsidRPr="00AD04DA" w:rsidRDefault="009A30A8" w:rsidP="00B02CBC">
            <w:pPr>
              <w:spacing w:line="480" w:lineRule="auto"/>
              <w:jc w:val="center"/>
              <w:rPr>
                <w:rFonts w:ascii="Times New Roman" w:hAnsi="Times New Roman" w:cs="Times New Roman"/>
                <w:b/>
                <w:bCs/>
                <w:sz w:val="24"/>
                <w:szCs w:val="24"/>
                <w:vertAlign w:val="subscript"/>
              </w:rPr>
            </w:pPr>
            <w:r w:rsidRPr="00AD04DA">
              <w:rPr>
                <w:rFonts w:ascii="Times New Roman" w:hAnsi="Times New Roman" w:cs="Times New Roman"/>
                <w:b/>
                <w:bCs/>
                <w:sz w:val="24"/>
                <w:szCs w:val="24"/>
              </w:rPr>
              <w:t>Na</w:t>
            </w:r>
            <w:r w:rsidRPr="00AD04DA">
              <w:rPr>
                <w:rFonts w:ascii="Times New Roman" w:hAnsi="Times New Roman" w:cs="Times New Roman"/>
                <w:b/>
                <w:bCs/>
                <w:sz w:val="24"/>
                <w:szCs w:val="24"/>
                <w:vertAlign w:val="subscript"/>
              </w:rPr>
              <w:t>2</w:t>
            </w:r>
            <w:r w:rsidRPr="00AD04DA">
              <w:rPr>
                <w:rFonts w:ascii="Times New Roman" w:hAnsi="Times New Roman" w:cs="Times New Roman"/>
                <w:b/>
                <w:bCs/>
                <w:sz w:val="24"/>
                <w:szCs w:val="24"/>
              </w:rPr>
              <w:t>SeO</w:t>
            </w:r>
            <w:r w:rsidRPr="00AD04DA">
              <w:rPr>
                <w:rFonts w:ascii="Times New Roman" w:hAnsi="Times New Roman" w:cs="Times New Roman"/>
                <w:b/>
                <w:bCs/>
                <w:sz w:val="24"/>
                <w:szCs w:val="24"/>
                <w:vertAlign w:val="subscript"/>
              </w:rPr>
              <w:t>4</w:t>
            </w:r>
          </w:p>
        </w:tc>
        <w:tc>
          <w:tcPr>
            <w:tcW w:w="1959" w:type="dxa"/>
            <w:tcBorders>
              <w:top w:val="single" w:sz="4" w:space="0" w:color="auto"/>
              <w:left w:val="single" w:sz="4" w:space="0" w:color="auto"/>
            </w:tcBorders>
          </w:tcPr>
          <w:p w14:paraId="7C911138" w14:textId="4B43EBD4" w:rsidR="009A30A8" w:rsidRPr="00AD04DA" w:rsidRDefault="009A30A8" w:rsidP="00B02CBC">
            <w:pPr>
              <w:spacing w:line="480" w:lineRule="auto"/>
              <w:jc w:val="center"/>
              <w:rPr>
                <w:rFonts w:ascii="Times New Roman" w:hAnsi="Times New Roman" w:cs="Times New Roman"/>
                <w:sz w:val="24"/>
                <w:szCs w:val="24"/>
                <w:vertAlign w:val="superscript"/>
              </w:rPr>
            </w:pPr>
            <w:r w:rsidRPr="00AD04DA">
              <w:rPr>
                <w:rFonts w:ascii="Times New Roman" w:hAnsi="Times New Roman" w:cs="Times New Roman"/>
                <w:sz w:val="24"/>
                <w:szCs w:val="24"/>
              </w:rPr>
              <w:t>500 ppm as SeO</w:t>
            </w:r>
            <w:r w:rsidRPr="00AD04DA">
              <w:rPr>
                <w:rFonts w:ascii="Times New Roman" w:hAnsi="Times New Roman" w:cs="Times New Roman"/>
                <w:sz w:val="24"/>
                <w:szCs w:val="24"/>
                <w:vertAlign w:val="subscript"/>
              </w:rPr>
              <w:t>4</w:t>
            </w:r>
          </w:p>
        </w:tc>
        <w:tc>
          <w:tcPr>
            <w:tcW w:w="1802" w:type="dxa"/>
            <w:tcBorders>
              <w:top w:val="single" w:sz="4" w:space="0" w:color="auto"/>
            </w:tcBorders>
          </w:tcPr>
          <w:p w14:paraId="61532962" w14:textId="7CB7B0B6" w:rsidR="009A30A8" w:rsidRPr="00AD04DA" w:rsidRDefault="009A30A8"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0.13215</w:t>
            </w:r>
          </w:p>
        </w:tc>
        <w:tc>
          <w:tcPr>
            <w:tcW w:w="1802" w:type="dxa"/>
            <w:tcBorders>
              <w:top w:val="single" w:sz="4" w:space="0" w:color="auto"/>
            </w:tcBorders>
          </w:tcPr>
          <w:p w14:paraId="644E8ED9" w14:textId="35075C0B" w:rsidR="009A30A8" w:rsidRPr="00AD04DA" w:rsidRDefault="009A30A8"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0.1321</w:t>
            </w:r>
          </w:p>
        </w:tc>
        <w:tc>
          <w:tcPr>
            <w:tcW w:w="1802" w:type="dxa"/>
            <w:tcBorders>
              <w:top w:val="single" w:sz="4" w:space="0" w:color="auto"/>
            </w:tcBorders>
          </w:tcPr>
          <w:p w14:paraId="34CAFE43" w14:textId="761DD4A3" w:rsidR="009A30A8" w:rsidRPr="00AD04DA" w:rsidRDefault="009A30A8" w:rsidP="00B02CBC">
            <w:pPr>
              <w:spacing w:line="480" w:lineRule="auto"/>
              <w:jc w:val="center"/>
              <w:rPr>
                <w:rFonts w:ascii="Times New Roman" w:hAnsi="Times New Roman" w:cs="Times New Roman"/>
                <w:sz w:val="24"/>
                <w:szCs w:val="24"/>
                <w:vertAlign w:val="subscript"/>
              </w:rPr>
            </w:pPr>
            <w:r w:rsidRPr="00AD04DA">
              <w:rPr>
                <w:rFonts w:ascii="Times New Roman" w:hAnsi="Times New Roman" w:cs="Times New Roman"/>
                <w:sz w:val="24"/>
                <w:szCs w:val="24"/>
              </w:rPr>
              <w:t>499.8 ppm as SeO</w:t>
            </w:r>
            <w:r w:rsidRPr="00AD04DA">
              <w:rPr>
                <w:rFonts w:ascii="Times New Roman" w:hAnsi="Times New Roman" w:cs="Times New Roman"/>
                <w:sz w:val="24"/>
                <w:szCs w:val="24"/>
                <w:vertAlign w:val="subscript"/>
              </w:rPr>
              <w:t>4</w:t>
            </w:r>
          </w:p>
        </w:tc>
      </w:tr>
      <w:tr w:rsidR="009A30A8" w:rsidRPr="00AD04DA" w14:paraId="722CC0CF" w14:textId="77777777" w:rsidTr="00B02CBC">
        <w:tc>
          <w:tcPr>
            <w:tcW w:w="1985" w:type="dxa"/>
            <w:tcBorders>
              <w:right w:val="single" w:sz="4" w:space="0" w:color="auto"/>
            </w:tcBorders>
          </w:tcPr>
          <w:p w14:paraId="2B5A95ED" w14:textId="0FF21325" w:rsidR="009A30A8" w:rsidRPr="00AD04DA" w:rsidRDefault="009A30A8" w:rsidP="00B02CBC">
            <w:pPr>
              <w:spacing w:line="480" w:lineRule="auto"/>
              <w:jc w:val="center"/>
              <w:rPr>
                <w:rFonts w:ascii="Times New Roman" w:hAnsi="Times New Roman" w:cs="Times New Roman"/>
                <w:b/>
                <w:bCs/>
                <w:sz w:val="24"/>
                <w:szCs w:val="24"/>
                <w:vertAlign w:val="subscript"/>
              </w:rPr>
            </w:pPr>
            <w:r w:rsidRPr="00AD04DA">
              <w:rPr>
                <w:rFonts w:ascii="Times New Roman" w:hAnsi="Times New Roman" w:cs="Times New Roman"/>
                <w:b/>
                <w:bCs/>
                <w:sz w:val="24"/>
                <w:szCs w:val="24"/>
              </w:rPr>
              <w:t>Na</w:t>
            </w:r>
            <w:r w:rsidRPr="00AD04DA">
              <w:rPr>
                <w:rFonts w:ascii="Times New Roman" w:hAnsi="Times New Roman" w:cs="Times New Roman"/>
                <w:b/>
                <w:bCs/>
                <w:sz w:val="24"/>
                <w:szCs w:val="24"/>
                <w:vertAlign w:val="subscript"/>
              </w:rPr>
              <w:t>2</w:t>
            </w:r>
            <w:r w:rsidRPr="00AD04DA">
              <w:rPr>
                <w:rFonts w:ascii="Times New Roman" w:hAnsi="Times New Roman" w:cs="Times New Roman"/>
                <w:b/>
                <w:bCs/>
                <w:sz w:val="24"/>
                <w:szCs w:val="24"/>
              </w:rPr>
              <w:t>SeO</w:t>
            </w:r>
            <w:r w:rsidRPr="00AD04DA">
              <w:rPr>
                <w:rFonts w:ascii="Times New Roman" w:hAnsi="Times New Roman" w:cs="Times New Roman"/>
                <w:b/>
                <w:bCs/>
                <w:sz w:val="24"/>
                <w:szCs w:val="24"/>
                <w:vertAlign w:val="subscript"/>
              </w:rPr>
              <w:t>3</w:t>
            </w:r>
          </w:p>
        </w:tc>
        <w:tc>
          <w:tcPr>
            <w:tcW w:w="1959" w:type="dxa"/>
            <w:tcBorders>
              <w:left w:val="single" w:sz="4" w:space="0" w:color="auto"/>
            </w:tcBorders>
          </w:tcPr>
          <w:p w14:paraId="4D367CEA" w14:textId="2B0700F7" w:rsidR="009A30A8" w:rsidRPr="00AD04DA" w:rsidRDefault="009A30A8" w:rsidP="00B02CBC">
            <w:pPr>
              <w:spacing w:line="480" w:lineRule="auto"/>
              <w:jc w:val="center"/>
              <w:rPr>
                <w:rFonts w:ascii="Times New Roman" w:hAnsi="Times New Roman" w:cs="Times New Roman"/>
                <w:sz w:val="24"/>
                <w:szCs w:val="24"/>
                <w:vertAlign w:val="subscript"/>
              </w:rPr>
            </w:pPr>
            <w:r w:rsidRPr="00AD04DA">
              <w:rPr>
                <w:rFonts w:ascii="Times New Roman" w:hAnsi="Times New Roman" w:cs="Times New Roman"/>
                <w:sz w:val="24"/>
                <w:szCs w:val="24"/>
              </w:rPr>
              <w:t>500 ppm as SeO</w:t>
            </w:r>
            <w:r w:rsidRPr="00AD04DA">
              <w:rPr>
                <w:rFonts w:ascii="Times New Roman" w:hAnsi="Times New Roman" w:cs="Times New Roman"/>
                <w:sz w:val="24"/>
                <w:szCs w:val="24"/>
                <w:vertAlign w:val="subscript"/>
              </w:rPr>
              <w:t>3</w:t>
            </w:r>
          </w:p>
        </w:tc>
        <w:tc>
          <w:tcPr>
            <w:tcW w:w="1802" w:type="dxa"/>
          </w:tcPr>
          <w:p w14:paraId="74437158" w14:textId="055F0EF6" w:rsidR="009A30A8" w:rsidRPr="00AD04DA" w:rsidRDefault="009A30A8"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0.13621</w:t>
            </w:r>
          </w:p>
        </w:tc>
        <w:tc>
          <w:tcPr>
            <w:tcW w:w="1802" w:type="dxa"/>
          </w:tcPr>
          <w:p w14:paraId="3E62F25A" w14:textId="4B826A88" w:rsidR="009A30A8" w:rsidRPr="00AD04DA" w:rsidRDefault="009A30A8"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0.1362</w:t>
            </w:r>
          </w:p>
        </w:tc>
        <w:tc>
          <w:tcPr>
            <w:tcW w:w="1802" w:type="dxa"/>
          </w:tcPr>
          <w:p w14:paraId="74F83C43" w14:textId="72D37CE3" w:rsidR="009A30A8" w:rsidRPr="00AD04DA" w:rsidRDefault="009A30A8" w:rsidP="00B02CBC">
            <w:pPr>
              <w:spacing w:line="480" w:lineRule="auto"/>
              <w:jc w:val="center"/>
              <w:rPr>
                <w:rFonts w:ascii="Times New Roman" w:hAnsi="Times New Roman" w:cs="Times New Roman"/>
                <w:sz w:val="24"/>
                <w:szCs w:val="24"/>
                <w:vertAlign w:val="subscript"/>
              </w:rPr>
            </w:pPr>
            <w:r w:rsidRPr="00AD04DA">
              <w:rPr>
                <w:rFonts w:ascii="Times New Roman" w:hAnsi="Times New Roman" w:cs="Times New Roman"/>
                <w:sz w:val="24"/>
                <w:szCs w:val="24"/>
              </w:rPr>
              <w:t>500 ppm as SeO</w:t>
            </w:r>
            <w:r w:rsidRPr="00AD04DA">
              <w:rPr>
                <w:rFonts w:ascii="Times New Roman" w:hAnsi="Times New Roman" w:cs="Times New Roman"/>
                <w:sz w:val="24"/>
                <w:szCs w:val="24"/>
                <w:vertAlign w:val="subscript"/>
              </w:rPr>
              <w:t>3</w:t>
            </w:r>
          </w:p>
        </w:tc>
      </w:tr>
      <w:tr w:rsidR="009A30A8" w:rsidRPr="00AD04DA" w14:paraId="21FC0465" w14:textId="77777777" w:rsidTr="00B02CBC">
        <w:tc>
          <w:tcPr>
            <w:tcW w:w="1985" w:type="dxa"/>
            <w:tcBorders>
              <w:right w:val="single" w:sz="4" w:space="0" w:color="auto"/>
            </w:tcBorders>
          </w:tcPr>
          <w:p w14:paraId="39EDC9C0" w14:textId="422D7FCF" w:rsidR="009A30A8" w:rsidRPr="00AD04DA" w:rsidRDefault="0022357A"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NaCl</w:t>
            </w:r>
          </w:p>
        </w:tc>
        <w:tc>
          <w:tcPr>
            <w:tcW w:w="1959" w:type="dxa"/>
            <w:tcBorders>
              <w:left w:val="single" w:sz="4" w:space="0" w:color="auto"/>
            </w:tcBorders>
          </w:tcPr>
          <w:p w14:paraId="72618AA9" w14:textId="01FD1F92" w:rsidR="009A30A8" w:rsidRPr="00AD04DA" w:rsidRDefault="0022357A"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4.0 M</w:t>
            </w:r>
          </w:p>
        </w:tc>
        <w:tc>
          <w:tcPr>
            <w:tcW w:w="1802" w:type="dxa"/>
          </w:tcPr>
          <w:p w14:paraId="38C4368F" w14:textId="6B501E21" w:rsidR="009A30A8" w:rsidRPr="00AD04DA" w:rsidRDefault="000E0A6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46.752</w:t>
            </w:r>
          </w:p>
        </w:tc>
        <w:tc>
          <w:tcPr>
            <w:tcW w:w="1802" w:type="dxa"/>
          </w:tcPr>
          <w:p w14:paraId="23117347" w14:textId="1E2FDA82" w:rsidR="009A30A8" w:rsidRPr="00AD04DA" w:rsidRDefault="000E0A6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46.7539</w:t>
            </w:r>
          </w:p>
        </w:tc>
        <w:tc>
          <w:tcPr>
            <w:tcW w:w="1802" w:type="dxa"/>
          </w:tcPr>
          <w:p w14:paraId="6F802443" w14:textId="6F4E835C" w:rsidR="009A30A8" w:rsidRPr="00AD04DA" w:rsidRDefault="000E0A6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4.0 M</w:t>
            </w:r>
          </w:p>
        </w:tc>
      </w:tr>
      <w:tr w:rsidR="009A30A8" w:rsidRPr="00AD04DA" w14:paraId="6184C814" w14:textId="77777777" w:rsidTr="00B02CBC">
        <w:tc>
          <w:tcPr>
            <w:tcW w:w="1985" w:type="dxa"/>
            <w:tcBorders>
              <w:right w:val="single" w:sz="4" w:space="0" w:color="auto"/>
            </w:tcBorders>
          </w:tcPr>
          <w:p w14:paraId="5C415973" w14:textId="107954F3" w:rsidR="009A30A8" w:rsidRPr="00AD04DA" w:rsidRDefault="0022357A"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NaCl</w:t>
            </w:r>
          </w:p>
        </w:tc>
        <w:tc>
          <w:tcPr>
            <w:tcW w:w="1959" w:type="dxa"/>
            <w:tcBorders>
              <w:left w:val="single" w:sz="4" w:space="0" w:color="auto"/>
            </w:tcBorders>
          </w:tcPr>
          <w:p w14:paraId="52118AE9" w14:textId="785E9775" w:rsidR="009A30A8" w:rsidRPr="00AD04DA" w:rsidRDefault="0022357A"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 M</w:t>
            </w:r>
          </w:p>
        </w:tc>
        <w:tc>
          <w:tcPr>
            <w:tcW w:w="1802" w:type="dxa"/>
          </w:tcPr>
          <w:p w14:paraId="42048B5C" w14:textId="136C0C6A" w:rsidR="009A30A8" w:rsidRPr="00AD04DA" w:rsidRDefault="000E0A6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11.68</w:t>
            </w:r>
            <w:r w:rsidR="00B02CBC" w:rsidRPr="00AD04DA">
              <w:rPr>
                <w:rFonts w:ascii="Times New Roman" w:hAnsi="Times New Roman" w:cs="Times New Roman"/>
                <w:sz w:val="24"/>
                <w:szCs w:val="24"/>
              </w:rPr>
              <w:t>8 g</w:t>
            </w:r>
          </w:p>
        </w:tc>
        <w:tc>
          <w:tcPr>
            <w:tcW w:w="1802" w:type="dxa"/>
          </w:tcPr>
          <w:p w14:paraId="060AE956" w14:textId="0EADCB2D" w:rsidR="009A30A8" w:rsidRPr="00AD04DA" w:rsidRDefault="00B02CBC"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11.6875 g</w:t>
            </w:r>
          </w:p>
        </w:tc>
        <w:tc>
          <w:tcPr>
            <w:tcW w:w="1802" w:type="dxa"/>
          </w:tcPr>
          <w:p w14:paraId="6BA62FCD" w14:textId="14D788FB" w:rsidR="009A30A8" w:rsidRPr="00AD04DA" w:rsidRDefault="00B02CBC"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w:t>
            </w:r>
          </w:p>
        </w:tc>
      </w:tr>
      <w:tr w:rsidR="0022357A" w:rsidRPr="00AD04DA" w14:paraId="46F33681" w14:textId="77777777" w:rsidTr="00A6126E">
        <w:tc>
          <w:tcPr>
            <w:tcW w:w="1985" w:type="dxa"/>
            <w:tcBorders>
              <w:right w:val="single" w:sz="4" w:space="0" w:color="auto"/>
            </w:tcBorders>
          </w:tcPr>
          <w:p w14:paraId="0F4B4870" w14:textId="30A72637" w:rsidR="0022357A" w:rsidRPr="00AD04DA" w:rsidRDefault="0022357A"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NaCl</w:t>
            </w:r>
          </w:p>
        </w:tc>
        <w:tc>
          <w:tcPr>
            <w:tcW w:w="1959" w:type="dxa"/>
            <w:tcBorders>
              <w:left w:val="single" w:sz="4" w:space="0" w:color="auto"/>
            </w:tcBorders>
          </w:tcPr>
          <w:p w14:paraId="56269C25" w14:textId="4D0E371A" w:rsidR="0022357A" w:rsidRPr="00AD04DA" w:rsidRDefault="0022357A"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 xml:space="preserve">3.5 </w:t>
            </w:r>
            <w:r w:rsidR="00CB43B3" w:rsidRPr="00AD04DA">
              <w:rPr>
                <w:rFonts w:ascii="Times New Roman" w:hAnsi="Times New Roman" w:cs="Times New Roman"/>
                <w:sz w:val="24"/>
                <w:szCs w:val="24"/>
              </w:rPr>
              <w:t>w/w%</w:t>
            </w:r>
          </w:p>
        </w:tc>
        <w:tc>
          <w:tcPr>
            <w:tcW w:w="1802" w:type="dxa"/>
          </w:tcPr>
          <w:p w14:paraId="22411EC5" w14:textId="48935CF1" w:rsidR="0022357A" w:rsidRPr="00AD04DA" w:rsidRDefault="00B02CBC"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7.0 g</w:t>
            </w:r>
          </w:p>
        </w:tc>
        <w:tc>
          <w:tcPr>
            <w:tcW w:w="1802" w:type="dxa"/>
          </w:tcPr>
          <w:p w14:paraId="3746318D" w14:textId="2836E81D" w:rsidR="0022357A" w:rsidRPr="00AD04DA" w:rsidRDefault="00B02CBC"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7.0236 g</w:t>
            </w:r>
          </w:p>
        </w:tc>
        <w:tc>
          <w:tcPr>
            <w:tcW w:w="1802" w:type="dxa"/>
          </w:tcPr>
          <w:p w14:paraId="1AE7BABA" w14:textId="60BD24C0" w:rsidR="0022357A" w:rsidRPr="00AD04DA" w:rsidRDefault="00B02CBC"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 xml:space="preserve">3.51 </w:t>
            </w:r>
            <w:proofErr w:type="spellStart"/>
            <w:r w:rsidRPr="00AD04DA">
              <w:rPr>
                <w:rFonts w:ascii="Times New Roman" w:hAnsi="Times New Roman" w:cs="Times New Roman"/>
                <w:sz w:val="24"/>
                <w:szCs w:val="24"/>
              </w:rPr>
              <w:t>wt</w:t>
            </w:r>
            <w:proofErr w:type="spellEnd"/>
            <w:r w:rsidRPr="00AD04DA">
              <w:rPr>
                <w:rFonts w:ascii="Times New Roman" w:hAnsi="Times New Roman" w:cs="Times New Roman"/>
                <w:sz w:val="24"/>
                <w:szCs w:val="24"/>
              </w:rPr>
              <w:t xml:space="preserve"> %</w:t>
            </w:r>
          </w:p>
        </w:tc>
      </w:tr>
      <w:tr w:rsidR="00A6126E" w:rsidRPr="00AD04DA" w14:paraId="6F16D51B" w14:textId="77777777" w:rsidTr="001D00CD">
        <w:tc>
          <w:tcPr>
            <w:tcW w:w="1985" w:type="dxa"/>
            <w:tcBorders>
              <w:right w:val="single" w:sz="4" w:space="0" w:color="auto"/>
            </w:tcBorders>
          </w:tcPr>
          <w:p w14:paraId="36FDE7EC" w14:textId="0E33B803" w:rsidR="00A6126E" w:rsidRPr="00AD04DA" w:rsidRDefault="003B2578" w:rsidP="00B02CBC">
            <w:pPr>
              <w:spacing w:line="480" w:lineRule="auto"/>
              <w:jc w:val="center"/>
              <w:rPr>
                <w:rFonts w:ascii="Times New Roman" w:hAnsi="Times New Roman" w:cs="Times New Roman"/>
                <w:b/>
                <w:bCs/>
                <w:sz w:val="24"/>
                <w:szCs w:val="24"/>
                <w:vertAlign w:val="subscript"/>
              </w:rPr>
            </w:pPr>
            <w:r w:rsidRPr="00AD04DA">
              <w:rPr>
                <w:rFonts w:ascii="Times New Roman" w:hAnsi="Times New Roman" w:cs="Times New Roman"/>
                <w:b/>
                <w:bCs/>
                <w:sz w:val="24"/>
                <w:szCs w:val="24"/>
              </w:rPr>
              <w:t>Synthetic FGD</w:t>
            </w:r>
          </w:p>
        </w:tc>
        <w:tc>
          <w:tcPr>
            <w:tcW w:w="1959" w:type="dxa"/>
            <w:tcBorders>
              <w:left w:val="single" w:sz="4" w:space="0" w:color="auto"/>
            </w:tcBorders>
          </w:tcPr>
          <w:p w14:paraId="45B70AE5" w14:textId="22C4AAC9" w:rsidR="00A6126E" w:rsidRPr="00AD04DA" w:rsidRDefault="00A6126E"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20 g/L as Cl</w:t>
            </w:r>
          </w:p>
        </w:tc>
        <w:tc>
          <w:tcPr>
            <w:tcW w:w="1802" w:type="dxa"/>
          </w:tcPr>
          <w:p w14:paraId="1A29DBF2" w14:textId="2FBC3526" w:rsidR="00A6126E" w:rsidRPr="00AD04DA" w:rsidRDefault="001D00CD"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6.59 g</w:t>
            </w:r>
          </w:p>
        </w:tc>
        <w:tc>
          <w:tcPr>
            <w:tcW w:w="1802" w:type="dxa"/>
          </w:tcPr>
          <w:p w14:paraId="52E783D7" w14:textId="19598EAF" w:rsidR="00A6126E" w:rsidRPr="00AD04DA" w:rsidRDefault="001D00CD"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6.5848 g</w:t>
            </w:r>
          </w:p>
        </w:tc>
        <w:tc>
          <w:tcPr>
            <w:tcW w:w="1802" w:type="dxa"/>
          </w:tcPr>
          <w:p w14:paraId="16B9C066" w14:textId="4FA77919" w:rsidR="00A6126E" w:rsidRPr="00AD04DA" w:rsidRDefault="001D00CD"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19.97 g/L Cl</w:t>
            </w:r>
          </w:p>
        </w:tc>
      </w:tr>
      <w:tr w:rsidR="001D00CD" w:rsidRPr="00AD04DA" w14:paraId="11904F80" w14:textId="77777777" w:rsidTr="00B02CBC">
        <w:tc>
          <w:tcPr>
            <w:tcW w:w="1985" w:type="dxa"/>
            <w:tcBorders>
              <w:bottom w:val="single" w:sz="4" w:space="0" w:color="auto"/>
              <w:right w:val="single" w:sz="4" w:space="0" w:color="auto"/>
            </w:tcBorders>
          </w:tcPr>
          <w:p w14:paraId="2312EDD0" w14:textId="77777777" w:rsidR="001D00CD" w:rsidRPr="00AD04DA" w:rsidRDefault="001D00CD" w:rsidP="00B02CBC">
            <w:pPr>
              <w:spacing w:line="480" w:lineRule="auto"/>
              <w:jc w:val="center"/>
              <w:rPr>
                <w:rFonts w:ascii="Times New Roman" w:hAnsi="Times New Roman" w:cs="Times New Roman"/>
                <w:b/>
                <w:bCs/>
                <w:sz w:val="24"/>
                <w:szCs w:val="24"/>
              </w:rPr>
            </w:pPr>
          </w:p>
        </w:tc>
        <w:tc>
          <w:tcPr>
            <w:tcW w:w="1959" w:type="dxa"/>
            <w:tcBorders>
              <w:left w:val="single" w:sz="4" w:space="0" w:color="auto"/>
            </w:tcBorders>
          </w:tcPr>
          <w:p w14:paraId="283A05FA" w14:textId="785EA343" w:rsidR="001D00CD" w:rsidRPr="00AD04DA" w:rsidRDefault="003B2578"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500 ppm as SeO4</w:t>
            </w:r>
          </w:p>
        </w:tc>
        <w:tc>
          <w:tcPr>
            <w:tcW w:w="1802" w:type="dxa"/>
          </w:tcPr>
          <w:p w14:paraId="55041140" w14:textId="1C4A09DB" w:rsidR="001D00CD" w:rsidRPr="00AD04DA" w:rsidRDefault="003B2578"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0.13215 g</w:t>
            </w:r>
          </w:p>
        </w:tc>
        <w:tc>
          <w:tcPr>
            <w:tcW w:w="1802" w:type="dxa"/>
          </w:tcPr>
          <w:p w14:paraId="18169E64" w14:textId="1A8C046E" w:rsidR="001D00CD" w:rsidRPr="00AD04DA" w:rsidRDefault="003B2578"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0.1321 g</w:t>
            </w:r>
          </w:p>
        </w:tc>
        <w:tc>
          <w:tcPr>
            <w:tcW w:w="1802" w:type="dxa"/>
          </w:tcPr>
          <w:p w14:paraId="36C72983" w14:textId="4F41BEBE" w:rsidR="001D00CD" w:rsidRPr="00AD04DA" w:rsidRDefault="003B2578"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499.8 ppm SeO4</w:t>
            </w:r>
          </w:p>
        </w:tc>
      </w:tr>
    </w:tbl>
    <w:p w14:paraId="1A624C9B" w14:textId="77777777" w:rsidR="00456FC1" w:rsidRPr="00AD04DA" w:rsidRDefault="00456FC1" w:rsidP="00B02CBC">
      <w:pPr>
        <w:spacing w:line="480" w:lineRule="auto"/>
        <w:jc w:val="center"/>
        <w:rPr>
          <w:rFonts w:ascii="Times New Roman" w:hAnsi="Times New Roman" w:cs="Times New Roman"/>
          <w:sz w:val="24"/>
          <w:szCs w:val="24"/>
        </w:rPr>
      </w:pPr>
    </w:p>
    <w:p w14:paraId="2937F0A1" w14:textId="3AA2DC59" w:rsidR="00456FC1" w:rsidRPr="00AD04DA" w:rsidRDefault="00456FC1"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A2</w:t>
      </w:r>
      <w:r w:rsidRPr="00AD04DA">
        <w:rPr>
          <w:rFonts w:ascii="Times New Roman" w:hAnsi="Times New Roman" w:cs="Times New Roman"/>
          <w:sz w:val="24"/>
          <w:szCs w:val="24"/>
        </w:rPr>
        <w:t xml:space="preserve">: </w:t>
      </w:r>
      <w:r w:rsidR="00091FF4" w:rsidRPr="00AD04DA">
        <w:rPr>
          <w:rFonts w:ascii="Times New Roman" w:hAnsi="Times New Roman" w:cs="Times New Roman"/>
          <w:sz w:val="24"/>
          <w:szCs w:val="24"/>
        </w:rPr>
        <w:t>Decanoic Acid Mass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091FF4" w:rsidRPr="00AD04DA" w14:paraId="5DF1A76E" w14:textId="77777777" w:rsidTr="00B61E52">
        <w:tc>
          <w:tcPr>
            <w:tcW w:w="2337" w:type="dxa"/>
            <w:tcBorders>
              <w:top w:val="single" w:sz="4" w:space="0" w:color="auto"/>
              <w:bottom w:val="nil"/>
              <w:right w:val="single" w:sz="4" w:space="0" w:color="auto"/>
            </w:tcBorders>
          </w:tcPr>
          <w:p w14:paraId="69C07EE8" w14:textId="77777777" w:rsidR="00091FF4" w:rsidRPr="00AD04DA" w:rsidRDefault="00091FF4" w:rsidP="00B02CBC">
            <w:pPr>
              <w:spacing w:line="480" w:lineRule="auto"/>
              <w:jc w:val="center"/>
              <w:rPr>
                <w:rFonts w:ascii="Times New Roman" w:hAnsi="Times New Roman" w:cs="Times New Roman"/>
                <w:b/>
                <w:bCs/>
                <w:sz w:val="24"/>
                <w:szCs w:val="24"/>
              </w:rPr>
            </w:pPr>
          </w:p>
        </w:tc>
        <w:tc>
          <w:tcPr>
            <w:tcW w:w="7013" w:type="dxa"/>
            <w:gridSpan w:val="3"/>
            <w:tcBorders>
              <w:top w:val="single" w:sz="4" w:space="0" w:color="auto"/>
              <w:left w:val="single" w:sz="4" w:space="0" w:color="auto"/>
              <w:bottom w:val="nil"/>
            </w:tcBorders>
          </w:tcPr>
          <w:p w14:paraId="0DA3BF61" w14:textId="699D6D6B" w:rsidR="00091FF4" w:rsidRPr="00AD04DA" w:rsidRDefault="00091FF4"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Actual DA mass (g)</w:t>
            </w:r>
          </w:p>
        </w:tc>
      </w:tr>
      <w:tr w:rsidR="00091FF4" w:rsidRPr="00AD04DA" w14:paraId="7FE70773" w14:textId="77777777" w:rsidTr="00B61E52">
        <w:tc>
          <w:tcPr>
            <w:tcW w:w="2337" w:type="dxa"/>
            <w:tcBorders>
              <w:top w:val="nil"/>
              <w:bottom w:val="single" w:sz="4" w:space="0" w:color="auto"/>
              <w:right w:val="single" w:sz="4" w:space="0" w:color="auto"/>
            </w:tcBorders>
          </w:tcPr>
          <w:p w14:paraId="37359FFD" w14:textId="253C36C0" w:rsidR="00091FF4" w:rsidRPr="00AD04DA" w:rsidRDefault="00091FF4"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Study</w:t>
            </w:r>
          </w:p>
        </w:tc>
        <w:tc>
          <w:tcPr>
            <w:tcW w:w="2337" w:type="dxa"/>
            <w:tcBorders>
              <w:top w:val="nil"/>
              <w:left w:val="single" w:sz="4" w:space="0" w:color="auto"/>
              <w:bottom w:val="single" w:sz="4" w:space="0" w:color="auto"/>
            </w:tcBorders>
          </w:tcPr>
          <w:p w14:paraId="1F477EA9" w14:textId="5E49FAE4" w:rsidR="00091FF4" w:rsidRPr="00AD04DA" w:rsidRDefault="00091FF4"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Trial 1</w:t>
            </w:r>
          </w:p>
        </w:tc>
        <w:tc>
          <w:tcPr>
            <w:tcW w:w="2338" w:type="dxa"/>
            <w:tcBorders>
              <w:top w:val="nil"/>
              <w:bottom w:val="single" w:sz="4" w:space="0" w:color="auto"/>
            </w:tcBorders>
          </w:tcPr>
          <w:p w14:paraId="14D2D364" w14:textId="241EB9A5" w:rsidR="00091FF4" w:rsidRPr="00AD04DA" w:rsidRDefault="00091FF4"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Trial 2</w:t>
            </w:r>
          </w:p>
        </w:tc>
        <w:tc>
          <w:tcPr>
            <w:tcW w:w="2338" w:type="dxa"/>
            <w:tcBorders>
              <w:top w:val="nil"/>
              <w:bottom w:val="single" w:sz="4" w:space="0" w:color="auto"/>
            </w:tcBorders>
          </w:tcPr>
          <w:p w14:paraId="77046D6E" w14:textId="307B2E33" w:rsidR="00091FF4" w:rsidRPr="00AD04DA" w:rsidRDefault="00091FF4"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Trial 3</w:t>
            </w:r>
          </w:p>
        </w:tc>
      </w:tr>
      <w:tr w:rsidR="00091FF4" w:rsidRPr="00AD04DA" w14:paraId="4893E149" w14:textId="77777777" w:rsidTr="00B61E52">
        <w:tc>
          <w:tcPr>
            <w:tcW w:w="2337" w:type="dxa"/>
            <w:tcBorders>
              <w:top w:val="single" w:sz="4" w:space="0" w:color="auto"/>
              <w:bottom w:val="nil"/>
              <w:right w:val="single" w:sz="4" w:space="0" w:color="auto"/>
            </w:tcBorders>
          </w:tcPr>
          <w:p w14:paraId="5D15B598" w14:textId="3DEB2F40" w:rsidR="00091FF4" w:rsidRPr="00AD04DA" w:rsidRDefault="00091FF4" w:rsidP="00B02CBC">
            <w:pPr>
              <w:spacing w:line="480" w:lineRule="auto"/>
              <w:jc w:val="center"/>
              <w:rPr>
                <w:rFonts w:ascii="Times New Roman" w:hAnsi="Times New Roman" w:cs="Times New Roman"/>
                <w:b/>
                <w:bCs/>
                <w:sz w:val="24"/>
                <w:szCs w:val="24"/>
                <w:vertAlign w:val="subscript"/>
              </w:rPr>
            </w:pPr>
            <w:r w:rsidRPr="00AD04DA">
              <w:rPr>
                <w:rFonts w:ascii="Times New Roman" w:hAnsi="Times New Roman" w:cs="Times New Roman"/>
                <w:b/>
                <w:bCs/>
                <w:sz w:val="24"/>
                <w:szCs w:val="24"/>
              </w:rPr>
              <w:t>500 ppm SeO</w:t>
            </w:r>
            <w:r w:rsidRPr="00AD04DA">
              <w:rPr>
                <w:rFonts w:ascii="Times New Roman" w:hAnsi="Times New Roman" w:cs="Times New Roman"/>
                <w:b/>
                <w:bCs/>
                <w:sz w:val="24"/>
                <w:szCs w:val="24"/>
                <w:vertAlign w:val="subscript"/>
              </w:rPr>
              <w:t>4</w:t>
            </w:r>
          </w:p>
        </w:tc>
        <w:tc>
          <w:tcPr>
            <w:tcW w:w="2337" w:type="dxa"/>
            <w:tcBorders>
              <w:top w:val="single" w:sz="4" w:space="0" w:color="auto"/>
              <w:left w:val="single" w:sz="4" w:space="0" w:color="auto"/>
            </w:tcBorders>
          </w:tcPr>
          <w:p w14:paraId="24E47AF0" w14:textId="600F141E"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10.0519</w:t>
            </w:r>
          </w:p>
        </w:tc>
        <w:tc>
          <w:tcPr>
            <w:tcW w:w="2338" w:type="dxa"/>
            <w:tcBorders>
              <w:top w:val="single" w:sz="4" w:space="0" w:color="auto"/>
            </w:tcBorders>
          </w:tcPr>
          <w:p w14:paraId="6C4D002F" w14:textId="6B67D2B4"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10.0627</w:t>
            </w:r>
          </w:p>
        </w:tc>
        <w:tc>
          <w:tcPr>
            <w:tcW w:w="2338" w:type="dxa"/>
            <w:tcBorders>
              <w:top w:val="single" w:sz="4" w:space="0" w:color="auto"/>
            </w:tcBorders>
          </w:tcPr>
          <w:p w14:paraId="610CF15A" w14:textId="27AAA95F"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10.0885</w:t>
            </w:r>
          </w:p>
        </w:tc>
      </w:tr>
      <w:tr w:rsidR="00091FF4" w:rsidRPr="00AD04DA" w14:paraId="0BC6C98A" w14:textId="77777777" w:rsidTr="00B61E52">
        <w:tc>
          <w:tcPr>
            <w:tcW w:w="2337" w:type="dxa"/>
            <w:tcBorders>
              <w:top w:val="nil"/>
              <w:bottom w:val="nil"/>
              <w:right w:val="single" w:sz="4" w:space="0" w:color="auto"/>
            </w:tcBorders>
          </w:tcPr>
          <w:p w14:paraId="6C369452" w14:textId="6A22E7A7" w:rsidR="00091FF4" w:rsidRPr="00AD04DA" w:rsidRDefault="00091FF4" w:rsidP="00B02CBC">
            <w:pPr>
              <w:spacing w:line="480" w:lineRule="auto"/>
              <w:jc w:val="center"/>
              <w:rPr>
                <w:rFonts w:ascii="Times New Roman" w:hAnsi="Times New Roman" w:cs="Times New Roman"/>
                <w:b/>
                <w:bCs/>
                <w:sz w:val="24"/>
                <w:szCs w:val="24"/>
                <w:vertAlign w:val="subscript"/>
              </w:rPr>
            </w:pPr>
            <w:r w:rsidRPr="00AD04DA">
              <w:rPr>
                <w:rFonts w:ascii="Times New Roman" w:hAnsi="Times New Roman" w:cs="Times New Roman"/>
                <w:b/>
                <w:bCs/>
                <w:sz w:val="24"/>
                <w:szCs w:val="24"/>
              </w:rPr>
              <w:t>500 ppm SeO</w:t>
            </w:r>
            <w:r w:rsidRPr="00AD04DA">
              <w:rPr>
                <w:rFonts w:ascii="Times New Roman" w:hAnsi="Times New Roman" w:cs="Times New Roman"/>
                <w:b/>
                <w:bCs/>
                <w:sz w:val="24"/>
                <w:szCs w:val="24"/>
                <w:vertAlign w:val="subscript"/>
              </w:rPr>
              <w:t>3</w:t>
            </w:r>
          </w:p>
        </w:tc>
        <w:tc>
          <w:tcPr>
            <w:tcW w:w="2337" w:type="dxa"/>
            <w:tcBorders>
              <w:left w:val="single" w:sz="4" w:space="0" w:color="auto"/>
            </w:tcBorders>
          </w:tcPr>
          <w:p w14:paraId="04E4EFB9" w14:textId="4E75AE2A"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10.0516</w:t>
            </w:r>
          </w:p>
        </w:tc>
        <w:tc>
          <w:tcPr>
            <w:tcW w:w="2338" w:type="dxa"/>
          </w:tcPr>
          <w:p w14:paraId="5DCD4F44" w14:textId="51D155C8"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10.0226</w:t>
            </w:r>
          </w:p>
        </w:tc>
        <w:tc>
          <w:tcPr>
            <w:tcW w:w="2338" w:type="dxa"/>
          </w:tcPr>
          <w:p w14:paraId="2866D359" w14:textId="6F329430"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10.0270</w:t>
            </w:r>
          </w:p>
        </w:tc>
      </w:tr>
      <w:tr w:rsidR="00091FF4" w:rsidRPr="00AD04DA" w14:paraId="3DA9E7D8" w14:textId="77777777" w:rsidTr="00B61E52">
        <w:tc>
          <w:tcPr>
            <w:tcW w:w="2337" w:type="dxa"/>
            <w:tcBorders>
              <w:top w:val="nil"/>
              <w:bottom w:val="nil"/>
              <w:right w:val="single" w:sz="4" w:space="0" w:color="auto"/>
            </w:tcBorders>
          </w:tcPr>
          <w:p w14:paraId="642E5C31" w14:textId="62E12DCA" w:rsidR="00091FF4" w:rsidRPr="00AD04DA" w:rsidRDefault="00091FF4"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4.0 M NaCl</w:t>
            </w:r>
          </w:p>
        </w:tc>
        <w:tc>
          <w:tcPr>
            <w:tcW w:w="2337" w:type="dxa"/>
            <w:tcBorders>
              <w:left w:val="single" w:sz="4" w:space="0" w:color="auto"/>
            </w:tcBorders>
          </w:tcPr>
          <w:p w14:paraId="6193B251" w14:textId="659F7828"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10.0382</w:t>
            </w:r>
          </w:p>
        </w:tc>
        <w:tc>
          <w:tcPr>
            <w:tcW w:w="2338" w:type="dxa"/>
          </w:tcPr>
          <w:p w14:paraId="7A2CCA8E" w14:textId="21CCB7BA"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10.0022</w:t>
            </w:r>
          </w:p>
        </w:tc>
        <w:tc>
          <w:tcPr>
            <w:tcW w:w="2338" w:type="dxa"/>
          </w:tcPr>
          <w:p w14:paraId="23639077" w14:textId="5FC0A648"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10.0318</w:t>
            </w:r>
          </w:p>
        </w:tc>
      </w:tr>
      <w:tr w:rsidR="00091FF4" w:rsidRPr="00AD04DA" w14:paraId="0F754BC0" w14:textId="77777777" w:rsidTr="00B61E52">
        <w:tc>
          <w:tcPr>
            <w:tcW w:w="2337" w:type="dxa"/>
            <w:tcBorders>
              <w:top w:val="nil"/>
              <w:bottom w:val="nil"/>
              <w:right w:val="single" w:sz="4" w:space="0" w:color="auto"/>
            </w:tcBorders>
          </w:tcPr>
          <w:p w14:paraId="3A300F4D" w14:textId="12426058" w:rsidR="00091FF4" w:rsidRPr="00AD04DA" w:rsidRDefault="00091FF4"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1.0 M  NaCl</w:t>
            </w:r>
          </w:p>
        </w:tc>
        <w:tc>
          <w:tcPr>
            <w:tcW w:w="2337" w:type="dxa"/>
            <w:tcBorders>
              <w:left w:val="single" w:sz="4" w:space="0" w:color="auto"/>
            </w:tcBorders>
          </w:tcPr>
          <w:p w14:paraId="60C7E1E6" w14:textId="3F6A8D36"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10.0770</w:t>
            </w:r>
          </w:p>
        </w:tc>
        <w:tc>
          <w:tcPr>
            <w:tcW w:w="2338" w:type="dxa"/>
          </w:tcPr>
          <w:p w14:paraId="6F322817" w14:textId="410B4FF2"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10.0255</w:t>
            </w:r>
          </w:p>
        </w:tc>
        <w:tc>
          <w:tcPr>
            <w:tcW w:w="2338" w:type="dxa"/>
          </w:tcPr>
          <w:p w14:paraId="7238FE00" w14:textId="0567D150"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10.0427</w:t>
            </w:r>
          </w:p>
        </w:tc>
      </w:tr>
      <w:tr w:rsidR="00091FF4" w:rsidRPr="00AD04DA" w14:paraId="2C0451BE" w14:textId="77777777" w:rsidTr="003B2578">
        <w:tc>
          <w:tcPr>
            <w:tcW w:w="2337" w:type="dxa"/>
            <w:tcBorders>
              <w:top w:val="nil"/>
              <w:bottom w:val="nil"/>
              <w:right w:val="single" w:sz="4" w:space="0" w:color="auto"/>
            </w:tcBorders>
          </w:tcPr>
          <w:p w14:paraId="21E7C112" w14:textId="2474863C" w:rsidR="00091FF4" w:rsidRPr="00AD04DA" w:rsidRDefault="00091FF4"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lastRenderedPageBreak/>
              <w:t xml:space="preserve">3.5 </w:t>
            </w:r>
            <w:proofErr w:type="spellStart"/>
            <w:r w:rsidRPr="00AD04DA">
              <w:rPr>
                <w:rFonts w:ascii="Times New Roman" w:hAnsi="Times New Roman" w:cs="Times New Roman"/>
                <w:b/>
                <w:bCs/>
                <w:sz w:val="24"/>
                <w:szCs w:val="24"/>
              </w:rPr>
              <w:t>wt</w:t>
            </w:r>
            <w:proofErr w:type="spellEnd"/>
            <w:r w:rsidRPr="00AD04DA">
              <w:rPr>
                <w:rFonts w:ascii="Times New Roman" w:hAnsi="Times New Roman" w:cs="Times New Roman"/>
                <w:b/>
                <w:bCs/>
                <w:sz w:val="24"/>
                <w:szCs w:val="24"/>
              </w:rPr>
              <w:t xml:space="preserve"> % NaCl</w:t>
            </w:r>
          </w:p>
        </w:tc>
        <w:tc>
          <w:tcPr>
            <w:tcW w:w="2337" w:type="dxa"/>
            <w:tcBorders>
              <w:left w:val="single" w:sz="4" w:space="0" w:color="auto"/>
            </w:tcBorders>
          </w:tcPr>
          <w:p w14:paraId="52E68B7B" w14:textId="591E02D0"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10.0253</w:t>
            </w:r>
          </w:p>
        </w:tc>
        <w:tc>
          <w:tcPr>
            <w:tcW w:w="2338" w:type="dxa"/>
          </w:tcPr>
          <w:p w14:paraId="7181D382" w14:textId="1772585D"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10.0120</w:t>
            </w:r>
          </w:p>
        </w:tc>
        <w:tc>
          <w:tcPr>
            <w:tcW w:w="2338" w:type="dxa"/>
          </w:tcPr>
          <w:p w14:paraId="1C9C1CA9" w14:textId="7A566D10" w:rsidR="00091FF4" w:rsidRPr="00AD04DA" w:rsidRDefault="00183650"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10.0009</w:t>
            </w:r>
          </w:p>
        </w:tc>
      </w:tr>
      <w:tr w:rsidR="003B2578" w:rsidRPr="00AD04DA" w14:paraId="477AC132" w14:textId="77777777" w:rsidTr="00B61E52">
        <w:tc>
          <w:tcPr>
            <w:tcW w:w="2337" w:type="dxa"/>
            <w:tcBorders>
              <w:top w:val="nil"/>
              <w:bottom w:val="single" w:sz="4" w:space="0" w:color="auto"/>
              <w:right w:val="single" w:sz="4" w:space="0" w:color="auto"/>
            </w:tcBorders>
          </w:tcPr>
          <w:p w14:paraId="53601F9C" w14:textId="2B0742CA" w:rsidR="003B2578" w:rsidRPr="00AD04DA" w:rsidRDefault="003B2578" w:rsidP="00B02CBC">
            <w:pPr>
              <w:spacing w:line="480" w:lineRule="auto"/>
              <w:jc w:val="center"/>
              <w:rPr>
                <w:rFonts w:ascii="Times New Roman" w:hAnsi="Times New Roman" w:cs="Times New Roman"/>
                <w:b/>
                <w:bCs/>
                <w:sz w:val="24"/>
                <w:szCs w:val="24"/>
              </w:rPr>
            </w:pPr>
            <w:r w:rsidRPr="00AD04DA">
              <w:rPr>
                <w:rFonts w:ascii="Times New Roman" w:hAnsi="Times New Roman" w:cs="Times New Roman"/>
                <w:b/>
                <w:bCs/>
                <w:sz w:val="24"/>
                <w:szCs w:val="24"/>
              </w:rPr>
              <w:t>Synthetic FGD</w:t>
            </w:r>
          </w:p>
        </w:tc>
        <w:tc>
          <w:tcPr>
            <w:tcW w:w="2337" w:type="dxa"/>
            <w:tcBorders>
              <w:left w:val="single" w:sz="4" w:space="0" w:color="auto"/>
            </w:tcBorders>
          </w:tcPr>
          <w:p w14:paraId="29A98874" w14:textId="70BA8DD1" w:rsidR="003B2578" w:rsidRPr="00AD04DA" w:rsidRDefault="003B2578"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10.0971</w:t>
            </w:r>
          </w:p>
        </w:tc>
        <w:tc>
          <w:tcPr>
            <w:tcW w:w="2338" w:type="dxa"/>
          </w:tcPr>
          <w:p w14:paraId="67E4A062" w14:textId="311611F1" w:rsidR="003B2578" w:rsidRPr="00AD04DA" w:rsidRDefault="003B2578"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10.0351</w:t>
            </w:r>
          </w:p>
        </w:tc>
        <w:tc>
          <w:tcPr>
            <w:tcW w:w="2338" w:type="dxa"/>
          </w:tcPr>
          <w:p w14:paraId="48E9AC10" w14:textId="519BD025" w:rsidR="003B2578" w:rsidRPr="00AD04DA" w:rsidRDefault="003B2578"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10.0477</w:t>
            </w:r>
          </w:p>
        </w:tc>
      </w:tr>
    </w:tbl>
    <w:p w14:paraId="4DE3BFA8" w14:textId="77777777" w:rsidR="00AD134B" w:rsidRPr="00AD04DA" w:rsidRDefault="00AD134B" w:rsidP="00153D07">
      <w:pPr>
        <w:spacing w:line="480" w:lineRule="auto"/>
        <w:rPr>
          <w:rFonts w:ascii="Times New Roman" w:hAnsi="Times New Roman" w:cs="Times New Roman"/>
          <w:sz w:val="24"/>
          <w:szCs w:val="24"/>
        </w:rPr>
      </w:pPr>
    </w:p>
    <w:p w14:paraId="6CBC0786" w14:textId="2FD506E8" w:rsidR="00796D46" w:rsidRPr="00AD04DA" w:rsidRDefault="00AD134B"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A3</w:t>
      </w:r>
      <w:r w:rsidRPr="00AD04DA">
        <w:rPr>
          <w:rFonts w:ascii="Times New Roman" w:hAnsi="Times New Roman" w:cs="Times New Roman"/>
          <w:sz w:val="24"/>
          <w:szCs w:val="24"/>
        </w:rPr>
        <w:t xml:space="preserve">: Experimental Data for DA </w:t>
      </w:r>
      <w:r w:rsidR="00A92ECA" w:rsidRPr="00AD04DA">
        <w:rPr>
          <w:rFonts w:ascii="Times New Roman" w:hAnsi="Times New Roman" w:cs="Times New Roman"/>
          <w:sz w:val="24"/>
          <w:szCs w:val="24"/>
        </w:rPr>
        <w:t xml:space="preserve">with </w:t>
      </w:r>
      <w:r w:rsidRPr="00AD04DA">
        <w:rPr>
          <w:rFonts w:ascii="Times New Roman" w:hAnsi="Times New Roman" w:cs="Times New Roman"/>
          <w:sz w:val="24"/>
          <w:szCs w:val="24"/>
        </w:rPr>
        <w:t>4.0 M NaCl</w:t>
      </w:r>
      <w:r w:rsidR="00A92ECA" w:rsidRPr="00AD04DA">
        <w:rPr>
          <w:rFonts w:ascii="Times New Roman" w:hAnsi="Times New Roman" w:cs="Times New Roman"/>
          <w:sz w:val="24"/>
          <w:szCs w:val="24"/>
        </w:rPr>
        <w:t xml:space="preserve"> feed</w:t>
      </w:r>
    </w:p>
    <w:tbl>
      <w:tblPr>
        <w:tblW w:w="93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
        <w:gridCol w:w="626"/>
        <w:gridCol w:w="700"/>
        <w:gridCol w:w="730"/>
        <w:gridCol w:w="1064"/>
        <w:gridCol w:w="1064"/>
        <w:gridCol w:w="621"/>
        <w:gridCol w:w="1153"/>
        <w:gridCol w:w="1153"/>
        <w:gridCol w:w="878"/>
        <w:gridCol w:w="816"/>
      </w:tblGrid>
      <w:tr w:rsidR="00AD134B" w:rsidRPr="00AD04DA" w14:paraId="1822E752" w14:textId="77777777" w:rsidTr="00153D07">
        <w:trPr>
          <w:trHeight w:val="386"/>
        </w:trPr>
        <w:tc>
          <w:tcPr>
            <w:tcW w:w="509" w:type="dxa"/>
            <w:shd w:val="clear" w:color="auto" w:fill="auto"/>
            <w:noWrap/>
            <w:vAlign w:val="bottom"/>
            <w:hideMark/>
          </w:tcPr>
          <w:p w14:paraId="68BF310E"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Run</w:t>
            </w:r>
          </w:p>
        </w:tc>
        <w:tc>
          <w:tcPr>
            <w:tcW w:w="626" w:type="dxa"/>
            <w:shd w:val="clear" w:color="auto" w:fill="auto"/>
            <w:noWrap/>
            <w:vAlign w:val="bottom"/>
            <w:hideMark/>
          </w:tcPr>
          <w:p w14:paraId="09C9DFB3"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Cycle</w:t>
            </w:r>
          </w:p>
        </w:tc>
        <w:tc>
          <w:tcPr>
            <w:tcW w:w="700" w:type="dxa"/>
            <w:shd w:val="clear" w:color="auto" w:fill="auto"/>
            <w:noWrap/>
            <w:vAlign w:val="bottom"/>
            <w:hideMark/>
          </w:tcPr>
          <w:p w14:paraId="209781F0"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V</w:t>
            </w:r>
            <w:r w:rsidRPr="00153D07">
              <w:rPr>
                <w:rFonts w:ascii="Times New Roman" w:eastAsia="Times New Roman" w:hAnsi="Times New Roman" w:cs="Times New Roman"/>
                <w:color w:val="000000"/>
                <w:sz w:val="16"/>
                <w:szCs w:val="16"/>
                <w:vertAlign w:val="subscript"/>
              </w:rPr>
              <w:t>0</w:t>
            </w:r>
            <w:r w:rsidRPr="00153D07">
              <w:rPr>
                <w:rFonts w:ascii="Times New Roman" w:eastAsia="Times New Roman" w:hAnsi="Times New Roman" w:cs="Times New Roman"/>
                <w:color w:val="000000"/>
                <w:sz w:val="16"/>
                <w:szCs w:val="16"/>
              </w:rPr>
              <w:t xml:space="preserve"> mL</w:t>
            </w:r>
          </w:p>
        </w:tc>
        <w:tc>
          <w:tcPr>
            <w:tcW w:w="730" w:type="dxa"/>
            <w:shd w:val="clear" w:color="auto" w:fill="auto"/>
            <w:noWrap/>
            <w:vAlign w:val="bottom"/>
            <w:hideMark/>
          </w:tcPr>
          <w:p w14:paraId="6F609898"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V</w:t>
            </w:r>
            <w:r w:rsidRPr="00153D07">
              <w:rPr>
                <w:rFonts w:ascii="Times New Roman" w:eastAsia="Times New Roman" w:hAnsi="Times New Roman" w:cs="Times New Roman"/>
                <w:color w:val="000000"/>
                <w:sz w:val="16"/>
                <w:szCs w:val="16"/>
                <w:vertAlign w:val="subscript"/>
              </w:rPr>
              <w:t>R</w:t>
            </w:r>
            <w:r w:rsidRPr="00153D07">
              <w:rPr>
                <w:rFonts w:ascii="Times New Roman" w:eastAsia="Times New Roman" w:hAnsi="Times New Roman" w:cs="Times New Roman"/>
                <w:color w:val="000000"/>
                <w:sz w:val="16"/>
                <w:szCs w:val="16"/>
              </w:rPr>
              <w:t xml:space="preserve"> mL</w:t>
            </w:r>
          </w:p>
        </w:tc>
        <w:tc>
          <w:tcPr>
            <w:tcW w:w="1064" w:type="dxa"/>
            <w:shd w:val="clear" w:color="auto" w:fill="auto"/>
            <w:noWrap/>
            <w:vAlign w:val="bottom"/>
            <w:hideMark/>
          </w:tcPr>
          <w:p w14:paraId="67CAF933"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Total Rec%</w:t>
            </w:r>
          </w:p>
        </w:tc>
        <w:tc>
          <w:tcPr>
            <w:tcW w:w="1064" w:type="dxa"/>
            <w:shd w:val="clear" w:color="auto" w:fill="auto"/>
            <w:noWrap/>
            <w:vAlign w:val="bottom"/>
            <w:hideMark/>
          </w:tcPr>
          <w:p w14:paraId="70C70EA3"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Trial rec %</w:t>
            </w:r>
          </w:p>
        </w:tc>
        <w:tc>
          <w:tcPr>
            <w:tcW w:w="621" w:type="dxa"/>
            <w:shd w:val="clear" w:color="auto" w:fill="auto"/>
            <w:noWrap/>
            <w:vAlign w:val="bottom"/>
            <w:hideMark/>
          </w:tcPr>
          <w:p w14:paraId="1F897FBF"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C</w:t>
            </w:r>
            <w:r w:rsidRPr="00153D07">
              <w:rPr>
                <w:rFonts w:ascii="Times New Roman" w:eastAsia="Times New Roman" w:hAnsi="Times New Roman" w:cs="Times New Roman"/>
                <w:color w:val="000000"/>
                <w:sz w:val="16"/>
                <w:szCs w:val="16"/>
                <w:vertAlign w:val="subscript"/>
              </w:rPr>
              <w:t>0</w:t>
            </w:r>
            <w:r w:rsidRPr="00153D07">
              <w:rPr>
                <w:rFonts w:ascii="Times New Roman" w:eastAsia="Times New Roman" w:hAnsi="Times New Roman" w:cs="Times New Roman"/>
                <w:color w:val="000000"/>
                <w:sz w:val="16"/>
                <w:szCs w:val="16"/>
              </w:rPr>
              <w:t xml:space="preserve"> M</w:t>
            </w:r>
          </w:p>
        </w:tc>
        <w:tc>
          <w:tcPr>
            <w:tcW w:w="1153" w:type="dxa"/>
            <w:shd w:val="clear" w:color="auto" w:fill="auto"/>
            <w:noWrap/>
            <w:vAlign w:val="bottom"/>
            <w:hideMark/>
          </w:tcPr>
          <w:p w14:paraId="78F69807"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Cond mS/cm</w:t>
            </w:r>
          </w:p>
        </w:tc>
        <w:tc>
          <w:tcPr>
            <w:tcW w:w="1153" w:type="dxa"/>
            <w:shd w:val="clear" w:color="auto" w:fill="auto"/>
            <w:noWrap/>
            <w:vAlign w:val="bottom"/>
            <w:hideMark/>
          </w:tcPr>
          <w:p w14:paraId="273335FC"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Cal Curve M</w:t>
            </w:r>
          </w:p>
        </w:tc>
        <w:tc>
          <w:tcPr>
            <w:tcW w:w="878" w:type="dxa"/>
            <w:shd w:val="clear" w:color="auto" w:fill="auto"/>
            <w:noWrap/>
            <w:vAlign w:val="bottom"/>
            <w:hideMark/>
          </w:tcPr>
          <w:p w14:paraId="72AADEAF"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C</w:t>
            </w:r>
            <w:r w:rsidRPr="00153D07">
              <w:rPr>
                <w:rFonts w:ascii="Times New Roman" w:eastAsia="Times New Roman" w:hAnsi="Times New Roman" w:cs="Times New Roman"/>
                <w:color w:val="000000"/>
                <w:sz w:val="16"/>
                <w:szCs w:val="16"/>
                <w:vertAlign w:val="subscript"/>
              </w:rPr>
              <w:t>F</w:t>
            </w:r>
            <w:r w:rsidRPr="00153D07">
              <w:rPr>
                <w:rFonts w:ascii="Times New Roman" w:eastAsia="Times New Roman" w:hAnsi="Times New Roman" w:cs="Times New Roman"/>
                <w:color w:val="000000"/>
                <w:sz w:val="16"/>
                <w:szCs w:val="16"/>
              </w:rPr>
              <w:t xml:space="preserve"> M</w:t>
            </w:r>
          </w:p>
        </w:tc>
        <w:tc>
          <w:tcPr>
            <w:tcW w:w="804" w:type="dxa"/>
            <w:shd w:val="clear" w:color="auto" w:fill="auto"/>
            <w:noWrap/>
            <w:vAlign w:val="bottom"/>
            <w:hideMark/>
          </w:tcPr>
          <w:p w14:paraId="202DCD1F"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proofErr w:type="spellStart"/>
            <w:r w:rsidRPr="00153D07">
              <w:rPr>
                <w:rFonts w:ascii="Times New Roman" w:eastAsia="Times New Roman" w:hAnsi="Times New Roman" w:cs="Times New Roman"/>
                <w:color w:val="000000"/>
                <w:sz w:val="16"/>
                <w:szCs w:val="16"/>
              </w:rPr>
              <w:t>Rej</w:t>
            </w:r>
            <w:proofErr w:type="spellEnd"/>
            <w:r w:rsidRPr="00153D07">
              <w:rPr>
                <w:rFonts w:ascii="Times New Roman" w:eastAsia="Times New Roman" w:hAnsi="Times New Roman" w:cs="Times New Roman"/>
                <w:color w:val="000000"/>
                <w:sz w:val="16"/>
                <w:szCs w:val="16"/>
              </w:rPr>
              <w:t>%</w:t>
            </w:r>
          </w:p>
        </w:tc>
      </w:tr>
      <w:tr w:rsidR="00AD134B" w:rsidRPr="00AD04DA" w14:paraId="1D20D149" w14:textId="77777777" w:rsidTr="00153D07">
        <w:trPr>
          <w:trHeight w:val="322"/>
        </w:trPr>
        <w:tc>
          <w:tcPr>
            <w:tcW w:w="509" w:type="dxa"/>
            <w:shd w:val="clear" w:color="auto" w:fill="auto"/>
            <w:noWrap/>
            <w:vAlign w:val="bottom"/>
            <w:hideMark/>
          </w:tcPr>
          <w:p w14:paraId="0E10EC17"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1</w:t>
            </w:r>
          </w:p>
        </w:tc>
        <w:tc>
          <w:tcPr>
            <w:tcW w:w="626" w:type="dxa"/>
            <w:shd w:val="clear" w:color="auto" w:fill="auto"/>
            <w:noWrap/>
            <w:vAlign w:val="bottom"/>
            <w:hideMark/>
          </w:tcPr>
          <w:p w14:paraId="3A3DE3C8"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1</w:t>
            </w:r>
          </w:p>
        </w:tc>
        <w:tc>
          <w:tcPr>
            <w:tcW w:w="700" w:type="dxa"/>
            <w:shd w:val="clear" w:color="auto" w:fill="auto"/>
            <w:noWrap/>
            <w:vAlign w:val="bottom"/>
            <w:hideMark/>
          </w:tcPr>
          <w:p w14:paraId="735836AF"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10</w:t>
            </w:r>
          </w:p>
        </w:tc>
        <w:tc>
          <w:tcPr>
            <w:tcW w:w="730" w:type="dxa"/>
            <w:shd w:val="clear" w:color="auto" w:fill="auto"/>
            <w:noWrap/>
            <w:vAlign w:val="bottom"/>
            <w:hideMark/>
          </w:tcPr>
          <w:p w14:paraId="1A36DF46"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0.0614</w:t>
            </w:r>
          </w:p>
        </w:tc>
        <w:tc>
          <w:tcPr>
            <w:tcW w:w="1064" w:type="dxa"/>
            <w:shd w:val="clear" w:color="auto" w:fill="auto"/>
            <w:noWrap/>
            <w:vAlign w:val="bottom"/>
            <w:hideMark/>
          </w:tcPr>
          <w:p w14:paraId="4620321B"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0.00614</w:t>
            </w:r>
          </w:p>
        </w:tc>
        <w:tc>
          <w:tcPr>
            <w:tcW w:w="1064" w:type="dxa"/>
            <w:shd w:val="clear" w:color="auto" w:fill="auto"/>
            <w:noWrap/>
            <w:vAlign w:val="bottom"/>
            <w:hideMark/>
          </w:tcPr>
          <w:p w14:paraId="5C2F200E"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0.00614</w:t>
            </w:r>
          </w:p>
        </w:tc>
        <w:tc>
          <w:tcPr>
            <w:tcW w:w="621" w:type="dxa"/>
            <w:shd w:val="clear" w:color="auto" w:fill="auto"/>
            <w:noWrap/>
            <w:vAlign w:val="bottom"/>
            <w:hideMark/>
          </w:tcPr>
          <w:p w14:paraId="16EDA8A8"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4</w:t>
            </w:r>
          </w:p>
        </w:tc>
        <w:tc>
          <w:tcPr>
            <w:tcW w:w="1153" w:type="dxa"/>
            <w:shd w:val="clear" w:color="auto" w:fill="auto"/>
            <w:noWrap/>
            <w:vAlign w:val="bottom"/>
            <w:hideMark/>
          </w:tcPr>
          <w:p w14:paraId="366BFA44"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0.01303</w:t>
            </w:r>
          </w:p>
        </w:tc>
        <w:tc>
          <w:tcPr>
            <w:tcW w:w="1153" w:type="dxa"/>
            <w:shd w:val="clear" w:color="auto" w:fill="auto"/>
            <w:noWrap/>
            <w:vAlign w:val="bottom"/>
            <w:hideMark/>
          </w:tcPr>
          <w:p w14:paraId="676CD63F"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5.41E-05</w:t>
            </w:r>
          </w:p>
        </w:tc>
        <w:tc>
          <w:tcPr>
            <w:tcW w:w="878" w:type="dxa"/>
            <w:shd w:val="clear" w:color="auto" w:fill="auto"/>
            <w:noWrap/>
            <w:vAlign w:val="bottom"/>
            <w:hideMark/>
          </w:tcPr>
          <w:p w14:paraId="55641D08"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0.044087</w:t>
            </w:r>
          </w:p>
        </w:tc>
        <w:tc>
          <w:tcPr>
            <w:tcW w:w="804" w:type="dxa"/>
            <w:shd w:val="clear" w:color="auto" w:fill="auto"/>
            <w:noWrap/>
            <w:vAlign w:val="bottom"/>
            <w:hideMark/>
          </w:tcPr>
          <w:p w14:paraId="7CBA9631"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98.89783</w:t>
            </w:r>
          </w:p>
        </w:tc>
      </w:tr>
      <w:tr w:rsidR="00AD134B" w:rsidRPr="00AD04DA" w14:paraId="26465F0F" w14:textId="77777777" w:rsidTr="00153D07">
        <w:trPr>
          <w:trHeight w:val="322"/>
        </w:trPr>
        <w:tc>
          <w:tcPr>
            <w:tcW w:w="509" w:type="dxa"/>
            <w:shd w:val="clear" w:color="auto" w:fill="auto"/>
            <w:noWrap/>
            <w:vAlign w:val="bottom"/>
            <w:hideMark/>
          </w:tcPr>
          <w:p w14:paraId="0F099E30"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2</w:t>
            </w:r>
          </w:p>
        </w:tc>
        <w:tc>
          <w:tcPr>
            <w:tcW w:w="626" w:type="dxa"/>
            <w:shd w:val="clear" w:color="auto" w:fill="auto"/>
            <w:noWrap/>
            <w:vAlign w:val="bottom"/>
            <w:hideMark/>
          </w:tcPr>
          <w:p w14:paraId="7F06418B"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1</w:t>
            </w:r>
          </w:p>
        </w:tc>
        <w:tc>
          <w:tcPr>
            <w:tcW w:w="700" w:type="dxa"/>
            <w:shd w:val="clear" w:color="auto" w:fill="auto"/>
            <w:noWrap/>
            <w:vAlign w:val="bottom"/>
            <w:hideMark/>
          </w:tcPr>
          <w:p w14:paraId="2E0D74D9"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10</w:t>
            </w:r>
          </w:p>
        </w:tc>
        <w:tc>
          <w:tcPr>
            <w:tcW w:w="730" w:type="dxa"/>
            <w:shd w:val="clear" w:color="auto" w:fill="auto"/>
            <w:noWrap/>
            <w:vAlign w:val="bottom"/>
            <w:hideMark/>
          </w:tcPr>
          <w:p w14:paraId="55486C57"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0.0318</w:t>
            </w:r>
          </w:p>
        </w:tc>
        <w:tc>
          <w:tcPr>
            <w:tcW w:w="1064" w:type="dxa"/>
            <w:shd w:val="clear" w:color="auto" w:fill="auto"/>
            <w:noWrap/>
            <w:vAlign w:val="bottom"/>
            <w:hideMark/>
          </w:tcPr>
          <w:p w14:paraId="567138B2"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0.00318</w:t>
            </w:r>
          </w:p>
        </w:tc>
        <w:tc>
          <w:tcPr>
            <w:tcW w:w="1064" w:type="dxa"/>
            <w:shd w:val="clear" w:color="auto" w:fill="auto"/>
            <w:noWrap/>
            <w:vAlign w:val="bottom"/>
            <w:hideMark/>
          </w:tcPr>
          <w:p w14:paraId="5098DE81"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0.00318</w:t>
            </w:r>
          </w:p>
        </w:tc>
        <w:tc>
          <w:tcPr>
            <w:tcW w:w="621" w:type="dxa"/>
            <w:shd w:val="clear" w:color="auto" w:fill="auto"/>
            <w:noWrap/>
            <w:vAlign w:val="bottom"/>
            <w:hideMark/>
          </w:tcPr>
          <w:p w14:paraId="139CCC8A"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4</w:t>
            </w:r>
          </w:p>
        </w:tc>
        <w:tc>
          <w:tcPr>
            <w:tcW w:w="1153" w:type="dxa"/>
            <w:shd w:val="clear" w:color="auto" w:fill="auto"/>
            <w:noWrap/>
            <w:vAlign w:val="bottom"/>
            <w:hideMark/>
          </w:tcPr>
          <w:p w14:paraId="015F7D2A"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0.007485</w:t>
            </w:r>
          </w:p>
        </w:tc>
        <w:tc>
          <w:tcPr>
            <w:tcW w:w="1153" w:type="dxa"/>
            <w:shd w:val="clear" w:color="auto" w:fill="auto"/>
            <w:noWrap/>
            <w:vAlign w:val="bottom"/>
            <w:hideMark/>
          </w:tcPr>
          <w:p w14:paraId="47515C1F"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2.94E-05</w:t>
            </w:r>
          </w:p>
        </w:tc>
        <w:tc>
          <w:tcPr>
            <w:tcW w:w="878" w:type="dxa"/>
            <w:shd w:val="clear" w:color="auto" w:fill="auto"/>
            <w:noWrap/>
            <w:vAlign w:val="bottom"/>
            <w:hideMark/>
          </w:tcPr>
          <w:p w14:paraId="1747DD05"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0.046182</w:t>
            </w:r>
          </w:p>
        </w:tc>
        <w:tc>
          <w:tcPr>
            <w:tcW w:w="804" w:type="dxa"/>
            <w:shd w:val="clear" w:color="auto" w:fill="auto"/>
            <w:noWrap/>
            <w:vAlign w:val="bottom"/>
            <w:hideMark/>
          </w:tcPr>
          <w:p w14:paraId="3AF6B9E5"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98.84544</w:t>
            </w:r>
          </w:p>
        </w:tc>
      </w:tr>
      <w:tr w:rsidR="00AD134B" w:rsidRPr="00AD04DA" w14:paraId="2241BE9E" w14:textId="77777777" w:rsidTr="00153D07">
        <w:trPr>
          <w:trHeight w:val="322"/>
        </w:trPr>
        <w:tc>
          <w:tcPr>
            <w:tcW w:w="509" w:type="dxa"/>
            <w:shd w:val="clear" w:color="auto" w:fill="auto"/>
            <w:noWrap/>
            <w:vAlign w:val="bottom"/>
            <w:hideMark/>
          </w:tcPr>
          <w:p w14:paraId="74B98642"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3</w:t>
            </w:r>
          </w:p>
        </w:tc>
        <w:tc>
          <w:tcPr>
            <w:tcW w:w="626" w:type="dxa"/>
            <w:shd w:val="clear" w:color="auto" w:fill="auto"/>
            <w:noWrap/>
            <w:vAlign w:val="bottom"/>
            <w:hideMark/>
          </w:tcPr>
          <w:p w14:paraId="0C607A94"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1</w:t>
            </w:r>
          </w:p>
        </w:tc>
        <w:tc>
          <w:tcPr>
            <w:tcW w:w="700" w:type="dxa"/>
            <w:shd w:val="clear" w:color="auto" w:fill="auto"/>
            <w:noWrap/>
            <w:vAlign w:val="bottom"/>
            <w:hideMark/>
          </w:tcPr>
          <w:p w14:paraId="6C4B491E"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10</w:t>
            </w:r>
          </w:p>
        </w:tc>
        <w:tc>
          <w:tcPr>
            <w:tcW w:w="730" w:type="dxa"/>
            <w:shd w:val="clear" w:color="auto" w:fill="auto"/>
            <w:noWrap/>
            <w:vAlign w:val="bottom"/>
            <w:hideMark/>
          </w:tcPr>
          <w:p w14:paraId="1F40FD6F"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0.0222</w:t>
            </w:r>
          </w:p>
        </w:tc>
        <w:tc>
          <w:tcPr>
            <w:tcW w:w="1064" w:type="dxa"/>
            <w:shd w:val="clear" w:color="auto" w:fill="auto"/>
            <w:noWrap/>
            <w:vAlign w:val="bottom"/>
            <w:hideMark/>
          </w:tcPr>
          <w:p w14:paraId="1B4756C8"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0.00222</w:t>
            </w:r>
          </w:p>
        </w:tc>
        <w:tc>
          <w:tcPr>
            <w:tcW w:w="1064" w:type="dxa"/>
            <w:shd w:val="clear" w:color="auto" w:fill="auto"/>
            <w:noWrap/>
            <w:vAlign w:val="bottom"/>
            <w:hideMark/>
          </w:tcPr>
          <w:p w14:paraId="1AD8E6C3"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0.00222</w:t>
            </w:r>
          </w:p>
        </w:tc>
        <w:tc>
          <w:tcPr>
            <w:tcW w:w="621" w:type="dxa"/>
            <w:shd w:val="clear" w:color="auto" w:fill="auto"/>
            <w:noWrap/>
            <w:vAlign w:val="bottom"/>
            <w:hideMark/>
          </w:tcPr>
          <w:p w14:paraId="0E1991D9"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4</w:t>
            </w:r>
          </w:p>
        </w:tc>
        <w:tc>
          <w:tcPr>
            <w:tcW w:w="1153" w:type="dxa"/>
            <w:shd w:val="clear" w:color="auto" w:fill="auto"/>
            <w:noWrap/>
            <w:vAlign w:val="bottom"/>
            <w:hideMark/>
          </w:tcPr>
          <w:p w14:paraId="05FCDE7E"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0.004847</w:t>
            </w:r>
          </w:p>
        </w:tc>
        <w:tc>
          <w:tcPr>
            <w:tcW w:w="1153" w:type="dxa"/>
            <w:shd w:val="clear" w:color="auto" w:fill="auto"/>
            <w:noWrap/>
            <w:vAlign w:val="bottom"/>
            <w:hideMark/>
          </w:tcPr>
          <w:p w14:paraId="50F04524"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1.82E-05</w:t>
            </w:r>
          </w:p>
        </w:tc>
        <w:tc>
          <w:tcPr>
            <w:tcW w:w="878" w:type="dxa"/>
            <w:shd w:val="clear" w:color="auto" w:fill="auto"/>
            <w:noWrap/>
            <w:vAlign w:val="bottom"/>
            <w:hideMark/>
          </w:tcPr>
          <w:p w14:paraId="2C9946DA"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0.040961</w:t>
            </w:r>
          </w:p>
        </w:tc>
        <w:tc>
          <w:tcPr>
            <w:tcW w:w="804" w:type="dxa"/>
            <w:shd w:val="clear" w:color="auto" w:fill="auto"/>
            <w:noWrap/>
            <w:vAlign w:val="bottom"/>
            <w:hideMark/>
          </w:tcPr>
          <w:p w14:paraId="0F3FEBB2"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98.97596</w:t>
            </w:r>
          </w:p>
        </w:tc>
      </w:tr>
      <w:tr w:rsidR="00AD134B" w:rsidRPr="00AD04DA" w14:paraId="10AC9FA1" w14:textId="77777777" w:rsidTr="00153D07">
        <w:trPr>
          <w:trHeight w:val="322"/>
        </w:trPr>
        <w:tc>
          <w:tcPr>
            <w:tcW w:w="509" w:type="dxa"/>
            <w:shd w:val="clear" w:color="auto" w:fill="auto"/>
            <w:noWrap/>
            <w:vAlign w:val="bottom"/>
            <w:hideMark/>
          </w:tcPr>
          <w:p w14:paraId="4F3A7AA8"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1</w:t>
            </w:r>
          </w:p>
        </w:tc>
        <w:tc>
          <w:tcPr>
            <w:tcW w:w="626" w:type="dxa"/>
            <w:shd w:val="clear" w:color="auto" w:fill="auto"/>
            <w:noWrap/>
            <w:vAlign w:val="bottom"/>
            <w:hideMark/>
          </w:tcPr>
          <w:p w14:paraId="11804EE8"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2</w:t>
            </w:r>
          </w:p>
        </w:tc>
        <w:tc>
          <w:tcPr>
            <w:tcW w:w="700" w:type="dxa"/>
            <w:shd w:val="clear" w:color="auto" w:fill="auto"/>
            <w:noWrap/>
            <w:vAlign w:val="bottom"/>
            <w:hideMark/>
          </w:tcPr>
          <w:p w14:paraId="025FE5E3"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9.9386</w:t>
            </w:r>
          </w:p>
        </w:tc>
        <w:tc>
          <w:tcPr>
            <w:tcW w:w="730" w:type="dxa"/>
            <w:shd w:val="clear" w:color="auto" w:fill="auto"/>
            <w:noWrap/>
            <w:vAlign w:val="bottom"/>
            <w:hideMark/>
          </w:tcPr>
          <w:p w14:paraId="3402F382"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0.013</w:t>
            </w:r>
          </w:p>
        </w:tc>
        <w:tc>
          <w:tcPr>
            <w:tcW w:w="1064" w:type="dxa"/>
            <w:shd w:val="clear" w:color="auto" w:fill="auto"/>
            <w:noWrap/>
            <w:vAlign w:val="bottom"/>
            <w:hideMark/>
          </w:tcPr>
          <w:p w14:paraId="704484FD"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0.0013</w:t>
            </w:r>
          </w:p>
        </w:tc>
        <w:tc>
          <w:tcPr>
            <w:tcW w:w="1064" w:type="dxa"/>
            <w:shd w:val="clear" w:color="auto" w:fill="auto"/>
            <w:noWrap/>
            <w:vAlign w:val="bottom"/>
            <w:hideMark/>
          </w:tcPr>
          <w:p w14:paraId="0FAEC8B0"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0.001308</w:t>
            </w:r>
          </w:p>
        </w:tc>
        <w:tc>
          <w:tcPr>
            <w:tcW w:w="621" w:type="dxa"/>
            <w:shd w:val="clear" w:color="auto" w:fill="auto"/>
            <w:noWrap/>
            <w:vAlign w:val="bottom"/>
            <w:hideMark/>
          </w:tcPr>
          <w:p w14:paraId="3F55B545"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4</w:t>
            </w:r>
          </w:p>
        </w:tc>
        <w:tc>
          <w:tcPr>
            <w:tcW w:w="1153" w:type="dxa"/>
            <w:shd w:val="clear" w:color="auto" w:fill="auto"/>
            <w:noWrap/>
            <w:vAlign w:val="bottom"/>
            <w:hideMark/>
          </w:tcPr>
          <w:p w14:paraId="5617EDC9"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0.00257</w:t>
            </w:r>
          </w:p>
        </w:tc>
        <w:tc>
          <w:tcPr>
            <w:tcW w:w="1153" w:type="dxa"/>
            <w:shd w:val="clear" w:color="auto" w:fill="auto"/>
            <w:noWrap/>
            <w:vAlign w:val="bottom"/>
            <w:hideMark/>
          </w:tcPr>
          <w:p w14:paraId="6F0A0A10"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9.03E-06</w:t>
            </w:r>
          </w:p>
        </w:tc>
        <w:tc>
          <w:tcPr>
            <w:tcW w:w="878" w:type="dxa"/>
            <w:shd w:val="clear" w:color="auto" w:fill="auto"/>
            <w:noWrap/>
            <w:vAlign w:val="bottom"/>
            <w:hideMark/>
          </w:tcPr>
          <w:p w14:paraId="6F31040B"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0.034741</w:t>
            </w:r>
          </w:p>
        </w:tc>
        <w:tc>
          <w:tcPr>
            <w:tcW w:w="804" w:type="dxa"/>
            <w:shd w:val="clear" w:color="auto" w:fill="auto"/>
            <w:noWrap/>
            <w:vAlign w:val="bottom"/>
            <w:hideMark/>
          </w:tcPr>
          <w:p w14:paraId="4674FA21"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99.13149</w:t>
            </w:r>
          </w:p>
        </w:tc>
      </w:tr>
      <w:tr w:rsidR="00AD134B" w:rsidRPr="00AD04DA" w14:paraId="5A2D1F91" w14:textId="77777777" w:rsidTr="00153D07">
        <w:trPr>
          <w:trHeight w:val="322"/>
        </w:trPr>
        <w:tc>
          <w:tcPr>
            <w:tcW w:w="509" w:type="dxa"/>
            <w:shd w:val="clear" w:color="auto" w:fill="auto"/>
            <w:noWrap/>
            <w:vAlign w:val="bottom"/>
            <w:hideMark/>
          </w:tcPr>
          <w:p w14:paraId="49749C95"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2</w:t>
            </w:r>
          </w:p>
        </w:tc>
        <w:tc>
          <w:tcPr>
            <w:tcW w:w="626" w:type="dxa"/>
            <w:shd w:val="clear" w:color="auto" w:fill="auto"/>
            <w:noWrap/>
            <w:vAlign w:val="bottom"/>
            <w:hideMark/>
          </w:tcPr>
          <w:p w14:paraId="19A7E9B5"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2</w:t>
            </w:r>
          </w:p>
        </w:tc>
        <w:tc>
          <w:tcPr>
            <w:tcW w:w="700" w:type="dxa"/>
            <w:shd w:val="clear" w:color="auto" w:fill="auto"/>
            <w:noWrap/>
            <w:vAlign w:val="bottom"/>
            <w:hideMark/>
          </w:tcPr>
          <w:p w14:paraId="59BD759B"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9.9682</w:t>
            </w:r>
          </w:p>
        </w:tc>
        <w:tc>
          <w:tcPr>
            <w:tcW w:w="730" w:type="dxa"/>
            <w:shd w:val="clear" w:color="auto" w:fill="auto"/>
            <w:noWrap/>
            <w:vAlign w:val="bottom"/>
            <w:hideMark/>
          </w:tcPr>
          <w:p w14:paraId="5455A5A2"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w:t>
            </w:r>
          </w:p>
        </w:tc>
        <w:tc>
          <w:tcPr>
            <w:tcW w:w="1064" w:type="dxa"/>
            <w:shd w:val="clear" w:color="auto" w:fill="auto"/>
            <w:noWrap/>
            <w:vAlign w:val="bottom"/>
            <w:hideMark/>
          </w:tcPr>
          <w:p w14:paraId="74C00806"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w:t>
            </w:r>
          </w:p>
        </w:tc>
        <w:tc>
          <w:tcPr>
            <w:tcW w:w="1064" w:type="dxa"/>
            <w:shd w:val="clear" w:color="auto" w:fill="auto"/>
            <w:noWrap/>
            <w:vAlign w:val="bottom"/>
            <w:hideMark/>
          </w:tcPr>
          <w:p w14:paraId="0600B5A9"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w:t>
            </w:r>
          </w:p>
        </w:tc>
        <w:tc>
          <w:tcPr>
            <w:tcW w:w="621" w:type="dxa"/>
            <w:shd w:val="clear" w:color="auto" w:fill="auto"/>
            <w:noWrap/>
            <w:vAlign w:val="bottom"/>
            <w:hideMark/>
          </w:tcPr>
          <w:p w14:paraId="6445C206"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4</w:t>
            </w:r>
          </w:p>
        </w:tc>
        <w:tc>
          <w:tcPr>
            <w:tcW w:w="1153" w:type="dxa"/>
            <w:shd w:val="clear" w:color="auto" w:fill="auto"/>
            <w:noWrap/>
            <w:vAlign w:val="bottom"/>
            <w:hideMark/>
          </w:tcPr>
          <w:p w14:paraId="633151C5"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NA</w:t>
            </w:r>
          </w:p>
        </w:tc>
        <w:tc>
          <w:tcPr>
            <w:tcW w:w="1153" w:type="dxa"/>
            <w:shd w:val="clear" w:color="auto" w:fill="auto"/>
            <w:noWrap/>
            <w:vAlign w:val="bottom"/>
            <w:hideMark/>
          </w:tcPr>
          <w:p w14:paraId="761ADA7D"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NA</w:t>
            </w:r>
          </w:p>
        </w:tc>
        <w:tc>
          <w:tcPr>
            <w:tcW w:w="878" w:type="dxa"/>
            <w:shd w:val="clear" w:color="auto" w:fill="auto"/>
            <w:noWrap/>
            <w:vAlign w:val="bottom"/>
            <w:hideMark/>
          </w:tcPr>
          <w:p w14:paraId="7F3CEB23"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NA</w:t>
            </w:r>
          </w:p>
        </w:tc>
        <w:tc>
          <w:tcPr>
            <w:tcW w:w="804" w:type="dxa"/>
            <w:shd w:val="clear" w:color="auto" w:fill="auto"/>
            <w:noWrap/>
            <w:vAlign w:val="bottom"/>
            <w:hideMark/>
          </w:tcPr>
          <w:p w14:paraId="5F15961F" w14:textId="77777777" w:rsidR="00AD134B" w:rsidRPr="00153D07" w:rsidRDefault="00AD134B" w:rsidP="00AD134B">
            <w:pPr>
              <w:spacing w:after="0" w:line="240" w:lineRule="auto"/>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NA</w:t>
            </w:r>
          </w:p>
        </w:tc>
      </w:tr>
      <w:tr w:rsidR="00AD134B" w:rsidRPr="00AD04DA" w14:paraId="738EF99B" w14:textId="77777777" w:rsidTr="00153D07">
        <w:trPr>
          <w:trHeight w:val="322"/>
        </w:trPr>
        <w:tc>
          <w:tcPr>
            <w:tcW w:w="509" w:type="dxa"/>
            <w:shd w:val="clear" w:color="auto" w:fill="auto"/>
            <w:noWrap/>
            <w:vAlign w:val="bottom"/>
            <w:hideMark/>
          </w:tcPr>
          <w:p w14:paraId="1020E4A1"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3</w:t>
            </w:r>
          </w:p>
        </w:tc>
        <w:tc>
          <w:tcPr>
            <w:tcW w:w="626" w:type="dxa"/>
            <w:shd w:val="clear" w:color="auto" w:fill="auto"/>
            <w:noWrap/>
            <w:vAlign w:val="bottom"/>
            <w:hideMark/>
          </w:tcPr>
          <w:p w14:paraId="58EFBDFE"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2</w:t>
            </w:r>
          </w:p>
        </w:tc>
        <w:tc>
          <w:tcPr>
            <w:tcW w:w="700" w:type="dxa"/>
            <w:shd w:val="clear" w:color="auto" w:fill="auto"/>
            <w:noWrap/>
            <w:vAlign w:val="bottom"/>
            <w:hideMark/>
          </w:tcPr>
          <w:p w14:paraId="00589A62"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9.9778</w:t>
            </w:r>
          </w:p>
        </w:tc>
        <w:tc>
          <w:tcPr>
            <w:tcW w:w="730" w:type="dxa"/>
            <w:shd w:val="clear" w:color="auto" w:fill="auto"/>
            <w:noWrap/>
            <w:vAlign w:val="bottom"/>
            <w:hideMark/>
          </w:tcPr>
          <w:p w14:paraId="622764A9"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0.0309</w:t>
            </w:r>
          </w:p>
        </w:tc>
        <w:tc>
          <w:tcPr>
            <w:tcW w:w="1064" w:type="dxa"/>
            <w:shd w:val="clear" w:color="auto" w:fill="auto"/>
            <w:noWrap/>
            <w:vAlign w:val="bottom"/>
            <w:hideMark/>
          </w:tcPr>
          <w:p w14:paraId="1C4D970B"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0.00309</w:t>
            </w:r>
          </w:p>
        </w:tc>
        <w:tc>
          <w:tcPr>
            <w:tcW w:w="1064" w:type="dxa"/>
            <w:shd w:val="clear" w:color="auto" w:fill="auto"/>
            <w:noWrap/>
            <w:vAlign w:val="bottom"/>
            <w:hideMark/>
          </w:tcPr>
          <w:p w14:paraId="67A83538"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0.003097</w:t>
            </w:r>
          </w:p>
        </w:tc>
        <w:tc>
          <w:tcPr>
            <w:tcW w:w="621" w:type="dxa"/>
            <w:shd w:val="clear" w:color="auto" w:fill="auto"/>
            <w:noWrap/>
            <w:vAlign w:val="bottom"/>
            <w:hideMark/>
          </w:tcPr>
          <w:p w14:paraId="3B0E9656"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4</w:t>
            </w:r>
          </w:p>
        </w:tc>
        <w:tc>
          <w:tcPr>
            <w:tcW w:w="1153" w:type="dxa"/>
            <w:shd w:val="clear" w:color="auto" w:fill="auto"/>
            <w:noWrap/>
            <w:vAlign w:val="bottom"/>
            <w:hideMark/>
          </w:tcPr>
          <w:p w14:paraId="39AA37C9"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0.003705</w:t>
            </w:r>
          </w:p>
        </w:tc>
        <w:tc>
          <w:tcPr>
            <w:tcW w:w="1153" w:type="dxa"/>
            <w:shd w:val="clear" w:color="auto" w:fill="auto"/>
            <w:noWrap/>
            <w:vAlign w:val="bottom"/>
            <w:hideMark/>
          </w:tcPr>
          <w:p w14:paraId="522AEBFE"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1.35E-05</w:t>
            </w:r>
          </w:p>
        </w:tc>
        <w:tc>
          <w:tcPr>
            <w:tcW w:w="878" w:type="dxa"/>
            <w:shd w:val="clear" w:color="auto" w:fill="auto"/>
            <w:noWrap/>
            <w:vAlign w:val="bottom"/>
            <w:hideMark/>
          </w:tcPr>
          <w:p w14:paraId="53AC3E2C"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0.02188</w:t>
            </w:r>
          </w:p>
        </w:tc>
        <w:tc>
          <w:tcPr>
            <w:tcW w:w="804" w:type="dxa"/>
            <w:shd w:val="clear" w:color="auto" w:fill="auto"/>
            <w:noWrap/>
            <w:vAlign w:val="bottom"/>
            <w:hideMark/>
          </w:tcPr>
          <w:p w14:paraId="11DA0217"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99.45299</w:t>
            </w:r>
          </w:p>
        </w:tc>
      </w:tr>
      <w:tr w:rsidR="00AD134B" w:rsidRPr="00AD04DA" w14:paraId="2D9F09DF" w14:textId="77777777" w:rsidTr="00153D07">
        <w:trPr>
          <w:trHeight w:val="322"/>
        </w:trPr>
        <w:tc>
          <w:tcPr>
            <w:tcW w:w="509" w:type="dxa"/>
            <w:shd w:val="clear" w:color="auto" w:fill="auto"/>
            <w:noWrap/>
            <w:vAlign w:val="bottom"/>
            <w:hideMark/>
          </w:tcPr>
          <w:p w14:paraId="4F0A9390"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1</w:t>
            </w:r>
          </w:p>
        </w:tc>
        <w:tc>
          <w:tcPr>
            <w:tcW w:w="626" w:type="dxa"/>
            <w:shd w:val="clear" w:color="auto" w:fill="auto"/>
            <w:noWrap/>
            <w:vAlign w:val="bottom"/>
            <w:hideMark/>
          </w:tcPr>
          <w:p w14:paraId="63CBD6A6"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3</w:t>
            </w:r>
          </w:p>
        </w:tc>
        <w:tc>
          <w:tcPr>
            <w:tcW w:w="700" w:type="dxa"/>
            <w:shd w:val="clear" w:color="auto" w:fill="auto"/>
            <w:noWrap/>
            <w:vAlign w:val="bottom"/>
            <w:hideMark/>
          </w:tcPr>
          <w:p w14:paraId="1DF68841"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9.9256</w:t>
            </w:r>
          </w:p>
        </w:tc>
        <w:tc>
          <w:tcPr>
            <w:tcW w:w="730" w:type="dxa"/>
            <w:shd w:val="clear" w:color="auto" w:fill="auto"/>
            <w:noWrap/>
            <w:vAlign w:val="bottom"/>
            <w:hideMark/>
          </w:tcPr>
          <w:p w14:paraId="15D5F950"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0.0296</w:t>
            </w:r>
          </w:p>
        </w:tc>
        <w:tc>
          <w:tcPr>
            <w:tcW w:w="1064" w:type="dxa"/>
            <w:shd w:val="clear" w:color="auto" w:fill="auto"/>
            <w:noWrap/>
            <w:vAlign w:val="bottom"/>
            <w:hideMark/>
          </w:tcPr>
          <w:p w14:paraId="4CCA216B"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0.00296</w:t>
            </w:r>
          </w:p>
        </w:tc>
        <w:tc>
          <w:tcPr>
            <w:tcW w:w="1064" w:type="dxa"/>
            <w:shd w:val="clear" w:color="auto" w:fill="auto"/>
            <w:noWrap/>
            <w:vAlign w:val="bottom"/>
            <w:hideMark/>
          </w:tcPr>
          <w:p w14:paraId="0170D7EC"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0.002982</w:t>
            </w:r>
          </w:p>
        </w:tc>
        <w:tc>
          <w:tcPr>
            <w:tcW w:w="621" w:type="dxa"/>
            <w:shd w:val="clear" w:color="auto" w:fill="auto"/>
            <w:noWrap/>
            <w:vAlign w:val="bottom"/>
            <w:hideMark/>
          </w:tcPr>
          <w:p w14:paraId="6118283D"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4</w:t>
            </w:r>
          </w:p>
        </w:tc>
        <w:tc>
          <w:tcPr>
            <w:tcW w:w="1153" w:type="dxa"/>
            <w:shd w:val="clear" w:color="auto" w:fill="auto"/>
            <w:noWrap/>
            <w:vAlign w:val="bottom"/>
            <w:hideMark/>
          </w:tcPr>
          <w:p w14:paraId="76CC8C24"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0.007374</w:t>
            </w:r>
          </w:p>
        </w:tc>
        <w:tc>
          <w:tcPr>
            <w:tcW w:w="1153" w:type="dxa"/>
            <w:shd w:val="clear" w:color="auto" w:fill="auto"/>
            <w:noWrap/>
            <w:vAlign w:val="bottom"/>
            <w:hideMark/>
          </w:tcPr>
          <w:p w14:paraId="20294089"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2.89E-05</w:t>
            </w:r>
          </w:p>
        </w:tc>
        <w:tc>
          <w:tcPr>
            <w:tcW w:w="878" w:type="dxa"/>
            <w:shd w:val="clear" w:color="auto" w:fill="auto"/>
            <w:noWrap/>
            <w:vAlign w:val="bottom"/>
            <w:hideMark/>
          </w:tcPr>
          <w:p w14:paraId="699D7A32"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0.048804</w:t>
            </w:r>
          </w:p>
        </w:tc>
        <w:tc>
          <w:tcPr>
            <w:tcW w:w="804" w:type="dxa"/>
            <w:shd w:val="clear" w:color="auto" w:fill="auto"/>
            <w:noWrap/>
            <w:vAlign w:val="bottom"/>
            <w:hideMark/>
          </w:tcPr>
          <w:p w14:paraId="5965B35E"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98.7799</w:t>
            </w:r>
          </w:p>
        </w:tc>
      </w:tr>
      <w:tr w:rsidR="00AD134B" w:rsidRPr="00AD04DA" w14:paraId="03DF15C9" w14:textId="77777777" w:rsidTr="00153D07">
        <w:trPr>
          <w:trHeight w:val="322"/>
        </w:trPr>
        <w:tc>
          <w:tcPr>
            <w:tcW w:w="509" w:type="dxa"/>
            <w:shd w:val="clear" w:color="auto" w:fill="auto"/>
            <w:noWrap/>
            <w:vAlign w:val="bottom"/>
            <w:hideMark/>
          </w:tcPr>
          <w:p w14:paraId="494A78FE"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2</w:t>
            </w:r>
          </w:p>
        </w:tc>
        <w:tc>
          <w:tcPr>
            <w:tcW w:w="626" w:type="dxa"/>
            <w:shd w:val="clear" w:color="auto" w:fill="auto"/>
            <w:noWrap/>
            <w:vAlign w:val="bottom"/>
            <w:hideMark/>
          </w:tcPr>
          <w:p w14:paraId="49107EF7"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3</w:t>
            </w:r>
          </w:p>
        </w:tc>
        <w:tc>
          <w:tcPr>
            <w:tcW w:w="700" w:type="dxa"/>
            <w:shd w:val="clear" w:color="auto" w:fill="auto"/>
            <w:noWrap/>
            <w:vAlign w:val="bottom"/>
            <w:hideMark/>
          </w:tcPr>
          <w:p w14:paraId="18E3A9A4"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9.9682</w:t>
            </w:r>
          </w:p>
        </w:tc>
        <w:tc>
          <w:tcPr>
            <w:tcW w:w="730" w:type="dxa"/>
            <w:shd w:val="clear" w:color="auto" w:fill="auto"/>
            <w:noWrap/>
            <w:vAlign w:val="bottom"/>
            <w:hideMark/>
          </w:tcPr>
          <w:p w14:paraId="70EFBF3C"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0.046</w:t>
            </w:r>
          </w:p>
        </w:tc>
        <w:tc>
          <w:tcPr>
            <w:tcW w:w="1064" w:type="dxa"/>
            <w:shd w:val="clear" w:color="auto" w:fill="auto"/>
            <w:noWrap/>
            <w:vAlign w:val="bottom"/>
            <w:hideMark/>
          </w:tcPr>
          <w:p w14:paraId="388845A7"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0.0046</w:t>
            </w:r>
          </w:p>
        </w:tc>
        <w:tc>
          <w:tcPr>
            <w:tcW w:w="1064" w:type="dxa"/>
            <w:shd w:val="clear" w:color="auto" w:fill="auto"/>
            <w:noWrap/>
            <w:vAlign w:val="bottom"/>
            <w:hideMark/>
          </w:tcPr>
          <w:p w14:paraId="5EE4DE06"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0.004615</w:t>
            </w:r>
          </w:p>
        </w:tc>
        <w:tc>
          <w:tcPr>
            <w:tcW w:w="621" w:type="dxa"/>
            <w:shd w:val="clear" w:color="auto" w:fill="auto"/>
            <w:noWrap/>
            <w:vAlign w:val="bottom"/>
            <w:hideMark/>
          </w:tcPr>
          <w:p w14:paraId="0D267B87"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4</w:t>
            </w:r>
          </w:p>
        </w:tc>
        <w:tc>
          <w:tcPr>
            <w:tcW w:w="1153" w:type="dxa"/>
            <w:shd w:val="clear" w:color="auto" w:fill="auto"/>
            <w:noWrap/>
            <w:vAlign w:val="bottom"/>
            <w:hideMark/>
          </w:tcPr>
          <w:p w14:paraId="185D9A60"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0.006493</w:t>
            </w:r>
          </w:p>
        </w:tc>
        <w:tc>
          <w:tcPr>
            <w:tcW w:w="1153" w:type="dxa"/>
            <w:shd w:val="clear" w:color="auto" w:fill="auto"/>
            <w:noWrap/>
            <w:vAlign w:val="bottom"/>
            <w:hideMark/>
          </w:tcPr>
          <w:p w14:paraId="59F80E6B"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2.51E-05</w:t>
            </w:r>
          </w:p>
        </w:tc>
        <w:tc>
          <w:tcPr>
            <w:tcW w:w="878" w:type="dxa"/>
            <w:shd w:val="clear" w:color="auto" w:fill="auto"/>
            <w:noWrap/>
            <w:vAlign w:val="bottom"/>
            <w:hideMark/>
          </w:tcPr>
          <w:p w14:paraId="1C4E0BE5"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0.027292</w:t>
            </w:r>
          </w:p>
        </w:tc>
        <w:tc>
          <w:tcPr>
            <w:tcW w:w="804" w:type="dxa"/>
            <w:shd w:val="clear" w:color="auto" w:fill="auto"/>
            <w:noWrap/>
            <w:vAlign w:val="bottom"/>
            <w:hideMark/>
          </w:tcPr>
          <w:p w14:paraId="792B0EAE"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99.3177</w:t>
            </w:r>
          </w:p>
        </w:tc>
      </w:tr>
      <w:tr w:rsidR="00AD134B" w:rsidRPr="00AD04DA" w14:paraId="0E7AE812" w14:textId="77777777" w:rsidTr="00153D07">
        <w:trPr>
          <w:trHeight w:val="322"/>
        </w:trPr>
        <w:tc>
          <w:tcPr>
            <w:tcW w:w="509" w:type="dxa"/>
            <w:shd w:val="clear" w:color="auto" w:fill="auto"/>
            <w:noWrap/>
            <w:vAlign w:val="bottom"/>
            <w:hideMark/>
          </w:tcPr>
          <w:p w14:paraId="20537B24"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3</w:t>
            </w:r>
          </w:p>
        </w:tc>
        <w:tc>
          <w:tcPr>
            <w:tcW w:w="626" w:type="dxa"/>
            <w:shd w:val="clear" w:color="auto" w:fill="auto"/>
            <w:noWrap/>
            <w:vAlign w:val="bottom"/>
            <w:hideMark/>
          </w:tcPr>
          <w:p w14:paraId="3DA7D39E"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3</w:t>
            </w:r>
          </w:p>
        </w:tc>
        <w:tc>
          <w:tcPr>
            <w:tcW w:w="700" w:type="dxa"/>
            <w:shd w:val="clear" w:color="auto" w:fill="auto"/>
            <w:noWrap/>
            <w:vAlign w:val="bottom"/>
            <w:hideMark/>
          </w:tcPr>
          <w:p w14:paraId="6A6E2F6F"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9.9469</w:t>
            </w:r>
          </w:p>
        </w:tc>
        <w:tc>
          <w:tcPr>
            <w:tcW w:w="730" w:type="dxa"/>
            <w:shd w:val="clear" w:color="auto" w:fill="auto"/>
            <w:noWrap/>
            <w:vAlign w:val="bottom"/>
            <w:hideMark/>
          </w:tcPr>
          <w:p w14:paraId="201EA9C4"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0.0671</w:t>
            </w:r>
          </w:p>
        </w:tc>
        <w:tc>
          <w:tcPr>
            <w:tcW w:w="1064" w:type="dxa"/>
            <w:shd w:val="clear" w:color="auto" w:fill="auto"/>
            <w:noWrap/>
            <w:vAlign w:val="bottom"/>
            <w:hideMark/>
          </w:tcPr>
          <w:p w14:paraId="53638205"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0.00671</w:t>
            </w:r>
          </w:p>
        </w:tc>
        <w:tc>
          <w:tcPr>
            <w:tcW w:w="1064" w:type="dxa"/>
            <w:shd w:val="clear" w:color="auto" w:fill="auto"/>
            <w:noWrap/>
            <w:vAlign w:val="bottom"/>
            <w:hideMark/>
          </w:tcPr>
          <w:p w14:paraId="2B7FCE0A"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0.006746</w:t>
            </w:r>
          </w:p>
        </w:tc>
        <w:tc>
          <w:tcPr>
            <w:tcW w:w="621" w:type="dxa"/>
            <w:shd w:val="clear" w:color="auto" w:fill="auto"/>
            <w:noWrap/>
            <w:vAlign w:val="bottom"/>
            <w:hideMark/>
          </w:tcPr>
          <w:p w14:paraId="61100F67"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4</w:t>
            </w:r>
          </w:p>
        </w:tc>
        <w:tc>
          <w:tcPr>
            <w:tcW w:w="1153" w:type="dxa"/>
            <w:shd w:val="clear" w:color="auto" w:fill="auto"/>
            <w:noWrap/>
            <w:vAlign w:val="bottom"/>
            <w:hideMark/>
          </w:tcPr>
          <w:p w14:paraId="402BBDFB"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0.02135</w:t>
            </w:r>
          </w:p>
        </w:tc>
        <w:tc>
          <w:tcPr>
            <w:tcW w:w="1153" w:type="dxa"/>
            <w:shd w:val="clear" w:color="auto" w:fill="auto"/>
            <w:noWrap/>
            <w:vAlign w:val="bottom"/>
            <w:hideMark/>
          </w:tcPr>
          <w:p w14:paraId="69241EAC"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9.33E-05</w:t>
            </w:r>
          </w:p>
        </w:tc>
        <w:tc>
          <w:tcPr>
            <w:tcW w:w="878" w:type="dxa"/>
            <w:shd w:val="clear" w:color="auto" w:fill="auto"/>
            <w:noWrap/>
            <w:vAlign w:val="bottom"/>
            <w:hideMark/>
          </w:tcPr>
          <w:p w14:paraId="29B99A2E"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0.069554</w:t>
            </w:r>
          </w:p>
        </w:tc>
        <w:tc>
          <w:tcPr>
            <w:tcW w:w="804" w:type="dxa"/>
            <w:shd w:val="clear" w:color="auto" w:fill="auto"/>
            <w:noWrap/>
            <w:vAlign w:val="bottom"/>
            <w:hideMark/>
          </w:tcPr>
          <w:p w14:paraId="505CAD8D" w14:textId="77777777" w:rsidR="00AD134B" w:rsidRPr="00153D07" w:rsidRDefault="00AD134B" w:rsidP="00AD134B">
            <w:pPr>
              <w:spacing w:after="0" w:line="240" w:lineRule="auto"/>
              <w:jc w:val="right"/>
              <w:rPr>
                <w:rFonts w:ascii="Times New Roman" w:eastAsia="Times New Roman" w:hAnsi="Times New Roman" w:cs="Times New Roman"/>
                <w:color w:val="000000"/>
                <w:sz w:val="16"/>
                <w:szCs w:val="16"/>
              </w:rPr>
            </w:pPr>
            <w:r w:rsidRPr="00153D07">
              <w:rPr>
                <w:rFonts w:ascii="Times New Roman" w:eastAsia="Times New Roman" w:hAnsi="Times New Roman" w:cs="Times New Roman"/>
                <w:color w:val="000000"/>
                <w:sz w:val="16"/>
                <w:szCs w:val="16"/>
              </w:rPr>
              <w:t>98.26116</w:t>
            </w:r>
          </w:p>
        </w:tc>
      </w:tr>
    </w:tbl>
    <w:p w14:paraId="60B8987F" w14:textId="3D85E674" w:rsidR="00AD134B" w:rsidRPr="00AD04DA" w:rsidRDefault="00AD134B" w:rsidP="00B02CBC">
      <w:pPr>
        <w:spacing w:line="480" w:lineRule="auto"/>
        <w:jc w:val="center"/>
        <w:rPr>
          <w:rFonts w:ascii="Times New Roman" w:hAnsi="Times New Roman" w:cs="Times New Roman"/>
          <w:sz w:val="24"/>
          <w:szCs w:val="24"/>
        </w:rPr>
      </w:pPr>
    </w:p>
    <w:p w14:paraId="54E6C003" w14:textId="36D368D5" w:rsidR="00A92ECA" w:rsidRPr="00AD04DA" w:rsidRDefault="00A92ECA" w:rsidP="00B02CBC">
      <w:pPr>
        <w:spacing w:line="480" w:lineRule="auto"/>
        <w:jc w:val="center"/>
        <w:rPr>
          <w:rFonts w:ascii="Times New Roman" w:hAnsi="Times New Roman" w:cs="Times New Roman"/>
          <w:sz w:val="24"/>
          <w:szCs w:val="24"/>
        </w:rPr>
      </w:pPr>
      <w:r w:rsidRPr="00AD04DA">
        <w:rPr>
          <w:rFonts w:ascii="Times New Roman" w:hAnsi="Times New Roman" w:cs="Times New Roman"/>
          <w:sz w:val="24"/>
          <w:szCs w:val="24"/>
        </w:rPr>
        <w:t>Table A4: Experimental DATA for DA with 1.0 M NaCl feed</w:t>
      </w:r>
    </w:p>
    <w:tbl>
      <w:tblPr>
        <w:tblW w:w="92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6"/>
        <w:gridCol w:w="636"/>
        <w:gridCol w:w="711"/>
        <w:gridCol w:w="797"/>
        <w:gridCol w:w="1062"/>
        <w:gridCol w:w="885"/>
        <w:gridCol w:w="620"/>
        <w:gridCol w:w="1062"/>
        <w:gridCol w:w="1062"/>
        <w:gridCol w:w="891"/>
        <w:gridCol w:w="1071"/>
      </w:tblGrid>
      <w:tr w:rsidR="00A92ECA" w:rsidRPr="00AD04DA" w14:paraId="1D50E352" w14:textId="77777777" w:rsidTr="00153D07">
        <w:trPr>
          <w:trHeight w:val="368"/>
        </w:trPr>
        <w:tc>
          <w:tcPr>
            <w:tcW w:w="526" w:type="dxa"/>
            <w:shd w:val="clear" w:color="auto" w:fill="auto"/>
            <w:noWrap/>
            <w:vAlign w:val="bottom"/>
            <w:hideMark/>
          </w:tcPr>
          <w:p w14:paraId="323B3565"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Run</w:t>
            </w:r>
          </w:p>
        </w:tc>
        <w:tc>
          <w:tcPr>
            <w:tcW w:w="625" w:type="dxa"/>
            <w:shd w:val="clear" w:color="auto" w:fill="auto"/>
            <w:noWrap/>
            <w:vAlign w:val="bottom"/>
            <w:hideMark/>
          </w:tcPr>
          <w:p w14:paraId="247C4374"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Cycle</w:t>
            </w:r>
          </w:p>
        </w:tc>
        <w:tc>
          <w:tcPr>
            <w:tcW w:w="702" w:type="dxa"/>
            <w:shd w:val="clear" w:color="auto" w:fill="auto"/>
            <w:noWrap/>
            <w:vAlign w:val="bottom"/>
            <w:hideMark/>
          </w:tcPr>
          <w:p w14:paraId="4E3471DC"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V</w:t>
            </w:r>
            <w:r w:rsidRPr="00153D07">
              <w:rPr>
                <w:rFonts w:ascii="Times New Roman" w:eastAsia="Times New Roman" w:hAnsi="Times New Roman" w:cs="Times New Roman"/>
                <w:color w:val="000000"/>
                <w:sz w:val="18"/>
                <w:szCs w:val="18"/>
                <w:vertAlign w:val="subscript"/>
              </w:rPr>
              <w:t>0</w:t>
            </w:r>
            <w:r w:rsidRPr="00153D07">
              <w:rPr>
                <w:rFonts w:ascii="Times New Roman" w:eastAsia="Times New Roman" w:hAnsi="Times New Roman" w:cs="Times New Roman"/>
                <w:color w:val="000000"/>
                <w:sz w:val="18"/>
                <w:szCs w:val="18"/>
              </w:rPr>
              <w:t xml:space="preserve"> mL</w:t>
            </w:r>
          </w:p>
        </w:tc>
        <w:tc>
          <w:tcPr>
            <w:tcW w:w="797" w:type="dxa"/>
            <w:shd w:val="clear" w:color="auto" w:fill="auto"/>
            <w:noWrap/>
            <w:vAlign w:val="bottom"/>
            <w:hideMark/>
          </w:tcPr>
          <w:p w14:paraId="4D00F204"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V</w:t>
            </w:r>
            <w:r w:rsidRPr="00153D07">
              <w:rPr>
                <w:rFonts w:ascii="Times New Roman" w:eastAsia="Times New Roman" w:hAnsi="Times New Roman" w:cs="Times New Roman"/>
                <w:color w:val="000000"/>
                <w:sz w:val="18"/>
                <w:szCs w:val="18"/>
                <w:vertAlign w:val="subscript"/>
              </w:rPr>
              <w:t>R</w:t>
            </w:r>
            <w:r w:rsidRPr="00153D07">
              <w:rPr>
                <w:rFonts w:ascii="Times New Roman" w:eastAsia="Times New Roman" w:hAnsi="Times New Roman" w:cs="Times New Roman"/>
                <w:color w:val="000000"/>
                <w:sz w:val="18"/>
                <w:szCs w:val="18"/>
              </w:rPr>
              <w:t xml:space="preserve"> mL</w:t>
            </w:r>
          </w:p>
        </w:tc>
        <w:tc>
          <w:tcPr>
            <w:tcW w:w="1062" w:type="dxa"/>
            <w:shd w:val="clear" w:color="auto" w:fill="auto"/>
            <w:noWrap/>
            <w:vAlign w:val="bottom"/>
            <w:hideMark/>
          </w:tcPr>
          <w:p w14:paraId="38516F47"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Total Rec%</w:t>
            </w:r>
          </w:p>
        </w:tc>
        <w:tc>
          <w:tcPr>
            <w:tcW w:w="885" w:type="dxa"/>
            <w:shd w:val="clear" w:color="auto" w:fill="auto"/>
            <w:noWrap/>
            <w:vAlign w:val="bottom"/>
            <w:hideMark/>
          </w:tcPr>
          <w:p w14:paraId="2726B8E2"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Trial rec %</w:t>
            </w:r>
          </w:p>
        </w:tc>
        <w:tc>
          <w:tcPr>
            <w:tcW w:w="620" w:type="dxa"/>
            <w:shd w:val="clear" w:color="auto" w:fill="auto"/>
            <w:noWrap/>
            <w:vAlign w:val="bottom"/>
            <w:hideMark/>
          </w:tcPr>
          <w:p w14:paraId="138F7186"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C</w:t>
            </w:r>
            <w:r w:rsidRPr="00153D07">
              <w:rPr>
                <w:rFonts w:ascii="Times New Roman" w:eastAsia="Times New Roman" w:hAnsi="Times New Roman" w:cs="Times New Roman"/>
                <w:color w:val="000000"/>
                <w:sz w:val="18"/>
                <w:szCs w:val="18"/>
                <w:vertAlign w:val="subscript"/>
              </w:rPr>
              <w:t>0</w:t>
            </w:r>
            <w:r w:rsidRPr="00153D07">
              <w:rPr>
                <w:rFonts w:ascii="Times New Roman" w:eastAsia="Times New Roman" w:hAnsi="Times New Roman" w:cs="Times New Roman"/>
                <w:color w:val="000000"/>
                <w:sz w:val="18"/>
                <w:szCs w:val="18"/>
              </w:rPr>
              <w:t xml:space="preserve"> M</w:t>
            </w:r>
          </w:p>
        </w:tc>
        <w:tc>
          <w:tcPr>
            <w:tcW w:w="1062" w:type="dxa"/>
            <w:shd w:val="clear" w:color="auto" w:fill="auto"/>
            <w:noWrap/>
            <w:vAlign w:val="bottom"/>
            <w:hideMark/>
          </w:tcPr>
          <w:p w14:paraId="0102D6BC"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Cond mS/cm</w:t>
            </w:r>
          </w:p>
        </w:tc>
        <w:tc>
          <w:tcPr>
            <w:tcW w:w="1062" w:type="dxa"/>
            <w:shd w:val="clear" w:color="auto" w:fill="auto"/>
            <w:noWrap/>
            <w:vAlign w:val="bottom"/>
            <w:hideMark/>
          </w:tcPr>
          <w:p w14:paraId="64F48E7C"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Cal Curve M</w:t>
            </w:r>
          </w:p>
        </w:tc>
        <w:tc>
          <w:tcPr>
            <w:tcW w:w="876" w:type="dxa"/>
            <w:shd w:val="clear" w:color="auto" w:fill="auto"/>
            <w:noWrap/>
            <w:vAlign w:val="bottom"/>
            <w:hideMark/>
          </w:tcPr>
          <w:p w14:paraId="150B20FD"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C</w:t>
            </w:r>
            <w:r w:rsidRPr="00153D07">
              <w:rPr>
                <w:rFonts w:ascii="Times New Roman" w:eastAsia="Times New Roman" w:hAnsi="Times New Roman" w:cs="Times New Roman"/>
                <w:color w:val="000000"/>
                <w:sz w:val="18"/>
                <w:szCs w:val="18"/>
                <w:vertAlign w:val="subscript"/>
              </w:rPr>
              <w:t>F</w:t>
            </w:r>
            <w:r w:rsidRPr="00153D07">
              <w:rPr>
                <w:rFonts w:ascii="Times New Roman" w:eastAsia="Times New Roman" w:hAnsi="Times New Roman" w:cs="Times New Roman"/>
                <w:color w:val="000000"/>
                <w:sz w:val="18"/>
                <w:szCs w:val="18"/>
              </w:rPr>
              <w:t xml:space="preserve"> M</w:t>
            </w:r>
          </w:p>
        </w:tc>
        <w:tc>
          <w:tcPr>
            <w:tcW w:w="1071" w:type="dxa"/>
            <w:shd w:val="clear" w:color="auto" w:fill="auto"/>
            <w:noWrap/>
            <w:vAlign w:val="bottom"/>
            <w:hideMark/>
          </w:tcPr>
          <w:p w14:paraId="66FD451A"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proofErr w:type="spellStart"/>
            <w:r w:rsidRPr="00153D07">
              <w:rPr>
                <w:rFonts w:ascii="Times New Roman" w:eastAsia="Times New Roman" w:hAnsi="Times New Roman" w:cs="Times New Roman"/>
                <w:color w:val="000000"/>
                <w:sz w:val="18"/>
                <w:szCs w:val="18"/>
              </w:rPr>
              <w:t>Rej</w:t>
            </w:r>
            <w:proofErr w:type="spellEnd"/>
            <w:r w:rsidRPr="00153D07">
              <w:rPr>
                <w:rFonts w:ascii="Times New Roman" w:eastAsia="Times New Roman" w:hAnsi="Times New Roman" w:cs="Times New Roman"/>
                <w:color w:val="000000"/>
                <w:sz w:val="18"/>
                <w:szCs w:val="18"/>
              </w:rPr>
              <w:t>%</w:t>
            </w:r>
          </w:p>
        </w:tc>
      </w:tr>
      <w:tr w:rsidR="00A92ECA" w:rsidRPr="00AD04DA" w14:paraId="5D4EDCD6" w14:textId="77777777" w:rsidTr="00153D07">
        <w:trPr>
          <w:trHeight w:val="307"/>
        </w:trPr>
        <w:tc>
          <w:tcPr>
            <w:tcW w:w="526" w:type="dxa"/>
            <w:shd w:val="clear" w:color="auto" w:fill="auto"/>
            <w:noWrap/>
            <w:vAlign w:val="bottom"/>
            <w:hideMark/>
          </w:tcPr>
          <w:p w14:paraId="432D7158"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625" w:type="dxa"/>
            <w:shd w:val="clear" w:color="auto" w:fill="auto"/>
            <w:noWrap/>
            <w:vAlign w:val="bottom"/>
            <w:hideMark/>
          </w:tcPr>
          <w:p w14:paraId="41620B6B"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702" w:type="dxa"/>
            <w:shd w:val="clear" w:color="auto" w:fill="auto"/>
            <w:noWrap/>
            <w:vAlign w:val="bottom"/>
            <w:hideMark/>
          </w:tcPr>
          <w:p w14:paraId="695CE887"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10</w:t>
            </w:r>
          </w:p>
        </w:tc>
        <w:tc>
          <w:tcPr>
            <w:tcW w:w="797" w:type="dxa"/>
            <w:shd w:val="clear" w:color="auto" w:fill="auto"/>
            <w:noWrap/>
            <w:vAlign w:val="bottom"/>
            <w:hideMark/>
          </w:tcPr>
          <w:p w14:paraId="2C516906"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0.0251</w:t>
            </w:r>
          </w:p>
        </w:tc>
        <w:tc>
          <w:tcPr>
            <w:tcW w:w="1062" w:type="dxa"/>
            <w:shd w:val="clear" w:color="auto" w:fill="auto"/>
            <w:noWrap/>
            <w:vAlign w:val="bottom"/>
            <w:hideMark/>
          </w:tcPr>
          <w:p w14:paraId="4A36C6D3"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0.00251</w:t>
            </w:r>
          </w:p>
        </w:tc>
        <w:tc>
          <w:tcPr>
            <w:tcW w:w="885" w:type="dxa"/>
            <w:shd w:val="clear" w:color="auto" w:fill="auto"/>
            <w:noWrap/>
            <w:vAlign w:val="bottom"/>
            <w:hideMark/>
          </w:tcPr>
          <w:p w14:paraId="3276569C"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0.00251</w:t>
            </w:r>
          </w:p>
        </w:tc>
        <w:tc>
          <w:tcPr>
            <w:tcW w:w="620" w:type="dxa"/>
            <w:shd w:val="clear" w:color="auto" w:fill="auto"/>
            <w:noWrap/>
            <w:vAlign w:val="bottom"/>
            <w:hideMark/>
          </w:tcPr>
          <w:p w14:paraId="00E55CD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1062" w:type="dxa"/>
            <w:shd w:val="clear" w:color="auto" w:fill="auto"/>
            <w:noWrap/>
            <w:vAlign w:val="bottom"/>
            <w:hideMark/>
          </w:tcPr>
          <w:p w14:paraId="7A285AFB"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0.004188</w:t>
            </w:r>
          </w:p>
        </w:tc>
        <w:tc>
          <w:tcPr>
            <w:tcW w:w="1062" w:type="dxa"/>
            <w:shd w:val="clear" w:color="auto" w:fill="auto"/>
            <w:noWrap/>
            <w:vAlign w:val="bottom"/>
            <w:hideMark/>
          </w:tcPr>
          <w:p w14:paraId="79374113"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1.55E-05</w:t>
            </w:r>
          </w:p>
        </w:tc>
        <w:tc>
          <w:tcPr>
            <w:tcW w:w="876" w:type="dxa"/>
            <w:shd w:val="clear" w:color="auto" w:fill="auto"/>
            <w:noWrap/>
            <w:vAlign w:val="bottom"/>
            <w:hideMark/>
          </w:tcPr>
          <w:p w14:paraId="57C85EE0"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0.030835</w:t>
            </w:r>
          </w:p>
        </w:tc>
        <w:tc>
          <w:tcPr>
            <w:tcW w:w="1071" w:type="dxa"/>
            <w:shd w:val="clear" w:color="auto" w:fill="auto"/>
            <w:noWrap/>
            <w:vAlign w:val="bottom"/>
            <w:hideMark/>
          </w:tcPr>
          <w:p w14:paraId="3CECA3A6"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96.91649</w:t>
            </w:r>
          </w:p>
        </w:tc>
      </w:tr>
      <w:tr w:rsidR="00A92ECA" w:rsidRPr="00AD04DA" w14:paraId="67A03642" w14:textId="77777777" w:rsidTr="00153D07">
        <w:trPr>
          <w:trHeight w:val="307"/>
        </w:trPr>
        <w:tc>
          <w:tcPr>
            <w:tcW w:w="526" w:type="dxa"/>
            <w:shd w:val="clear" w:color="auto" w:fill="auto"/>
            <w:noWrap/>
            <w:vAlign w:val="bottom"/>
            <w:hideMark/>
          </w:tcPr>
          <w:p w14:paraId="357AED29"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2</w:t>
            </w:r>
          </w:p>
        </w:tc>
        <w:tc>
          <w:tcPr>
            <w:tcW w:w="625" w:type="dxa"/>
            <w:shd w:val="clear" w:color="auto" w:fill="auto"/>
            <w:noWrap/>
            <w:vAlign w:val="bottom"/>
            <w:hideMark/>
          </w:tcPr>
          <w:p w14:paraId="47E91B8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702" w:type="dxa"/>
            <w:shd w:val="clear" w:color="auto" w:fill="auto"/>
            <w:noWrap/>
            <w:vAlign w:val="bottom"/>
            <w:hideMark/>
          </w:tcPr>
          <w:p w14:paraId="54D2F25F"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10</w:t>
            </w:r>
          </w:p>
        </w:tc>
        <w:tc>
          <w:tcPr>
            <w:tcW w:w="797" w:type="dxa"/>
            <w:shd w:val="clear" w:color="auto" w:fill="auto"/>
            <w:noWrap/>
            <w:vAlign w:val="bottom"/>
            <w:hideMark/>
          </w:tcPr>
          <w:p w14:paraId="3BA913E8"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0.0603</w:t>
            </w:r>
          </w:p>
        </w:tc>
        <w:tc>
          <w:tcPr>
            <w:tcW w:w="1062" w:type="dxa"/>
            <w:shd w:val="clear" w:color="auto" w:fill="auto"/>
            <w:noWrap/>
            <w:vAlign w:val="bottom"/>
            <w:hideMark/>
          </w:tcPr>
          <w:p w14:paraId="606D8C9D"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0.00603</w:t>
            </w:r>
          </w:p>
        </w:tc>
        <w:tc>
          <w:tcPr>
            <w:tcW w:w="885" w:type="dxa"/>
            <w:shd w:val="clear" w:color="auto" w:fill="auto"/>
            <w:noWrap/>
            <w:vAlign w:val="bottom"/>
            <w:hideMark/>
          </w:tcPr>
          <w:p w14:paraId="65B83B00"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0.00603</w:t>
            </w:r>
          </w:p>
        </w:tc>
        <w:tc>
          <w:tcPr>
            <w:tcW w:w="620" w:type="dxa"/>
            <w:shd w:val="clear" w:color="auto" w:fill="auto"/>
            <w:noWrap/>
            <w:vAlign w:val="bottom"/>
            <w:hideMark/>
          </w:tcPr>
          <w:p w14:paraId="67BC5247"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1062" w:type="dxa"/>
            <w:shd w:val="clear" w:color="auto" w:fill="auto"/>
            <w:noWrap/>
            <w:vAlign w:val="bottom"/>
            <w:hideMark/>
          </w:tcPr>
          <w:p w14:paraId="3EAD617C"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0.002801</w:t>
            </w:r>
          </w:p>
        </w:tc>
        <w:tc>
          <w:tcPr>
            <w:tcW w:w="1062" w:type="dxa"/>
            <w:shd w:val="clear" w:color="auto" w:fill="auto"/>
            <w:noWrap/>
            <w:vAlign w:val="bottom"/>
            <w:hideMark/>
          </w:tcPr>
          <w:p w14:paraId="1C8196E9"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9.93E-06</w:t>
            </w:r>
          </w:p>
        </w:tc>
        <w:tc>
          <w:tcPr>
            <w:tcW w:w="876" w:type="dxa"/>
            <w:shd w:val="clear" w:color="auto" w:fill="auto"/>
            <w:noWrap/>
            <w:vAlign w:val="bottom"/>
            <w:hideMark/>
          </w:tcPr>
          <w:p w14:paraId="32871959"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0.008236</w:t>
            </w:r>
          </w:p>
        </w:tc>
        <w:tc>
          <w:tcPr>
            <w:tcW w:w="1071" w:type="dxa"/>
            <w:shd w:val="clear" w:color="auto" w:fill="auto"/>
            <w:noWrap/>
            <w:vAlign w:val="bottom"/>
            <w:hideMark/>
          </w:tcPr>
          <w:p w14:paraId="03E447B9"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99.17644</w:t>
            </w:r>
          </w:p>
        </w:tc>
      </w:tr>
      <w:tr w:rsidR="00A92ECA" w:rsidRPr="00AD04DA" w14:paraId="20112E21" w14:textId="77777777" w:rsidTr="00153D07">
        <w:trPr>
          <w:trHeight w:val="307"/>
        </w:trPr>
        <w:tc>
          <w:tcPr>
            <w:tcW w:w="526" w:type="dxa"/>
            <w:shd w:val="clear" w:color="auto" w:fill="auto"/>
            <w:noWrap/>
            <w:vAlign w:val="bottom"/>
            <w:hideMark/>
          </w:tcPr>
          <w:p w14:paraId="084E68B5"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625" w:type="dxa"/>
            <w:shd w:val="clear" w:color="auto" w:fill="auto"/>
            <w:noWrap/>
            <w:vAlign w:val="bottom"/>
            <w:hideMark/>
          </w:tcPr>
          <w:p w14:paraId="43139C5B"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702" w:type="dxa"/>
            <w:shd w:val="clear" w:color="auto" w:fill="auto"/>
            <w:noWrap/>
            <w:vAlign w:val="bottom"/>
            <w:hideMark/>
          </w:tcPr>
          <w:p w14:paraId="6262162A"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10</w:t>
            </w:r>
          </w:p>
        </w:tc>
        <w:tc>
          <w:tcPr>
            <w:tcW w:w="797" w:type="dxa"/>
            <w:shd w:val="clear" w:color="auto" w:fill="auto"/>
            <w:noWrap/>
            <w:vAlign w:val="bottom"/>
            <w:hideMark/>
          </w:tcPr>
          <w:p w14:paraId="67F9318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0.066</w:t>
            </w:r>
          </w:p>
        </w:tc>
        <w:tc>
          <w:tcPr>
            <w:tcW w:w="1062" w:type="dxa"/>
            <w:shd w:val="clear" w:color="auto" w:fill="auto"/>
            <w:noWrap/>
            <w:vAlign w:val="bottom"/>
            <w:hideMark/>
          </w:tcPr>
          <w:p w14:paraId="5DEF0ECB"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0.0066</w:t>
            </w:r>
          </w:p>
        </w:tc>
        <w:tc>
          <w:tcPr>
            <w:tcW w:w="885" w:type="dxa"/>
            <w:shd w:val="clear" w:color="auto" w:fill="auto"/>
            <w:noWrap/>
            <w:vAlign w:val="bottom"/>
            <w:hideMark/>
          </w:tcPr>
          <w:p w14:paraId="37176567"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0.0066</w:t>
            </w:r>
          </w:p>
        </w:tc>
        <w:tc>
          <w:tcPr>
            <w:tcW w:w="620" w:type="dxa"/>
            <w:shd w:val="clear" w:color="auto" w:fill="auto"/>
            <w:noWrap/>
            <w:vAlign w:val="bottom"/>
            <w:hideMark/>
          </w:tcPr>
          <w:p w14:paraId="1799EA3A"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1062" w:type="dxa"/>
            <w:shd w:val="clear" w:color="auto" w:fill="auto"/>
            <w:noWrap/>
            <w:vAlign w:val="bottom"/>
            <w:hideMark/>
          </w:tcPr>
          <w:p w14:paraId="06BB6354"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0.00506</w:t>
            </w:r>
          </w:p>
        </w:tc>
        <w:tc>
          <w:tcPr>
            <w:tcW w:w="1062" w:type="dxa"/>
            <w:shd w:val="clear" w:color="auto" w:fill="auto"/>
            <w:noWrap/>
            <w:vAlign w:val="bottom"/>
            <w:hideMark/>
          </w:tcPr>
          <w:p w14:paraId="5DDE4017"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1.91E-05</w:t>
            </w:r>
          </w:p>
        </w:tc>
        <w:tc>
          <w:tcPr>
            <w:tcW w:w="876" w:type="dxa"/>
            <w:shd w:val="clear" w:color="auto" w:fill="auto"/>
            <w:noWrap/>
            <w:vAlign w:val="bottom"/>
            <w:hideMark/>
          </w:tcPr>
          <w:p w14:paraId="324DA380"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0.014447</w:t>
            </w:r>
          </w:p>
        </w:tc>
        <w:tc>
          <w:tcPr>
            <w:tcW w:w="1071" w:type="dxa"/>
            <w:shd w:val="clear" w:color="auto" w:fill="auto"/>
            <w:noWrap/>
            <w:vAlign w:val="bottom"/>
            <w:hideMark/>
          </w:tcPr>
          <w:p w14:paraId="6786239D"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98.55527</w:t>
            </w:r>
          </w:p>
        </w:tc>
      </w:tr>
      <w:tr w:rsidR="00A92ECA" w:rsidRPr="00AD04DA" w14:paraId="1CD4DFD8" w14:textId="77777777" w:rsidTr="00153D07">
        <w:trPr>
          <w:trHeight w:val="307"/>
        </w:trPr>
        <w:tc>
          <w:tcPr>
            <w:tcW w:w="526" w:type="dxa"/>
            <w:shd w:val="clear" w:color="auto" w:fill="auto"/>
            <w:noWrap/>
            <w:vAlign w:val="bottom"/>
            <w:hideMark/>
          </w:tcPr>
          <w:p w14:paraId="4E2377A3"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625" w:type="dxa"/>
            <w:shd w:val="clear" w:color="auto" w:fill="auto"/>
            <w:noWrap/>
            <w:vAlign w:val="bottom"/>
            <w:hideMark/>
          </w:tcPr>
          <w:p w14:paraId="41B18547"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2</w:t>
            </w:r>
          </w:p>
        </w:tc>
        <w:tc>
          <w:tcPr>
            <w:tcW w:w="702" w:type="dxa"/>
            <w:shd w:val="clear" w:color="auto" w:fill="auto"/>
            <w:noWrap/>
            <w:vAlign w:val="bottom"/>
            <w:hideMark/>
          </w:tcPr>
          <w:p w14:paraId="5252BF32"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9.9749</w:t>
            </w:r>
          </w:p>
        </w:tc>
        <w:tc>
          <w:tcPr>
            <w:tcW w:w="797" w:type="dxa"/>
            <w:shd w:val="clear" w:color="auto" w:fill="auto"/>
            <w:noWrap/>
            <w:vAlign w:val="bottom"/>
            <w:hideMark/>
          </w:tcPr>
          <w:p w14:paraId="4B7DC92A"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w:t>
            </w:r>
          </w:p>
        </w:tc>
        <w:tc>
          <w:tcPr>
            <w:tcW w:w="1062" w:type="dxa"/>
            <w:shd w:val="clear" w:color="auto" w:fill="auto"/>
            <w:noWrap/>
            <w:vAlign w:val="bottom"/>
            <w:hideMark/>
          </w:tcPr>
          <w:p w14:paraId="339B2E98"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w:t>
            </w:r>
          </w:p>
        </w:tc>
        <w:tc>
          <w:tcPr>
            <w:tcW w:w="885" w:type="dxa"/>
            <w:shd w:val="clear" w:color="auto" w:fill="auto"/>
            <w:noWrap/>
            <w:vAlign w:val="bottom"/>
            <w:hideMark/>
          </w:tcPr>
          <w:p w14:paraId="63574AF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w:t>
            </w:r>
          </w:p>
        </w:tc>
        <w:tc>
          <w:tcPr>
            <w:tcW w:w="620" w:type="dxa"/>
            <w:shd w:val="clear" w:color="auto" w:fill="auto"/>
            <w:noWrap/>
            <w:vAlign w:val="bottom"/>
            <w:hideMark/>
          </w:tcPr>
          <w:p w14:paraId="26E4E0F2"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1062" w:type="dxa"/>
            <w:shd w:val="clear" w:color="auto" w:fill="auto"/>
            <w:noWrap/>
            <w:vAlign w:val="bottom"/>
            <w:hideMark/>
          </w:tcPr>
          <w:p w14:paraId="35966241"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NA</w:t>
            </w:r>
          </w:p>
        </w:tc>
        <w:tc>
          <w:tcPr>
            <w:tcW w:w="1062" w:type="dxa"/>
            <w:shd w:val="clear" w:color="auto" w:fill="auto"/>
            <w:noWrap/>
            <w:vAlign w:val="bottom"/>
            <w:hideMark/>
          </w:tcPr>
          <w:p w14:paraId="6544363F"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NA</w:t>
            </w:r>
          </w:p>
        </w:tc>
        <w:tc>
          <w:tcPr>
            <w:tcW w:w="876" w:type="dxa"/>
            <w:shd w:val="clear" w:color="auto" w:fill="auto"/>
            <w:noWrap/>
            <w:vAlign w:val="bottom"/>
            <w:hideMark/>
          </w:tcPr>
          <w:p w14:paraId="04E1F88A"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NA</w:t>
            </w:r>
          </w:p>
        </w:tc>
        <w:tc>
          <w:tcPr>
            <w:tcW w:w="1071" w:type="dxa"/>
            <w:shd w:val="clear" w:color="auto" w:fill="auto"/>
            <w:noWrap/>
            <w:vAlign w:val="bottom"/>
            <w:hideMark/>
          </w:tcPr>
          <w:p w14:paraId="6C087DF4"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NA</w:t>
            </w:r>
          </w:p>
        </w:tc>
      </w:tr>
      <w:tr w:rsidR="00A92ECA" w:rsidRPr="00AD04DA" w14:paraId="38297551" w14:textId="77777777" w:rsidTr="00153D07">
        <w:trPr>
          <w:trHeight w:val="307"/>
        </w:trPr>
        <w:tc>
          <w:tcPr>
            <w:tcW w:w="526" w:type="dxa"/>
            <w:shd w:val="clear" w:color="auto" w:fill="auto"/>
            <w:noWrap/>
            <w:vAlign w:val="bottom"/>
            <w:hideMark/>
          </w:tcPr>
          <w:p w14:paraId="2D9C3205"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2</w:t>
            </w:r>
          </w:p>
        </w:tc>
        <w:tc>
          <w:tcPr>
            <w:tcW w:w="625" w:type="dxa"/>
            <w:shd w:val="clear" w:color="auto" w:fill="auto"/>
            <w:noWrap/>
            <w:vAlign w:val="bottom"/>
            <w:hideMark/>
          </w:tcPr>
          <w:p w14:paraId="5C37A768"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2</w:t>
            </w:r>
          </w:p>
        </w:tc>
        <w:tc>
          <w:tcPr>
            <w:tcW w:w="702" w:type="dxa"/>
            <w:shd w:val="clear" w:color="auto" w:fill="auto"/>
            <w:noWrap/>
            <w:vAlign w:val="bottom"/>
            <w:hideMark/>
          </w:tcPr>
          <w:p w14:paraId="5E1E2675"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9.9397</w:t>
            </w:r>
          </w:p>
        </w:tc>
        <w:tc>
          <w:tcPr>
            <w:tcW w:w="797" w:type="dxa"/>
            <w:shd w:val="clear" w:color="auto" w:fill="auto"/>
            <w:noWrap/>
            <w:vAlign w:val="bottom"/>
            <w:hideMark/>
          </w:tcPr>
          <w:p w14:paraId="45B64300"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0.0388</w:t>
            </w:r>
          </w:p>
        </w:tc>
        <w:tc>
          <w:tcPr>
            <w:tcW w:w="1062" w:type="dxa"/>
            <w:shd w:val="clear" w:color="auto" w:fill="auto"/>
            <w:noWrap/>
            <w:vAlign w:val="bottom"/>
            <w:hideMark/>
          </w:tcPr>
          <w:p w14:paraId="7C35316F"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0.003904</w:t>
            </w:r>
          </w:p>
        </w:tc>
        <w:tc>
          <w:tcPr>
            <w:tcW w:w="885" w:type="dxa"/>
            <w:shd w:val="clear" w:color="auto" w:fill="auto"/>
            <w:noWrap/>
            <w:vAlign w:val="bottom"/>
            <w:hideMark/>
          </w:tcPr>
          <w:p w14:paraId="1FB678BF"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0.00388</w:t>
            </w:r>
          </w:p>
        </w:tc>
        <w:tc>
          <w:tcPr>
            <w:tcW w:w="620" w:type="dxa"/>
            <w:shd w:val="clear" w:color="auto" w:fill="auto"/>
            <w:noWrap/>
            <w:vAlign w:val="bottom"/>
            <w:hideMark/>
          </w:tcPr>
          <w:p w14:paraId="3642EFF5"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1062" w:type="dxa"/>
            <w:shd w:val="clear" w:color="auto" w:fill="auto"/>
            <w:noWrap/>
            <w:vAlign w:val="bottom"/>
            <w:hideMark/>
          </w:tcPr>
          <w:p w14:paraId="40FC692A"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0.00419</w:t>
            </w:r>
          </w:p>
        </w:tc>
        <w:tc>
          <w:tcPr>
            <w:tcW w:w="1062" w:type="dxa"/>
            <w:shd w:val="clear" w:color="auto" w:fill="auto"/>
            <w:noWrap/>
            <w:vAlign w:val="bottom"/>
            <w:hideMark/>
          </w:tcPr>
          <w:p w14:paraId="2E5B3DF6"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1.55E-05</w:t>
            </w:r>
          </w:p>
        </w:tc>
        <w:tc>
          <w:tcPr>
            <w:tcW w:w="876" w:type="dxa"/>
            <w:shd w:val="clear" w:color="auto" w:fill="auto"/>
            <w:noWrap/>
            <w:vAlign w:val="bottom"/>
            <w:hideMark/>
          </w:tcPr>
          <w:p w14:paraId="7D64C7B4"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0.019958</w:t>
            </w:r>
          </w:p>
        </w:tc>
        <w:tc>
          <w:tcPr>
            <w:tcW w:w="1071" w:type="dxa"/>
            <w:shd w:val="clear" w:color="auto" w:fill="auto"/>
            <w:noWrap/>
            <w:vAlign w:val="bottom"/>
            <w:hideMark/>
          </w:tcPr>
          <w:p w14:paraId="1E4E2D38"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98.00421</w:t>
            </w:r>
          </w:p>
        </w:tc>
      </w:tr>
      <w:tr w:rsidR="00A92ECA" w:rsidRPr="00AD04DA" w14:paraId="0F557B1A" w14:textId="77777777" w:rsidTr="00153D07">
        <w:trPr>
          <w:trHeight w:val="307"/>
        </w:trPr>
        <w:tc>
          <w:tcPr>
            <w:tcW w:w="526" w:type="dxa"/>
            <w:shd w:val="clear" w:color="auto" w:fill="auto"/>
            <w:noWrap/>
            <w:vAlign w:val="bottom"/>
            <w:hideMark/>
          </w:tcPr>
          <w:p w14:paraId="29867234"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625" w:type="dxa"/>
            <w:shd w:val="clear" w:color="auto" w:fill="auto"/>
            <w:noWrap/>
            <w:vAlign w:val="bottom"/>
            <w:hideMark/>
          </w:tcPr>
          <w:p w14:paraId="25D7FD33"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2</w:t>
            </w:r>
          </w:p>
        </w:tc>
        <w:tc>
          <w:tcPr>
            <w:tcW w:w="702" w:type="dxa"/>
            <w:shd w:val="clear" w:color="auto" w:fill="auto"/>
            <w:noWrap/>
            <w:vAlign w:val="bottom"/>
            <w:hideMark/>
          </w:tcPr>
          <w:p w14:paraId="6A194BD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9.934</w:t>
            </w:r>
          </w:p>
        </w:tc>
        <w:tc>
          <w:tcPr>
            <w:tcW w:w="797" w:type="dxa"/>
            <w:shd w:val="clear" w:color="auto" w:fill="auto"/>
            <w:noWrap/>
            <w:vAlign w:val="bottom"/>
            <w:hideMark/>
          </w:tcPr>
          <w:p w14:paraId="67806248"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0.0323</w:t>
            </w:r>
          </w:p>
        </w:tc>
        <w:tc>
          <w:tcPr>
            <w:tcW w:w="1062" w:type="dxa"/>
            <w:shd w:val="clear" w:color="auto" w:fill="auto"/>
            <w:noWrap/>
            <w:vAlign w:val="bottom"/>
            <w:hideMark/>
          </w:tcPr>
          <w:p w14:paraId="43474DC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0.003251</w:t>
            </w:r>
          </w:p>
        </w:tc>
        <w:tc>
          <w:tcPr>
            <w:tcW w:w="885" w:type="dxa"/>
            <w:shd w:val="clear" w:color="auto" w:fill="auto"/>
            <w:noWrap/>
            <w:vAlign w:val="bottom"/>
            <w:hideMark/>
          </w:tcPr>
          <w:p w14:paraId="2180B606"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0.00323</w:t>
            </w:r>
          </w:p>
        </w:tc>
        <w:tc>
          <w:tcPr>
            <w:tcW w:w="620" w:type="dxa"/>
            <w:shd w:val="clear" w:color="auto" w:fill="auto"/>
            <w:noWrap/>
            <w:vAlign w:val="bottom"/>
            <w:hideMark/>
          </w:tcPr>
          <w:p w14:paraId="61D3C404"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1062" w:type="dxa"/>
            <w:shd w:val="clear" w:color="auto" w:fill="auto"/>
            <w:noWrap/>
            <w:vAlign w:val="bottom"/>
            <w:hideMark/>
          </w:tcPr>
          <w:p w14:paraId="1413C45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0.002945</w:t>
            </w:r>
          </w:p>
        </w:tc>
        <w:tc>
          <w:tcPr>
            <w:tcW w:w="1062" w:type="dxa"/>
            <w:shd w:val="clear" w:color="auto" w:fill="auto"/>
            <w:noWrap/>
            <w:vAlign w:val="bottom"/>
            <w:hideMark/>
          </w:tcPr>
          <w:p w14:paraId="556107BD"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1.05E-05</w:t>
            </w:r>
          </w:p>
        </w:tc>
        <w:tc>
          <w:tcPr>
            <w:tcW w:w="876" w:type="dxa"/>
            <w:shd w:val="clear" w:color="auto" w:fill="auto"/>
            <w:noWrap/>
            <w:vAlign w:val="bottom"/>
            <w:hideMark/>
          </w:tcPr>
          <w:p w14:paraId="0672C357"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0.016249</w:t>
            </w:r>
          </w:p>
        </w:tc>
        <w:tc>
          <w:tcPr>
            <w:tcW w:w="1071" w:type="dxa"/>
            <w:shd w:val="clear" w:color="auto" w:fill="auto"/>
            <w:noWrap/>
            <w:vAlign w:val="bottom"/>
            <w:hideMark/>
          </w:tcPr>
          <w:p w14:paraId="7BBCA6BC"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98.37509</w:t>
            </w:r>
          </w:p>
        </w:tc>
      </w:tr>
      <w:tr w:rsidR="00A92ECA" w:rsidRPr="00AD04DA" w14:paraId="24A75FCE" w14:textId="77777777" w:rsidTr="00153D07">
        <w:trPr>
          <w:trHeight w:val="307"/>
        </w:trPr>
        <w:tc>
          <w:tcPr>
            <w:tcW w:w="526" w:type="dxa"/>
            <w:shd w:val="clear" w:color="auto" w:fill="auto"/>
            <w:noWrap/>
            <w:vAlign w:val="bottom"/>
            <w:hideMark/>
          </w:tcPr>
          <w:p w14:paraId="5D605136"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625" w:type="dxa"/>
            <w:shd w:val="clear" w:color="auto" w:fill="auto"/>
            <w:noWrap/>
            <w:vAlign w:val="bottom"/>
            <w:hideMark/>
          </w:tcPr>
          <w:p w14:paraId="53186A5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702" w:type="dxa"/>
            <w:shd w:val="clear" w:color="auto" w:fill="auto"/>
            <w:noWrap/>
            <w:vAlign w:val="bottom"/>
            <w:hideMark/>
          </w:tcPr>
          <w:p w14:paraId="6AB58B9C"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9.9749</w:t>
            </w:r>
          </w:p>
        </w:tc>
        <w:tc>
          <w:tcPr>
            <w:tcW w:w="797" w:type="dxa"/>
            <w:shd w:val="clear" w:color="auto" w:fill="auto"/>
            <w:noWrap/>
            <w:vAlign w:val="bottom"/>
            <w:hideMark/>
          </w:tcPr>
          <w:p w14:paraId="51B9DC5A"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0.0507</w:t>
            </w:r>
          </w:p>
        </w:tc>
        <w:tc>
          <w:tcPr>
            <w:tcW w:w="1062" w:type="dxa"/>
            <w:shd w:val="clear" w:color="auto" w:fill="auto"/>
            <w:noWrap/>
            <w:vAlign w:val="bottom"/>
            <w:hideMark/>
          </w:tcPr>
          <w:p w14:paraId="62474C20"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0.005083</w:t>
            </w:r>
          </w:p>
        </w:tc>
        <w:tc>
          <w:tcPr>
            <w:tcW w:w="885" w:type="dxa"/>
            <w:shd w:val="clear" w:color="auto" w:fill="auto"/>
            <w:noWrap/>
            <w:vAlign w:val="bottom"/>
            <w:hideMark/>
          </w:tcPr>
          <w:p w14:paraId="644042E3"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0.00507</w:t>
            </w:r>
          </w:p>
        </w:tc>
        <w:tc>
          <w:tcPr>
            <w:tcW w:w="620" w:type="dxa"/>
            <w:shd w:val="clear" w:color="auto" w:fill="auto"/>
            <w:noWrap/>
            <w:vAlign w:val="bottom"/>
            <w:hideMark/>
          </w:tcPr>
          <w:p w14:paraId="1052E173"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1062" w:type="dxa"/>
            <w:shd w:val="clear" w:color="auto" w:fill="auto"/>
            <w:noWrap/>
            <w:vAlign w:val="bottom"/>
            <w:hideMark/>
          </w:tcPr>
          <w:p w14:paraId="569FAA3B"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0.008112</w:t>
            </w:r>
          </w:p>
        </w:tc>
        <w:tc>
          <w:tcPr>
            <w:tcW w:w="1062" w:type="dxa"/>
            <w:shd w:val="clear" w:color="auto" w:fill="auto"/>
            <w:noWrap/>
            <w:vAlign w:val="bottom"/>
            <w:hideMark/>
          </w:tcPr>
          <w:p w14:paraId="46526EC7"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3.21E-05</w:t>
            </w:r>
          </w:p>
        </w:tc>
        <w:tc>
          <w:tcPr>
            <w:tcW w:w="876" w:type="dxa"/>
            <w:shd w:val="clear" w:color="auto" w:fill="auto"/>
            <w:noWrap/>
            <w:vAlign w:val="bottom"/>
            <w:hideMark/>
          </w:tcPr>
          <w:p w14:paraId="63709DDC"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0.031654</w:t>
            </w:r>
          </w:p>
        </w:tc>
        <w:tc>
          <w:tcPr>
            <w:tcW w:w="1071" w:type="dxa"/>
            <w:shd w:val="clear" w:color="auto" w:fill="auto"/>
            <w:noWrap/>
            <w:vAlign w:val="bottom"/>
            <w:hideMark/>
          </w:tcPr>
          <w:p w14:paraId="7264EB64"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96.83456</w:t>
            </w:r>
          </w:p>
        </w:tc>
      </w:tr>
      <w:tr w:rsidR="00A92ECA" w:rsidRPr="00AD04DA" w14:paraId="5F6DB6C1" w14:textId="77777777" w:rsidTr="00153D07">
        <w:trPr>
          <w:trHeight w:val="307"/>
        </w:trPr>
        <w:tc>
          <w:tcPr>
            <w:tcW w:w="526" w:type="dxa"/>
            <w:shd w:val="clear" w:color="auto" w:fill="auto"/>
            <w:noWrap/>
            <w:vAlign w:val="bottom"/>
            <w:hideMark/>
          </w:tcPr>
          <w:p w14:paraId="44131AB5"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2</w:t>
            </w:r>
          </w:p>
        </w:tc>
        <w:tc>
          <w:tcPr>
            <w:tcW w:w="625" w:type="dxa"/>
            <w:shd w:val="clear" w:color="auto" w:fill="auto"/>
            <w:noWrap/>
            <w:vAlign w:val="bottom"/>
            <w:hideMark/>
          </w:tcPr>
          <w:p w14:paraId="2BF4666D"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702" w:type="dxa"/>
            <w:shd w:val="clear" w:color="auto" w:fill="auto"/>
            <w:noWrap/>
            <w:vAlign w:val="bottom"/>
            <w:hideMark/>
          </w:tcPr>
          <w:p w14:paraId="5A0A20D0"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9.9009</w:t>
            </w:r>
          </w:p>
        </w:tc>
        <w:tc>
          <w:tcPr>
            <w:tcW w:w="797" w:type="dxa"/>
            <w:shd w:val="clear" w:color="auto" w:fill="auto"/>
            <w:noWrap/>
            <w:vAlign w:val="bottom"/>
            <w:hideMark/>
          </w:tcPr>
          <w:p w14:paraId="5199B4C3"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0.0419</w:t>
            </w:r>
          </w:p>
        </w:tc>
        <w:tc>
          <w:tcPr>
            <w:tcW w:w="1062" w:type="dxa"/>
            <w:shd w:val="clear" w:color="auto" w:fill="auto"/>
            <w:noWrap/>
            <w:vAlign w:val="bottom"/>
            <w:hideMark/>
          </w:tcPr>
          <w:p w14:paraId="10B87795"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0.004232</w:t>
            </w:r>
          </w:p>
        </w:tc>
        <w:tc>
          <w:tcPr>
            <w:tcW w:w="885" w:type="dxa"/>
            <w:shd w:val="clear" w:color="auto" w:fill="auto"/>
            <w:noWrap/>
            <w:vAlign w:val="bottom"/>
            <w:hideMark/>
          </w:tcPr>
          <w:p w14:paraId="0FD04156"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0.00419</w:t>
            </w:r>
          </w:p>
        </w:tc>
        <w:tc>
          <w:tcPr>
            <w:tcW w:w="620" w:type="dxa"/>
            <w:shd w:val="clear" w:color="auto" w:fill="auto"/>
            <w:noWrap/>
            <w:vAlign w:val="bottom"/>
            <w:hideMark/>
          </w:tcPr>
          <w:p w14:paraId="4367282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1062" w:type="dxa"/>
            <w:shd w:val="clear" w:color="auto" w:fill="auto"/>
            <w:noWrap/>
            <w:vAlign w:val="bottom"/>
            <w:hideMark/>
          </w:tcPr>
          <w:p w14:paraId="677D3F6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0.001248</w:t>
            </w:r>
          </w:p>
        </w:tc>
        <w:tc>
          <w:tcPr>
            <w:tcW w:w="1062" w:type="dxa"/>
            <w:shd w:val="clear" w:color="auto" w:fill="auto"/>
            <w:noWrap/>
            <w:vAlign w:val="bottom"/>
            <w:hideMark/>
          </w:tcPr>
          <w:p w14:paraId="4AF74D2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4.07E-06</w:t>
            </w:r>
          </w:p>
        </w:tc>
        <w:tc>
          <w:tcPr>
            <w:tcW w:w="876" w:type="dxa"/>
            <w:shd w:val="clear" w:color="auto" w:fill="auto"/>
            <w:noWrap/>
            <w:vAlign w:val="bottom"/>
            <w:hideMark/>
          </w:tcPr>
          <w:p w14:paraId="0C58BEF9"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0.004859</w:t>
            </w:r>
          </w:p>
        </w:tc>
        <w:tc>
          <w:tcPr>
            <w:tcW w:w="1071" w:type="dxa"/>
            <w:shd w:val="clear" w:color="auto" w:fill="auto"/>
            <w:noWrap/>
            <w:vAlign w:val="bottom"/>
            <w:hideMark/>
          </w:tcPr>
          <w:p w14:paraId="43A30117"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99.51415</w:t>
            </w:r>
          </w:p>
        </w:tc>
      </w:tr>
      <w:tr w:rsidR="00A92ECA" w:rsidRPr="00AD04DA" w14:paraId="63C39032" w14:textId="77777777" w:rsidTr="00153D07">
        <w:trPr>
          <w:trHeight w:val="307"/>
        </w:trPr>
        <w:tc>
          <w:tcPr>
            <w:tcW w:w="526" w:type="dxa"/>
            <w:shd w:val="clear" w:color="auto" w:fill="auto"/>
            <w:noWrap/>
            <w:vAlign w:val="bottom"/>
            <w:hideMark/>
          </w:tcPr>
          <w:p w14:paraId="0F08FD6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625" w:type="dxa"/>
            <w:shd w:val="clear" w:color="auto" w:fill="auto"/>
            <w:noWrap/>
            <w:vAlign w:val="bottom"/>
            <w:hideMark/>
          </w:tcPr>
          <w:p w14:paraId="66EF2D57"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702" w:type="dxa"/>
            <w:shd w:val="clear" w:color="auto" w:fill="auto"/>
            <w:noWrap/>
            <w:vAlign w:val="bottom"/>
            <w:hideMark/>
          </w:tcPr>
          <w:p w14:paraId="00AB4E48"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9.9017</w:t>
            </w:r>
          </w:p>
        </w:tc>
        <w:tc>
          <w:tcPr>
            <w:tcW w:w="797" w:type="dxa"/>
            <w:shd w:val="clear" w:color="auto" w:fill="auto"/>
            <w:noWrap/>
            <w:vAlign w:val="bottom"/>
            <w:hideMark/>
          </w:tcPr>
          <w:p w14:paraId="46E6D44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0.0485</w:t>
            </w:r>
          </w:p>
        </w:tc>
        <w:tc>
          <w:tcPr>
            <w:tcW w:w="1062" w:type="dxa"/>
            <w:shd w:val="clear" w:color="auto" w:fill="auto"/>
            <w:noWrap/>
            <w:vAlign w:val="bottom"/>
            <w:hideMark/>
          </w:tcPr>
          <w:p w14:paraId="206B9E5D"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0.004898</w:t>
            </w:r>
          </w:p>
        </w:tc>
        <w:tc>
          <w:tcPr>
            <w:tcW w:w="885" w:type="dxa"/>
            <w:shd w:val="clear" w:color="auto" w:fill="auto"/>
            <w:noWrap/>
            <w:vAlign w:val="bottom"/>
            <w:hideMark/>
          </w:tcPr>
          <w:p w14:paraId="5BA7158C"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0.00485</w:t>
            </w:r>
          </w:p>
        </w:tc>
        <w:tc>
          <w:tcPr>
            <w:tcW w:w="620" w:type="dxa"/>
            <w:shd w:val="clear" w:color="auto" w:fill="auto"/>
            <w:noWrap/>
            <w:vAlign w:val="bottom"/>
            <w:hideMark/>
          </w:tcPr>
          <w:p w14:paraId="33F28BCE"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1062" w:type="dxa"/>
            <w:shd w:val="clear" w:color="auto" w:fill="auto"/>
            <w:noWrap/>
            <w:vAlign w:val="bottom"/>
            <w:hideMark/>
          </w:tcPr>
          <w:p w14:paraId="7AEA1F8B"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0.001856</w:t>
            </w:r>
          </w:p>
        </w:tc>
        <w:tc>
          <w:tcPr>
            <w:tcW w:w="1062" w:type="dxa"/>
            <w:shd w:val="clear" w:color="auto" w:fill="auto"/>
            <w:noWrap/>
            <w:vAlign w:val="bottom"/>
            <w:hideMark/>
          </w:tcPr>
          <w:p w14:paraId="02C9232B"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6.31E-06</w:t>
            </w:r>
          </w:p>
        </w:tc>
        <w:tc>
          <w:tcPr>
            <w:tcW w:w="876" w:type="dxa"/>
            <w:shd w:val="clear" w:color="auto" w:fill="auto"/>
            <w:noWrap/>
            <w:vAlign w:val="bottom"/>
            <w:hideMark/>
          </w:tcPr>
          <w:p w14:paraId="7956CBE9"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0.006503</w:t>
            </w:r>
          </w:p>
        </w:tc>
        <w:tc>
          <w:tcPr>
            <w:tcW w:w="1071" w:type="dxa"/>
            <w:shd w:val="clear" w:color="auto" w:fill="auto"/>
            <w:noWrap/>
            <w:vAlign w:val="bottom"/>
            <w:hideMark/>
          </w:tcPr>
          <w:p w14:paraId="11D998B2" w14:textId="77777777" w:rsidR="00A92ECA" w:rsidRPr="00153D07" w:rsidRDefault="00A92ECA" w:rsidP="00A92ECA">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99.34971</w:t>
            </w:r>
          </w:p>
        </w:tc>
      </w:tr>
    </w:tbl>
    <w:p w14:paraId="67697E15" w14:textId="05B78F2C" w:rsidR="00A92ECA" w:rsidRPr="00AD04DA" w:rsidRDefault="00A92ECA" w:rsidP="00B02CBC">
      <w:pPr>
        <w:spacing w:line="480" w:lineRule="auto"/>
        <w:jc w:val="center"/>
        <w:rPr>
          <w:rFonts w:ascii="Times New Roman" w:hAnsi="Times New Roman" w:cs="Times New Roman"/>
          <w:sz w:val="24"/>
          <w:szCs w:val="24"/>
        </w:rPr>
      </w:pPr>
    </w:p>
    <w:p w14:paraId="6DFC4774" w14:textId="7542A012" w:rsidR="00F70341" w:rsidRPr="00AD04DA" w:rsidRDefault="00F70341"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A5</w:t>
      </w:r>
      <w:r w:rsidRPr="00AD04DA">
        <w:rPr>
          <w:rFonts w:ascii="Times New Roman" w:hAnsi="Times New Roman" w:cs="Times New Roman"/>
          <w:sz w:val="24"/>
          <w:szCs w:val="24"/>
        </w:rPr>
        <w:t xml:space="preserve">: Experimental Data for DA with 3.5 </w:t>
      </w:r>
      <w:r w:rsidR="00CB43B3" w:rsidRPr="00AD04DA">
        <w:rPr>
          <w:rFonts w:ascii="Times New Roman" w:hAnsi="Times New Roman" w:cs="Times New Roman"/>
          <w:sz w:val="24"/>
          <w:szCs w:val="24"/>
        </w:rPr>
        <w:t>w/w%</w:t>
      </w:r>
      <w:r w:rsidRPr="00AD04DA">
        <w:rPr>
          <w:rFonts w:ascii="Times New Roman" w:hAnsi="Times New Roman" w:cs="Times New Roman"/>
          <w:sz w:val="24"/>
          <w:szCs w:val="24"/>
        </w:rPr>
        <w:t xml:space="preserve"> NaCl feed</w:t>
      </w:r>
    </w:p>
    <w:tbl>
      <w:tblPr>
        <w:tblW w:w="87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7"/>
        <w:gridCol w:w="636"/>
        <w:gridCol w:w="711"/>
        <w:gridCol w:w="831"/>
        <w:gridCol w:w="900"/>
        <w:gridCol w:w="810"/>
        <w:gridCol w:w="720"/>
        <w:gridCol w:w="900"/>
        <w:gridCol w:w="990"/>
        <w:gridCol w:w="990"/>
        <w:gridCol w:w="891"/>
      </w:tblGrid>
      <w:tr w:rsidR="00D62F3B" w:rsidRPr="00AD04DA" w14:paraId="04758DA6" w14:textId="77777777" w:rsidTr="00D62F3B">
        <w:trPr>
          <w:trHeight w:val="360"/>
        </w:trPr>
        <w:tc>
          <w:tcPr>
            <w:tcW w:w="517" w:type="dxa"/>
            <w:shd w:val="clear" w:color="auto" w:fill="auto"/>
            <w:noWrap/>
            <w:vAlign w:val="bottom"/>
            <w:hideMark/>
          </w:tcPr>
          <w:p w14:paraId="7660917C"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Run</w:t>
            </w:r>
          </w:p>
        </w:tc>
        <w:tc>
          <w:tcPr>
            <w:tcW w:w="636" w:type="dxa"/>
            <w:shd w:val="clear" w:color="auto" w:fill="auto"/>
            <w:noWrap/>
            <w:vAlign w:val="bottom"/>
            <w:hideMark/>
          </w:tcPr>
          <w:p w14:paraId="71BA3F53"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Cycle</w:t>
            </w:r>
          </w:p>
        </w:tc>
        <w:tc>
          <w:tcPr>
            <w:tcW w:w="711" w:type="dxa"/>
            <w:shd w:val="clear" w:color="auto" w:fill="auto"/>
            <w:noWrap/>
            <w:vAlign w:val="bottom"/>
            <w:hideMark/>
          </w:tcPr>
          <w:p w14:paraId="111C47F8"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V</w:t>
            </w:r>
            <w:r w:rsidRPr="00153D07">
              <w:rPr>
                <w:rFonts w:ascii="Times New Roman" w:eastAsia="Times New Roman" w:hAnsi="Times New Roman" w:cs="Times New Roman"/>
                <w:color w:val="000000"/>
                <w:sz w:val="18"/>
                <w:szCs w:val="18"/>
                <w:vertAlign w:val="subscript"/>
              </w:rPr>
              <w:t>0</w:t>
            </w:r>
            <w:r w:rsidRPr="00153D07">
              <w:rPr>
                <w:rFonts w:ascii="Times New Roman" w:eastAsia="Times New Roman" w:hAnsi="Times New Roman" w:cs="Times New Roman"/>
                <w:color w:val="000000"/>
                <w:sz w:val="18"/>
                <w:szCs w:val="18"/>
              </w:rPr>
              <w:t xml:space="preserve"> mL</w:t>
            </w:r>
          </w:p>
        </w:tc>
        <w:tc>
          <w:tcPr>
            <w:tcW w:w="831" w:type="dxa"/>
            <w:shd w:val="clear" w:color="auto" w:fill="auto"/>
            <w:noWrap/>
            <w:vAlign w:val="bottom"/>
            <w:hideMark/>
          </w:tcPr>
          <w:p w14:paraId="0501AF78"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V</w:t>
            </w:r>
            <w:r w:rsidRPr="00153D07">
              <w:rPr>
                <w:rFonts w:ascii="Times New Roman" w:eastAsia="Times New Roman" w:hAnsi="Times New Roman" w:cs="Times New Roman"/>
                <w:color w:val="000000"/>
                <w:sz w:val="18"/>
                <w:szCs w:val="18"/>
                <w:vertAlign w:val="subscript"/>
              </w:rPr>
              <w:t>R</w:t>
            </w:r>
            <w:r w:rsidRPr="00153D07">
              <w:rPr>
                <w:rFonts w:ascii="Times New Roman" w:eastAsia="Times New Roman" w:hAnsi="Times New Roman" w:cs="Times New Roman"/>
                <w:color w:val="000000"/>
                <w:sz w:val="18"/>
                <w:szCs w:val="18"/>
              </w:rPr>
              <w:t xml:space="preserve"> mL</w:t>
            </w:r>
          </w:p>
        </w:tc>
        <w:tc>
          <w:tcPr>
            <w:tcW w:w="900" w:type="dxa"/>
            <w:shd w:val="clear" w:color="auto" w:fill="auto"/>
            <w:noWrap/>
            <w:vAlign w:val="bottom"/>
            <w:hideMark/>
          </w:tcPr>
          <w:p w14:paraId="2CB52ED0"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Total Rec%</w:t>
            </w:r>
          </w:p>
        </w:tc>
        <w:tc>
          <w:tcPr>
            <w:tcW w:w="810" w:type="dxa"/>
            <w:shd w:val="clear" w:color="auto" w:fill="auto"/>
            <w:noWrap/>
            <w:vAlign w:val="bottom"/>
            <w:hideMark/>
          </w:tcPr>
          <w:p w14:paraId="3DD1BF73"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Trial rec %</w:t>
            </w:r>
          </w:p>
        </w:tc>
        <w:tc>
          <w:tcPr>
            <w:tcW w:w="720" w:type="dxa"/>
            <w:shd w:val="clear" w:color="auto" w:fill="auto"/>
            <w:noWrap/>
            <w:vAlign w:val="bottom"/>
            <w:hideMark/>
          </w:tcPr>
          <w:p w14:paraId="32AA691B"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C</w:t>
            </w:r>
            <w:r w:rsidRPr="00153D07">
              <w:rPr>
                <w:rFonts w:ascii="Times New Roman" w:eastAsia="Times New Roman" w:hAnsi="Times New Roman" w:cs="Times New Roman"/>
                <w:color w:val="000000"/>
                <w:sz w:val="18"/>
                <w:szCs w:val="18"/>
                <w:vertAlign w:val="subscript"/>
              </w:rPr>
              <w:t>0</w:t>
            </w:r>
            <w:r w:rsidRPr="00153D07">
              <w:rPr>
                <w:rFonts w:ascii="Times New Roman" w:eastAsia="Times New Roman" w:hAnsi="Times New Roman" w:cs="Times New Roman"/>
                <w:color w:val="000000"/>
                <w:sz w:val="18"/>
                <w:szCs w:val="18"/>
              </w:rPr>
              <w:t xml:space="preserve"> M</w:t>
            </w:r>
          </w:p>
        </w:tc>
        <w:tc>
          <w:tcPr>
            <w:tcW w:w="900" w:type="dxa"/>
            <w:shd w:val="clear" w:color="auto" w:fill="auto"/>
            <w:noWrap/>
            <w:vAlign w:val="bottom"/>
            <w:hideMark/>
          </w:tcPr>
          <w:p w14:paraId="4E8F11D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Cond mS/cm</w:t>
            </w:r>
          </w:p>
        </w:tc>
        <w:tc>
          <w:tcPr>
            <w:tcW w:w="990" w:type="dxa"/>
            <w:shd w:val="clear" w:color="auto" w:fill="auto"/>
            <w:noWrap/>
            <w:vAlign w:val="bottom"/>
            <w:hideMark/>
          </w:tcPr>
          <w:p w14:paraId="61AC478F"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Cal Curve M</w:t>
            </w:r>
          </w:p>
        </w:tc>
        <w:tc>
          <w:tcPr>
            <w:tcW w:w="990" w:type="dxa"/>
            <w:shd w:val="clear" w:color="auto" w:fill="auto"/>
            <w:noWrap/>
            <w:vAlign w:val="bottom"/>
            <w:hideMark/>
          </w:tcPr>
          <w:p w14:paraId="29422CB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C</w:t>
            </w:r>
            <w:r w:rsidRPr="00153D07">
              <w:rPr>
                <w:rFonts w:ascii="Times New Roman" w:eastAsia="Times New Roman" w:hAnsi="Times New Roman" w:cs="Times New Roman"/>
                <w:color w:val="000000"/>
                <w:sz w:val="18"/>
                <w:szCs w:val="18"/>
                <w:vertAlign w:val="subscript"/>
              </w:rPr>
              <w:t>F</w:t>
            </w:r>
            <w:r w:rsidRPr="00153D07">
              <w:rPr>
                <w:rFonts w:ascii="Times New Roman" w:eastAsia="Times New Roman" w:hAnsi="Times New Roman" w:cs="Times New Roman"/>
                <w:color w:val="000000"/>
                <w:sz w:val="18"/>
                <w:szCs w:val="18"/>
              </w:rPr>
              <w:t xml:space="preserve"> M</w:t>
            </w:r>
          </w:p>
        </w:tc>
        <w:tc>
          <w:tcPr>
            <w:tcW w:w="720" w:type="dxa"/>
            <w:shd w:val="clear" w:color="auto" w:fill="auto"/>
            <w:noWrap/>
            <w:vAlign w:val="bottom"/>
            <w:hideMark/>
          </w:tcPr>
          <w:p w14:paraId="6ABA344E"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proofErr w:type="spellStart"/>
            <w:r w:rsidRPr="00153D07">
              <w:rPr>
                <w:rFonts w:ascii="Times New Roman" w:eastAsia="Times New Roman" w:hAnsi="Times New Roman" w:cs="Times New Roman"/>
                <w:color w:val="000000"/>
                <w:sz w:val="18"/>
                <w:szCs w:val="18"/>
              </w:rPr>
              <w:t>Rej</w:t>
            </w:r>
            <w:proofErr w:type="spellEnd"/>
            <w:r w:rsidRPr="00153D07">
              <w:rPr>
                <w:rFonts w:ascii="Times New Roman" w:eastAsia="Times New Roman" w:hAnsi="Times New Roman" w:cs="Times New Roman"/>
                <w:color w:val="000000"/>
                <w:sz w:val="18"/>
                <w:szCs w:val="18"/>
              </w:rPr>
              <w:t>%</w:t>
            </w:r>
          </w:p>
        </w:tc>
      </w:tr>
      <w:tr w:rsidR="00D62F3B" w:rsidRPr="00AD04DA" w14:paraId="4EB754B5" w14:textId="77777777" w:rsidTr="00D62F3B">
        <w:trPr>
          <w:trHeight w:val="360"/>
        </w:trPr>
        <w:tc>
          <w:tcPr>
            <w:tcW w:w="517" w:type="dxa"/>
            <w:shd w:val="clear" w:color="auto" w:fill="auto"/>
            <w:noWrap/>
            <w:vAlign w:val="bottom"/>
            <w:hideMark/>
          </w:tcPr>
          <w:p w14:paraId="2CC7CFB4"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636" w:type="dxa"/>
            <w:shd w:val="clear" w:color="auto" w:fill="auto"/>
            <w:noWrap/>
            <w:vAlign w:val="bottom"/>
            <w:hideMark/>
          </w:tcPr>
          <w:p w14:paraId="0878014A"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711" w:type="dxa"/>
            <w:shd w:val="clear" w:color="auto" w:fill="auto"/>
            <w:noWrap/>
            <w:vAlign w:val="bottom"/>
            <w:hideMark/>
          </w:tcPr>
          <w:p w14:paraId="7ED61FA3"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10</w:t>
            </w:r>
          </w:p>
        </w:tc>
        <w:tc>
          <w:tcPr>
            <w:tcW w:w="831" w:type="dxa"/>
            <w:shd w:val="clear" w:color="auto" w:fill="auto"/>
            <w:noWrap/>
            <w:vAlign w:val="bottom"/>
            <w:hideMark/>
          </w:tcPr>
          <w:p w14:paraId="7788B369"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0.0314</w:t>
            </w:r>
          </w:p>
        </w:tc>
        <w:tc>
          <w:tcPr>
            <w:tcW w:w="900" w:type="dxa"/>
            <w:shd w:val="clear" w:color="auto" w:fill="auto"/>
            <w:noWrap/>
            <w:vAlign w:val="bottom"/>
            <w:hideMark/>
          </w:tcPr>
          <w:p w14:paraId="5257C572"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0.00314</w:t>
            </w:r>
          </w:p>
        </w:tc>
        <w:tc>
          <w:tcPr>
            <w:tcW w:w="810" w:type="dxa"/>
            <w:shd w:val="clear" w:color="auto" w:fill="auto"/>
            <w:noWrap/>
            <w:vAlign w:val="bottom"/>
            <w:hideMark/>
          </w:tcPr>
          <w:p w14:paraId="0C3E7B76"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0.00314</w:t>
            </w:r>
          </w:p>
        </w:tc>
        <w:tc>
          <w:tcPr>
            <w:tcW w:w="720" w:type="dxa"/>
            <w:shd w:val="clear" w:color="auto" w:fill="auto"/>
            <w:noWrap/>
            <w:vAlign w:val="bottom"/>
            <w:hideMark/>
          </w:tcPr>
          <w:p w14:paraId="54131790"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0.6</w:t>
            </w:r>
          </w:p>
        </w:tc>
        <w:tc>
          <w:tcPr>
            <w:tcW w:w="900" w:type="dxa"/>
            <w:shd w:val="clear" w:color="auto" w:fill="auto"/>
            <w:noWrap/>
            <w:vAlign w:val="bottom"/>
            <w:hideMark/>
          </w:tcPr>
          <w:p w14:paraId="7B7BC3E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0.002418</w:t>
            </w:r>
          </w:p>
        </w:tc>
        <w:tc>
          <w:tcPr>
            <w:tcW w:w="990" w:type="dxa"/>
            <w:shd w:val="clear" w:color="auto" w:fill="auto"/>
            <w:noWrap/>
            <w:vAlign w:val="bottom"/>
            <w:hideMark/>
          </w:tcPr>
          <w:p w14:paraId="561777E4"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8.45E-06</w:t>
            </w:r>
          </w:p>
        </w:tc>
        <w:tc>
          <w:tcPr>
            <w:tcW w:w="990" w:type="dxa"/>
            <w:shd w:val="clear" w:color="auto" w:fill="auto"/>
            <w:noWrap/>
            <w:vAlign w:val="bottom"/>
            <w:hideMark/>
          </w:tcPr>
          <w:p w14:paraId="5D5F5326"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0.013448</w:t>
            </w:r>
          </w:p>
        </w:tc>
        <w:tc>
          <w:tcPr>
            <w:tcW w:w="720" w:type="dxa"/>
            <w:shd w:val="clear" w:color="auto" w:fill="auto"/>
            <w:noWrap/>
            <w:vAlign w:val="bottom"/>
            <w:hideMark/>
          </w:tcPr>
          <w:p w14:paraId="2D05B32B"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97.75874</w:t>
            </w:r>
          </w:p>
        </w:tc>
      </w:tr>
      <w:tr w:rsidR="00D62F3B" w:rsidRPr="00AD04DA" w14:paraId="08028887" w14:textId="77777777" w:rsidTr="00D62F3B">
        <w:trPr>
          <w:trHeight w:val="360"/>
        </w:trPr>
        <w:tc>
          <w:tcPr>
            <w:tcW w:w="517" w:type="dxa"/>
            <w:shd w:val="clear" w:color="auto" w:fill="auto"/>
            <w:noWrap/>
            <w:vAlign w:val="bottom"/>
            <w:hideMark/>
          </w:tcPr>
          <w:p w14:paraId="6A3986A8"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lastRenderedPageBreak/>
              <w:t>2</w:t>
            </w:r>
          </w:p>
        </w:tc>
        <w:tc>
          <w:tcPr>
            <w:tcW w:w="636" w:type="dxa"/>
            <w:shd w:val="clear" w:color="auto" w:fill="auto"/>
            <w:noWrap/>
            <w:vAlign w:val="bottom"/>
            <w:hideMark/>
          </w:tcPr>
          <w:p w14:paraId="3BEFD23E"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711" w:type="dxa"/>
            <w:shd w:val="clear" w:color="auto" w:fill="auto"/>
            <w:noWrap/>
            <w:vAlign w:val="bottom"/>
            <w:hideMark/>
          </w:tcPr>
          <w:p w14:paraId="7A616DFC"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10</w:t>
            </w:r>
          </w:p>
        </w:tc>
        <w:tc>
          <w:tcPr>
            <w:tcW w:w="831" w:type="dxa"/>
            <w:shd w:val="clear" w:color="auto" w:fill="auto"/>
            <w:noWrap/>
            <w:vAlign w:val="bottom"/>
            <w:hideMark/>
          </w:tcPr>
          <w:p w14:paraId="06C5581C"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0.0668</w:t>
            </w:r>
          </w:p>
        </w:tc>
        <w:tc>
          <w:tcPr>
            <w:tcW w:w="900" w:type="dxa"/>
            <w:shd w:val="clear" w:color="auto" w:fill="auto"/>
            <w:noWrap/>
            <w:vAlign w:val="bottom"/>
            <w:hideMark/>
          </w:tcPr>
          <w:p w14:paraId="5BD1CB83"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0.00668</w:t>
            </w:r>
          </w:p>
        </w:tc>
        <w:tc>
          <w:tcPr>
            <w:tcW w:w="810" w:type="dxa"/>
            <w:shd w:val="clear" w:color="auto" w:fill="auto"/>
            <w:noWrap/>
            <w:vAlign w:val="bottom"/>
            <w:hideMark/>
          </w:tcPr>
          <w:p w14:paraId="1A795A4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0.00668</w:t>
            </w:r>
          </w:p>
        </w:tc>
        <w:tc>
          <w:tcPr>
            <w:tcW w:w="720" w:type="dxa"/>
            <w:shd w:val="clear" w:color="auto" w:fill="auto"/>
            <w:noWrap/>
            <w:vAlign w:val="bottom"/>
            <w:hideMark/>
          </w:tcPr>
          <w:p w14:paraId="3C8908AB"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0.6</w:t>
            </w:r>
          </w:p>
        </w:tc>
        <w:tc>
          <w:tcPr>
            <w:tcW w:w="900" w:type="dxa"/>
            <w:shd w:val="clear" w:color="auto" w:fill="auto"/>
            <w:noWrap/>
            <w:vAlign w:val="bottom"/>
            <w:hideMark/>
          </w:tcPr>
          <w:p w14:paraId="701E6EC5"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0.003683</w:t>
            </w:r>
          </w:p>
        </w:tc>
        <w:tc>
          <w:tcPr>
            <w:tcW w:w="990" w:type="dxa"/>
            <w:shd w:val="clear" w:color="auto" w:fill="auto"/>
            <w:noWrap/>
            <w:vAlign w:val="bottom"/>
            <w:hideMark/>
          </w:tcPr>
          <w:p w14:paraId="5A8C75EC"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1.34E-05</w:t>
            </w:r>
          </w:p>
        </w:tc>
        <w:tc>
          <w:tcPr>
            <w:tcW w:w="990" w:type="dxa"/>
            <w:shd w:val="clear" w:color="auto" w:fill="auto"/>
            <w:noWrap/>
            <w:vAlign w:val="bottom"/>
            <w:hideMark/>
          </w:tcPr>
          <w:p w14:paraId="5994D066"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0.010055</w:t>
            </w:r>
          </w:p>
        </w:tc>
        <w:tc>
          <w:tcPr>
            <w:tcW w:w="720" w:type="dxa"/>
            <w:shd w:val="clear" w:color="auto" w:fill="auto"/>
            <w:noWrap/>
            <w:vAlign w:val="bottom"/>
            <w:hideMark/>
          </w:tcPr>
          <w:p w14:paraId="3D0BC7F3"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98.32416</w:t>
            </w:r>
          </w:p>
        </w:tc>
      </w:tr>
      <w:tr w:rsidR="00D62F3B" w:rsidRPr="00AD04DA" w14:paraId="34496E67" w14:textId="77777777" w:rsidTr="00D62F3B">
        <w:trPr>
          <w:trHeight w:val="300"/>
        </w:trPr>
        <w:tc>
          <w:tcPr>
            <w:tcW w:w="517" w:type="dxa"/>
            <w:shd w:val="clear" w:color="auto" w:fill="auto"/>
            <w:noWrap/>
            <w:vAlign w:val="bottom"/>
            <w:hideMark/>
          </w:tcPr>
          <w:p w14:paraId="643C4EF3"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636" w:type="dxa"/>
            <w:shd w:val="clear" w:color="auto" w:fill="auto"/>
            <w:noWrap/>
            <w:vAlign w:val="bottom"/>
            <w:hideMark/>
          </w:tcPr>
          <w:p w14:paraId="78ADAB0C"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711" w:type="dxa"/>
            <w:shd w:val="clear" w:color="auto" w:fill="auto"/>
            <w:noWrap/>
            <w:vAlign w:val="bottom"/>
            <w:hideMark/>
          </w:tcPr>
          <w:p w14:paraId="3987E558"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10</w:t>
            </w:r>
          </w:p>
        </w:tc>
        <w:tc>
          <w:tcPr>
            <w:tcW w:w="831" w:type="dxa"/>
            <w:shd w:val="clear" w:color="auto" w:fill="auto"/>
            <w:noWrap/>
            <w:vAlign w:val="bottom"/>
            <w:hideMark/>
          </w:tcPr>
          <w:p w14:paraId="2D762FB8"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0.0691</w:t>
            </w:r>
          </w:p>
        </w:tc>
        <w:tc>
          <w:tcPr>
            <w:tcW w:w="900" w:type="dxa"/>
            <w:shd w:val="clear" w:color="auto" w:fill="auto"/>
            <w:noWrap/>
            <w:vAlign w:val="bottom"/>
            <w:hideMark/>
          </w:tcPr>
          <w:p w14:paraId="2A117C03"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0.00691</w:t>
            </w:r>
          </w:p>
        </w:tc>
        <w:tc>
          <w:tcPr>
            <w:tcW w:w="810" w:type="dxa"/>
            <w:shd w:val="clear" w:color="auto" w:fill="auto"/>
            <w:noWrap/>
            <w:vAlign w:val="bottom"/>
            <w:hideMark/>
          </w:tcPr>
          <w:p w14:paraId="7BCF5494"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0.00691</w:t>
            </w:r>
          </w:p>
        </w:tc>
        <w:tc>
          <w:tcPr>
            <w:tcW w:w="720" w:type="dxa"/>
            <w:shd w:val="clear" w:color="auto" w:fill="auto"/>
            <w:noWrap/>
            <w:vAlign w:val="bottom"/>
            <w:hideMark/>
          </w:tcPr>
          <w:p w14:paraId="5BECBBA2"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0.6</w:t>
            </w:r>
          </w:p>
        </w:tc>
        <w:tc>
          <w:tcPr>
            <w:tcW w:w="900" w:type="dxa"/>
            <w:shd w:val="clear" w:color="auto" w:fill="auto"/>
            <w:noWrap/>
            <w:vAlign w:val="bottom"/>
            <w:hideMark/>
          </w:tcPr>
          <w:p w14:paraId="23E71816"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0.002965</w:t>
            </w:r>
          </w:p>
        </w:tc>
        <w:tc>
          <w:tcPr>
            <w:tcW w:w="990" w:type="dxa"/>
            <w:shd w:val="clear" w:color="auto" w:fill="auto"/>
            <w:noWrap/>
            <w:vAlign w:val="bottom"/>
            <w:hideMark/>
          </w:tcPr>
          <w:p w14:paraId="7393BC7C"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1.06E-05</w:t>
            </w:r>
          </w:p>
        </w:tc>
        <w:tc>
          <w:tcPr>
            <w:tcW w:w="990" w:type="dxa"/>
            <w:shd w:val="clear" w:color="auto" w:fill="auto"/>
            <w:noWrap/>
            <w:vAlign w:val="bottom"/>
            <w:hideMark/>
          </w:tcPr>
          <w:p w14:paraId="05B2DF9B"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0.007652</w:t>
            </w:r>
          </w:p>
        </w:tc>
        <w:tc>
          <w:tcPr>
            <w:tcW w:w="720" w:type="dxa"/>
            <w:shd w:val="clear" w:color="auto" w:fill="auto"/>
            <w:noWrap/>
            <w:vAlign w:val="bottom"/>
            <w:hideMark/>
          </w:tcPr>
          <w:p w14:paraId="3A38E8D8"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98.72461</w:t>
            </w:r>
          </w:p>
        </w:tc>
      </w:tr>
      <w:tr w:rsidR="00D62F3B" w:rsidRPr="00AD04DA" w14:paraId="34D09A54" w14:textId="77777777" w:rsidTr="00D62F3B">
        <w:trPr>
          <w:trHeight w:val="300"/>
        </w:trPr>
        <w:tc>
          <w:tcPr>
            <w:tcW w:w="517" w:type="dxa"/>
            <w:shd w:val="clear" w:color="auto" w:fill="auto"/>
            <w:noWrap/>
            <w:vAlign w:val="bottom"/>
            <w:hideMark/>
          </w:tcPr>
          <w:p w14:paraId="001D2749"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636" w:type="dxa"/>
            <w:shd w:val="clear" w:color="auto" w:fill="auto"/>
            <w:noWrap/>
            <w:vAlign w:val="bottom"/>
            <w:hideMark/>
          </w:tcPr>
          <w:p w14:paraId="7978C208"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2</w:t>
            </w:r>
          </w:p>
        </w:tc>
        <w:tc>
          <w:tcPr>
            <w:tcW w:w="711" w:type="dxa"/>
            <w:shd w:val="clear" w:color="auto" w:fill="auto"/>
            <w:noWrap/>
            <w:vAlign w:val="bottom"/>
            <w:hideMark/>
          </w:tcPr>
          <w:p w14:paraId="28B894AF"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9.9686</w:t>
            </w:r>
          </w:p>
        </w:tc>
        <w:tc>
          <w:tcPr>
            <w:tcW w:w="831" w:type="dxa"/>
            <w:shd w:val="clear" w:color="auto" w:fill="auto"/>
            <w:noWrap/>
            <w:vAlign w:val="bottom"/>
            <w:hideMark/>
          </w:tcPr>
          <w:p w14:paraId="4C2CD57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0.0271</w:t>
            </w:r>
          </w:p>
        </w:tc>
        <w:tc>
          <w:tcPr>
            <w:tcW w:w="900" w:type="dxa"/>
            <w:shd w:val="clear" w:color="auto" w:fill="auto"/>
            <w:noWrap/>
            <w:vAlign w:val="bottom"/>
            <w:hideMark/>
          </w:tcPr>
          <w:p w14:paraId="6F06128A"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0.002719</w:t>
            </w:r>
          </w:p>
        </w:tc>
        <w:tc>
          <w:tcPr>
            <w:tcW w:w="810" w:type="dxa"/>
            <w:shd w:val="clear" w:color="auto" w:fill="auto"/>
            <w:noWrap/>
            <w:vAlign w:val="bottom"/>
            <w:hideMark/>
          </w:tcPr>
          <w:p w14:paraId="57022FF1"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0.00271</w:t>
            </w:r>
          </w:p>
        </w:tc>
        <w:tc>
          <w:tcPr>
            <w:tcW w:w="720" w:type="dxa"/>
            <w:shd w:val="clear" w:color="auto" w:fill="auto"/>
            <w:noWrap/>
            <w:vAlign w:val="bottom"/>
            <w:hideMark/>
          </w:tcPr>
          <w:p w14:paraId="09F61B7A"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0.6</w:t>
            </w:r>
          </w:p>
        </w:tc>
        <w:tc>
          <w:tcPr>
            <w:tcW w:w="900" w:type="dxa"/>
            <w:shd w:val="clear" w:color="auto" w:fill="auto"/>
            <w:noWrap/>
            <w:vAlign w:val="bottom"/>
            <w:hideMark/>
          </w:tcPr>
          <w:p w14:paraId="4188D284"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0.001619</w:t>
            </w:r>
          </w:p>
        </w:tc>
        <w:tc>
          <w:tcPr>
            <w:tcW w:w="990" w:type="dxa"/>
            <w:shd w:val="clear" w:color="auto" w:fill="auto"/>
            <w:noWrap/>
            <w:vAlign w:val="bottom"/>
            <w:hideMark/>
          </w:tcPr>
          <w:p w14:paraId="3900D876"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5.43E-06</w:t>
            </w:r>
          </w:p>
        </w:tc>
        <w:tc>
          <w:tcPr>
            <w:tcW w:w="990" w:type="dxa"/>
            <w:shd w:val="clear" w:color="auto" w:fill="auto"/>
            <w:noWrap/>
            <w:vAlign w:val="bottom"/>
            <w:hideMark/>
          </w:tcPr>
          <w:p w14:paraId="707CFDC8"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0.01001</w:t>
            </w:r>
          </w:p>
        </w:tc>
        <w:tc>
          <w:tcPr>
            <w:tcW w:w="720" w:type="dxa"/>
            <w:shd w:val="clear" w:color="auto" w:fill="auto"/>
            <w:noWrap/>
            <w:vAlign w:val="bottom"/>
            <w:hideMark/>
          </w:tcPr>
          <w:p w14:paraId="0620D679"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98.33167</w:t>
            </w:r>
          </w:p>
        </w:tc>
      </w:tr>
      <w:tr w:rsidR="00D62F3B" w:rsidRPr="00AD04DA" w14:paraId="22D838F8" w14:textId="77777777" w:rsidTr="00D62F3B">
        <w:trPr>
          <w:trHeight w:val="300"/>
        </w:trPr>
        <w:tc>
          <w:tcPr>
            <w:tcW w:w="517" w:type="dxa"/>
            <w:shd w:val="clear" w:color="auto" w:fill="auto"/>
            <w:noWrap/>
            <w:vAlign w:val="bottom"/>
            <w:hideMark/>
          </w:tcPr>
          <w:p w14:paraId="41BD4F19"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2</w:t>
            </w:r>
          </w:p>
        </w:tc>
        <w:tc>
          <w:tcPr>
            <w:tcW w:w="636" w:type="dxa"/>
            <w:shd w:val="clear" w:color="auto" w:fill="auto"/>
            <w:noWrap/>
            <w:vAlign w:val="bottom"/>
            <w:hideMark/>
          </w:tcPr>
          <w:p w14:paraId="16904FF8"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2</w:t>
            </w:r>
          </w:p>
        </w:tc>
        <w:tc>
          <w:tcPr>
            <w:tcW w:w="711" w:type="dxa"/>
            <w:shd w:val="clear" w:color="auto" w:fill="auto"/>
            <w:noWrap/>
            <w:vAlign w:val="bottom"/>
            <w:hideMark/>
          </w:tcPr>
          <w:p w14:paraId="3958A76C"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9.9332</w:t>
            </w:r>
          </w:p>
        </w:tc>
        <w:tc>
          <w:tcPr>
            <w:tcW w:w="831" w:type="dxa"/>
            <w:shd w:val="clear" w:color="auto" w:fill="auto"/>
            <w:noWrap/>
            <w:vAlign w:val="bottom"/>
            <w:hideMark/>
          </w:tcPr>
          <w:p w14:paraId="191BBB45"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0.0469</w:t>
            </w:r>
          </w:p>
        </w:tc>
        <w:tc>
          <w:tcPr>
            <w:tcW w:w="900" w:type="dxa"/>
            <w:shd w:val="clear" w:color="auto" w:fill="auto"/>
            <w:noWrap/>
            <w:vAlign w:val="bottom"/>
            <w:hideMark/>
          </w:tcPr>
          <w:p w14:paraId="57EC0228"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0.004722</w:t>
            </w:r>
          </w:p>
        </w:tc>
        <w:tc>
          <w:tcPr>
            <w:tcW w:w="810" w:type="dxa"/>
            <w:shd w:val="clear" w:color="auto" w:fill="auto"/>
            <w:noWrap/>
            <w:vAlign w:val="bottom"/>
            <w:hideMark/>
          </w:tcPr>
          <w:p w14:paraId="141BAC4C"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0.00469</w:t>
            </w:r>
          </w:p>
        </w:tc>
        <w:tc>
          <w:tcPr>
            <w:tcW w:w="720" w:type="dxa"/>
            <w:shd w:val="clear" w:color="auto" w:fill="auto"/>
            <w:noWrap/>
            <w:vAlign w:val="bottom"/>
            <w:hideMark/>
          </w:tcPr>
          <w:p w14:paraId="04ADAB71"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0.6</w:t>
            </w:r>
          </w:p>
        </w:tc>
        <w:tc>
          <w:tcPr>
            <w:tcW w:w="900" w:type="dxa"/>
            <w:shd w:val="clear" w:color="auto" w:fill="auto"/>
            <w:noWrap/>
            <w:vAlign w:val="bottom"/>
            <w:hideMark/>
          </w:tcPr>
          <w:p w14:paraId="1596BAA3"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0.003081</w:t>
            </w:r>
          </w:p>
        </w:tc>
        <w:tc>
          <w:tcPr>
            <w:tcW w:w="990" w:type="dxa"/>
            <w:shd w:val="clear" w:color="auto" w:fill="auto"/>
            <w:noWrap/>
            <w:vAlign w:val="bottom"/>
            <w:hideMark/>
          </w:tcPr>
          <w:p w14:paraId="5282B59D"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1.1E-05</w:t>
            </w:r>
          </w:p>
        </w:tc>
        <w:tc>
          <w:tcPr>
            <w:tcW w:w="990" w:type="dxa"/>
            <w:shd w:val="clear" w:color="auto" w:fill="auto"/>
            <w:noWrap/>
            <w:vAlign w:val="bottom"/>
            <w:hideMark/>
          </w:tcPr>
          <w:p w14:paraId="7B7E1CED"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0.011762</w:t>
            </w:r>
          </w:p>
        </w:tc>
        <w:tc>
          <w:tcPr>
            <w:tcW w:w="720" w:type="dxa"/>
            <w:shd w:val="clear" w:color="auto" w:fill="auto"/>
            <w:noWrap/>
            <w:vAlign w:val="bottom"/>
            <w:hideMark/>
          </w:tcPr>
          <w:p w14:paraId="3028A895"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98.03964</w:t>
            </w:r>
          </w:p>
        </w:tc>
      </w:tr>
      <w:tr w:rsidR="00D62F3B" w:rsidRPr="00AD04DA" w14:paraId="2F0B9B05" w14:textId="77777777" w:rsidTr="00D62F3B">
        <w:trPr>
          <w:trHeight w:val="300"/>
        </w:trPr>
        <w:tc>
          <w:tcPr>
            <w:tcW w:w="517" w:type="dxa"/>
            <w:shd w:val="clear" w:color="auto" w:fill="auto"/>
            <w:noWrap/>
            <w:vAlign w:val="bottom"/>
            <w:hideMark/>
          </w:tcPr>
          <w:p w14:paraId="5C0E379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636" w:type="dxa"/>
            <w:shd w:val="clear" w:color="auto" w:fill="auto"/>
            <w:noWrap/>
            <w:vAlign w:val="bottom"/>
            <w:hideMark/>
          </w:tcPr>
          <w:p w14:paraId="28779039"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2</w:t>
            </w:r>
          </w:p>
        </w:tc>
        <w:tc>
          <w:tcPr>
            <w:tcW w:w="711" w:type="dxa"/>
            <w:shd w:val="clear" w:color="auto" w:fill="auto"/>
            <w:noWrap/>
            <w:vAlign w:val="bottom"/>
            <w:hideMark/>
          </w:tcPr>
          <w:p w14:paraId="0DE4918F"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9.9309</w:t>
            </w:r>
          </w:p>
        </w:tc>
        <w:tc>
          <w:tcPr>
            <w:tcW w:w="831" w:type="dxa"/>
            <w:shd w:val="clear" w:color="auto" w:fill="auto"/>
            <w:noWrap/>
            <w:vAlign w:val="bottom"/>
            <w:hideMark/>
          </w:tcPr>
          <w:p w14:paraId="14B0CCEE"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0.0112</w:t>
            </w:r>
          </w:p>
        </w:tc>
        <w:tc>
          <w:tcPr>
            <w:tcW w:w="900" w:type="dxa"/>
            <w:shd w:val="clear" w:color="auto" w:fill="auto"/>
            <w:noWrap/>
            <w:vAlign w:val="bottom"/>
            <w:hideMark/>
          </w:tcPr>
          <w:p w14:paraId="5DB27FDB"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0.001128</w:t>
            </w:r>
          </w:p>
        </w:tc>
        <w:tc>
          <w:tcPr>
            <w:tcW w:w="810" w:type="dxa"/>
            <w:shd w:val="clear" w:color="auto" w:fill="auto"/>
            <w:noWrap/>
            <w:vAlign w:val="bottom"/>
            <w:hideMark/>
          </w:tcPr>
          <w:p w14:paraId="23DFD3A5"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0.00112</w:t>
            </w:r>
          </w:p>
        </w:tc>
        <w:tc>
          <w:tcPr>
            <w:tcW w:w="720" w:type="dxa"/>
            <w:shd w:val="clear" w:color="auto" w:fill="auto"/>
            <w:noWrap/>
            <w:vAlign w:val="bottom"/>
            <w:hideMark/>
          </w:tcPr>
          <w:p w14:paraId="5CC727AC"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0.6</w:t>
            </w:r>
          </w:p>
        </w:tc>
        <w:tc>
          <w:tcPr>
            <w:tcW w:w="900" w:type="dxa"/>
            <w:shd w:val="clear" w:color="auto" w:fill="auto"/>
            <w:noWrap/>
            <w:vAlign w:val="bottom"/>
            <w:hideMark/>
          </w:tcPr>
          <w:p w14:paraId="5F49DD4E"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0.000512</w:t>
            </w:r>
          </w:p>
        </w:tc>
        <w:tc>
          <w:tcPr>
            <w:tcW w:w="990" w:type="dxa"/>
            <w:shd w:val="clear" w:color="auto" w:fill="auto"/>
            <w:noWrap/>
            <w:vAlign w:val="bottom"/>
            <w:hideMark/>
          </w:tcPr>
          <w:p w14:paraId="2FBBE1CA"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1.52E-06</w:t>
            </w:r>
          </w:p>
        </w:tc>
        <w:tc>
          <w:tcPr>
            <w:tcW w:w="990" w:type="dxa"/>
            <w:shd w:val="clear" w:color="auto" w:fill="auto"/>
            <w:noWrap/>
            <w:vAlign w:val="bottom"/>
            <w:hideMark/>
          </w:tcPr>
          <w:p w14:paraId="55D1BDCD"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0.006802</w:t>
            </w:r>
          </w:p>
        </w:tc>
        <w:tc>
          <w:tcPr>
            <w:tcW w:w="720" w:type="dxa"/>
            <w:shd w:val="clear" w:color="auto" w:fill="auto"/>
            <w:noWrap/>
            <w:vAlign w:val="bottom"/>
            <w:hideMark/>
          </w:tcPr>
          <w:p w14:paraId="6A6B3CE2"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98.86627</w:t>
            </w:r>
          </w:p>
        </w:tc>
      </w:tr>
      <w:tr w:rsidR="00D62F3B" w:rsidRPr="00AD04DA" w14:paraId="7B8D73A3" w14:textId="77777777" w:rsidTr="00D62F3B">
        <w:trPr>
          <w:trHeight w:val="300"/>
        </w:trPr>
        <w:tc>
          <w:tcPr>
            <w:tcW w:w="517" w:type="dxa"/>
            <w:shd w:val="clear" w:color="auto" w:fill="auto"/>
            <w:noWrap/>
            <w:vAlign w:val="bottom"/>
            <w:hideMark/>
          </w:tcPr>
          <w:p w14:paraId="6B46DE63"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1</w:t>
            </w:r>
          </w:p>
        </w:tc>
        <w:tc>
          <w:tcPr>
            <w:tcW w:w="636" w:type="dxa"/>
            <w:shd w:val="clear" w:color="auto" w:fill="auto"/>
            <w:noWrap/>
            <w:vAlign w:val="bottom"/>
            <w:hideMark/>
          </w:tcPr>
          <w:p w14:paraId="18CE786C"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711" w:type="dxa"/>
            <w:shd w:val="clear" w:color="auto" w:fill="auto"/>
            <w:noWrap/>
            <w:vAlign w:val="bottom"/>
            <w:hideMark/>
          </w:tcPr>
          <w:p w14:paraId="43EE95D6"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9.9415</w:t>
            </w:r>
          </w:p>
        </w:tc>
        <w:tc>
          <w:tcPr>
            <w:tcW w:w="831" w:type="dxa"/>
            <w:shd w:val="clear" w:color="auto" w:fill="auto"/>
            <w:noWrap/>
            <w:vAlign w:val="bottom"/>
            <w:hideMark/>
          </w:tcPr>
          <w:p w14:paraId="32F6FAF9"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0.0507</w:t>
            </w:r>
          </w:p>
        </w:tc>
        <w:tc>
          <w:tcPr>
            <w:tcW w:w="900" w:type="dxa"/>
            <w:shd w:val="clear" w:color="auto" w:fill="auto"/>
            <w:noWrap/>
            <w:vAlign w:val="bottom"/>
            <w:hideMark/>
          </w:tcPr>
          <w:p w14:paraId="48070031"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0.0051</w:t>
            </w:r>
          </w:p>
        </w:tc>
        <w:tc>
          <w:tcPr>
            <w:tcW w:w="810" w:type="dxa"/>
            <w:shd w:val="clear" w:color="auto" w:fill="auto"/>
            <w:noWrap/>
            <w:vAlign w:val="bottom"/>
            <w:hideMark/>
          </w:tcPr>
          <w:p w14:paraId="4F9F3A8E"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0.00507</w:t>
            </w:r>
          </w:p>
        </w:tc>
        <w:tc>
          <w:tcPr>
            <w:tcW w:w="720" w:type="dxa"/>
            <w:shd w:val="clear" w:color="auto" w:fill="auto"/>
            <w:noWrap/>
            <w:vAlign w:val="bottom"/>
            <w:hideMark/>
          </w:tcPr>
          <w:p w14:paraId="2A9642DD"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0.6</w:t>
            </w:r>
          </w:p>
        </w:tc>
        <w:tc>
          <w:tcPr>
            <w:tcW w:w="900" w:type="dxa"/>
            <w:shd w:val="clear" w:color="auto" w:fill="auto"/>
            <w:noWrap/>
            <w:vAlign w:val="bottom"/>
            <w:hideMark/>
          </w:tcPr>
          <w:p w14:paraId="618FD3A0"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0.002124</w:t>
            </w:r>
          </w:p>
        </w:tc>
        <w:tc>
          <w:tcPr>
            <w:tcW w:w="990" w:type="dxa"/>
            <w:shd w:val="clear" w:color="auto" w:fill="auto"/>
            <w:noWrap/>
            <w:vAlign w:val="bottom"/>
            <w:hideMark/>
          </w:tcPr>
          <w:p w14:paraId="65B69BEE"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7.32E-06</w:t>
            </w:r>
          </w:p>
        </w:tc>
        <w:tc>
          <w:tcPr>
            <w:tcW w:w="990" w:type="dxa"/>
            <w:shd w:val="clear" w:color="auto" w:fill="auto"/>
            <w:noWrap/>
            <w:vAlign w:val="bottom"/>
            <w:hideMark/>
          </w:tcPr>
          <w:p w14:paraId="2988EE80"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0.007219</w:t>
            </w:r>
          </w:p>
        </w:tc>
        <w:tc>
          <w:tcPr>
            <w:tcW w:w="720" w:type="dxa"/>
            <w:shd w:val="clear" w:color="auto" w:fill="auto"/>
            <w:noWrap/>
            <w:vAlign w:val="bottom"/>
            <w:hideMark/>
          </w:tcPr>
          <w:p w14:paraId="053273B4"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98.79688</w:t>
            </w:r>
          </w:p>
        </w:tc>
      </w:tr>
      <w:tr w:rsidR="00D62F3B" w:rsidRPr="00AD04DA" w14:paraId="263DF0CB" w14:textId="77777777" w:rsidTr="00D62F3B">
        <w:trPr>
          <w:trHeight w:val="300"/>
        </w:trPr>
        <w:tc>
          <w:tcPr>
            <w:tcW w:w="517" w:type="dxa"/>
            <w:shd w:val="clear" w:color="auto" w:fill="auto"/>
            <w:noWrap/>
            <w:vAlign w:val="bottom"/>
            <w:hideMark/>
          </w:tcPr>
          <w:p w14:paraId="7C9A3DB4"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2</w:t>
            </w:r>
          </w:p>
        </w:tc>
        <w:tc>
          <w:tcPr>
            <w:tcW w:w="636" w:type="dxa"/>
            <w:shd w:val="clear" w:color="auto" w:fill="auto"/>
            <w:noWrap/>
            <w:vAlign w:val="bottom"/>
            <w:hideMark/>
          </w:tcPr>
          <w:p w14:paraId="443E2E95"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711" w:type="dxa"/>
            <w:shd w:val="clear" w:color="auto" w:fill="auto"/>
            <w:noWrap/>
            <w:vAlign w:val="bottom"/>
            <w:hideMark/>
          </w:tcPr>
          <w:p w14:paraId="208DDE4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9.8863</w:t>
            </w:r>
          </w:p>
        </w:tc>
        <w:tc>
          <w:tcPr>
            <w:tcW w:w="831" w:type="dxa"/>
            <w:shd w:val="clear" w:color="auto" w:fill="auto"/>
            <w:noWrap/>
            <w:vAlign w:val="bottom"/>
            <w:hideMark/>
          </w:tcPr>
          <w:p w14:paraId="7D94FC9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0.0606</w:t>
            </w:r>
          </w:p>
        </w:tc>
        <w:tc>
          <w:tcPr>
            <w:tcW w:w="900" w:type="dxa"/>
            <w:shd w:val="clear" w:color="auto" w:fill="auto"/>
            <w:noWrap/>
            <w:vAlign w:val="bottom"/>
            <w:hideMark/>
          </w:tcPr>
          <w:p w14:paraId="57AB32E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0.00613</w:t>
            </w:r>
          </w:p>
        </w:tc>
        <w:tc>
          <w:tcPr>
            <w:tcW w:w="810" w:type="dxa"/>
            <w:shd w:val="clear" w:color="auto" w:fill="auto"/>
            <w:noWrap/>
            <w:vAlign w:val="bottom"/>
            <w:hideMark/>
          </w:tcPr>
          <w:p w14:paraId="5DCCA01B"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0.00606</w:t>
            </w:r>
          </w:p>
        </w:tc>
        <w:tc>
          <w:tcPr>
            <w:tcW w:w="720" w:type="dxa"/>
            <w:shd w:val="clear" w:color="auto" w:fill="auto"/>
            <w:noWrap/>
            <w:vAlign w:val="bottom"/>
            <w:hideMark/>
          </w:tcPr>
          <w:p w14:paraId="0E2723FF"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0.6</w:t>
            </w:r>
          </w:p>
        </w:tc>
        <w:tc>
          <w:tcPr>
            <w:tcW w:w="900" w:type="dxa"/>
            <w:shd w:val="clear" w:color="auto" w:fill="auto"/>
            <w:noWrap/>
            <w:vAlign w:val="bottom"/>
            <w:hideMark/>
          </w:tcPr>
          <w:p w14:paraId="0E9CAE9A"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0.001175</w:t>
            </w:r>
          </w:p>
        </w:tc>
        <w:tc>
          <w:tcPr>
            <w:tcW w:w="990" w:type="dxa"/>
            <w:shd w:val="clear" w:color="auto" w:fill="auto"/>
            <w:noWrap/>
            <w:vAlign w:val="bottom"/>
            <w:hideMark/>
          </w:tcPr>
          <w:p w14:paraId="2BE30FEE"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3.81E-06</w:t>
            </w:r>
          </w:p>
        </w:tc>
        <w:tc>
          <w:tcPr>
            <w:tcW w:w="990" w:type="dxa"/>
            <w:shd w:val="clear" w:color="auto" w:fill="auto"/>
            <w:noWrap/>
            <w:vAlign w:val="bottom"/>
            <w:hideMark/>
          </w:tcPr>
          <w:p w14:paraId="40E6E9F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0.003143</w:t>
            </w:r>
          </w:p>
        </w:tc>
        <w:tc>
          <w:tcPr>
            <w:tcW w:w="720" w:type="dxa"/>
            <w:shd w:val="clear" w:color="auto" w:fill="auto"/>
            <w:noWrap/>
            <w:vAlign w:val="bottom"/>
            <w:hideMark/>
          </w:tcPr>
          <w:p w14:paraId="75AA6DA9"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99.47614</w:t>
            </w:r>
          </w:p>
        </w:tc>
      </w:tr>
      <w:tr w:rsidR="00D62F3B" w:rsidRPr="00AD04DA" w14:paraId="41D4F9FD" w14:textId="77777777" w:rsidTr="00D62F3B">
        <w:trPr>
          <w:trHeight w:val="300"/>
        </w:trPr>
        <w:tc>
          <w:tcPr>
            <w:tcW w:w="517" w:type="dxa"/>
            <w:shd w:val="clear" w:color="auto" w:fill="auto"/>
            <w:noWrap/>
            <w:vAlign w:val="bottom"/>
            <w:hideMark/>
          </w:tcPr>
          <w:p w14:paraId="314B7416"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636" w:type="dxa"/>
            <w:shd w:val="clear" w:color="auto" w:fill="auto"/>
            <w:noWrap/>
            <w:vAlign w:val="bottom"/>
            <w:hideMark/>
          </w:tcPr>
          <w:p w14:paraId="36B14FC0"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3</w:t>
            </w:r>
          </w:p>
        </w:tc>
        <w:tc>
          <w:tcPr>
            <w:tcW w:w="711" w:type="dxa"/>
            <w:shd w:val="clear" w:color="auto" w:fill="auto"/>
            <w:noWrap/>
            <w:vAlign w:val="bottom"/>
            <w:hideMark/>
          </w:tcPr>
          <w:p w14:paraId="4B4D57D5"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9.9197</w:t>
            </w:r>
          </w:p>
        </w:tc>
        <w:tc>
          <w:tcPr>
            <w:tcW w:w="831" w:type="dxa"/>
            <w:shd w:val="clear" w:color="auto" w:fill="auto"/>
            <w:noWrap/>
            <w:vAlign w:val="bottom"/>
            <w:hideMark/>
          </w:tcPr>
          <w:p w14:paraId="712F7379"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w:t>
            </w:r>
          </w:p>
        </w:tc>
        <w:tc>
          <w:tcPr>
            <w:tcW w:w="900" w:type="dxa"/>
            <w:shd w:val="clear" w:color="auto" w:fill="auto"/>
            <w:noWrap/>
            <w:vAlign w:val="bottom"/>
            <w:hideMark/>
          </w:tcPr>
          <w:p w14:paraId="446DD4C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w:t>
            </w:r>
          </w:p>
        </w:tc>
        <w:tc>
          <w:tcPr>
            <w:tcW w:w="810" w:type="dxa"/>
            <w:shd w:val="clear" w:color="auto" w:fill="auto"/>
            <w:noWrap/>
            <w:vAlign w:val="bottom"/>
            <w:hideMark/>
          </w:tcPr>
          <w:p w14:paraId="4488BED1"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w:t>
            </w:r>
          </w:p>
        </w:tc>
        <w:tc>
          <w:tcPr>
            <w:tcW w:w="720" w:type="dxa"/>
            <w:shd w:val="clear" w:color="auto" w:fill="auto"/>
            <w:noWrap/>
            <w:vAlign w:val="bottom"/>
            <w:hideMark/>
          </w:tcPr>
          <w:p w14:paraId="4D0D40AD"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0.6</w:t>
            </w:r>
          </w:p>
        </w:tc>
        <w:tc>
          <w:tcPr>
            <w:tcW w:w="900" w:type="dxa"/>
            <w:shd w:val="clear" w:color="auto" w:fill="auto"/>
            <w:noWrap/>
            <w:vAlign w:val="bottom"/>
            <w:hideMark/>
          </w:tcPr>
          <w:p w14:paraId="10770424"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NA</w:t>
            </w:r>
          </w:p>
        </w:tc>
        <w:tc>
          <w:tcPr>
            <w:tcW w:w="990" w:type="dxa"/>
            <w:shd w:val="clear" w:color="auto" w:fill="auto"/>
            <w:noWrap/>
            <w:vAlign w:val="bottom"/>
            <w:hideMark/>
          </w:tcPr>
          <w:p w14:paraId="40E6A402"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NA</w:t>
            </w:r>
          </w:p>
        </w:tc>
        <w:tc>
          <w:tcPr>
            <w:tcW w:w="990" w:type="dxa"/>
            <w:shd w:val="clear" w:color="auto" w:fill="auto"/>
            <w:noWrap/>
            <w:vAlign w:val="bottom"/>
            <w:hideMark/>
          </w:tcPr>
          <w:p w14:paraId="6B2EACC7"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NA</w:t>
            </w:r>
          </w:p>
        </w:tc>
        <w:tc>
          <w:tcPr>
            <w:tcW w:w="720" w:type="dxa"/>
            <w:shd w:val="clear" w:color="auto" w:fill="auto"/>
            <w:noWrap/>
            <w:vAlign w:val="bottom"/>
            <w:hideMark/>
          </w:tcPr>
          <w:p w14:paraId="78A73624" w14:textId="77777777" w:rsidR="00245379" w:rsidRPr="00153D07" w:rsidRDefault="00245379" w:rsidP="00D62F3B">
            <w:pPr>
              <w:spacing w:after="0" w:line="240" w:lineRule="auto"/>
              <w:jc w:val="center"/>
              <w:rPr>
                <w:rFonts w:ascii="Times New Roman" w:eastAsia="Times New Roman" w:hAnsi="Times New Roman" w:cs="Times New Roman"/>
                <w:color w:val="000000"/>
                <w:sz w:val="18"/>
                <w:szCs w:val="18"/>
              </w:rPr>
            </w:pPr>
            <w:r w:rsidRPr="00153D07">
              <w:rPr>
                <w:rFonts w:ascii="Times New Roman" w:eastAsia="Times New Roman" w:hAnsi="Times New Roman" w:cs="Times New Roman"/>
                <w:color w:val="000000"/>
                <w:sz w:val="18"/>
                <w:szCs w:val="18"/>
              </w:rPr>
              <w:t>NA</w:t>
            </w:r>
          </w:p>
        </w:tc>
      </w:tr>
    </w:tbl>
    <w:p w14:paraId="10EFEAA9" w14:textId="77777777" w:rsidR="00153D07" w:rsidRDefault="00153D07" w:rsidP="00B02CBC">
      <w:pPr>
        <w:spacing w:line="480" w:lineRule="auto"/>
        <w:jc w:val="center"/>
        <w:rPr>
          <w:rFonts w:ascii="Times New Roman" w:hAnsi="Times New Roman" w:cs="Times New Roman"/>
          <w:sz w:val="24"/>
          <w:szCs w:val="24"/>
        </w:rPr>
      </w:pPr>
    </w:p>
    <w:p w14:paraId="1E24E306" w14:textId="2B8E661B" w:rsidR="00245379" w:rsidRPr="00AD04DA" w:rsidRDefault="00C4062D"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A6</w:t>
      </w:r>
      <w:r w:rsidRPr="00AD04DA">
        <w:rPr>
          <w:rFonts w:ascii="Times New Roman" w:hAnsi="Times New Roman" w:cs="Times New Roman"/>
          <w:sz w:val="24"/>
          <w:szCs w:val="24"/>
        </w:rPr>
        <w:t>: Experimental Data for DPA with 4.0 M NaCl feed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778"/>
        <w:gridCol w:w="778"/>
        <w:gridCol w:w="779"/>
        <w:gridCol w:w="779"/>
        <w:gridCol w:w="779"/>
        <w:gridCol w:w="779"/>
        <w:gridCol w:w="779"/>
        <w:gridCol w:w="1323"/>
        <w:gridCol w:w="1010"/>
        <w:gridCol w:w="783"/>
        <w:gridCol w:w="783"/>
      </w:tblGrid>
      <w:tr w:rsidR="00D77DB8" w:rsidRPr="00AD04DA" w14:paraId="780C727C" w14:textId="77777777" w:rsidTr="004D6AEE">
        <w:trPr>
          <w:trHeight w:val="360"/>
        </w:trPr>
        <w:tc>
          <w:tcPr>
            <w:tcW w:w="960" w:type="dxa"/>
            <w:tcBorders>
              <w:top w:val="single" w:sz="4" w:space="0" w:color="auto"/>
              <w:bottom w:val="single" w:sz="4" w:space="0" w:color="auto"/>
            </w:tcBorders>
            <w:noWrap/>
            <w:hideMark/>
          </w:tcPr>
          <w:p w14:paraId="538861C1"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Run</w:t>
            </w:r>
          </w:p>
        </w:tc>
        <w:tc>
          <w:tcPr>
            <w:tcW w:w="960" w:type="dxa"/>
            <w:tcBorders>
              <w:top w:val="single" w:sz="4" w:space="0" w:color="auto"/>
              <w:bottom w:val="single" w:sz="4" w:space="0" w:color="auto"/>
            </w:tcBorders>
            <w:noWrap/>
            <w:hideMark/>
          </w:tcPr>
          <w:p w14:paraId="321B09EC"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Cycle</w:t>
            </w:r>
          </w:p>
        </w:tc>
        <w:tc>
          <w:tcPr>
            <w:tcW w:w="960" w:type="dxa"/>
            <w:tcBorders>
              <w:top w:val="single" w:sz="4" w:space="0" w:color="auto"/>
              <w:bottom w:val="single" w:sz="4" w:space="0" w:color="auto"/>
            </w:tcBorders>
            <w:noWrap/>
            <w:hideMark/>
          </w:tcPr>
          <w:p w14:paraId="52587049"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25D87A49"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R</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7CD80D38"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Total Rec%</w:t>
            </w:r>
          </w:p>
        </w:tc>
        <w:tc>
          <w:tcPr>
            <w:tcW w:w="960" w:type="dxa"/>
            <w:tcBorders>
              <w:top w:val="single" w:sz="4" w:space="0" w:color="auto"/>
              <w:bottom w:val="single" w:sz="4" w:space="0" w:color="auto"/>
            </w:tcBorders>
            <w:noWrap/>
            <w:hideMark/>
          </w:tcPr>
          <w:p w14:paraId="07802139"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Trial rec %</w:t>
            </w:r>
          </w:p>
        </w:tc>
        <w:tc>
          <w:tcPr>
            <w:tcW w:w="960" w:type="dxa"/>
            <w:tcBorders>
              <w:top w:val="single" w:sz="4" w:space="0" w:color="auto"/>
              <w:bottom w:val="single" w:sz="4" w:space="0" w:color="auto"/>
            </w:tcBorders>
            <w:noWrap/>
            <w:hideMark/>
          </w:tcPr>
          <w:p w14:paraId="59872F31"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w:t>
            </w:r>
          </w:p>
        </w:tc>
        <w:tc>
          <w:tcPr>
            <w:tcW w:w="1680" w:type="dxa"/>
            <w:tcBorders>
              <w:top w:val="single" w:sz="4" w:space="0" w:color="auto"/>
              <w:bottom w:val="single" w:sz="4" w:space="0" w:color="auto"/>
            </w:tcBorders>
            <w:noWrap/>
            <w:hideMark/>
          </w:tcPr>
          <w:p w14:paraId="322A6070"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Cond mS/cm</w:t>
            </w:r>
          </w:p>
        </w:tc>
        <w:tc>
          <w:tcPr>
            <w:tcW w:w="1260" w:type="dxa"/>
            <w:tcBorders>
              <w:top w:val="single" w:sz="4" w:space="0" w:color="auto"/>
              <w:bottom w:val="single" w:sz="4" w:space="0" w:color="auto"/>
            </w:tcBorders>
            <w:noWrap/>
            <w:hideMark/>
          </w:tcPr>
          <w:p w14:paraId="1EC28946"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Cal Curve M</w:t>
            </w:r>
          </w:p>
        </w:tc>
        <w:tc>
          <w:tcPr>
            <w:tcW w:w="960" w:type="dxa"/>
            <w:tcBorders>
              <w:top w:val="single" w:sz="4" w:space="0" w:color="auto"/>
              <w:bottom w:val="single" w:sz="4" w:space="0" w:color="auto"/>
            </w:tcBorders>
            <w:noWrap/>
            <w:hideMark/>
          </w:tcPr>
          <w:p w14:paraId="2818FB14"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F</w:t>
            </w:r>
            <w:r w:rsidRPr="00153D07">
              <w:rPr>
                <w:rFonts w:ascii="Times New Roman" w:hAnsi="Times New Roman" w:cs="Times New Roman"/>
                <w:b/>
                <w:bCs/>
                <w:sz w:val="20"/>
                <w:szCs w:val="20"/>
              </w:rPr>
              <w:t xml:space="preserve"> M</w:t>
            </w:r>
          </w:p>
        </w:tc>
        <w:tc>
          <w:tcPr>
            <w:tcW w:w="960" w:type="dxa"/>
            <w:tcBorders>
              <w:top w:val="single" w:sz="4" w:space="0" w:color="auto"/>
              <w:bottom w:val="single" w:sz="4" w:space="0" w:color="auto"/>
            </w:tcBorders>
            <w:noWrap/>
            <w:hideMark/>
          </w:tcPr>
          <w:p w14:paraId="6164EE07" w14:textId="77777777" w:rsidR="004D6AEE" w:rsidRPr="00153D07" w:rsidRDefault="004D6AEE" w:rsidP="004D6AEE">
            <w:pPr>
              <w:jc w:val="center"/>
              <w:rPr>
                <w:rFonts w:ascii="Times New Roman" w:hAnsi="Times New Roman" w:cs="Times New Roman"/>
                <w:b/>
                <w:bCs/>
                <w:sz w:val="20"/>
                <w:szCs w:val="20"/>
              </w:rPr>
            </w:pPr>
            <w:proofErr w:type="spellStart"/>
            <w:r w:rsidRPr="00153D07">
              <w:rPr>
                <w:rFonts w:ascii="Times New Roman" w:hAnsi="Times New Roman" w:cs="Times New Roman"/>
                <w:b/>
                <w:bCs/>
                <w:sz w:val="20"/>
                <w:szCs w:val="20"/>
              </w:rPr>
              <w:t>Rej</w:t>
            </w:r>
            <w:proofErr w:type="spellEnd"/>
            <w:r w:rsidRPr="00153D07">
              <w:rPr>
                <w:rFonts w:ascii="Times New Roman" w:hAnsi="Times New Roman" w:cs="Times New Roman"/>
                <w:b/>
                <w:bCs/>
                <w:sz w:val="20"/>
                <w:szCs w:val="20"/>
              </w:rPr>
              <w:t>%</w:t>
            </w:r>
          </w:p>
        </w:tc>
      </w:tr>
      <w:tr w:rsidR="00D77DB8" w:rsidRPr="00AD04DA" w14:paraId="6A700872" w14:textId="77777777" w:rsidTr="004D6AEE">
        <w:trPr>
          <w:trHeight w:val="300"/>
        </w:trPr>
        <w:tc>
          <w:tcPr>
            <w:tcW w:w="960" w:type="dxa"/>
            <w:tcBorders>
              <w:top w:val="single" w:sz="4" w:space="0" w:color="auto"/>
            </w:tcBorders>
            <w:noWrap/>
            <w:hideMark/>
          </w:tcPr>
          <w:p w14:paraId="1090E72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tcBorders>
              <w:top w:val="single" w:sz="4" w:space="0" w:color="auto"/>
            </w:tcBorders>
            <w:noWrap/>
            <w:hideMark/>
          </w:tcPr>
          <w:p w14:paraId="21FF75A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tcBorders>
              <w:top w:val="single" w:sz="4" w:space="0" w:color="auto"/>
            </w:tcBorders>
            <w:noWrap/>
            <w:hideMark/>
          </w:tcPr>
          <w:p w14:paraId="6050E53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tcBorders>
              <w:top w:val="single" w:sz="4" w:space="0" w:color="auto"/>
            </w:tcBorders>
            <w:noWrap/>
            <w:hideMark/>
          </w:tcPr>
          <w:p w14:paraId="1A75C07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1.5884</w:t>
            </w:r>
          </w:p>
        </w:tc>
        <w:tc>
          <w:tcPr>
            <w:tcW w:w="960" w:type="dxa"/>
            <w:tcBorders>
              <w:top w:val="single" w:sz="4" w:space="0" w:color="auto"/>
            </w:tcBorders>
            <w:noWrap/>
            <w:hideMark/>
          </w:tcPr>
          <w:p w14:paraId="3264DD5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15.88</w:t>
            </w:r>
          </w:p>
        </w:tc>
        <w:tc>
          <w:tcPr>
            <w:tcW w:w="960" w:type="dxa"/>
            <w:tcBorders>
              <w:top w:val="single" w:sz="4" w:space="0" w:color="auto"/>
            </w:tcBorders>
            <w:noWrap/>
            <w:hideMark/>
          </w:tcPr>
          <w:p w14:paraId="628BF2BF"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15.88</w:t>
            </w:r>
          </w:p>
        </w:tc>
        <w:tc>
          <w:tcPr>
            <w:tcW w:w="960" w:type="dxa"/>
            <w:tcBorders>
              <w:top w:val="single" w:sz="4" w:space="0" w:color="auto"/>
            </w:tcBorders>
            <w:noWrap/>
            <w:hideMark/>
          </w:tcPr>
          <w:p w14:paraId="2DEC86A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4</w:t>
            </w:r>
          </w:p>
        </w:tc>
        <w:tc>
          <w:tcPr>
            <w:tcW w:w="1680" w:type="dxa"/>
            <w:tcBorders>
              <w:top w:val="single" w:sz="4" w:space="0" w:color="auto"/>
            </w:tcBorders>
            <w:noWrap/>
            <w:hideMark/>
          </w:tcPr>
          <w:p w14:paraId="65F71C9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0.9062</w:t>
            </w:r>
          </w:p>
        </w:tc>
        <w:tc>
          <w:tcPr>
            <w:tcW w:w="1260" w:type="dxa"/>
            <w:tcBorders>
              <w:top w:val="single" w:sz="4" w:space="0" w:color="auto"/>
            </w:tcBorders>
            <w:noWrap/>
            <w:hideMark/>
          </w:tcPr>
          <w:p w14:paraId="540FEDB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0.001062868</w:t>
            </w:r>
          </w:p>
        </w:tc>
        <w:tc>
          <w:tcPr>
            <w:tcW w:w="960" w:type="dxa"/>
            <w:tcBorders>
              <w:top w:val="single" w:sz="4" w:space="0" w:color="auto"/>
            </w:tcBorders>
            <w:noWrap/>
            <w:hideMark/>
          </w:tcPr>
          <w:p w14:paraId="021EABA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0.033457</w:t>
            </w:r>
          </w:p>
        </w:tc>
        <w:tc>
          <w:tcPr>
            <w:tcW w:w="960" w:type="dxa"/>
            <w:tcBorders>
              <w:top w:val="single" w:sz="4" w:space="0" w:color="auto"/>
            </w:tcBorders>
            <w:noWrap/>
            <w:hideMark/>
          </w:tcPr>
          <w:p w14:paraId="6DAB949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99.16357</w:t>
            </w:r>
          </w:p>
        </w:tc>
      </w:tr>
      <w:tr w:rsidR="00D77DB8" w:rsidRPr="00AD04DA" w14:paraId="33CB2384" w14:textId="77777777" w:rsidTr="004D6AEE">
        <w:trPr>
          <w:trHeight w:val="300"/>
        </w:trPr>
        <w:tc>
          <w:tcPr>
            <w:tcW w:w="960" w:type="dxa"/>
            <w:noWrap/>
            <w:hideMark/>
          </w:tcPr>
          <w:p w14:paraId="6700F8F8"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2B5C3017"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0AADAEB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8.4116</w:t>
            </w:r>
          </w:p>
        </w:tc>
        <w:tc>
          <w:tcPr>
            <w:tcW w:w="960" w:type="dxa"/>
            <w:noWrap/>
            <w:hideMark/>
          </w:tcPr>
          <w:p w14:paraId="4414331D"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0.5305</w:t>
            </w:r>
          </w:p>
        </w:tc>
        <w:tc>
          <w:tcPr>
            <w:tcW w:w="960" w:type="dxa"/>
            <w:noWrap/>
            <w:hideMark/>
          </w:tcPr>
          <w:p w14:paraId="55F9C5D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5.31</w:t>
            </w:r>
          </w:p>
        </w:tc>
        <w:tc>
          <w:tcPr>
            <w:tcW w:w="960" w:type="dxa"/>
            <w:noWrap/>
            <w:hideMark/>
          </w:tcPr>
          <w:p w14:paraId="6A26941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6.31</w:t>
            </w:r>
          </w:p>
        </w:tc>
        <w:tc>
          <w:tcPr>
            <w:tcW w:w="960" w:type="dxa"/>
            <w:noWrap/>
            <w:hideMark/>
          </w:tcPr>
          <w:p w14:paraId="650BA319"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4</w:t>
            </w:r>
          </w:p>
        </w:tc>
        <w:tc>
          <w:tcPr>
            <w:tcW w:w="1680" w:type="dxa"/>
            <w:noWrap/>
            <w:hideMark/>
          </w:tcPr>
          <w:p w14:paraId="0A7CDC2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1.91</w:t>
            </w:r>
          </w:p>
        </w:tc>
        <w:tc>
          <w:tcPr>
            <w:tcW w:w="1260" w:type="dxa"/>
            <w:noWrap/>
            <w:hideMark/>
          </w:tcPr>
          <w:p w14:paraId="7315ED5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0.004881713</w:t>
            </w:r>
          </w:p>
        </w:tc>
        <w:tc>
          <w:tcPr>
            <w:tcW w:w="960" w:type="dxa"/>
            <w:noWrap/>
            <w:hideMark/>
          </w:tcPr>
          <w:p w14:paraId="2B3E755A"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0.460105</w:t>
            </w:r>
          </w:p>
        </w:tc>
        <w:tc>
          <w:tcPr>
            <w:tcW w:w="960" w:type="dxa"/>
            <w:noWrap/>
            <w:hideMark/>
          </w:tcPr>
          <w:p w14:paraId="1628BC4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88.49738</w:t>
            </w:r>
          </w:p>
        </w:tc>
      </w:tr>
      <w:tr w:rsidR="00D77DB8" w:rsidRPr="00AD04DA" w14:paraId="6CDE2648" w14:textId="77777777" w:rsidTr="004D6AEE">
        <w:trPr>
          <w:trHeight w:val="300"/>
        </w:trPr>
        <w:tc>
          <w:tcPr>
            <w:tcW w:w="960" w:type="dxa"/>
            <w:noWrap/>
            <w:hideMark/>
          </w:tcPr>
          <w:p w14:paraId="131E5C3E"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0EC56F79"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47522A3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7.8811</w:t>
            </w:r>
          </w:p>
        </w:tc>
        <w:tc>
          <w:tcPr>
            <w:tcW w:w="960" w:type="dxa"/>
            <w:noWrap/>
            <w:hideMark/>
          </w:tcPr>
          <w:p w14:paraId="362AF8E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0.8558</w:t>
            </w:r>
          </w:p>
        </w:tc>
        <w:tc>
          <w:tcPr>
            <w:tcW w:w="960" w:type="dxa"/>
            <w:noWrap/>
            <w:hideMark/>
          </w:tcPr>
          <w:p w14:paraId="299B2C67"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8.56</w:t>
            </w:r>
          </w:p>
        </w:tc>
        <w:tc>
          <w:tcPr>
            <w:tcW w:w="960" w:type="dxa"/>
            <w:noWrap/>
            <w:hideMark/>
          </w:tcPr>
          <w:p w14:paraId="410342A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10.86</w:t>
            </w:r>
          </w:p>
        </w:tc>
        <w:tc>
          <w:tcPr>
            <w:tcW w:w="960" w:type="dxa"/>
            <w:noWrap/>
            <w:hideMark/>
          </w:tcPr>
          <w:p w14:paraId="35202B2D"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4</w:t>
            </w:r>
          </w:p>
        </w:tc>
        <w:tc>
          <w:tcPr>
            <w:tcW w:w="1680" w:type="dxa"/>
            <w:noWrap/>
            <w:hideMark/>
          </w:tcPr>
          <w:p w14:paraId="2E252D8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0.8974</w:t>
            </w:r>
          </w:p>
        </w:tc>
        <w:tc>
          <w:tcPr>
            <w:tcW w:w="1260" w:type="dxa"/>
            <w:noWrap/>
            <w:hideMark/>
          </w:tcPr>
          <w:p w14:paraId="63502ECA"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0.001041871</w:t>
            </w:r>
          </w:p>
        </w:tc>
        <w:tc>
          <w:tcPr>
            <w:tcW w:w="960" w:type="dxa"/>
            <w:noWrap/>
            <w:hideMark/>
          </w:tcPr>
          <w:p w14:paraId="161FF5A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0.060871</w:t>
            </w:r>
          </w:p>
        </w:tc>
        <w:tc>
          <w:tcPr>
            <w:tcW w:w="960" w:type="dxa"/>
            <w:noWrap/>
            <w:hideMark/>
          </w:tcPr>
          <w:p w14:paraId="6320656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98.47822</w:t>
            </w:r>
          </w:p>
        </w:tc>
      </w:tr>
      <w:tr w:rsidR="00D77DB8" w:rsidRPr="00AD04DA" w14:paraId="064E3D6D" w14:textId="77777777" w:rsidTr="004D6AEE">
        <w:trPr>
          <w:trHeight w:val="300"/>
        </w:trPr>
        <w:tc>
          <w:tcPr>
            <w:tcW w:w="960" w:type="dxa"/>
            <w:noWrap/>
            <w:hideMark/>
          </w:tcPr>
          <w:p w14:paraId="216F958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50C7981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1422412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0129979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0.2909</w:t>
            </w:r>
          </w:p>
        </w:tc>
        <w:tc>
          <w:tcPr>
            <w:tcW w:w="960" w:type="dxa"/>
            <w:noWrap/>
            <w:hideMark/>
          </w:tcPr>
          <w:p w14:paraId="33A90DFD"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2.91</w:t>
            </w:r>
          </w:p>
        </w:tc>
        <w:tc>
          <w:tcPr>
            <w:tcW w:w="960" w:type="dxa"/>
            <w:noWrap/>
            <w:hideMark/>
          </w:tcPr>
          <w:p w14:paraId="778A7B19"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2.91</w:t>
            </w:r>
          </w:p>
        </w:tc>
        <w:tc>
          <w:tcPr>
            <w:tcW w:w="960" w:type="dxa"/>
            <w:noWrap/>
            <w:hideMark/>
          </w:tcPr>
          <w:p w14:paraId="16A171C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4</w:t>
            </w:r>
          </w:p>
        </w:tc>
        <w:tc>
          <w:tcPr>
            <w:tcW w:w="1680" w:type="dxa"/>
            <w:noWrap/>
            <w:hideMark/>
          </w:tcPr>
          <w:p w14:paraId="4A966237"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0.9918</w:t>
            </w:r>
          </w:p>
        </w:tc>
        <w:tc>
          <w:tcPr>
            <w:tcW w:w="1260" w:type="dxa"/>
            <w:noWrap/>
            <w:hideMark/>
          </w:tcPr>
          <w:p w14:paraId="0642B50C"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0.001278297</w:t>
            </w:r>
          </w:p>
        </w:tc>
        <w:tc>
          <w:tcPr>
            <w:tcW w:w="960" w:type="dxa"/>
            <w:noWrap/>
            <w:hideMark/>
          </w:tcPr>
          <w:p w14:paraId="4828316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0.219714</w:t>
            </w:r>
          </w:p>
        </w:tc>
        <w:tc>
          <w:tcPr>
            <w:tcW w:w="960" w:type="dxa"/>
            <w:noWrap/>
            <w:hideMark/>
          </w:tcPr>
          <w:p w14:paraId="48FBFE0E"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94.50715</w:t>
            </w:r>
          </w:p>
        </w:tc>
      </w:tr>
      <w:tr w:rsidR="00D77DB8" w:rsidRPr="00AD04DA" w14:paraId="38F3A1A8" w14:textId="77777777" w:rsidTr="004D6AEE">
        <w:trPr>
          <w:trHeight w:val="300"/>
        </w:trPr>
        <w:tc>
          <w:tcPr>
            <w:tcW w:w="960" w:type="dxa"/>
            <w:noWrap/>
            <w:hideMark/>
          </w:tcPr>
          <w:p w14:paraId="0297260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7B9A096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5F674C6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9.7091</w:t>
            </w:r>
          </w:p>
        </w:tc>
        <w:tc>
          <w:tcPr>
            <w:tcW w:w="960" w:type="dxa"/>
            <w:noWrap/>
            <w:hideMark/>
          </w:tcPr>
          <w:p w14:paraId="18EAB468"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0.2658</w:t>
            </w:r>
          </w:p>
        </w:tc>
        <w:tc>
          <w:tcPr>
            <w:tcW w:w="960" w:type="dxa"/>
            <w:noWrap/>
            <w:hideMark/>
          </w:tcPr>
          <w:p w14:paraId="7F17BAF7"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2.66</w:t>
            </w:r>
          </w:p>
        </w:tc>
        <w:tc>
          <w:tcPr>
            <w:tcW w:w="960" w:type="dxa"/>
            <w:noWrap/>
            <w:hideMark/>
          </w:tcPr>
          <w:p w14:paraId="4C6C96F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2.74</w:t>
            </w:r>
          </w:p>
        </w:tc>
        <w:tc>
          <w:tcPr>
            <w:tcW w:w="960" w:type="dxa"/>
            <w:noWrap/>
            <w:hideMark/>
          </w:tcPr>
          <w:p w14:paraId="7CE901C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4</w:t>
            </w:r>
          </w:p>
        </w:tc>
        <w:tc>
          <w:tcPr>
            <w:tcW w:w="1680" w:type="dxa"/>
            <w:noWrap/>
            <w:hideMark/>
          </w:tcPr>
          <w:p w14:paraId="11F562DF"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0.964</w:t>
            </w:r>
          </w:p>
        </w:tc>
        <w:tc>
          <w:tcPr>
            <w:tcW w:w="1260" w:type="dxa"/>
            <w:noWrap/>
            <w:hideMark/>
          </w:tcPr>
          <w:p w14:paraId="0DDEAE0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0.001205339</w:t>
            </w:r>
          </w:p>
        </w:tc>
        <w:tc>
          <w:tcPr>
            <w:tcW w:w="960" w:type="dxa"/>
            <w:noWrap/>
            <w:hideMark/>
          </w:tcPr>
          <w:p w14:paraId="32C5F73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0.226738</w:t>
            </w:r>
          </w:p>
        </w:tc>
        <w:tc>
          <w:tcPr>
            <w:tcW w:w="960" w:type="dxa"/>
            <w:noWrap/>
            <w:hideMark/>
          </w:tcPr>
          <w:p w14:paraId="6FA8C75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94.33155</w:t>
            </w:r>
          </w:p>
        </w:tc>
      </w:tr>
      <w:tr w:rsidR="00D77DB8" w:rsidRPr="00AD04DA" w14:paraId="32290CF3" w14:textId="77777777" w:rsidTr="004D6AEE">
        <w:trPr>
          <w:trHeight w:val="300"/>
        </w:trPr>
        <w:tc>
          <w:tcPr>
            <w:tcW w:w="960" w:type="dxa"/>
            <w:noWrap/>
            <w:hideMark/>
          </w:tcPr>
          <w:p w14:paraId="758D701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4E11F5D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221086F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9.4433</w:t>
            </w:r>
          </w:p>
        </w:tc>
        <w:tc>
          <w:tcPr>
            <w:tcW w:w="960" w:type="dxa"/>
            <w:noWrap/>
            <w:hideMark/>
          </w:tcPr>
          <w:p w14:paraId="6F17112A"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0.2593</w:t>
            </w:r>
          </w:p>
        </w:tc>
        <w:tc>
          <w:tcPr>
            <w:tcW w:w="960" w:type="dxa"/>
            <w:noWrap/>
            <w:hideMark/>
          </w:tcPr>
          <w:p w14:paraId="62FA6B1F"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2.59</w:t>
            </w:r>
          </w:p>
        </w:tc>
        <w:tc>
          <w:tcPr>
            <w:tcW w:w="960" w:type="dxa"/>
            <w:noWrap/>
            <w:hideMark/>
          </w:tcPr>
          <w:p w14:paraId="3BEC6FA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2.75</w:t>
            </w:r>
          </w:p>
        </w:tc>
        <w:tc>
          <w:tcPr>
            <w:tcW w:w="960" w:type="dxa"/>
            <w:noWrap/>
            <w:hideMark/>
          </w:tcPr>
          <w:p w14:paraId="78837EDA"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4</w:t>
            </w:r>
          </w:p>
        </w:tc>
        <w:tc>
          <w:tcPr>
            <w:tcW w:w="1680" w:type="dxa"/>
            <w:noWrap/>
            <w:hideMark/>
          </w:tcPr>
          <w:p w14:paraId="67A66BB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1.130</w:t>
            </w:r>
          </w:p>
        </w:tc>
        <w:tc>
          <w:tcPr>
            <w:tcW w:w="1260" w:type="dxa"/>
            <w:noWrap/>
            <w:hideMark/>
          </w:tcPr>
          <w:p w14:paraId="767EB1A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0.001669063</w:t>
            </w:r>
          </w:p>
        </w:tc>
        <w:tc>
          <w:tcPr>
            <w:tcW w:w="960" w:type="dxa"/>
            <w:noWrap/>
            <w:hideMark/>
          </w:tcPr>
          <w:p w14:paraId="7571542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0.32184</w:t>
            </w:r>
          </w:p>
        </w:tc>
        <w:tc>
          <w:tcPr>
            <w:tcW w:w="960" w:type="dxa"/>
            <w:noWrap/>
            <w:hideMark/>
          </w:tcPr>
          <w:p w14:paraId="17B5BD3A"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91.95399</w:t>
            </w:r>
          </w:p>
        </w:tc>
      </w:tr>
      <w:tr w:rsidR="00D77DB8" w:rsidRPr="00AD04DA" w14:paraId="110E72C6" w14:textId="77777777" w:rsidTr="004D6AEE">
        <w:trPr>
          <w:trHeight w:val="300"/>
        </w:trPr>
        <w:tc>
          <w:tcPr>
            <w:tcW w:w="960" w:type="dxa"/>
            <w:noWrap/>
            <w:hideMark/>
          </w:tcPr>
          <w:p w14:paraId="6BE2869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6C513CA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03915DC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7AC7D6FC"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0.4431</w:t>
            </w:r>
          </w:p>
        </w:tc>
        <w:tc>
          <w:tcPr>
            <w:tcW w:w="960" w:type="dxa"/>
            <w:noWrap/>
            <w:hideMark/>
          </w:tcPr>
          <w:p w14:paraId="5F8F821F"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4.43</w:t>
            </w:r>
          </w:p>
        </w:tc>
        <w:tc>
          <w:tcPr>
            <w:tcW w:w="960" w:type="dxa"/>
            <w:noWrap/>
            <w:hideMark/>
          </w:tcPr>
          <w:p w14:paraId="1F7FD3C7"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4.43</w:t>
            </w:r>
          </w:p>
        </w:tc>
        <w:tc>
          <w:tcPr>
            <w:tcW w:w="960" w:type="dxa"/>
            <w:noWrap/>
            <w:hideMark/>
          </w:tcPr>
          <w:p w14:paraId="05EC3E1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4</w:t>
            </w:r>
          </w:p>
        </w:tc>
        <w:tc>
          <w:tcPr>
            <w:tcW w:w="1680" w:type="dxa"/>
            <w:noWrap/>
            <w:hideMark/>
          </w:tcPr>
          <w:p w14:paraId="5316555D"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1.805</w:t>
            </w:r>
          </w:p>
        </w:tc>
        <w:tc>
          <w:tcPr>
            <w:tcW w:w="1260" w:type="dxa"/>
            <w:noWrap/>
            <w:hideMark/>
          </w:tcPr>
          <w:p w14:paraId="1AD5B14C"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0.004348729</w:t>
            </w:r>
          </w:p>
        </w:tc>
        <w:tc>
          <w:tcPr>
            <w:tcW w:w="960" w:type="dxa"/>
            <w:noWrap/>
            <w:hideMark/>
          </w:tcPr>
          <w:p w14:paraId="12FF624A"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0.490716</w:t>
            </w:r>
          </w:p>
        </w:tc>
        <w:tc>
          <w:tcPr>
            <w:tcW w:w="960" w:type="dxa"/>
            <w:noWrap/>
            <w:hideMark/>
          </w:tcPr>
          <w:p w14:paraId="6A6A74C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87.73209</w:t>
            </w:r>
          </w:p>
        </w:tc>
      </w:tr>
      <w:tr w:rsidR="00D77DB8" w:rsidRPr="00AD04DA" w14:paraId="1E887C0D" w14:textId="77777777" w:rsidTr="004D6AEE">
        <w:trPr>
          <w:trHeight w:val="300"/>
        </w:trPr>
        <w:tc>
          <w:tcPr>
            <w:tcW w:w="960" w:type="dxa"/>
            <w:noWrap/>
            <w:hideMark/>
          </w:tcPr>
          <w:p w14:paraId="7255DB29"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62C5ADCD"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54A97FB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9.5569</w:t>
            </w:r>
          </w:p>
        </w:tc>
        <w:tc>
          <w:tcPr>
            <w:tcW w:w="960" w:type="dxa"/>
            <w:noWrap/>
            <w:hideMark/>
          </w:tcPr>
          <w:p w14:paraId="05948A9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0.2039</w:t>
            </w:r>
          </w:p>
        </w:tc>
        <w:tc>
          <w:tcPr>
            <w:tcW w:w="960" w:type="dxa"/>
            <w:noWrap/>
            <w:hideMark/>
          </w:tcPr>
          <w:p w14:paraId="2E9460F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2.04</w:t>
            </w:r>
          </w:p>
        </w:tc>
        <w:tc>
          <w:tcPr>
            <w:tcW w:w="960" w:type="dxa"/>
            <w:noWrap/>
            <w:hideMark/>
          </w:tcPr>
          <w:p w14:paraId="0D580B5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2.13</w:t>
            </w:r>
          </w:p>
        </w:tc>
        <w:tc>
          <w:tcPr>
            <w:tcW w:w="960" w:type="dxa"/>
            <w:noWrap/>
            <w:hideMark/>
          </w:tcPr>
          <w:p w14:paraId="05B6EF6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4</w:t>
            </w:r>
          </w:p>
        </w:tc>
        <w:tc>
          <w:tcPr>
            <w:tcW w:w="1680" w:type="dxa"/>
            <w:noWrap/>
            <w:hideMark/>
          </w:tcPr>
          <w:p w14:paraId="560A249E"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0.9109</w:t>
            </w:r>
          </w:p>
        </w:tc>
        <w:tc>
          <w:tcPr>
            <w:tcW w:w="1260" w:type="dxa"/>
            <w:noWrap/>
            <w:hideMark/>
          </w:tcPr>
          <w:p w14:paraId="5E2BAD1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0.00107417</w:t>
            </w:r>
          </w:p>
        </w:tc>
        <w:tc>
          <w:tcPr>
            <w:tcW w:w="960" w:type="dxa"/>
            <w:noWrap/>
            <w:hideMark/>
          </w:tcPr>
          <w:p w14:paraId="4C9B660D"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0.263406</w:t>
            </w:r>
          </w:p>
        </w:tc>
        <w:tc>
          <w:tcPr>
            <w:tcW w:w="960" w:type="dxa"/>
            <w:noWrap/>
            <w:hideMark/>
          </w:tcPr>
          <w:p w14:paraId="00A6EAC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93.41485</w:t>
            </w:r>
          </w:p>
        </w:tc>
      </w:tr>
      <w:tr w:rsidR="00D77DB8" w:rsidRPr="00AD04DA" w14:paraId="03FD7DCB" w14:textId="77777777" w:rsidTr="004D6AEE">
        <w:trPr>
          <w:trHeight w:val="300"/>
        </w:trPr>
        <w:tc>
          <w:tcPr>
            <w:tcW w:w="960" w:type="dxa"/>
            <w:noWrap/>
            <w:hideMark/>
          </w:tcPr>
          <w:p w14:paraId="750BD05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6143B7B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7DEBA22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9.353</w:t>
            </w:r>
          </w:p>
        </w:tc>
        <w:tc>
          <w:tcPr>
            <w:tcW w:w="960" w:type="dxa"/>
            <w:noWrap/>
            <w:hideMark/>
          </w:tcPr>
          <w:p w14:paraId="53B86E4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0.2042</w:t>
            </w:r>
          </w:p>
        </w:tc>
        <w:tc>
          <w:tcPr>
            <w:tcW w:w="960" w:type="dxa"/>
            <w:noWrap/>
            <w:hideMark/>
          </w:tcPr>
          <w:p w14:paraId="656ACDE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2.04</w:t>
            </w:r>
          </w:p>
        </w:tc>
        <w:tc>
          <w:tcPr>
            <w:tcW w:w="960" w:type="dxa"/>
            <w:noWrap/>
            <w:hideMark/>
          </w:tcPr>
          <w:p w14:paraId="4D697D97"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2.18</w:t>
            </w:r>
          </w:p>
        </w:tc>
        <w:tc>
          <w:tcPr>
            <w:tcW w:w="960" w:type="dxa"/>
            <w:noWrap/>
            <w:hideMark/>
          </w:tcPr>
          <w:p w14:paraId="6303FAEC"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4</w:t>
            </w:r>
          </w:p>
        </w:tc>
        <w:tc>
          <w:tcPr>
            <w:tcW w:w="1680" w:type="dxa"/>
            <w:noWrap/>
            <w:hideMark/>
          </w:tcPr>
          <w:p w14:paraId="2ABE0D3F"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0.7458</w:t>
            </w:r>
          </w:p>
        </w:tc>
        <w:tc>
          <w:tcPr>
            <w:tcW w:w="1260" w:type="dxa"/>
            <w:noWrap/>
            <w:hideMark/>
          </w:tcPr>
          <w:p w14:paraId="580EF7BC"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0.000713665</w:t>
            </w:r>
          </w:p>
        </w:tc>
        <w:tc>
          <w:tcPr>
            <w:tcW w:w="960" w:type="dxa"/>
            <w:noWrap/>
            <w:hideMark/>
          </w:tcPr>
          <w:p w14:paraId="5142DCEF"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0.174747</w:t>
            </w:r>
          </w:p>
        </w:tc>
        <w:tc>
          <w:tcPr>
            <w:tcW w:w="960" w:type="dxa"/>
            <w:noWrap/>
            <w:hideMark/>
          </w:tcPr>
          <w:p w14:paraId="0D229D69"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95.63134</w:t>
            </w:r>
          </w:p>
        </w:tc>
      </w:tr>
    </w:tbl>
    <w:p w14:paraId="02D3FA6B" w14:textId="77777777" w:rsidR="00F556CC" w:rsidRPr="00AD04DA" w:rsidRDefault="00F556CC" w:rsidP="00B02CBC">
      <w:pPr>
        <w:spacing w:line="480" w:lineRule="auto"/>
        <w:jc w:val="center"/>
        <w:rPr>
          <w:rFonts w:ascii="Times New Roman" w:hAnsi="Times New Roman" w:cs="Times New Roman"/>
          <w:sz w:val="24"/>
          <w:szCs w:val="24"/>
        </w:rPr>
      </w:pPr>
    </w:p>
    <w:p w14:paraId="19566CDA" w14:textId="043FF222" w:rsidR="00C4062D" w:rsidRPr="00AD04DA" w:rsidRDefault="00C4062D"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A7</w:t>
      </w:r>
      <w:r w:rsidRPr="00AD04DA">
        <w:rPr>
          <w:rFonts w:ascii="Times New Roman" w:hAnsi="Times New Roman" w:cs="Times New Roman"/>
          <w:sz w:val="24"/>
          <w:szCs w:val="24"/>
        </w:rPr>
        <w:t>: Experimental Data for DPA with 1.0 M NaCl feed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778"/>
        <w:gridCol w:w="778"/>
        <w:gridCol w:w="779"/>
        <w:gridCol w:w="779"/>
        <w:gridCol w:w="779"/>
        <w:gridCol w:w="779"/>
        <w:gridCol w:w="779"/>
        <w:gridCol w:w="1323"/>
        <w:gridCol w:w="1010"/>
        <w:gridCol w:w="783"/>
        <w:gridCol w:w="783"/>
      </w:tblGrid>
      <w:tr w:rsidR="004D6AEE" w:rsidRPr="00AD04DA" w14:paraId="72BF1708" w14:textId="77777777" w:rsidTr="004D6AEE">
        <w:trPr>
          <w:trHeight w:val="360"/>
        </w:trPr>
        <w:tc>
          <w:tcPr>
            <w:tcW w:w="960" w:type="dxa"/>
            <w:tcBorders>
              <w:top w:val="single" w:sz="4" w:space="0" w:color="auto"/>
              <w:bottom w:val="single" w:sz="4" w:space="0" w:color="auto"/>
            </w:tcBorders>
            <w:noWrap/>
            <w:hideMark/>
          </w:tcPr>
          <w:p w14:paraId="7A372256"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Run</w:t>
            </w:r>
          </w:p>
        </w:tc>
        <w:tc>
          <w:tcPr>
            <w:tcW w:w="960" w:type="dxa"/>
            <w:tcBorders>
              <w:top w:val="single" w:sz="4" w:space="0" w:color="auto"/>
              <w:bottom w:val="single" w:sz="4" w:space="0" w:color="auto"/>
            </w:tcBorders>
            <w:noWrap/>
            <w:hideMark/>
          </w:tcPr>
          <w:p w14:paraId="302D3E58"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Cycle</w:t>
            </w:r>
          </w:p>
        </w:tc>
        <w:tc>
          <w:tcPr>
            <w:tcW w:w="960" w:type="dxa"/>
            <w:tcBorders>
              <w:top w:val="single" w:sz="4" w:space="0" w:color="auto"/>
              <w:bottom w:val="single" w:sz="4" w:space="0" w:color="auto"/>
            </w:tcBorders>
            <w:noWrap/>
            <w:hideMark/>
          </w:tcPr>
          <w:p w14:paraId="52BD8E9C"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4D14CBF1"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R</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31E0AB27"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Total Rec%</w:t>
            </w:r>
          </w:p>
        </w:tc>
        <w:tc>
          <w:tcPr>
            <w:tcW w:w="960" w:type="dxa"/>
            <w:tcBorders>
              <w:top w:val="single" w:sz="4" w:space="0" w:color="auto"/>
              <w:bottom w:val="single" w:sz="4" w:space="0" w:color="auto"/>
            </w:tcBorders>
            <w:noWrap/>
            <w:hideMark/>
          </w:tcPr>
          <w:p w14:paraId="1312BF67"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Trial rec %</w:t>
            </w:r>
          </w:p>
        </w:tc>
        <w:tc>
          <w:tcPr>
            <w:tcW w:w="960" w:type="dxa"/>
            <w:tcBorders>
              <w:top w:val="single" w:sz="4" w:space="0" w:color="auto"/>
              <w:bottom w:val="single" w:sz="4" w:space="0" w:color="auto"/>
            </w:tcBorders>
            <w:noWrap/>
            <w:hideMark/>
          </w:tcPr>
          <w:p w14:paraId="514589CA"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w:t>
            </w:r>
          </w:p>
        </w:tc>
        <w:tc>
          <w:tcPr>
            <w:tcW w:w="1680" w:type="dxa"/>
            <w:tcBorders>
              <w:top w:val="single" w:sz="4" w:space="0" w:color="auto"/>
              <w:bottom w:val="single" w:sz="4" w:space="0" w:color="auto"/>
            </w:tcBorders>
            <w:noWrap/>
            <w:hideMark/>
          </w:tcPr>
          <w:p w14:paraId="73C3ED23"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Cond mS/cm</w:t>
            </w:r>
          </w:p>
        </w:tc>
        <w:tc>
          <w:tcPr>
            <w:tcW w:w="1260" w:type="dxa"/>
            <w:tcBorders>
              <w:top w:val="single" w:sz="4" w:space="0" w:color="auto"/>
              <w:bottom w:val="single" w:sz="4" w:space="0" w:color="auto"/>
            </w:tcBorders>
            <w:noWrap/>
            <w:hideMark/>
          </w:tcPr>
          <w:p w14:paraId="3E6D40FD"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Cal Curve M</w:t>
            </w:r>
          </w:p>
        </w:tc>
        <w:tc>
          <w:tcPr>
            <w:tcW w:w="960" w:type="dxa"/>
            <w:tcBorders>
              <w:top w:val="single" w:sz="4" w:space="0" w:color="auto"/>
              <w:bottom w:val="single" w:sz="4" w:space="0" w:color="auto"/>
            </w:tcBorders>
            <w:noWrap/>
            <w:hideMark/>
          </w:tcPr>
          <w:p w14:paraId="00630BB2" w14:textId="77777777" w:rsidR="004D6AEE" w:rsidRPr="00153D07" w:rsidRDefault="004D6AEE"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F</w:t>
            </w:r>
            <w:r w:rsidRPr="00153D07">
              <w:rPr>
                <w:rFonts w:ascii="Times New Roman" w:hAnsi="Times New Roman" w:cs="Times New Roman"/>
                <w:b/>
                <w:bCs/>
                <w:sz w:val="20"/>
                <w:szCs w:val="20"/>
              </w:rPr>
              <w:t xml:space="preserve"> M</w:t>
            </w:r>
          </w:p>
        </w:tc>
        <w:tc>
          <w:tcPr>
            <w:tcW w:w="960" w:type="dxa"/>
            <w:tcBorders>
              <w:top w:val="single" w:sz="4" w:space="0" w:color="auto"/>
              <w:bottom w:val="single" w:sz="4" w:space="0" w:color="auto"/>
            </w:tcBorders>
            <w:noWrap/>
            <w:hideMark/>
          </w:tcPr>
          <w:p w14:paraId="72C460B6" w14:textId="77777777" w:rsidR="004D6AEE" w:rsidRPr="00153D07" w:rsidRDefault="004D6AEE" w:rsidP="004D6AEE">
            <w:pPr>
              <w:jc w:val="center"/>
              <w:rPr>
                <w:rFonts w:ascii="Times New Roman" w:hAnsi="Times New Roman" w:cs="Times New Roman"/>
                <w:b/>
                <w:bCs/>
                <w:sz w:val="20"/>
                <w:szCs w:val="20"/>
              </w:rPr>
            </w:pPr>
            <w:proofErr w:type="spellStart"/>
            <w:r w:rsidRPr="00153D07">
              <w:rPr>
                <w:rFonts w:ascii="Times New Roman" w:hAnsi="Times New Roman" w:cs="Times New Roman"/>
                <w:b/>
                <w:bCs/>
                <w:sz w:val="20"/>
                <w:szCs w:val="20"/>
              </w:rPr>
              <w:t>Rej</w:t>
            </w:r>
            <w:proofErr w:type="spellEnd"/>
            <w:r w:rsidRPr="00153D07">
              <w:rPr>
                <w:rFonts w:ascii="Times New Roman" w:hAnsi="Times New Roman" w:cs="Times New Roman"/>
                <w:b/>
                <w:bCs/>
                <w:sz w:val="20"/>
                <w:szCs w:val="20"/>
              </w:rPr>
              <w:t>%</w:t>
            </w:r>
          </w:p>
        </w:tc>
      </w:tr>
      <w:tr w:rsidR="004D6AEE" w:rsidRPr="00AD04DA" w14:paraId="6A7062DA" w14:textId="77777777" w:rsidTr="004D6AEE">
        <w:trPr>
          <w:trHeight w:val="300"/>
        </w:trPr>
        <w:tc>
          <w:tcPr>
            <w:tcW w:w="960" w:type="dxa"/>
            <w:tcBorders>
              <w:top w:val="single" w:sz="4" w:space="0" w:color="auto"/>
            </w:tcBorders>
            <w:noWrap/>
            <w:hideMark/>
          </w:tcPr>
          <w:p w14:paraId="27E3924E"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tcBorders>
              <w:top w:val="single" w:sz="4" w:space="0" w:color="auto"/>
            </w:tcBorders>
            <w:noWrap/>
            <w:hideMark/>
          </w:tcPr>
          <w:p w14:paraId="607092AD"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tcBorders>
              <w:top w:val="single" w:sz="4" w:space="0" w:color="auto"/>
            </w:tcBorders>
            <w:noWrap/>
            <w:hideMark/>
          </w:tcPr>
          <w:p w14:paraId="59B7D69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tcBorders>
              <w:top w:val="single" w:sz="4" w:space="0" w:color="auto"/>
            </w:tcBorders>
            <w:noWrap/>
            <w:hideMark/>
          </w:tcPr>
          <w:p w14:paraId="7CB0D76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0.8834</w:t>
            </w:r>
          </w:p>
        </w:tc>
        <w:tc>
          <w:tcPr>
            <w:tcW w:w="960" w:type="dxa"/>
            <w:tcBorders>
              <w:top w:val="single" w:sz="4" w:space="0" w:color="auto"/>
            </w:tcBorders>
            <w:noWrap/>
            <w:hideMark/>
          </w:tcPr>
          <w:p w14:paraId="2744046D"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8.83</w:t>
            </w:r>
          </w:p>
        </w:tc>
        <w:tc>
          <w:tcPr>
            <w:tcW w:w="960" w:type="dxa"/>
            <w:tcBorders>
              <w:top w:val="single" w:sz="4" w:space="0" w:color="auto"/>
            </w:tcBorders>
            <w:noWrap/>
            <w:hideMark/>
          </w:tcPr>
          <w:p w14:paraId="776A8F0E"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8.83</w:t>
            </w:r>
          </w:p>
        </w:tc>
        <w:tc>
          <w:tcPr>
            <w:tcW w:w="960" w:type="dxa"/>
            <w:tcBorders>
              <w:top w:val="single" w:sz="4" w:space="0" w:color="auto"/>
            </w:tcBorders>
            <w:noWrap/>
            <w:hideMark/>
          </w:tcPr>
          <w:p w14:paraId="4DFEF489"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1680" w:type="dxa"/>
            <w:tcBorders>
              <w:top w:val="single" w:sz="4" w:space="0" w:color="auto"/>
            </w:tcBorders>
            <w:noWrap/>
            <w:hideMark/>
          </w:tcPr>
          <w:p w14:paraId="48F80DB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1.149</w:t>
            </w:r>
          </w:p>
        </w:tc>
        <w:tc>
          <w:tcPr>
            <w:tcW w:w="1260" w:type="dxa"/>
            <w:tcBorders>
              <w:top w:val="single" w:sz="4" w:space="0" w:color="auto"/>
            </w:tcBorders>
            <w:noWrap/>
            <w:hideMark/>
          </w:tcPr>
          <w:p w14:paraId="6F32756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0.00172695</w:t>
            </w:r>
          </w:p>
        </w:tc>
        <w:tc>
          <w:tcPr>
            <w:tcW w:w="960" w:type="dxa"/>
            <w:tcBorders>
              <w:top w:val="single" w:sz="4" w:space="0" w:color="auto"/>
            </w:tcBorders>
            <w:noWrap/>
            <w:hideMark/>
          </w:tcPr>
          <w:p w14:paraId="7DCDCC8C"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0.097744</w:t>
            </w:r>
          </w:p>
        </w:tc>
        <w:tc>
          <w:tcPr>
            <w:tcW w:w="960" w:type="dxa"/>
            <w:tcBorders>
              <w:top w:val="single" w:sz="4" w:space="0" w:color="auto"/>
            </w:tcBorders>
            <w:noWrap/>
            <w:hideMark/>
          </w:tcPr>
          <w:p w14:paraId="5B2D0D9F"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90.22555</w:t>
            </w:r>
          </w:p>
        </w:tc>
      </w:tr>
      <w:tr w:rsidR="004D6AEE" w:rsidRPr="00AD04DA" w14:paraId="41CD22A9" w14:textId="77777777" w:rsidTr="004D6AEE">
        <w:trPr>
          <w:trHeight w:val="300"/>
        </w:trPr>
        <w:tc>
          <w:tcPr>
            <w:tcW w:w="960" w:type="dxa"/>
            <w:noWrap/>
            <w:hideMark/>
          </w:tcPr>
          <w:p w14:paraId="748D3A1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68FA1F4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5E8DE28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9.1166</w:t>
            </w:r>
          </w:p>
        </w:tc>
        <w:tc>
          <w:tcPr>
            <w:tcW w:w="960" w:type="dxa"/>
            <w:noWrap/>
            <w:hideMark/>
          </w:tcPr>
          <w:p w14:paraId="0438D7D9"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1.1051</w:t>
            </w:r>
          </w:p>
        </w:tc>
        <w:tc>
          <w:tcPr>
            <w:tcW w:w="960" w:type="dxa"/>
            <w:noWrap/>
            <w:hideMark/>
          </w:tcPr>
          <w:p w14:paraId="13BD622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11.05</w:t>
            </w:r>
          </w:p>
        </w:tc>
        <w:tc>
          <w:tcPr>
            <w:tcW w:w="960" w:type="dxa"/>
            <w:noWrap/>
            <w:hideMark/>
          </w:tcPr>
          <w:p w14:paraId="636AF5C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12.12</w:t>
            </w:r>
          </w:p>
        </w:tc>
        <w:tc>
          <w:tcPr>
            <w:tcW w:w="960" w:type="dxa"/>
            <w:noWrap/>
            <w:hideMark/>
          </w:tcPr>
          <w:p w14:paraId="19632F4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1680" w:type="dxa"/>
            <w:noWrap/>
            <w:hideMark/>
          </w:tcPr>
          <w:p w14:paraId="0D189C4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1.643</w:t>
            </w:r>
          </w:p>
        </w:tc>
        <w:tc>
          <w:tcPr>
            <w:tcW w:w="1260" w:type="dxa"/>
            <w:noWrap/>
            <w:hideMark/>
          </w:tcPr>
          <w:p w14:paraId="0430AE4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0.003588042</w:t>
            </w:r>
          </w:p>
        </w:tc>
        <w:tc>
          <w:tcPr>
            <w:tcW w:w="960" w:type="dxa"/>
            <w:noWrap/>
            <w:hideMark/>
          </w:tcPr>
          <w:p w14:paraId="5A99D89E"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0.16234</w:t>
            </w:r>
          </w:p>
        </w:tc>
        <w:tc>
          <w:tcPr>
            <w:tcW w:w="960" w:type="dxa"/>
            <w:noWrap/>
            <w:hideMark/>
          </w:tcPr>
          <w:p w14:paraId="5B17F98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83.76599</w:t>
            </w:r>
          </w:p>
        </w:tc>
      </w:tr>
      <w:tr w:rsidR="004D6AEE" w:rsidRPr="00AD04DA" w14:paraId="7AF0B39D" w14:textId="77777777" w:rsidTr="004D6AEE">
        <w:trPr>
          <w:trHeight w:val="300"/>
        </w:trPr>
        <w:tc>
          <w:tcPr>
            <w:tcW w:w="960" w:type="dxa"/>
            <w:noWrap/>
            <w:hideMark/>
          </w:tcPr>
          <w:p w14:paraId="75B78D1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1DAC106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6CFD4A7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8.0115</w:t>
            </w:r>
          </w:p>
        </w:tc>
        <w:tc>
          <w:tcPr>
            <w:tcW w:w="960" w:type="dxa"/>
            <w:noWrap/>
            <w:hideMark/>
          </w:tcPr>
          <w:p w14:paraId="4C1E2F9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0.8675</w:t>
            </w:r>
          </w:p>
        </w:tc>
        <w:tc>
          <w:tcPr>
            <w:tcW w:w="960" w:type="dxa"/>
            <w:noWrap/>
            <w:hideMark/>
          </w:tcPr>
          <w:p w14:paraId="3D14799D"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8.68</w:t>
            </w:r>
          </w:p>
        </w:tc>
        <w:tc>
          <w:tcPr>
            <w:tcW w:w="960" w:type="dxa"/>
            <w:noWrap/>
            <w:hideMark/>
          </w:tcPr>
          <w:p w14:paraId="558A59FF"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10.83</w:t>
            </w:r>
          </w:p>
        </w:tc>
        <w:tc>
          <w:tcPr>
            <w:tcW w:w="960" w:type="dxa"/>
            <w:noWrap/>
            <w:hideMark/>
          </w:tcPr>
          <w:p w14:paraId="37AB5CEF"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1680" w:type="dxa"/>
            <w:noWrap/>
            <w:hideMark/>
          </w:tcPr>
          <w:p w14:paraId="441919BC"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1.264</w:t>
            </w:r>
          </w:p>
        </w:tc>
        <w:tc>
          <w:tcPr>
            <w:tcW w:w="1260" w:type="dxa"/>
            <w:noWrap/>
            <w:hideMark/>
          </w:tcPr>
          <w:p w14:paraId="11FD242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0.00209887</w:t>
            </w:r>
          </w:p>
        </w:tc>
        <w:tc>
          <w:tcPr>
            <w:tcW w:w="960" w:type="dxa"/>
            <w:noWrap/>
            <w:hideMark/>
          </w:tcPr>
          <w:p w14:paraId="375FCFDE"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0.120972</w:t>
            </w:r>
          </w:p>
        </w:tc>
        <w:tc>
          <w:tcPr>
            <w:tcW w:w="960" w:type="dxa"/>
            <w:noWrap/>
            <w:hideMark/>
          </w:tcPr>
          <w:p w14:paraId="71B6553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87.90277</w:t>
            </w:r>
          </w:p>
        </w:tc>
      </w:tr>
      <w:tr w:rsidR="004D6AEE" w:rsidRPr="00AD04DA" w14:paraId="3CB2FC77" w14:textId="77777777" w:rsidTr="004D6AEE">
        <w:trPr>
          <w:trHeight w:val="300"/>
        </w:trPr>
        <w:tc>
          <w:tcPr>
            <w:tcW w:w="960" w:type="dxa"/>
            <w:noWrap/>
            <w:hideMark/>
          </w:tcPr>
          <w:p w14:paraId="7F277F8C"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2955254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4283112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39358CD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0.8542</w:t>
            </w:r>
          </w:p>
        </w:tc>
        <w:tc>
          <w:tcPr>
            <w:tcW w:w="960" w:type="dxa"/>
            <w:noWrap/>
            <w:hideMark/>
          </w:tcPr>
          <w:p w14:paraId="5667CF4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8.54</w:t>
            </w:r>
          </w:p>
        </w:tc>
        <w:tc>
          <w:tcPr>
            <w:tcW w:w="960" w:type="dxa"/>
            <w:noWrap/>
            <w:hideMark/>
          </w:tcPr>
          <w:p w14:paraId="67875D6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8.54</w:t>
            </w:r>
          </w:p>
        </w:tc>
        <w:tc>
          <w:tcPr>
            <w:tcW w:w="960" w:type="dxa"/>
            <w:noWrap/>
            <w:hideMark/>
          </w:tcPr>
          <w:p w14:paraId="4F16783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1680" w:type="dxa"/>
            <w:noWrap/>
            <w:hideMark/>
          </w:tcPr>
          <w:p w14:paraId="2C0E498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1.336</w:t>
            </w:r>
          </w:p>
        </w:tc>
        <w:tc>
          <w:tcPr>
            <w:tcW w:w="1260" w:type="dxa"/>
            <w:noWrap/>
            <w:hideMark/>
          </w:tcPr>
          <w:p w14:paraId="3B282D7E"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0.002350606</w:t>
            </w:r>
          </w:p>
        </w:tc>
        <w:tc>
          <w:tcPr>
            <w:tcW w:w="960" w:type="dxa"/>
            <w:noWrap/>
            <w:hideMark/>
          </w:tcPr>
          <w:p w14:paraId="0F66060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0.137591</w:t>
            </w:r>
          </w:p>
        </w:tc>
        <w:tc>
          <w:tcPr>
            <w:tcW w:w="960" w:type="dxa"/>
            <w:noWrap/>
            <w:hideMark/>
          </w:tcPr>
          <w:p w14:paraId="580115ED"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86.24089</w:t>
            </w:r>
          </w:p>
        </w:tc>
      </w:tr>
      <w:tr w:rsidR="004D6AEE" w:rsidRPr="00AD04DA" w14:paraId="40366752" w14:textId="77777777" w:rsidTr="004D6AEE">
        <w:trPr>
          <w:trHeight w:val="300"/>
        </w:trPr>
        <w:tc>
          <w:tcPr>
            <w:tcW w:w="960" w:type="dxa"/>
            <w:noWrap/>
            <w:hideMark/>
          </w:tcPr>
          <w:p w14:paraId="398C332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529240E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4FD15F99"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9.1458</w:t>
            </w:r>
          </w:p>
        </w:tc>
        <w:tc>
          <w:tcPr>
            <w:tcW w:w="960" w:type="dxa"/>
            <w:noWrap/>
            <w:hideMark/>
          </w:tcPr>
          <w:p w14:paraId="2E4D3D7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0.8185</w:t>
            </w:r>
          </w:p>
        </w:tc>
        <w:tc>
          <w:tcPr>
            <w:tcW w:w="960" w:type="dxa"/>
            <w:noWrap/>
            <w:hideMark/>
          </w:tcPr>
          <w:p w14:paraId="643B9947"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8.19</w:t>
            </w:r>
          </w:p>
        </w:tc>
        <w:tc>
          <w:tcPr>
            <w:tcW w:w="960" w:type="dxa"/>
            <w:noWrap/>
            <w:hideMark/>
          </w:tcPr>
          <w:p w14:paraId="5D74289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8.95</w:t>
            </w:r>
          </w:p>
        </w:tc>
        <w:tc>
          <w:tcPr>
            <w:tcW w:w="960" w:type="dxa"/>
            <w:noWrap/>
            <w:hideMark/>
          </w:tcPr>
          <w:p w14:paraId="4C45DCA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1680" w:type="dxa"/>
            <w:noWrap/>
            <w:hideMark/>
          </w:tcPr>
          <w:p w14:paraId="2F2DFA09"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1.266</w:t>
            </w:r>
          </w:p>
        </w:tc>
        <w:tc>
          <w:tcPr>
            <w:tcW w:w="1260" w:type="dxa"/>
            <w:noWrap/>
            <w:hideMark/>
          </w:tcPr>
          <w:p w14:paraId="11DDF42E"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0.002105666</w:t>
            </w:r>
          </w:p>
        </w:tc>
        <w:tc>
          <w:tcPr>
            <w:tcW w:w="960" w:type="dxa"/>
            <w:noWrap/>
            <w:hideMark/>
          </w:tcPr>
          <w:p w14:paraId="0AED321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0.12863</w:t>
            </w:r>
          </w:p>
        </w:tc>
        <w:tc>
          <w:tcPr>
            <w:tcW w:w="960" w:type="dxa"/>
            <w:noWrap/>
            <w:hideMark/>
          </w:tcPr>
          <w:p w14:paraId="48A6C09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87.13704</w:t>
            </w:r>
          </w:p>
        </w:tc>
      </w:tr>
      <w:tr w:rsidR="004D6AEE" w:rsidRPr="00AD04DA" w14:paraId="2BFB071B" w14:textId="77777777" w:rsidTr="004D6AEE">
        <w:trPr>
          <w:trHeight w:val="300"/>
        </w:trPr>
        <w:tc>
          <w:tcPr>
            <w:tcW w:w="960" w:type="dxa"/>
            <w:noWrap/>
            <w:hideMark/>
          </w:tcPr>
          <w:p w14:paraId="02269D2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lastRenderedPageBreak/>
              <w:t>3</w:t>
            </w:r>
          </w:p>
        </w:tc>
        <w:tc>
          <w:tcPr>
            <w:tcW w:w="960" w:type="dxa"/>
            <w:noWrap/>
            <w:hideMark/>
          </w:tcPr>
          <w:p w14:paraId="1E682F1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1DE2A51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8.3273</w:t>
            </w:r>
          </w:p>
        </w:tc>
        <w:tc>
          <w:tcPr>
            <w:tcW w:w="960" w:type="dxa"/>
            <w:noWrap/>
            <w:hideMark/>
          </w:tcPr>
          <w:p w14:paraId="1AE3AB1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0.8975</w:t>
            </w:r>
          </w:p>
        </w:tc>
        <w:tc>
          <w:tcPr>
            <w:tcW w:w="960" w:type="dxa"/>
            <w:noWrap/>
            <w:hideMark/>
          </w:tcPr>
          <w:p w14:paraId="2B27350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8.98</w:t>
            </w:r>
          </w:p>
        </w:tc>
        <w:tc>
          <w:tcPr>
            <w:tcW w:w="960" w:type="dxa"/>
            <w:noWrap/>
            <w:hideMark/>
          </w:tcPr>
          <w:p w14:paraId="1A29EC57"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10.78</w:t>
            </w:r>
          </w:p>
        </w:tc>
        <w:tc>
          <w:tcPr>
            <w:tcW w:w="960" w:type="dxa"/>
            <w:noWrap/>
            <w:hideMark/>
          </w:tcPr>
          <w:p w14:paraId="555C922E"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1680" w:type="dxa"/>
            <w:noWrap/>
            <w:hideMark/>
          </w:tcPr>
          <w:p w14:paraId="5B60E0FA"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1.414</w:t>
            </w:r>
          </w:p>
        </w:tc>
        <w:tc>
          <w:tcPr>
            <w:tcW w:w="1260" w:type="dxa"/>
            <w:noWrap/>
            <w:hideMark/>
          </w:tcPr>
          <w:p w14:paraId="2EA3B0BC"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0.002639777</w:t>
            </w:r>
          </w:p>
        </w:tc>
        <w:tc>
          <w:tcPr>
            <w:tcW w:w="960" w:type="dxa"/>
            <w:noWrap/>
            <w:hideMark/>
          </w:tcPr>
          <w:p w14:paraId="58BFF4F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0.147063</w:t>
            </w:r>
          </w:p>
        </w:tc>
        <w:tc>
          <w:tcPr>
            <w:tcW w:w="960" w:type="dxa"/>
            <w:noWrap/>
            <w:hideMark/>
          </w:tcPr>
          <w:p w14:paraId="5724707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85.29372</w:t>
            </w:r>
          </w:p>
        </w:tc>
      </w:tr>
      <w:tr w:rsidR="004D6AEE" w:rsidRPr="00AD04DA" w14:paraId="6D225685" w14:textId="77777777" w:rsidTr="004D6AEE">
        <w:trPr>
          <w:trHeight w:val="300"/>
        </w:trPr>
        <w:tc>
          <w:tcPr>
            <w:tcW w:w="960" w:type="dxa"/>
            <w:noWrap/>
            <w:hideMark/>
          </w:tcPr>
          <w:p w14:paraId="584C5F0A"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04E6E05F"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283A58E8"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61717F3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0.9847</w:t>
            </w:r>
          </w:p>
        </w:tc>
        <w:tc>
          <w:tcPr>
            <w:tcW w:w="960" w:type="dxa"/>
            <w:noWrap/>
            <w:hideMark/>
          </w:tcPr>
          <w:p w14:paraId="5A295C8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9.85</w:t>
            </w:r>
          </w:p>
        </w:tc>
        <w:tc>
          <w:tcPr>
            <w:tcW w:w="960" w:type="dxa"/>
            <w:noWrap/>
            <w:hideMark/>
          </w:tcPr>
          <w:p w14:paraId="7FCEBBA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9.85</w:t>
            </w:r>
          </w:p>
        </w:tc>
        <w:tc>
          <w:tcPr>
            <w:tcW w:w="960" w:type="dxa"/>
            <w:noWrap/>
            <w:hideMark/>
          </w:tcPr>
          <w:p w14:paraId="39028429"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1680" w:type="dxa"/>
            <w:noWrap/>
            <w:hideMark/>
          </w:tcPr>
          <w:p w14:paraId="3094E83F"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1.539</w:t>
            </w:r>
          </w:p>
        </w:tc>
        <w:tc>
          <w:tcPr>
            <w:tcW w:w="1260" w:type="dxa"/>
            <w:noWrap/>
            <w:hideMark/>
          </w:tcPr>
          <w:p w14:paraId="5B9E7A1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0.003138992</w:t>
            </w:r>
          </w:p>
        </w:tc>
        <w:tc>
          <w:tcPr>
            <w:tcW w:w="960" w:type="dxa"/>
            <w:noWrap/>
            <w:hideMark/>
          </w:tcPr>
          <w:p w14:paraId="69BE05CA"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0.159388</w:t>
            </w:r>
          </w:p>
        </w:tc>
        <w:tc>
          <w:tcPr>
            <w:tcW w:w="960" w:type="dxa"/>
            <w:noWrap/>
            <w:hideMark/>
          </w:tcPr>
          <w:p w14:paraId="39F0FCE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84.06118</w:t>
            </w:r>
          </w:p>
        </w:tc>
      </w:tr>
      <w:tr w:rsidR="004D6AEE" w:rsidRPr="00AD04DA" w14:paraId="6FEC43C4" w14:textId="77777777" w:rsidTr="004D6AEE">
        <w:trPr>
          <w:trHeight w:val="300"/>
        </w:trPr>
        <w:tc>
          <w:tcPr>
            <w:tcW w:w="960" w:type="dxa"/>
            <w:noWrap/>
            <w:hideMark/>
          </w:tcPr>
          <w:p w14:paraId="595E262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0BEA672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3A83495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9.0153</w:t>
            </w:r>
          </w:p>
        </w:tc>
        <w:tc>
          <w:tcPr>
            <w:tcW w:w="960" w:type="dxa"/>
            <w:noWrap/>
            <w:hideMark/>
          </w:tcPr>
          <w:p w14:paraId="59A134BE"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0.8349</w:t>
            </w:r>
          </w:p>
        </w:tc>
        <w:tc>
          <w:tcPr>
            <w:tcW w:w="960" w:type="dxa"/>
            <w:noWrap/>
            <w:hideMark/>
          </w:tcPr>
          <w:p w14:paraId="1871485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8.35</w:t>
            </w:r>
          </w:p>
        </w:tc>
        <w:tc>
          <w:tcPr>
            <w:tcW w:w="960" w:type="dxa"/>
            <w:noWrap/>
            <w:hideMark/>
          </w:tcPr>
          <w:p w14:paraId="4CF04FD3"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9.26</w:t>
            </w:r>
          </w:p>
        </w:tc>
        <w:tc>
          <w:tcPr>
            <w:tcW w:w="960" w:type="dxa"/>
            <w:noWrap/>
            <w:hideMark/>
          </w:tcPr>
          <w:p w14:paraId="3A3329E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1680" w:type="dxa"/>
            <w:noWrap/>
            <w:hideMark/>
          </w:tcPr>
          <w:p w14:paraId="57DBF529"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1.517</w:t>
            </w:r>
          </w:p>
        </w:tc>
        <w:tc>
          <w:tcPr>
            <w:tcW w:w="1260" w:type="dxa"/>
            <w:noWrap/>
            <w:hideMark/>
          </w:tcPr>
          <w:p w14:paraId="2C59091A"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0.003047927</w:t>
            </w:r>
          </w:p>
        </w:tc>
        <w:tc>
          <w:tcPr>
            <w:tcW w:w="960" w:type="dxa"/>
            <w:noWrap/>
            <w:hideMark/>
          </w:tcPr>
          <w:p w14:paraId="6EBEF0CD"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0.182532</w:t>
            </w:r>
          </w:p>
        </w:tc>
        <w:tc>
          <w:tcPr>
            <w:tcW w:w="960" w:type="dxa"/>
            <w:noWrap/>
            <w:hideMark/>
          </w:tcPr>
          <w:p w14:paraId="2E28D7D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81.74675</w:t>
            </w:r>
          </w:p>
        </w:tc>
      </w:tr>
      <w:tr w:rsidR="004D6AEE" w:rsidRPr="00AD04DA" w14:paraId="701307A9" w14:textId="77777777" w:rsidTr="004D6AEE">
        <w:trPr>
          <w:trHeight w:val="300"/>
        </w:trPr>
        <w:tc>
          <w:tcPr>
            <w:tcW w:w="960" w:type="dxa"/>
            <w:noWrap/>
            <w:hideMark/>
          </w:tcPr>
          <w:p w14:paraId="55F0A40C"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0BD2454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1CB8F51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8.1804</w:t>
            </w:r>
          </w:p>
        </w:tc>
        <w:tc>
          <w:tcPr>
            <w:tcW w:w="960" w:type="dxa"/>
            <w:noWrap/>
            <w:hideMark/>
          </w:tcPr>
          <w:p w14:paraId="7E9E1DBB"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0.8726</w:t>
            </w:r>
          </w:p>
        </w:tc>
        <w:tc>
          <w:tcPr>
            <w:tcW w:w="960" w:type="dxa"/>
            <w:noWrap/>
            <w:hideMark/>
          </w:tcPr>
          <w:p w14:paraId="12E7949C"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8.73</w:t>
            </w:r>
          </w:p>
        </w:tc>
        <w:tc>
          <w:tcPr>
            <w:tcW w:w="960" w:type="dxa"/>
            <w:noWrap/>
            <w:hideMark/>
          </w:tcPr>
          <w:p w14:paraId="593CD9F2"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10.67</w:t>
            </w:r>
          </w:p>
        </w:tc>
        <w:tc>
          <w:tcPr>
            <w:tcW w:w="960" w:type="dxa"/>
            <w:noWrap/>
            <w:hideMark/>
          </w:tcPr>
          <w:p w14:paraId="0E81F860"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1680" w:type="dxa"/>
            <w:noWrap/>
            <w:hideMark/>
          </w:tcPr>
          <w:p w14:paraId="2B223E16"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1.429</w:t>
            </w:r>
          </w:p>
        </w:tc>
        <w:tc>
          <w:tcPr>
            <w:tcW w:w="1260" w:type="dxa"/>
            <w:noWrap/>
            <w:hideMark/>
          </w:tcPr>
          <w:p w14:paraId="5BB4A935"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0.002697353</w:t>
            </w:r>
          </w:p>
        </w:tc>
        <w:tc>
          <w:tcPr>
            <w:tcW w:w="960" w:type="dxa"/>
            <w:noWrap/>
            <w:hideMark/>
          </w:tcPr>
          <w:p w14:paraId="3CCC4094"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0.154558</w:t>
            </w:r>
          </w:p>
        </w:tc>
        <w:tc>
          <w:tcPr>
            <w:tcW w:w="960" w:type="dxa"/>
            <w:noWrap/>
            <w:hideMark/>
          </w:tcPr>
          <w:p w14:paraId="02D63DF1" w14:textId="77777777" w:rsidR="004D6AEE" w:rsidRPr="00153D07" w:rsidRDefault="004D6AEE" w:rsidP="004D6AEE">
            <w:pPr>
              <w:jc w:val="center"/>
              <w:rPr>
                <w:rFonts w:ascii="Times New Roman" w:hAnsi="Times New Roman" w:cs="Times New Roman"/>
                <w:sz w:val="20"/>
                <w:szCs w:val="20"/>
              </w:rPr>
            </w:pPr>
            <w:r w:rsidRPr="00153D07">
              <w:rPr>
                <w:rFonts w:ascii="Times New Roman" w:hAnsi="Times New Roman" w:cs="Times New Roman"/>
                <w:sz w:val="20"/>
                <w:szCs w:val="20"/>
              </w:rPr>
              <w:t>84.54416</w:t>
            </w:r>
          </w:p>
        </w:tc>
      </w:tr>
    </w:tbl>
    <w:p w14:paraId="2438A99E" w14:textId="77777777" w:rsidR="002347A3" w:rsidRPr="00AD04DA" w:rsidRDefault="002347A3" w:rsidP="00B02CBC">
      <w:pPr>
        <w:spacing w:line="480" w:lineRule="auto"/>
        <w:jc w:val="center"/>
        <w:rPr>
          <w:rFonts w:ascii="Times New Roman" w:hAnsi="Times New Roman" w:cs="Times New Roman"/>
          <w:sz w:val="24"/>
          <w:szCs w:val="24"/>
        </w:rPr>
      </w:pPr>
    </w:p>
    <w:p w14:paraId="3D384DB3" w14:textId="0064337F" w:rsidR="00C4062D" w:rsidRPr="00AD04DA" w:rsidRDefault="00C4062D"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A8</w:t>
      </w:r>
      <w:r w:rsidRPr="00AD04DA">
        <w:rPr>
          <w:rFonts w:ascii="Times New Roman" w:hAnsi="Times New Roman" w:cs="Times New Roman"/>
          <w:sz w:val="24"/>
          <w:szCs w:val="24"/>
        </w:rPr>
        <w:t xml:space="preserve">: Experimental Data for DPA with 3.5 </w:t>
      </w:r>
      <w:proofErr w:type="spellStart"/>
      <w:r w:rsidRPr="00AD04DA">
        <w:rPr>
          <w:rFonts w:ascii="Times New Roman" w:hAnsi="Times New Roman" w:cs="Times New Roman"/>
          <w:sz w:val="24"/>
          <w:szCs w:val="24"/>
        </w:rPr>
        <w:t>wt</w:t>
      </w:r>
      <w:proofErr w:type="spellEnd"/>
      <w:r w:rsidRPr="00AD04DA">
        <w:rPr>
          <w:rFonts w:ascii="Times New Roman" w:hAnsi="Times New Roman" w:cs="Times New Roman"/>
          <w:sz w:val="24"/>
          <w:szCs w:val="24"/>
        </w:rPr>
        <w:t xml:space="preserve"> % NaCl feed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778"/>
        <w:gridCol w:w="778"/>
        <w:gridCol w:w="779"/>
        <w:gridCol w:w="779"/>
        <w:gridCol w:w="779"/>
        <w:gridCol w:w="779"/>
        <w:gridCol w:w="779"/>
        <w:gridCol w:w="1323"/>
        <w:gridCol w:w="1010"/>
        <w:gridCol w:w="783"/>
        <w:gridCol w:w="783"/>
      </w:tblGrid>
      <w:tr w:rsidR="00230591" w:rsidRPr="00AD04DA" w14:paraId="40E8F55C" w14:textId="77777777" w:rsidTr="00230591">
        <w:trPr>
          <w:trHeight w:val="360"/>
        </w:trPr>
        <w:tc>
          <w:tcPr>
            <w:tcW w:w="960" w:type="dxa"/>
            <w:tcBorders>
              <w:top w:val="single" w:sz="4" w:space="0" w:color="auto"/>
              <w:bottom w:val="single" w:sz="4" w:space="0" w:color="auto"/>
            </w:tcBorders>
            <w:noWrap/>
            <w:hideMark/>
          </w:tcPr>
          <w:p w14:paraId="479DA216" w14:textId="77777777" w:rsidR="00230591" w:rsidRPr="00153D07" w:rsidRDefault="00230591"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Run</w:t>
            </w:r>
          </w:p>
        </w:tc>
        <w:tc>
          <w:tcPr>
            <w:tcW w:w="960" w:type="dxa"/>
            <w:tcBorders>
              <w:top w:val="single" w:sz="4" w:space="0" w:color="auto"/>
              <w:bottom w:val="single" w:sz="4" w:space="0" w:color="auto"/>
            </w:tcBorders>
            <w:noWrap/>
            <w:hideMark/>
          </w:tcPr>
          <w:p w14:paraId="05600B86" w14:textId="77777777" w:rsidR="00230591" w:rsidRPr="00153D07" w:rsidRDefault="00230591"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Cycle</w:t>
            </w:r>
          </w:p>
        </w:tc>
        <w:tc>
          <w:tcPr>
            <w:tcW w:w="960" w:type="dxa"/>
            <w:tcBorders>
              <w:top w:val="single" w:sz="4" w:space="0" w:color="auto"/>
              <w:bottom w:val="single" w:sz="4" w:space="0" w:color="auto"/>
            </w:tcBorders>
            <w:noWrap/>
            <w:hideMark/>
          </w:tcPr>
          <w:p w14:paraId="50A6CBE0" w14:textId="77777777" w:rsidR="00230591" w:rsidRPr="00153D07" w:rsidRDefault="00230591"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29E8330F" w14:textId="77777777" w:rsidR="00230591" w:rsidRPr="00153D07" w:rsidRDefault="00230591"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R</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4BFB8264" w14:textId="77777777" w:rsidR="00230591" w:rsidRPr="00153D07" w:rsidRDefault="00230591"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Total Rec%</w:t>
            </w:r>
          </w:p>
        </w:tc>
        <w:tc>
          <w:tcPr>
            <w:tcW w:w="960" w:type="dxa"/>
            <w:tcBorders>
              <w:top w:val="single" w:sz="4" w:space="0" w:color="auto"/>
              <w:bottom w:val="single" w:sz="4" w:space="0" w:color="auto"/>
            </w:tcBorders>
            <w:noWrap/>
            <w:hideMark/>
          </w:tcPr>
          <w:p w14:paraId="0AC61C29" w14:textId="77777777" w:rsidR="00230591" w:rsidRPr="00153D07" w:rsidRDefault="00230591"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Trial rec %</w:t>
            </w:r>
          </w:p>
        </w:tc>
        <w:tc>
          <w:tcPr>
            <w:tcW w:w="960" w:type="dxa"/>
            <w:tcBorders>
              <w:top w:val="single" w:sz="4" w:space="0" w:color="auto"/>
              <w:bottom w:val="single" w:sz="4" w:space="0" w:color="auto"/>
            </w:tcBorders>
            <w:noWrap/>
            <w:hideMark/>
          </w:tcPr>
          <w:p w14:paraId="6D32FE99" w14:textId="77777777" w:rsidR="00230591" w:rsidRPr="00153D07" w:rsidRDefault="00230591"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w:t>
            </w:r>
          </w:p>
        </w:tc>
        <w:tc>
          <w:tcPr>
            <w:tcW w:w="1680" w:type="dxa"/>
            <w:tcBorders>
              <w:top w:val="single" w:sz="4" w:space="0" w:color="auto"/>
              <w:bottom w:val="single" w:sz="4" w:space="0" w:color="auto"/>
            </w:tcBorders>
            <w:noWrap/>
            <w:hideMark/>
          </w:tcPr>
          <w:p w14:paraId="585E2C24" w14:textId="77777777" w:rsidR="00230591" w:rsidRPr="00153D07" w:rsidRDefault="00230591"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Cond raw mS/cm</w:t>
            </w:r>
          </w:p>
        </w:tc>
        <w:tc>
          <w:tcPr>
            <w:tcW w:w="1260" w:type="dxa"/>
            <w:tcBorders>
              <w:top w:val="single" w:sz="4" w:space="0" w:color="auto"/>
              <w:bottom w:val="single" w:sz="4" w:space="0" w:color="auto"/>
            </w:tcBorders>
            <w:noWrap/>
            <w:hideMark/>
          </w:tcPr>
          <w:p w14:paraId="2FD044F5" w14:textId="77777777" w:rsidR="00230591" w:rsidRPr="00153D07" w:rsidRDefault="00230591"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Cal Curve M</w:t>
            </w:r>
          </w:p>
        </w:tc>
        <w:tc>
          <w:tcPr>
            <w:tcW w:w="960" w:type="dxa"/>
            <w:tcBorders>
              <w:top w:val="single" w:sz="4" w:space="0" w:color="auto"/>
              <w:bottom w:val="single" w:sz="4" w:space="0" w:color="auto"/>
            </w:tcBorders>
            <w:noWrap/>
            <w:hideMark/>
          </w:tcPr>
          <w:p w14:paraId="63F249B6" w14:textId="77777777" w:rsidR="00230591" w:rsidRPr="00153D07" w:rsidRDefault="00230591" w:rsidP="004D6AEE">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F</w:t>
            </w:r>
            <w:r w:rsidRPr="00153D07">
              <w:rPr>
                <w:rFonts w:ascii="Times New Roman" w:hAnsi="Times New Roman" w:cs="Times New Roman"/>
                <w:b/>
                <w:bCs/>
                <w:sz w:val="20"/>
                <w:szCs w:val="20"/>
              </w:rPr>
              <w:t xml:space="preserve"> M</w:t>
            </w:r>
          </w:p>
        </w:tc>
        <w:tc>
          <w:tcPr>
            <w:tcW w:w="960" w:type="dxa"/>
            <w:tcBorders>
              <w:top w:val="single" w:sz="4" w:space="0" w:color="auto"/>
              <w:bottom w:val="single" w:sz="4" w:space="0" w:color="auto"/>
            </w:tcBorders>
            <w:noWrap/>
            <w:hideMark/>
          </w:tcPr>
          <w:p w14:paraId="6102BBBC" w14:textId="77777777" w:rsidR="00230591" w:rsidRPr="00153D07" w:rsidRDefault="00230591" w:rsidP="004D6AEE">
            <w:pPr>
              <w:jc w:val="center"/>
              <w:rPr>
                <w:rFonts w:ascii="Times New Roman" w:hAnsi="Times New Roman" w:cs="Times New Roman"/>
                <w:b/>
                <w:bCs/>
                <w:sz w:val="20"/>
                <w:szCs w:val="20"/>
              </w:rPr>
            </w:pPr>
            <w:proofErr w:type="spellStart"/>
            <w:r w:rsidRPr="00153D07">
              <w:rPr>
                <w:rFonts w:ascii="Times New Roman" w:hAnsi="Times New Roman" w:cs="Times New Roman"/>
                <w:b/>
                <w:bCs/>
                <w:sz w:val="20"/>
                <w:szCs w:val="20"/>
              </w:rPr>
              <w:t>Rej</w:t>
            </w:r>
            <w:proofErr w:type="spellEnd"/>
            <w:r w:rsidRPr="00153D07">
              <w:rPr>
                <w:rFonts w:ascii="Times New Roman" w:hAnsi="Times New Roman" w:cs="Times New Roman"/>
                <w:b/>
                <w:bCs/>
                <w:sz w:val="20"/>
                <w:szCs w:val="20"/>
              </w:rPr>
              <w:t>%</w:t>
            </w:r>
          </w:p>
        </w:tc>
      </w:tr>
      <w:tr w:rsidR="00230591" w:rsidRPr="00AD04DA" w14:paraId="0F766DE9" w14:textId="77777777" w:rsidTr="00230591">
        <w:trPr>
          <w:trHeight w:val="300"/>
        </w:trPr>
        <w:tc>
          <w:tcPr>
            <w:tcW w:w="960" w:type="dxa"/>
            <w:tcBorders>
              <w:top w:val="single" w:sz="4" w:space="0" w:color="auto"/>
            </w:tcBorders>
            <w:noWrap/>
            <w:hideMark/>
          </w:tcPr>
          <w:p w14:paraId="4419B100"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tcBorders>
              <w:top w:val="single" w:sz="4" w:space="0" w:color="auto"/>
            </w:tcBorders>
            <w:noWrap/>
            <w:hideMark/>
          </w:tcPr>
          <w:p w14:paraId="28A81A07"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tcBorders>
              <w:top w:val="single" w:sz="4" w:space="0" w:color="auto"/>
            </w:tcBorders>
            <w:noWrap/>
            <w:hideMark/>
          </w:tcPr>
          <w:p w14:paraId="53FB4DE4"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tcBorders>
              <w:top w:val="single" w:sz="4" w:space="0" w:color="auto"/>
            </w:tcBorders>
            <w:noWrap/>
            <w:hideMark/>
          </w:tcPr>
          <w:p w14:paraId="6AE80B60"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1.0675</w:t>
            </w:r>
          </w:p>
        </w:tc>
        <w:tc>
          <w:tcPr>
            <w:tcW w:w="960" w:type="dxa"/>
            <w:tcBorders>
              <w:top w:val="single" w:sz="4" w:space="0" w:color="auto"/>
            </w:tcBorders>
            <w:noWrap/>
            <w:hideMark/>
          </w:tcPr>
          <w:p w14:paraId="63096320"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10.68</w:t>
            </w:r>
          </w:p>
        </w:tc>
        <w:tc>
          <w:tcPr>
            <w:tcW w:w="960" w:type="dxa"/>
            <w:tcBorders>
              <w:top w:val="single" w:sz="4" w:space="0" w:color="auto"/>
            </w:tcBorders>
            <w:noWrap/>
            <w:hideMark/>
          </w:tcPr>
          <w:p w14:paraId="7A2CA933"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10.68</w:t>
            </w:r>
          </w:p>
        </w:tc>
        <w:tc>
          <w:tcPr>
            <w:tcW w:w="960" w:type="dxa"/>
            <w:tcBorders>
              <w:top w:val="single" w:sz="4" w:space="0" w:color="auto"/>
            </w:tcBorders>
            <w:noWrap/>
            <w:hideMark/>
          </w:tcPr>
          <w:p w14:paraId="1E63FCEB"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0.6</w:t>
            </w:r>
          </w:p>
        </w:tc>
        <w:tc>
          <w:tcPr>
            <w:tcW w:w="1680" w:type="dxa"/>
            <w:tcBorders>
              <w:top w:val="single" w:sz="4" w:space="0" w:color="auto"/>
            </w:tcBorders>
            <w:noWrap/>
            <w:hideMark/>
          </w:tcPr>
          <w:p w14:paraId="7CEA92B7"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1.575</w:t>
            </w:r>
          </w:p>
        </w:tc>
        <w:tc>
          <w:tcPr>
            <w:tcW w:w="1260" w:type="dxa"/>
            <w:tcBorders>
              <w:top w:val="single" w:sz="4" w:space="0" w:color="auto"/>
            </w:tcBorders>
            <w:noWrap/>
            <w:hideMark/>
          </w:tcPr>
          <w:p w14:paraId="4E0B8465"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0.003290962</w:t>
            </w:r>
          </w:p>
        </w:tc>
        <w:tc>
          <w:tcPr>
            <w:tcW w:w="960" w:type="dxa"/>
            <w:tcBorders>
              <w:top w:val="single" w:sz="4" w:space="0" w:color="auto"/>
            </w:tcBorders>
            <w:noWrap/>
            <w:hideMark/>
          </w:tcPr>
          <w:p w14:paraId="2AE2F1BB"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0.154143</w:t>
            </w:r>
          </w:p>
        </w:tc>
        <w:tc>
          <w:tcPr>
            <w:tcW w:w="960" w:type="dxa"/>
            <w:tcBorders>
              <w:top w:val="single" w:sz="4" w:space="0" w:color="auto"/>
            </w:tcBorders>
            <w:noWrap/>
            <w:hideMark/>
          </w:tcPr>
          <w:p w14:paraId="5F606102"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74.30943</w:t>
            </w:r>
          </w:p>
        </w:tc>
      </w:tr>
      <w:tr w:rsidR="00230591" w:rsidRPr="00AD04DA" w14:paraId="01D560A3" w14:textId="77777777" w:rsidTr="00230591">
        <w:trPr>
          <w:trHeight w:val="300"/>
        </w:trPr>
        <w:tc>
          <w:tcPr>
            <w:tcW w:w="960" w:type="dxa"/>
            <w:noWrap/>
            <w:hideMark/>
          </w:tcPr>
          <w:p w14:paraId="4D633180"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716EDBA1"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44ECB16A"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8.9325</w:t>
            </w:r>
          </w:p>
        </w:tc>
        <w:tc>
          <w:tcPr>
            <w:tcW w:w="960" w:type="dxa"/>
            <w:noWrap/>
            <w:hideMark/>
          </w:tcPr>
          <w:p w14:paraId="475F0826"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0.7568</w:t>
            </w:r>
          </w:p>
        </w:tc>
        <w:tc>
          <w:tcPr>
            <w:tcW w:w="960" w:type="dxa"/>
            <w:noWrap/>
            <w:hideMark/>
          </w:tcPr>
          <w:p w14:paraId="23C86F13"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7.57</w:t>
            </w:r>
          </w:p>
        </w:tc>
        <w:tc>
          <w:tcPr>
            <w:tcW w:w="960" w:type="dxa"/>
            <w:noWrap/>
            <w:hideMark/>
          </w:tcPr>
          <w:p w14:paraId="5B59FA80"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8.47</w:t>
            </w:r>
          </w:p>
        </w:tc>
        <w:tc>
          <w:tcPr>
            <w:tcW w:w="960" w:type="dxa"/>
            <w:noWrap/>
            <w:hideMark/>
          </w:tcPr>
          <w:p w14:paraId="25EBEF19"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0.6</w:t>
            </w:r>
          </w:p>
        </w:tc>
        <w:tc>
          <w:tcPr>
            <w:tcW w:w="1680" w:type="dxa"/>
            <w:noWrap/>
            <w:hideMark/>
          </w:tcPr>
          <w:p w14:paraId="67404974"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1.252</w:t>
            </w:r>
          </w:p>
        </w:tc>
        <w:tc>
          <w:tcPr>
            <w:tcW w:w="1260" w:type="dxa"/>
            <w:noWrap/>
            <w:hideMark/>
          </w:tcPr>
          <w:p w14:paraId="284EC9E6"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0.00205833</w:t>
            </w:r>
          </w:p>
        </w:tc>
        <w:tc>
          <w:tcPr>
            <w:tcW w:w="960" w:type="dxa"/>
            <w:noWrap/>
            <w:hideMark/>
          </w:tcPr>
          <w:p w14:paraId="71A43F77"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0.135989</w:t>
            </w:r>
          </w:p>
        </w:tc>
        <w:tc>
          <w:tcPr>
            <w:tcW w:w="960" w:type="dxa"/>
            <w:noWrap/>
            <w:hideMark/>
          </w:tcPr>
          <w:p w14:paraId="452399F0"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77.33517</w:t>
            </w:r>
          </w:p>
        </w:tc>
      </w:tr>
      <w:tr w:rsidR="00230591" w:rsidRPr="00AD04DA" w14:paraId="14230B81" w14:textId="77777777" w:rsidTr="00230591">
        <w:trPr>
          <w:trHeight w:val="300"/>
        </w:trPr>
        <w:tc>
          <w:tcPr>
            <w:tcW w:w="960" w:type="dxa"/>
            <w:noWrap/>
            <w:hideMark/>
          </w:tcPr>
          <w:p w14:paraId="71E8F586"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11200B3F"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155C3A25"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8.1757</w:t>
            </w:r>
          </w:p>
        </w:tc>
        <w:tc>
          <w:tcPr>
            <w:tcW w:w="960" w:type="dxa"/>
            <w:noWrap/>
            <w:hideMark/>
          </w:tcPr>
          <w:p w14:paraId="0E2F5125"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1.0001</w:t>
            </w:r>
          </w:p>
        </w:tc>
        <w:tc>
          <w:tcPr>
            <w:tcW w:w="960" w:type="dxa"/>
            <w:noWrap/>
            <w:hideMark/>
          </w:tcPr>
          <w:p w14:paraId="4848B8A8"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10.00</w:t>
            </w:r>
          </w:p>
        </w:tc>
        <w:tc>
          <w:tcPr>
            <w:tcW w:w="960" w:type="dxa"/>
            <w:noWrap/>
            <w:hideMark/>
          </w:tcPr>
          <w:p w14:paraId="28E0D20F"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12.23</w:t>
            </w:r>
          </w:p>
        </w:tc>
        <w:tc>
          <w:tcPr>
            <w:tcW w:w="960" w:type="dxa"/>
            <w:noWrap/>
            <w:hideMark/>
          </w:tcPr>
          <w:p w14:paraId="53E758CC"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0.6</w:t>
            </w:r>
          </w:p>
        </w:tc>
        <w:tc>
          <w:tcPr>
            <w:tcW w:w="1680" w:type="dxa"/>
            <w:noWrap/>
            <w:hideMark/>
          </w:tcPr>
          <w:p w14:paraId="6D4671A8"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1.31</w:t>
            </w:r>
          </w:p>
        </w:tc>
        <w:tc>
          <w:tcPr>
            <w:tcW w:w="1260" w:type="dxa"/>
            <w:noWrap/>
            <w:hideMark/>
          </w:tcPr>
          <w:p w14:paraId="42833B48"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0.002258021</w:t>
            </w:r>
          </w:p>
        </w:tc>
        <w:tc>
          <w:tcPr>
            <w:tcW w:w="960" w:type="dxa"/>
            <w:noWrap/>
            <w:hideMark/>
          </w:tcPr>
          <w:p w14:paraId="3F861FBC"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0.11289</w:t>
            </w:r>
          </w:p>
        </w:tc>
        <w:tc>
          <w:tcPr>
            <w:tcW w:w="960" w:type="dxa"/>
            <w:noWrap/>
            <w:hideMark/>
          </w:tcPr>
          <w:p w14:paraId="177C3C53"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81.18504</w:t>
            </w:r>
          </w:p>
        </w:tc>
      </w:tr>
      <w:tr w:rsidR="00230591" w:rsidRPr="00AD04DA" w14:paraId="2DD01930" w14:textId="77777777" w:rsidTr="00230591">
        <w:trPr>
          <w:trHeight w:val="300"/>
        </w:trPr>
        <w:tc>
          <w:tcPr>
            <w:tcW w:w="960" w:type="dxa"/>
            <w:noWrap/>
            <w:hideMark/>
          </w:tcPr>
          <w:p w14:paraId="1F7D150E"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1C9D6E9D"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5EA93D2C"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1D9CAD68"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1.0874</w:t>
            </w:r>
          </w:p>
        </w:tc>
        <w:tc>
          <w:tcPr>
            <w:tcW w:w="960" w:type="dxa"/>
            <w:noWrap/>
            <w:hideMark/>
          </w:tcPr>
          <w:p w14:paraId="1EB54241"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10.87</w:t>
            </w:r>
          </w:p>
        </w:tc>
        <w:tc>
          <w:tcPr>
            <w:tcW w:w="960" w:type="dxa"/>
            <w:noWrap/>
            <w:hideMark/>
          </w:tcPr>
          <w:p w14:paraId="2ABB786E"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10.87</w:t>
            </w:r>
          </w:p>
        </w:tc>
        <w:tc>
          <w:tcPr>
            <w:tcW w:w="960" w:type="dxa"/>
            <w:noWrap/>
            <w:hideMark/>
          </w:tcPr>
          <w:p w14:paraId="7507CC01"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0.6</w:t>
            </w:r>
          </w:p>
        </w:tc>
        <w:tc>
          <w:tcPr>
            <w:tcW w:w="1680" w:type="dxa"/>
            <w:noWrap/>
            <w:hideMark/>
          </w:tcPr>
          <w:p w14:paraId="472A3D78"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1.331</w:t>
            </w:r>
          </w:p>
        </w:tc>
        <w:tc>
          <w:tcPr>
            <w:tcW w:w="1260" w:type="dxa"/>
            <w:noWrap/>
            <w:hideMark/>
          </w:tcPr>
          <w:p w14:paraId="3A850F38"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0.002332653</w:t>
            </w:r>
          </w:p>
        </w:tc>
        <w:tc>
          <w:tcPr>
            <w:tcW w:w="960" w:type="dxa"/>
            <w:noWrap/>
            <w:hideMark/>
          </w:tcPr>
          <w:p w14:paraId="1DA59D08"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0.107258</w:t>
            </w:r>
          </w:p>
        </w:tc>
        <w:tc>
          <w:tcPr>
            <w:tcW w:w="960" w:type="dxa"/>
            <w:noWrap/>
            <w:hideMark/>
          </w:tcPr>
          <w:p w14:paraId="7585EC88"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82.12362</w:t>
            </w:r>
          </w:p>
        </w:tc>
      </w:tr>
      <w:tr w:rsidR="00230591" w:rsidRPr="00AD04DA" w14:paraId="10B5C20A" w14:textId="77777777" w:rsidTr="00230591">
        <w:trPr>
          <w:trHeight w:val="300"/>
        </w:trPr>
        <w:tc>
          <w:tcPr>
            <w:tcW w:w="960" w:type="dxa"/>
            <w:noWrap/>
            <w:hideMark/>
          </w:tcPr>
          <w:p w14:paraId="236322FA"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2D4190CF"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475D33AF"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8.9126</w:t>
            </w:r>
          </w:p>
        </w:tc>
        <w:tc>
          <w:tcPr>
            <w:tcW w:w="960" w:type="dxa"/>
            <w:noWrap/>
            <w:hideMark/>
          </w:tcPr>
          <w:p w14:paraId="5D949C49"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0.8391</w:t>
            </w:r>
          </w:p>
        </w:tc>
        <w:tc>
          <w:tcPr>
            <w:tcW w:w="960" w:type="dxa"/>
            <w:noWrap/>
            <w:hideMark/>
          </w:tcPr>
          <w:p w14:paraId="293C82F3"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8.39</w:t>
            </w:r>
          </w:p>
        </w:tc>
        <w:tc>
          <w:tcPr>
            <w:tcW w:w="960" w:type="dxa"/>
            <w:noWrap/>
            <w:hideMark/>
          </w:tcPr>
          <w:p w14:paraId="1178635F"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9.41</w:t>
            </w:r>
          </w:p>
        </w:tc>
        <w:tc>
          <w:tcPr>
            <w:tcW w:w="960" w:type="dxa"/>
            <w:noWrap/>
            <w:hideMark/>
          </w:tcPr>
          <w:p w14:paraId="5288E4BD"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0.6</w:t>
            </w:r>
          </w:p>
        </w:tc>
        <w:tc>
          <w:tcPr>
            <w:tcW w:w="1680" w:type="dxa"/>
            <w:noWrap/>
            <w:hideMark/>
          </w:tcPr>
          <w:p w14:paraId="68BC0D76"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0.973</w:t>
            </w:r>
          </w:p>
        </w:tc>
        <w:tc>
          <w:tcPr>
            <w:tcW w:w="1260" w:type="dxa"/>
            <w:noWrap/>
            <w:hideMark/>
          </w:tcPr>
          <w:p w14:paraId="115D49CD"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0.00122821</w:t>
            </w:r>
          </w:p>
        </w:tc>
        <w:tc>
          <w:tcPr>
            <w:tcW w:w="960" w:type="dxa"/>
            <w:noWrap/>
            <w:hideMark/>
          </w:tcPr>
          <w:p w14:paraId="42E50075"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0.073186</w:t>
            </w:r>
          </w:p>
        </w:tc>
        <w:tc>
          <w:tcPr>
            <w:tcW w:w="960" w:type="dxa"/>
            <w:noWrap/>
            <w:hideMark/>
          </w:tcPr>
          <w:p w14:paraId="664F712D"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87.80231</w:t>
            </w:r>
          </w:p>
        </w:tc>
      </w:tr>
      <w:tr w:rsidR="00230591" w:rsidRPr="00AD04DA" w14:paraId="30F66EC9" w14:textId="77777777" w:rsidTr="00230591">
        <w:trPr>
          <w:trHeight w:val="300"/>
        </w:trPr>
        <w:tc>
          <w:tcPr>
            <w:tcW w:w="960" w:type="dxa"/>
            <w:noWrap/>
            <w:hideMark/>
          </w:tcPr>
          <w:p w14:paraId="27E1A252"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161CEF78"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6F1B939A"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8.0735</w:t>
            </w:r>
          </w:p>
        </w:tc>
        <w:tc>
          <w:tcPr>
            <w:tcW w:w="960" w:type="dxa"/>
            <w:noWrap/>
            <w:hideMark/>
          </w:tcPr>
          <w:p w14:paraId="0FFA5FF4"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1.2456</w:t>
            </w:r>
          </w:p>
        </w:tc>
        <w:tc>
          <w:tcPr>
            <w:tcW w:w="960" w:type="dxa"/>
            <w:noWrap/>
            <w:hideMark/>
          </w:tcPr>
          <w:p w14:paraId="133FC16D"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12.46</w:t>
            </w:r>
          </w:p>
        </w:tc>
        <w:tc>
          <w:tcPr>
            <w:tcW w:w="960" w:type="dxa"/>
            <w:noWrap/>
            <w:hideMark/>
          </w:tcPr>
          <w:p w14:paraId="0FEC2567"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15.43</w:t>
            </w:r>
          </w:p>
        </w:tc>
        <w:tc>
          <w:tcPr>
            <w:tcW w:w="960" w:type="dxa"/>
            <w:noWrap/>
            <w:hideMark/>
          </w:tcPr>
          <w:p w14:paraId="716399BC"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0.6</w:t>
            </w:r>
          </w:p>
        </w:tc>
        <w:tc>
          <w:tcPr>
            <w:tcW w:w="1680" w:type="dxa"/>
            <w:noWrap/>
            <w:hideMark/>
          </w:tcPr>
          <w:p w14:paraId="150DBFC7"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1.364</w:t>
            </w:r>
          </w:p>
        </w:tc>
        <w:tc>
          <w:tcPr>
            <w:tcW w:w="1260" w:type="dxa"/>
            <w:noWrap/>
            <w:hideMark/>
          </w:tcPr>
          <w:p w14:paraId="4B830025"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0.002452439</w:t>
            </w:r>
          </w:p>
        </w:tc>
        <w:tc>
          <w:tcPr>
            <w:tcW w:w="960" w:type="dxa"/>
            <w:noWrap/>
            <w:hideMark/>
          </w:tcPr>
          <w:p w14:paraId="7BA976E3"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0.098444</w:t>
            </w:r>
          </w:p>
        </w:tc>
        <w:tc>
          <w:tcPr>
            <w:tcW w:w="960" w:type="dxa"/>
            <w:noWrap/>
            <w:hideMark/>
          </w:tcPr>
          <w:p w14:paraId="2F42CE70"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83.59265</w:t>
            </w:r>
          </w:p>
        </w:tc>
      </w:tr>
      <w:tr w:rsidR="00230591" w:rsidRPr="00AD04DA" w14:paraId="35D93EDC" w14:textId="77777777" w:rsidTr="00230591">
        <w:trPr>
          <w:trHeight w:val="300"/>
        </w:trPr>
        <w:tc>
          <w:tcPr>
            <w:tcW w:w="960" w:type="dxa"/>
            <w:noWrap/>
            <w:hideMark/>
          </w:tcPr>
          <w:p w14:paraId="7904F586"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4E4C1415"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57AB53F3"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62C087D0"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0.9569</w:t>
            </w:r>
          </w:p>
        </w:tc>
        <w:tc>
          <w:tcPr>
            <w:tcW w:w="960" w:type="dxa"/>
            <w:noWrap/>
            <w:hideMark/>
          </w:tcPr>
          <w:p w14:paraId="0F271E0B"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9.57</w:t>
            </w:r>
          </w:p>
        </w:tc>
        <w:tc>
          <w:tcPr>
            <w:tcW w:w="960" w:type="dxa"/>
            <w:noWrap/>
            <w:hideMark/>
          </w:tcPr>
          <w:p w14:paraId="6AB8398D"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9.57</w:t>
            </w:r>
          </w:p>
        </w:tc>
        <w:tc>
          <w:tcPr>
            <w:tcW w:w="960" w:type="dxa"/>
            <w:noWrap/>
            <w:hideMark/>
          </w:tcPr>
          <w:p w14:paraId="3884C0D9"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0.6</w:t>
            </w:r>
          </w:p>
        </w:tc>
        <w:tc>
          <w:tcPr>
            <w:tcW w:w="1680" w:type="dxa"/>
            <w:noWrap/>
            <w:hideMark/>
          </w:tcPr>
          <w:p w14:paraId="57E70A84"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1.361</w:t>
            </w:r>
          </w:p>
        </w:tc>
        <w:tc>
          <w:tcPr>
            <w:tcW w:w="1260" w:type="dxa"/>
            <w:noWrap/>
            <w:hideMark/>
          </w:tcPr>
          <w:p w14:paraId="558B40F2"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0.002441423</w:t>
            </w:r>
          </w:p>
        </w:tc>
        <w:tc>
          <w:tcPr>
            <w:tcW w:w="960" w:type="dxa"/>
            <w:noWrap/>
            <w:hideMark/>
          </w:tcPr>
          <w:p w14:paraId="5A475955"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0.127569</w:t>
            </w:r>
          </w:p>
        </w:tc>
        <w:tc>
          <w:tcPr>
            <w:tcW w:w="960" w:type="dxa"/>
            <w:noWrap/>
            <w:hideMark/>
          </w:tcPr>
          <w:p w14:paraId="7E3AEE69"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78.73843</w:t>
            </w:r>
          </w:p>
        </w:tc>
      </w:tr>
      <w:tr w:rsidR="00230591" w:rsidRPr="00AD04DA" w14:paraId="33AA1FEA" w14:textId="77777777" w:rsidTr="00230591">
        <w:trPr>
          <w:trHeight w:val="300"/>
        </w:trPr>
        <w:tc>
          <w:tcPr>
            <w:tcW w:w="960" w:type="dxa"/>
            <w:noWrap/>
            <w:hideMark/>
          </w:tcPr>
          <w:p w14:paraId="6A4D5C8E"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34E49D3C"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4170E4FB"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9.0431</w:t>
            </w:r>
          </w:p>
        </w:tc>
        <w:tc>
          <w:tcPr>
            <w:tcW w:w="960" w:type="dxa"/>
            <w:noWrap/>
            <w:hideMark/>
          </w:tcPr>
          <w:p w14:paraId="230D5763"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0.9736</w:t>
            </w:r>
          </w:p>
        </w:tc>
        <w:tc>
          <w:tcPr>
            <w:tcW w:w="960" w:type="dxa"/>
            <w:noWrap/>
            <w:hideMark/>
          </w:tcPr>
          <w:p w14:paraId="51DE4183"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9.74</w:t>
            </w:r>
          </w:p>
        </w:tc>
        <w:tc>
          <w:tcPr>
            <w:tcW w:w="960" w:type="dxa"/>
            <w:noWrap/>
            <w:hideMark/>
          </w:tcPr>
          <w:p w14:paraId="5684228B"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10.77</w:t>
            </w:r>
          </w:p>
        </w:tc>
        <w:tc>
          <w:tcPr>
            <w:tcW w:w="960" w:type="dxa"/>
            <w:noWrap/>
            <w:hideMark/>
          </w:tcPr>
          <w:p w14:paraId="262E142D"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0.6</w:t>
            </w:r>
          </w:p>
        </w:tc>
        <w:tc>
          <w:tcPr>
            <w:tcW w:w="1680" w:type="dxa"/>
            <w:noWrap/>
            <w:hideMark/>
          </w:tcPr>
          <w:p w14:paraId="50C8C87B"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1.172</w:t>
            </w:r>
          </w:p>
        </w:tc>
        <w:tc>
          <w:tcPr>
            <w:tcW w:w="1260" w:type="dxa"/>
            <w:noWrap/>
            <w:hideMark/>
          </w:tcPr>
          <w:p w14:paraId="41BFF11F"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0.001798372</w:t>
            </w:r>
          </w:p>
        </w:tc>
        <w:tc>
          <w:tcPr>
            <w:tcW w:w="960" w:type="dxa"/>
            <w:noWrap/>
            <w:hideMark/>
          </w:tcPr>
          <w:p w14:paraId="7B921550"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0.092357</w:t>
            </w:r>
          </w:p>
        </w:tc>
        <w:tc>
          <w:tcPr>
            <w:tcW w:w="960" w:type="dxa"/>
            <w:noWrap/>
            <w:hideMark/>
          </w:tcPr>
          <w:p w14:paraId="2E48A336"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84.60719</w:t>
            </w:r>
          </w:p>
        </w:tc>
      </w:tr>
      <w:tr w:rsidR="00230591" w:rsidRPr="00AD04DA" w14:paraId="313C44B9" w14:textId="77777777" w:rsidTr="00230591">
        <w:trPr>
          <w:trHeight w:val="300"/>
        </w:trPr>
        <w:tc>
          <w:tcPr>
            <w:tcW w:w="960" w:type="dxa"/>
            <w:noWrap/>
            <w:hideMark/>
          </w:tcPr>
          <w:p w14:paraId="209730EC"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633C8A33"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248EB6C6"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8.0695</w:t>
            </w:r>
          </w:p>
        </w:tc>
        <w:tc>
          <w:tcPr>
            <w:tcW w:w="960" w:type="dxa"/>
            <w:noWrap/>
            <w:hideMark/>
          </w:tcPr>
          <w:p w14:paraId="12068128"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1.0738</w:t>
            </w:r>
          </w:p>
        </w:tc>
        <w:tc>
          <w:tcPr>
            <w:tcW w:w="960" w:type="dxa"/>
            <w:noWrap/>
            <w:hideMark/>
          </w:tcPr>
          <w:p w14:paraId="1E9589FD"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10.74</w:t>
            </w:r>
          </w:p>
        </w:tc>
        <w:tc>
          <w:tcPr>
            <w:tcW w:w="960" w:type="dxa"/>
            <w:noWrap/>
            <w:hideMark/>
          </w:tcPr>
          <w:p w14:paraId="69DB7A10"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13.31</w:t>
            </w:r>
          </w:p>
        </w:tc>
        <w:tc>
          <w:tcPr>
            <w:tcW w:w="960" w:type="dxa"/>
            <w:noWrap/>
            <w:hideMark/>
          </w:tcPr>
          <w:p w14:paraId="23E698C6"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0.6</w:t>
            </w:r>
          </w:p>
        </w:tc>
        <w:tc>
          <w:tcPr>
            <w:tcW w:w="1680" w:type="dxa"/>
            <w:noWrap/>
            <w:hideMark/>
          </w:tcPr>
          <w:p w14:paraId="607F990D"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1.302</w:t>
            </w:r>
          </w:p>
        </w:tc>
        <w:tc>
          <w:tcPr>
            <w:tcW w:w="1260" w:type="dxa"/>
            <w:noWrap/>
            <w:hideMark/>
          </w:tcPr>
          <w:p w14:paraId="1A1F7F9C"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0.002229916</w:t>
            </w:r>
          </w:p>
        </w:tc>
        <w:tc>
          <w:tcPr>
            <w:tcW w:w="960" w:type="dxa"/>
            <w:noWrap/>
            <w:hideMark/>
          </w:tcPr>
          <w:p w14:paraId="456F4F20"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0.103833</w:t>
            </w:r>
          </w:p>
        </w:tc>
        <w:tc>
          <w:tcPr>
            <w:tcW w:w="960" w:type="dxa"/>
            <w:noWrap/>
            <w:hideMark/>
          </w:tcPr>
          <w:p w14:paraId="5A3B5517" w14:textId="77777777" w:rsidR="00230591" w:rsidRPr="00153D07" w:rsidRDefault="00230591" w:rsidP="004D6AEE">
            <w:pPr>
              <w:jc w:val="center"/>
              <w:rPr>
                <w:rFonts w:ascii="Times New Roman" w:hAnsi="Times New Roman" w:cs="Times New Roman"/>
                <w:sz w:val="20"/>
                <w:szCs w:val="20"/>
              </w:rPr>
            </w:pPr>
            <w:r w:rsidRPr="00153D07">
              <w:rPr>
                <w:rFonts w:ascii="Times New Roman" w:hAnsi="Times New Roman" w:cs="Times New Roman"/>
                <w:sz w:val="20"/>
                <w:szCs w:val="20"/>
              </w:rPr>
              <w:t>82.69451</w:t>
            </w:r>
          </w:p>
        </w:tc>
      </w:tr>
    </w:tbl>
    <w:p w14:paraId="1F182F5C" w14:textId="7DDD9F71" w:rsidR="00E00185" w:rsidRPr="00AD04DA" w:rsidRDefault="00E00185" w:rsidP="00B02CBC">
      <w:pPr>
        <w:spacing w:line="480" w:lineRule="auto"/>
        <w:jc w:val="center"/>
        <w:rPr>
          <w:rFonts w:ascii="Times New Roman" w:hAnsi="Times New Roman" w:cs="Times New Roman"/>
          <w:sz w:val="24"/>
          <w:szCs w:val="24"/>
        </w:rPr>
      </w:pPr>
    </w:p>
    <w:p w14:paraId="3A3A9D46" w14:textId="11B1A80B" w:rsidR="00E00185" w:rsidRPr="00AD04DA" w:rsidRDefault="00E00185"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A9</w:t>
      </w:r>
      <w:r w:rsidRPr="00AD04DA">
        <w:rPr>
          <w:rFonts w:ascii="Times New Roman" w:hAnsi="Times New Roman" w:cs="Times New Roman"/>
          <w:sz w:val="24"/>
          <w:szCs w:val="24"/>
        </w:rPr>
        <w:t>: Dilution Data for DA ICP-MS Measurements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238"/>
        <w:gridCol w:w="875"/>
        <w:gridCol w:w="976"/>
        <w:gridCol w:w="1124"/>
        <w:gridCol w:w="891"/>
        <w:gridCol w:w="875"/>
        <w:gridCol w:w="775"/>
        <w:gridCol w:w="1030"/>
        <w:gridCol w:w="791"/>
        <w:gridCol w:w="775"/>
      </w:tblGrid>
      <w:tr w:rsidR="00171BD1" w:rsidRPr="00AD04DA" w14:paraId="66DC3808" w14:textId="77777777" w:rsidTr="00171BD1">
        <w:trPr>
          <w:trHeight w:val="300"/>
        </w:trPr>
        <w:tc>
          <w:tcPr>
            <w:tcW w:w="1243" w:type="dxa"/>
            <w:tcBorders>
              <w:top w:val="single" w:sz="4" w:space="0" w:color="auto"/>
              <w:bottom w:val="nil"/>
              <w:right w:val="single" w:sz="4" w:space="0" w:color="auto"/>
            </w:tcBorders>
            <w:noWrap/>
            <w:hideMark/>
          </w:tcPr>
          <w:p w14:paraId="5BD50F14"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Sample</w:t>
            </w:r>
          </w:p>
        </w:tc>
        <w:tc>
          <w:tcPr>
            <w:tcW w:w="878" w:type="dxa"/>
            <w:tcBorders>
              <w:top w:val="single" w:sz="4" w:space="0" w:color="auto"/>
              <w:left w:val="single" w:sz="4" w:space="0" w:color="auto"/>
              <w:bottom w:val="nil"/>
            </w:tcBorders>
            <w:noWrap/>
            <w:hideMark/>
          </w:tcPr>
          <w:p w14:paraId="17B05E17"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DA S1C1 Se04</w:t>
            </w:r>
          </w:p>
        </w:tc>
        <w:tc>
          <w:tcPr>
            <w:tcW w:w="979" w:type="dxa"/>
            <w:tcBorders>
              <w:top w:val="single" w:sz="4" w:space="0" w:color="auto"/>
              <w:bottom w:val="nil"/>
            </w:tcBorders>
            <w:noWrap/>
            <w:hideMark/>
          </w:tcPr>
          <w:p w14:paraId="64165A71" w14:textId="40A5C509"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DA S2C1 SeO4</w:t>
            </w:r>
          </w:p>
        </w:tc>
        <w:tc>
          <w:tcPr>
            <w:tcW w:w="1098" w:type="dxa"/>
            <w:tcBorders>
              <w:top w:val="single" w:sz="4" w:space="0" w:color="auto"/>
              <w:bottom w:val="nil"/>
            </w:tcBorders>
            <w:noWrap/>
            <w:hideMark/>
          </w:tcPr>
          <w:p w14:paraId="489882D5"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DA S3C1SeO4</w:t>
            </w:r>
          </w:p>
        </w:tc>
        <w:tc>
          <w:tcPr>
            <w:tcW w:w="894" w:type="dxa"/>
            <w:tcBorders>
              <w:top w:val="single" w:sz="4" w:space="0" w:color="auto"/>
              <w:bottom w:val="nil"/>
            </w:tcBorders>
            <w:noWrap/>
            <w:hideMark/>
          </w:tcPr>
          <w:p w14:paraId="1DE000CB"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DA S1C2 SeO4</w:t>
            </w:r>
          </w:p>
        </w:tc>
        <w:tc>
          <w:tcPr>
            <w:tcW w:w="878" w:type="dxa"/>
            <w:tcBorders>
              <w:top w:val="single" w:sz="4" w:space="0" w:color="auto"/>
              <w:bottom w:val="nil"/>
            </w:tcBorders>
            <w:noWrap/>
            <w:hideMark/>
          </w:tcPr>
          <w:p w14:paraId="358B364D"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DA S2C2 SeO4</w:t>
            </w:r>
          </w:p>
        </w:tc>
        <w:tc>
          <w:tcPr>
            <w:tcW w:w="777" w:type="dxa"/>
            <w:tcBorders>
              <w:top w:val="single" w:sz="4" w:space="0" w:color="auto"/>
              <w:bottom w:val="nil"/>
            </w:tcBorders>
            <w:noWrap/>
            <w:hideMark/>
          </w:tcPr>
          <w:p w14:paraId="38AEF78C"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DA S3 C2 SeO4</w:t>
            </w:r>
          </w:p>
        </w:tc>
        <w:tc>
          <w:tcPr>
            <w:tcW w:w="1033" w:type="dxa"/>
            <w:tcBorders>
              <w:top w:val="single" w:sz="4" w:space="0" w:color="auto"/>
              <w:bottom w:val="nil"/>
            </w:tcBorders>
            <w:noWrap/>
            <w:hideMark/>
          </w:tcPr>
          <w:p w14:paraId="2B5B8BF4"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DA S1C3 SeO4</w:t>
            </w:r>
          </w:p>
        </w:tc>
        <w:tc>
          <w:tcPr>
            <w:tcW w:w="793" w:type="dxa"/>
            <w:tcBorders>
              <w:top w:val="single" w:sz="4" w:space="0" w:color="auto"/>
              <w:bottom w:val="nil"/>
            </w:tcBorders>
            <w:noWrap/>
            <w:hideMark/>
          </w:tcPr>
          <w:p w14:paraId="7214DE2A"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DA S2C3 SeO4</w:t>
            </w:r>
          </w:p>
        </w:tc>
        <w:tc>
          <w:tcPr>
            <w:tcW w:w="777" w:type="dxa"/>
            <w:tcBorders>
              <w:top w:val="single" w:sz="4" w:space="0" w:color="auto"/>
              <w:bottom w:val="nil"/>
            </w:tcBorders>
            <w:noWrap/>
            <w:hideMark/>
          </w:tcPr>
          <w:p w14:paraId="259BD8E3"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DA S3C3 SeO4</w:t>
            </w:r>
          </w:p>
        </w:tc>
      </w:tr>
      <w:tr w:rsidR="00171BD1" w:rsidRPr="00AD04DA" w14:paraId="692F4C7C" w14:textId="77777777" w:rsidTr="00171BD1">
        <w:trPr>
          <w:trHeight w:val="300"/>
        </w:trPr>
        <w:tc>
          <w:tcPr>
            <w:tcW w:w="1243" w:type="dxa"/>
            <w:tcBorders>
              <w:top w:val="nil"/>
              <w:bottom w:val="single" w:sz="4" w:space="0" w:color="auto"/>
              <w:right w:val="single" w:sz="4" w:space="0" w:color="auto"/>
            </w:tcBorders>
            <w:noWrap/>
            <w:hideMark/>
          </w:tcPr>
          <w:p w14:paraId="295E7442"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Estimated Max conc (ppm)</w:t>
            </w:r>
          </w:p>
        </w:tc>
        <w:tc>
          <w:tcPr>
            <w:tcW w:w="878" w:type="dxa"/>
            <w:tcBorders>
              <w:top w:val="nil"/>
              <w:left w:val="single" w:sz="4" w:space="0" w:color="auto"/>
              <w:bottom w:val="single" w:sz="4" w:space="0" w:color="auto"/>
            </w:tcBorders>
            <w:noWrap/>
            <w:hideMark/>
          </w:tcPr>
          <w:p w14:paraId="279ECA4A"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79" w:type="dxa"/>
            <w:tcBorders>
              <w:top w:val="nil"/>
              <w:bottom w:val="single" w:sz="4" w:space="0" w:color="auto"/>
            </w:tcBorders>
            <w:noWrap/>
            <w:hideMark/>
          </w:tcPr>
          <w:p w14:paraId="11C34936"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1098" w:type="dxa"/>
            <w:tcBorders>
              <w:top w:val="nil"/>
              <w:bottom w:val="single" w:sz="4" w:space="0" w:color="auto"/>
            </w:tcBorders>
            <w:noWrap/>
            <w:hideMark/>
          </w:tcPr>
          <w:p w14:paraId="0BDC454F"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894" w:type="dxa"/>
            <w:tcBorders>
              <w:top w:val="nil"/>
              <w:bottom w:val="single" w:sz="4" w:space="0" w:color="auto"/>
            </w:tcBorders>
            <w:noWrap/>
            <w:hideMark/>
          </w:tcPr>
          <w:p w14:paraId="1C5B8D04"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878" w:type="dxa"/>
            <w:tcBorders>
              <w:top w:val="nil"/>
              <w:bottom w:val="single" w:sz="4" w:space="0" w:color="auto"/>
            </w:tcBorders>
            <w:noWrap/>
            <w:hideMark/>
          </w:tcPr>
          <w:p w14:paraId="7F3D9775"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777" w:type="dxa"/>
            <w:tcBorders>
              <w:top w:val="nil"/>
              <w:bottom w:val="single" w:sz="4" w:space="0" w:color="auto"/>
            </w:tcBorders>
            <w:noWrap/>
            <w:hideMark/>
          </w:tcPr>
          <w:p w14:paraId="78E86EDE"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1033" w:type="dxa"/>
            <w:tcBorders>
              <w:top w:val="nil"/>
              <w:bottom w:val="single" w:sz="4" w:space="0" w:color="auto"/>
            </w:tcBorders>
            <w:noWrap/>
            <w:hideMark/>
          </w:tcPr>
          <w:p w14:paraId="07F23529"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793" w:type="dxa"/>
            <w:tcBorders>
              <w:top w:val="nil"/>
              <w:bottom w:val="single" w:sz="4" w:space="0" w:color="auto"/>
            </w:tcBorders>
            <w:noWrap/>
            <w:hideMark/>
          </w:tcPr>
          <w:p w14:paraId="71EE18C5"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777" w:type="dxa"/>
            <w:tcBorders>
              <w:top w:val="nil"/>
              <w:bottom w:val="single" w:sz="4" w:space="0" w:color="auto"/>
            </w:tcBorders>
            <w:noWrap/>
            <w:hideMark/>
          </w:tcPr>
          <w:p w14:paraId="56392438"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r>
      <w:tr w:rsidR="00171BD1" w:rsidRPr="00AD04DA" w14:paraId="52D13A15" w14:textId="77777777" w:rsidTr="00171BD1">
        <w:trPr>
          <w:trHeight w:val="300"/>
        </w:trPr>
        <w:tc>
          <w:tcPr>
            <w:tcW w:w="1243" w:type="dxa"/>
            <w:tcBorders>
              <w:top w:val="single" w:sz="4" w:space="0" w:color="auto"/>
              <w:bottom w:val="nil"/>
              <w:right w:val="single" w:sz="4" w:space="0" w:color="auto"/>
            </w:tcBorders>
            <w:noWrap/>
            <w:hideMark/>
          </w:tcPr>
          <w:p w14:paraId="56963093"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Estimated Starting Vol (mL)</w:t>
            </w:r>
          </w:p>
        </w:tc>
        <w:tc>
          <w:tcPr>
            <w:tcW w:w="878" w:type="dxa"/>
            <w:tcBorders>
              <w:top w:val="single" w:sz="4" w:space="0" w:color="auto"/>
              <w:left w:val="single" w:sz="4" w:space="0" w:color="auto"/>
            </w:tcBorders>
            <w:noWrap/>
            <w:hideMark/>
          </w:tcPr>
          <w:p w14:paraId="5AD25716"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0.107</w:t>
            </w:r>
          </w:p>
        </w:tc>
        <w:tc>
          <w:tcPr>
            <w:tcW w:w="979" w:type="dxa"/>
            <w:tcBorders>
              <w:top w:val="single" w:sz="4" w:space="0" w:color="auto"/>
            </w:tcBorders>
            <w:noWrap/>
            <w:hideMark/>
          </w:tcPr>
          <w:p w14:paraId="5263BF1B"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0.0623</w:t>
            </w:r>
          </w:p>
        </w:tc>
        <w:tc>
          <w:tcPr>
            <w:tcW w:w="1098" w:type="dxa"/>
            <w:tcBorders>
              <w:top w:val="single" w:sz="4" w:space="0" w:color="auto"/>
            </w:tcBorders>
            <w:noWrap/>
            <w:hideMark/>
          </w:tcPr>
          <w:p w14:paraId="57A76006"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0.1558</w:t>
            </w:r>
          </w:p>
        </w:tc>
        <w:tc>
          <w:tcPr>
            <w:tcW w:w="894" w:type="dxa"/>
            <w:tcBorders>
              <w:top w:val="single" w:sz="4" w:space="0" w:color="auto"/>
            </w:tcBorders>
            <w:noWrap/>
            <w:hideMark/>
          </w:tcPr>
          <w:p w14:paraId="4B1BB1A0"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0.0926</w:t>
            </w:r>
          </w:p>
        </w:tc>
        <w:tc>
          <w:tcPr>
            <w:tcW w:w="878" w:type="dxa"/>
            <w:tcBorders>
              <w:top w:val="single" w:sz="4" w:space="0" w:color="auto"/>
            </w:tcBorders>
            <w:noWrap/>
            <w:hideMark/>
          </w:tcPr>
          <w:p w14:paraId="007A331A"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0.0246</w:t>
            </w:r>
          </w:p>
        </w:tc>
        <w:tc>
          <w:tcPr>
            <w:tcW w:w="777" w:type="dxa"/>
            <w:tcBorders>
              <w:top w:val="single" w:sz="4" w:space="0" w:color="auto"/>
            </w:tcBorders>
            <w:noWrap/>
            <w:hideMark/>
          </w:tcPr>
          <w:p w14:paraId="6B07161A"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0.0866</w:t>
            </w:r>
          </w:p>
        </w:tc>
        <w:tc>
          <w:tcPr>
            <w:tcW w:w="1033" w:type="dxa"/>
            <w:tcBorders>
              <w:top w:val="single" w:sz="4" w:space="0" w:color="auto"/>
            </w:tcBorders>
            <w:noWrap/>
            <w:hideMark/>
          </w:tcPr>
          <w:p w14:paraId="09E7E35A"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0.0451</w:t>
            </w:r>
          </w:p>
        </w:tc>
        <w:tc>
          <w:tcPr>
            <w:tcW w:w="793" w:type="dxa"/>
            <w:tcBorders>
              <w:top w:val="single" w:sz="4" w:space="0" w:color="auto"/>
            </w:tcBorders>
            <w:noWrap/>
            <w:hideMark/>
          </w:tcPr>
          <w:p w14:paraId="2009B51C"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0.0759</w:t>
            </w:r>
          </w:p>
        </w:tc>
        <w:tc>
          <w:tcPr>
            <w:tcW w:w="777" w:type="dxa"/>
            <w:tcBorders>
              <w:top w:val="single" w:sz="4" w:space="0" w:color="auto"/>
            </w:tcBorders>
            <w:noWrap/>
            <w:hideMark/>
          </w:tcPr>
          <w:p w14:paraId="2F75BC9A"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0.0546</w:t>
            </w:r>
          </w:p>
        </w:tc>
      </w:tr>
      <w:tr w:rsidR="005C10B1" w:rsidRPr="00AD04DA" w14:paraId="2BECB6E5" w14:textId="77777777" w:rsidTr="00171BD1">
        <w:trPr>
          <w:trHeight w:val="300"/>
        </w:trPr>
        <w:tc>
          <w:tcPr>
            <w:tcW w:w="1243" w:type="dxa"/>
            <w:tcBorders>
              <w:top w:val="nil"/>
              <w:bottom w:val="nil"/>
              <w:right w:val="single" w:sz="4" w:space="0" w:color="auto"/>
            </w:tcBorders>
            <w:noWrap/>
            <w:hideMark/>
          </w:tcPr>
          <w:p w14:paraId="3FAE252D"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Vol Diluent Added</w:t>
            </w:r>
          </w:p>
        </w:tc>
        <w:tc>
          <w:tcPr>
            <w:tcW w:w="878" w:type="dxa"/>
            <w:tcBorders>
              <w:left w:val="single" w:sz="4" w:space="0" w:color="auto"/>
            </w:tcBorders>
            <w:noWrap/>
            <w:hideMark/>
          </w:tcPr>
          <w:p w14:paraId="16D4F841"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2.030</w:t>
            </w:r>
          </w:p>
        </w:tc>
        <w:tc>
          <w:tcPr>
            <w:tcW w:w="979" w:type="dxa"/>
            <w:noWrap/>
            <w:hideMark/>
          </w:tcPr>
          <w:p w14:paraId="0344A557"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1.185</w:t>
            </w:r>
          </w:p>
        </w:tc>
        <w:tc>
          <w:tcPr>
            <w:tcW w:w="1098" w:type="dxa"/>
            <w:noWrap/>
            <w:hideMark/>
          </w:tcPr>
          <w:p w14:paraId="7B87B845"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2.960</w:t>
            </w:r>
          </w:p>
        </w:tc>
        <w:tc>
          <w:tcPr>
            <w:tcW w:w="894" w:type="dxa"/>
            <w:noWrap/>
            <w:hideMark/>
          </w:tcPr>
          <w:p w14:paraId="20B51BB8"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1.760</w:t>
            </w:r>
          </w:p>
        </w:tc>
        <w:tc>
          <w:tcPr>
            <w:tcW w:w="878" w:type="dxa"/>
            <w:noWrap/>
            <w:hideMark/>
          </w:tcPr>
          <w:p w14:paraId="5EF51492"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4.800</w:t>
            </w:r>
          </w:p>
        </w:tc>
        <w:tc>
          <w:tcPr>
            <w:tcW w:w="777" w:type="dxa"/>
            <w:noWrap/>
            <w:hideMark/>
          </w:tcPr>
          <w:p w14:paraId="7B22FDC0"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6.580</w:t>
            </w:r>
          </w:p>
        </w:tc>
        <w:tc>
          <w:tcPr>
            <w:tcW w:w="1033" w:type="dxa"/>
            <w:noWrap/>
            <w:hideMark/>
          </w:tcPr>
          <w:p w14:paraId="086DB15B"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7.035</w:t>
            </w:r>
          </w:p>
        </w:tc>
        <w:tc>
          <w:tcPr>
            <w:tcW w:w="793" w:type="dxa"/>
            <w:noWrap/>
            <w:hideMark/>
          </w:tcPr>
          <w:p w14:paraId="7339943F"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1.442</w:t>
            </w:r>
          </w:p>
        </w:tc>
        <w:tc>
          <w:tcPr>
            <w:tcW w:w="777" w:type="dxa"/>
            <w:noWrap/>
            <w:hideMark/>
          </w:tcPr>
          <w:p w14:paraId="02F92AD4"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1.037</w:t>
            </w:r>
          </w:p>
        </w:tc>
      </w:tr>
      <w:tr w:rsidR="00171BD1" w:rsidRPr="00AD04DA" w14:paraId="39C6B6D3" w14:textId="77777777" w:rsidTr="00171BD1">
        <w:trPr>
          <w:trHeight w:val="300"/>
        </w:trPr>
        <w:tc>
          <w:tcPr>
            <w:tcW w:w="1243" w:type="dxa"/>
            <w:tcBorders>
              <w:top w:val="nil"/>
              <w:bottom w:val="single" w:sz="4" w:space="0" w:color="auto"/>
              <w:right w:val="single" w:sz="4" w:space="0" w:color="auto"/>
            </w:tcBorders>
            <w:noWrap/>
            <w:hideMark/>
          </w:tcPr>
          <w:p w14:paraId="29495A90" w14:textId="77777777" w:rsidR="00171BD1" w:rsidRPr="00153D07" w:rsidRDefault="00171BD1" w:rsidP="00171BD1">
            <w:pPr>
              <w:jc w:val="center"/>
              <w:rPr>
                <w:rFonts w:ascii="Times New Roman" w:hAnsi="Times New Roman" w:cs="Times New Roman"/>
                <w:b/>
                <w:bCs/>
                <w:sz w:val="20"/>
                <w:szCs w:val="20"/>
              </w:rPr>
            </w:pPr>
          </w:p>
        </w:tc>
        <w:tc>
          <w:tcPr>
            <w:tcW w:w="878" w:type="dxa"/>
            <w:tcBorders>
              <w:left w:val="single" w:sz="4" w:space="0" w:color="auto"/>
              <w:bottom w:val="single" w:sz="4" w:space="0" w:color="auto"/>
            </w:tcBorders>
            <w:noWrap/>
            <w:hideMark/>
          </w:tcPr>
          <w:p w14:paraId="7E241968" w14:textId="77777777" w:rsidR="00171BD1" w:rsidRPr="00153D07" w:rsidRDefault="00171BD1" w:rsidP="00171BD1">
            <w:pPr>
              <w:jc w:val="center"/>
              <w:rPr>
                <w:rFonts w:ascii="Times New Roman" w:hAnsi="Times New Roman" w:cs="Times New Roman"/>
                <w:sz w:val="20"/>
                <w:szCs w:val="20"/>
              </w:rPr>
            </w:pPr>
          </w:p>
        </w:tc>
        <w:tc>
          <w:tcPr>
            <w:tcW w:w="979" w:type="dxa"/>
            <w:tcBorders>
              <w:bottom w:val="single" w:sz="4" w:space="0" w:color="auto"/>
            </w:tcBorders>
            <w:noWrap/>
            <w:hideMark/>
          </w:tcPr>
          <w:p w14:paraId="49EF957B" w14:textId="77777777" w:rsidR="00171BD1" w:rsidRPr="00153D07" w:rsidRDefault="00171BD1" w:rsidP="00171BD1">
            <w:pPr>
              <w:jc w:val="center"/>
              <w:rPr>
                <w:rFonts w:ascii="Times New Roman" w:hAnsi="Times New Roman" w:cs="Times New Roman"/>
                <w:sz w:val="20"/>
                <w:szCs w:val="20"/>
              </w:rPr>
            </w:pPr>
          </w:p>
        </w:tc>
        <w:tc>
          <w:tcPr>
            <w:tcW w:w="1098" w:type="dxa"/>
            <w:tcBorders>
              <w:bottom w:val="single" w:sz="4" w:space="0" w:color="auto"/>
            </w:tcBorders>
            <w:noWrap/>
            <w:hideMark/>
          </w:tcPr>
          <w:p w14:paraId="07465C57" w14:textId="77777777" w:rsidR="00171BD1" w:rsidRPr="00153D07" w:rsidRDefault="00171BD1" w:rsidP="00171BD1">
            <w:pPr>
              <w:jc w:val="center"/>
              <w:rPr>
                <w:rFonts w:ascii="Times New Roman" w:hAnsi="Times New Roman" w:cs="Times New Roman"/>
                <w:sz w:val="20"/>
                <w:szCs w:val="20"/>
              </w:rPr>
            </w:pPr>
          </w:p>
        </w:tc>
        <w:tc>
          <w:tcPr>
            <w:tcW w:w="894" w:type="dxa"/>
            <w:tcBorders>
              <w:bottom w:val="single" w:sz="4" w:space="0" w:color="auto"/>
            </w:tcBorders>
            <w:noWrap/>
            <w:hideMark/>
          </w:tcPr>
          <w:p w14:paraId="3151221D" w14:textId="77777777" w:rsidR="00171BD1" w:rsidRPr="00153D07" w:rsidRDefault="00171BD1" w:rsidP="00171BD1">
            <w:pPr>
              <w:jc w:val="center"/>
              <w:rPr>
                <w:rFonts w:ascii="Times New Roman" w:hAnsi="Times New Roman" w:cs="Times New Roman"/>
                <w:sz w:val="20"/>
                <w:szCs w:val="20"/>
              </w:rPr>
            </w:pPr>
          </w:p>
        </w:tc>
        <w:tc>
          <w:tcPr>
            <w:tcW w:w="878" w:type="dxa"/>
            <w:tcBorders>
              <w:bottom w:val="single" w:sz="4" w:space="0" w:color="auto"/>
            </w:tcBorders>
            <w:noWrap/>
            <w:hideMark/>
          </w:tcPr>
          <w:p w14:paraId="10968855" w14:textId="77777777" w:rsidR="00171BD1" w:rsidRPr="00153D07" w:rsidRDefault="00171BD1" w:rsidP="00171BD1">
            <w:pPr>
              <w:jc w:val="center"/>
              <w:rPr>
                <w:rFonts w:ascii="Times New Roman" w:hAnsi="Times New Roman" w:cs="Times New Roman"/>
                <w:sz w:val="20"/>
                <w:szCs w:val="20"/>
              </w:rPr>
            </w:pPr>
          </w:p>
        </w:tc>
        <w:tc>
          <w:tcPr>
            <w:tcW w:w="777" w:type="dxa"/>
            <w:tcBorders>
              <w:bottom w:val="single" w:sz="4" w:space="0" w:color="auto"/>
            </w:tcBorders>
            <w:noWrap/>
            <w:hideMark/>
          </w:tcPr>
          <w:p w14:paraId="79F8D787" w14:textId="77777777" w:rsidR="00171BD1" w:rsidRPr="00153D07" w:rsidRDefault="00171BD1" w:rsidP="00171BD1">
            <w:pPr>
              <w:jc w:val="center"/>
              <w:rPr>
                <w:rFonts w:ascii="Times New Roman" w:hAnsi="Times New Roman" w:cs="Times New Roman"/>
                <w:sz w:val="20"/>
                <w:szCs w:val="20"/>
              </w:rPr>
            </w:pPr>
          </w:p>
        </w:tc>
        <w:tc>
          <w:tcPr>
            <w:tcW w:w="1033" w:type="dxa"/>
            <w:tcBorders>
              <w:bottom w:val="single" w:sz="4" w:space="0" w:color="auto"/>
            </w:tcBorders>
            <w:noWrap/>
            <w:hideMark/>
          </w:tcPr>
          <w:p w14:paraId="5A714E27" w14:textId="77777777" w:rsidR="00171BD1" w:rsidRPr="00153D07" w:rsidRDefault="00171BD1" w:rsidP="00171BD1">
            <w:pPr>
              <w:jc w:val="center"/>
              <w:rPr>
                <w:rFonts w:ascii="Times New Roman" w:hAnsi="Times New Roman" w:cs="Times New Roman"/>
                <w:sz w:val="20"/>
                <w:szCs w:val="20"/>
              </w:rPr>
            </w:pPr>
          </w:p>
        </w:tc>
        <w:tc>
          <w:tcPr>
            <w:tcW w:w="793" w:type="dxa"/>
            <w:tcBorders>
              <w:bottom w:val="single" w:sz="4" w:space="0" w:color="auto"/>
            </w:tcBorders>
            <w:noWrap/>
            <w:hideMark/>
          </w:tcPr>
          <w:p w14:paraId="47D00E9A" w14:textId="77777777" w:rsidR="00171BD1" w:rsidRPr="00153D07" w:rsidRDefault="00171BD1" w:rsidP="00171BD1">
            <w:pPr>
              <w:jc w:val="center"/>
              <w:rPr>
                <w:rFonts w:ascii="Times New Roman" w:hAnsi="Times New Roman" w:cs="Times New Roman"/>
                <w:sz w:val="20"/>
                <w:szCs w:val="20"/>
              </w:rPr>
            </w:pPr>
          </w:p>
        </w:tc>
        <w:tc>
          <w:tcPr>
            <w:tcW w:w="777" w:type="dxa"/>
            <w:tcBorders>
              <w:bottom w:val="single" w:sz="4" w:space="0" w:color="auto"/>
            </w:tcBorders>
            <w:noWrap/>
            <w:hideMark/>
          </w:tcPr>
          <w:p w14:paraId="13CCFB05" w14:textId="77777777" w:rsidR="00171BD1" w:rsidRPr="00153D07" w:rsidRDefault="00171BD1" w:rsidP="00171BD1">
            <w:pPr>
              <w:jc w:val="center"/>
              <w:rPr>
                <w:rFonts w:ascii="Times New Roman" w:hAnsi="Times New Roman" w:cs="Times New Roman"/>
                <w:sz w:val="20"/>
                <w:szCs w:val="20"/>
              </w:rPr>
            </w:pPr>
          </w:p>
        </w:tc>
      </w:tr>
      <w:tr w:rsidR="00171BD1" w:rsidRPr="00AD04DA" w14:paraId="5D96E320" w14:textId="77777777" w:rsidTr="00171BD1">
        <w:trPr>
          <w:trHeight w:val="300"/>
        </w:trPr>
        <w:tc>
          <w:tcPr>
            <w:tcW w:w="1243" w:type="dxa"/>
            <w:tcBorders>
              <w:top w:val="single" w:sz="4" w:space="0" w:color="auto"/>
              <w:bottom w:val="single" w:sz="4" w:space="0" w:color="auto"/>
              <w:right w:val="single" w:sz="4" w:space="0" w:color="auto"/>
            </w:tcBorders>
            <w:noWrap/>
            <w:hideMark/>
          </w:tcPr>
          <w:p w14:paraId="1760857C" w14:textId="77777777" w:rsidR="00171BD1" w:rsidRPr="00153D07" w:rsidRDefault="00171BD1" w:rsidP="00171BD1">
            <w:pPr>
              <w:jc w:val="center"/>
              <w:rPr>
                <w:rFonts w:ascii="Times New Roman" w:hAnsi="Times New Roman" w:cs="Times New Roman"/>
                <w:b/>
                <w:bCs/>
                <w:sz w:val="20"/>
                <w:szCs w:val="20"/>
              </w:rPr>
            </w:pPr>
            <w:proofErr w:type="spellStart"/>
            <w:r w:rsidRPr="00153D07">
              <w:rPr>
                <w:rFonts w:ascii="Times New Roman" w:hAnsi="Times New Roman" w:cs="Times New Roman"/>
                <w:b/>
                <w:bCs/>
                <w:sz w:val="20"/>
                <w:szCs w:val="20"/>
              </w:rPr>
              <w:t>vv</w:t>
            </w:r>
            <w:proofErr w:type="spellEnd"/>
            <w:r w:rsidRPr="00153D07">
              <w:rPr>
                <w:rFonts w:ascii="Times New Roman" w:hAnsi="Times New Roman" w:cs="Times New Roman"/>
                <w:b/>
                <w:bCs/>
                <w:sz w:val="20"/>
                <w:szCs w:val="20"/>
              </w:rPr>
              <w:t xml:space="preserve"> switched to </w:t>
            </w:r>
            <w:proofErr w:type="gramStart"/>
            <w:r w:rsidRPr="00153D07">
              <w:rPr>
                <w:rFonts w:ascii="Times New Roman" w:hAnsi="Times New Roman" w:cs="Times New Roman"/>
                <w:b/>
                <w:bCs/>
                <w:sz w:val="20"/>
                <w:szCs w:val="20"/>
              </w:rPr>
              <w:t>He</w:t>
            </w:r>
            <w:proofErr w:type="gramEnd"/>
            <w:r w:rsidRPr="00153D07">
              <w:rPr>
                <w:rFonts w:ascii="Times New Roman" w:hAnsi="Times New Roman" w:cs="Times New Roman"/>
                <w:b/>
                <w:bCs/>
                <w:sz w:val="20"/>
                <w:szCs w:val="20"/>
              </w:rPr>
              <w:t xml:space="preserve"> KED</w:t>
            </w:r>
          </w:p>
        </w:tc>
        <w:tc>
          <w:tcPr>
            <w:tcW w:w="878" w:type="dxa"/>
            <w:tcBorders>
              <w:top w:val="single" w:sz="4" w:space="0" w:color="auto"/>
              <w:left w:val="single" w:sz="4" w:space="0" w:color="auto"/>
              <w:bottom w:val="single" w:sz="4" w:space="0" w:color="auto"/>
            </w:tcBorders>
            <w:noWrap/>
            <w:hideMark/>
          </w:tcPr>
          <w:p w14:paraId="6CEDAECD" w14:textId="77777777" w:rsidR="00171BD1" w:rsidRPr="00153D07" w:rsidRDefault="00171BD1" w:rsidP="00171BD1">
            <w:pPr>
              <w:jc w:val="center"/>
              <w:rPr>
                <w:rFonts w:ascii="Times New Roman" w:hAnsi="Times New Roman" w:cs="Times New Roman"/>
                <w:sz w:val="20"/>
                <w:szCs w:val="20"/>
              </w:rPr>
            </w:pPr>
          </w:p>
        </w:tc>
        <w:tc>
          <w:tcPr>
            <w:tcW w:w="979" w:type="dxa"/>
            <w:tcBorders>
              <w:top w:val="single" w:sz="4" w:space="0" w:color="auto"/>
              <w:bottom w:val="single" w:sz="4" w:space="0" w:color="auto"/>
            </w:tcBorders>
            <w:noWrap/>
            <w:hideMark/>
          </w:tcPr>
          <w:p w14:paraId="7557D69F" w14:textId="77777777" w:rsidR="00171BD1" w:rsidRPr="00153D07" w:rsidRDefault="00171BD1" w:rsidP="00171BD1">
            <w:pPr>
              <w:jc w:val="center"/>
              <w:rPr>
                <w:rFonts w:ascii="Times New Roman" w:hAnsi="Times New Roman" w:cs="Times New Roman"/>
                <w:sz w:val="20"/>
                <w:szCs w:val="20"/>
              </w:rPr>
            </w:pPr>
          </w:p>
        </w:tc>
        <w:tc>
          <w:tcPr>
            <w:tcW w:w="1098" w:type="dxa"/>
            <w:tcBorders>
              <w:top w:val="single" w:sz="4" w:space="0" w:color="auto"/>
              <w:bottom w:val="single" w:sz="4" w:space="0" w:color="auto"/>
            </w:tcBorders>
            <w:noWrap/>
            <w:hideMark/>
          </w:tcPr>
          <w:p w14:paraId="45D17E2F" w14:textId="77777777" w:rsidR="00171BD1" w:rsidRPr="00153D07" w:rsidRDefault="00171BD1" w:rsidP="00171BD1">
            <w:pPr>
              <w:jc w:val="center"/>
              <w:rPr>
                <w:rFonts w:ascii="Times New Roman" w:hAnsi="Times New Roman" w:cs="Times New Roman"/>
                <w:sz w:val="20"/>
                <w:szCs w:val="20"/>
              </w:rPr>
            </w:pPr>
          </w:p>
        </w:tc>
        <w:tc>
          <w:tcPr>
            <w:tcW w:w="894" w:type="dxa"/>
            <w:tcBorders>
              <w:top w:val="single" w:sz="4" w:space="0" w:color="auto"/>
              <w:bottom w:val="single" w:sz="4" w:space="0" w:color="auto"/>
            </w:tcBorders>
            <w:noWrap/>
            <w:hideMark/>
          </w:tcPr>
          <w:p w14:paraId="10E2A49F" w14:textId="77777777" w:rsidR="00171BD1" w:rsidRPr="00153D07" w:rsidRDefault="00171BD1" w:rsidP="00171BD1">
            <w:pPr>
              <w:jc w:val="center"/>
              <w:rPr>
                <w:rFonts w:ascii="Times New Roman" w:hAnsi="Times New Roman" w:cs="Times New Roman"/>
                <w:sz w:val="20"/>
                <w:szCs w:val="20"/>
              </w:rPr>
            </w:pPr>
          </w:p>
        </w:tc>
        <w:tc>
          <w:tcPr>
            <w:tcW w:w="878" w:type="dxa"/>
            <w:tcBorders>
              <w:top w:val="single" w:sz="4" w:space="0" w:color="auto"/>
              <w:bottom w:val="single" w:sz="4" w:space="0" w:color="auto"/>
            </w:tcBorders>
            <w:noWrap/>
            <w:hideMark/>
          </w:tcPr>
          <w:p w14:paraId="61D22F8B" w14:textId="77777777" w:rsidR="00171BD1" w:rsidRPr="00153D07" w:rsidRDefault="00171BD1" w:rsidP="00171BD1">
            <w:pPr>
              <w:jc w:val="center"/>
              <w:rPr>
                <w:rFonts w:ascii="Times New Roman" w:hAnsi="Times New Roman" w:cs="Times New Roman"/>
                <w:sz w:val="20"/>
                <w:szCs w:val="20"/>
              </w:rPr>
            </w:pPr>
          </w:p>
        </w:tc>
        <w:tc>
          <w:tcPr>
            <w:tcW w:w="777" w:type="dxa"/>
            <w:tcBorders>
              <w:top w:val="single" w:sz="4" w:space="0" w:color="auto"/>
              <w:bottom w:val="single" w:sz="4" w:space="0" w:color="auto"/>
            </w:tcBorders>
            <w:noWrap/>
            <w:hideMark/>
          </w:tcPr>
          <w:p w14:paraId="5776C1C9" w14:textId="77777777" w:rsidR="00171BD1" w:rsidRPr="00153D07" w:rsidRDefault="00171BD1" w:rsidP="00171BD1">
            <w:pPr>
              <w:jc w:val="center"/>
              <w:rPr>
                <w:rFonts w:ascii="Times New Roman" w:hAnsi="Times New Roman" w:cs="Times New Roman"/>
                <w:sz w:val="20"/>
                <w:szCs w:val="20"/>
              </w:rPr>
            </w:pPr>
          </w:p>
        </w:tc>
        <w:tc>
          <w:tcPr>
            <w:tcW w:w="1033" w:type="dxa"/>
            <w:tcBorders>
              <w:top w:val="single" w:sz="4" w:space="0" w:color="auto"/>
              <w:bottom w:val="single" w:sz="4" w:space="0" w:color="auto"/>
            </w:tcBorders>
            <w:noWrap/>
            <w:hideMark/>
          </w:tcPr>
          <w:p w14:paraId="01F51124" w14:textId="77777777" w:rsidR="00171BD1" w:rsidRPr="00153D07" w:rsidRDefault="00171BD1" w:rsidP="00171BD1">
            <w:pPr>
              <w:jc w:val="center"/>
              <w:rPr>
                <w:rFonts w:ascii="Times New Roman" w:hAnsi="Times New Roman" w:cs="Times New Roman"/>
                <w:sz w:val="20"/>
                <w:szCs w:val="20"/>
              </w:rPr>
            </w:pPr>
          </w:p>
        </w:tc>
        <w:tc>
          <w:tcPr>
            <w:tcW w:w="793" w:type="dxa"/>
            <w:tcBorders>
              <w:top w:val="single" w:sz="4" w:space="0" w:color="auto"/>
              <w:bottom w:val="single" w:sz="4" w:space="0" w:color="auto"/>
            </w:tcBorders>
            <w:noWrap/>
            <w:hideMark/>
          </w:tcPr>
          <w:p w14:paraId="319F52BE" w14:textId="77777777" w:rsidR="00171BD1" w:rsidRPr="00153D07" w:rsidRDefault="00171BD1" w:rsidP="00171BD1">
            <w:pPr>
              <w:jc w:val="center"/>
              <w:rPr>
                <w:rFonts w:ascii="Times New Roman" w:hAnsi="Times New Roman" w:cs="Times New Roman"/>
                <w:sz w:val="20"/>
                <w:szCs w:val="20"/>
              </w:rPr>
            </w:pPr>
          </w:p>
        </w:tc>
        <w:tc>
          <w:tcPr>
            <w:tcW w:w="777" w:type="dxa"/>
            <w:tcBorders>
              <w:top w:val="single" w:sz="4" w:space="0" w:color="auto"/>
              <w:bottom w:val="single" w:sz="4" w:space="0" w:color="auto"/>
            </w:tcBorders>
            <w:noWrap/>
            <w:hideMark/>
          </w:tcPr>
          <w:p w14:paraId="48361380" w14:textId="77777777" w:rsidR="00171BD1" w:rsidRPr="00153D07" w:rsidRDefault="00171BD1" w:rsidP="00171BD1">
            <w:pPr>
              <w:jc w:val="center"/>
              <w:rPr>
                <w:rFonts w:ascii="Times New Roman" w:hAnsi="Times New Roman" w:cs="Times New Roman"/>
                <w:sz w:val="20"/>
                <w:szCs w:val="20"/>
              </w:rPr>
            </w:pPr>
          </w:p>
        </w:tc>
      </w:tr>
      <w:tr w:rsidR="005C10B1" w:rsidRPr="00AD04DA" w14:paraId="1AE24273" w14:textId="77777777" w:rsidTr="00171BD1">
        <w:trPr>
          <w:trHeight w:val="300"/>
        </w:trPr>
        <w:tc>
          <w:tcPr>
            <w:tcW w:w="1243" w:type="dxa"/>
            <w:tcBorders>
              <w:top w:val="single" w:sz="4" w:space="0" w:color="auto"/>
              <w:bottom w:val="single" w:sz="4" w:space="0" w:color="auto"/>
              <w:right w:val="single" w:sz="4" w:space="0" w:color="auto"/>
            </w:tcBorders>
            <w:noWrap/>
            <w:vAlign w:val="bottom"/>
            <w:hideMark/>
          </w:tcPr>
          <w:p w14:paraId="0094235D" w14:textId="0895262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color w:val="000000"/>
                <w:sz w:val="20"/>
                <w:szCs w:val="20"/>
              </w:rPr>
              <w:lastRenderedPageBreak/>
              <w:t>Sample</w:t>
            </w:r>
          </w:p>
        </w:tc>
        <w:tc>
          <w:tcPr>
            <w:tcW w:w="878" w:type="dxa"/>
            <w:tcBorders>
              <w:top w:val="single" w:sz="4" w:space="0" w:color="auto"/>
              <w:left w:val="single" w:sz="4" w:space="0" w:color="auto"/>
              <w:bottom w:val="single" w:sz="4" w:space="0" w:color="auto"/>
            </w:tcBorders>
            <w:noWrap/>
            <w:vAlign w:val="bottom"/>
            <w:hideMark/>
          </w:tcPr>
          <w:p w14:paraId="4E1D4701" w14:textId="1613AD15"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color w:val="000000"/>
                <w:sz w:val="20"/>
                <w:szCs w:val="20"/>
              </w:rPr>
              <w:t>DA S1C1 Se0</w:t>
            </w:r>
            <w:r w:rsidR="005C10B1" w:rsidRPr="00153D07">
              <w:rPr>
                <w:rFonts w:ascii="Times New Roman" w:hAnsi="Times New Roman" w:cs="Times New Roman"/>
                <w:color w:val="000000"/>
                <w:sz w:val="20"/>
                <w:szCs w:val="20"/>
              </w:rPr>
              <w:t>3</w:t>
            </w:r>
          </w:p>
        </w:tc>
        <w:tc>
          <w:tcPr>
            <w:tcW w:w="979" w:type="dxa"/>
            <w:tcBorders>
              <w:top w:val="single" w:sz="4" w:space="0" w:color="auto"/>
              <w:bottom w:val="single" w:sz="4" w:space="0" w:color="auto"/>
            </w:tcBorders>
            <w:noWrap/>
            <w:vAlign w:val="bottom"/>
            <w:hideMark/>
          </w:tcPr>
          <w:p w14:paraId="5439CF40" w14:textId="3862B0EC" w:rsidR="00171BD1" w:rsidRPr="00153D07" w:rsidRDefault="00171BD1" w:rsidP="00171BD1">
            <w:pPr>
              <w:jc w:val="center"/>
              <w:rPr>
                <w:rFonts w:ascii="Times New Roman" w:hAnsi="Times New Roman" w:cs="Times New Roman"/>
                <w:sz w:val="20"/>
                <w:szCs w:val="20"/>
              </w:rPr>
            </w:pPr>
            <w:proofErr w:type="spellStart"/>
            <w:r w:rsidRPr="00153D07">
              <w:rPr>
                <w:rFonts w:ascii="Times New Roman" w:hAnsi="Times New Roman" w:cs="Times New Roman"/>
                <w:color w:val="000000"/>
                <w:sz w:val="20"/>
                <w:szCs w:val="20"/>
              </w:rPr>
              <w:t>dA</w:t>
            </w:r>
            <w:proofErr w:type="spellEnd"/>
            <w:r w:rsidRPr="00153D07">
              <w:rPr>
                <w:rFonts w:ascii="Times New Roman" w:hAnsi="Times New Roman" w:cs="Times New Roman"/>
                <w:color w:val="000000"/>
                <w:sz w:val="20"/>
                <w:szCs w:val="20"/>
              </w:rPr>
              <w:t xml:space="preserve"> S2C1 SeO</w:t>
            </w:r>
            <w:r w:rsidR="005C10B1" w:rsidRPr="00153D07">
              <w:rPr>
                <w:rFonts w:ascii="Times New Roman" w:hAnsi="Times New Roman" w:cs="Times New Roman"/>
                <w:color w:val="000000"/>
                <w:sz w:val="20"/>
                <w:szCs w:val="20"/>
              </w:rPr>
              <w:t>3</w:t>
            </w:r>
          </w:p>
        </w:tc>
        <w:tc>
          <w:tcPr>
            <w:tcW w:w="1098" w:type="dxa"/>
            <w:tcBorders>
              <w:top w:val="single" w:sz="4" w:space="0" w:color="auto"/>
              <w:bottom w:val="single" w:sz="4" w:space="0" w:color="auto"/>
            </w:tcBorders>
            <w:noWrap/>
            <w:vAlign w:val="bottom"/>
            <w:hideMark/>
          </w:tcPr>
          <w:p w14:paraId="48D0A00B" w14:textId="66E429CD"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color w:val="000000"/>
                <w:sz w:val="20"/>
                <w:szCs w:val="20"/>
              </w:rPr>
              <w:t>DA S3C1</w:t>
            </w:r>
            <w:r w:rsidR="005C10B1" w:rsidRPr="00153D07">
              <w:rPr>
                <w:rFonts w:ascii="Times New Roman" w:hAnsi="Times New Roman" w:cs="Times New Roman"/>
                <w:color w:val="000000"/>
                <w:sz w:val="20"/>
                <w:szCs w:val="20"/>
              </w:rPr>
              <w:t xml:space="preserve"> </w:t>
            </w:r>
            <w:r w:rsidRPr="00153D07">
              <w:rPr>
                <w:rFonts w:ascii="Times New Roman" w:hAnsi="Times New Roman" w:cs="Times New Roman"/>
                <w:color w:val="000000"/>
                <w:sz w:val="20"/>
                <w:szCs w:val="20"/>
              </w:rPr>
              <w:t>SeO</w:t>
            </w:r>
            <w:r w:rsidR="005C10B1" w:rsidRPr="00153D07">
              <w:rPr>
                <w:rFonts w:ascii="Times New Roman" w:hAnsi="Times New Roman" w:cs="Times New Roman"/>
                <w:color w:val="000000"/>
                <w:sz w:val="20"/>
                <w:szCs w:val="20"/>
              </w:rPr>
              <w:t>3</w:t>
            </w:r>
          </w:p>
        </w:tc>
        <w:tc>
          <w:tcPr>
            <w:tcW w:w="894" w:type="dxa"/>
            <w:tcBorders>
              <w:top w:val="single" w:sz="4" w:space="0" w:color="auto"/>
              <w:bottom w:val="single" w:sz="4" w:space="0" w:color="auto"/>
            </w:tcBorders>
            <w:noWrap/>
            <w:vAlign w:val="bottom"/>
            <w:hideMark/>
          </w:tcPr>
          <w:p w14:paraId="06989F04" w14:textId="48E1919B"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color w:val="000000"/>
                <w:sz w:val="20"/>
                <w:szCs w:val="20"/>
              </w:rPr>
              <w:t>DA S1C2 SeO</w:t>
            </w:r>
            <w:r w:rsidR="005C10B1" w:rsidRPr="00153D07">
              <w:rPr>
                <w:rFonts w:ascii="Times New Roman" w:hAnsi="Times New Roman" w:cs="Times New Roman"/>
                <w:color w:val="000000"/>
                <w:sz w:val="20"/>
                <w:szCs w:val="20"/>
              </w:rPr>
              <w:t>3</w:t>
            </w:r>
          </w:p>
        </w:tc>
        <w:tc>
          <w:tcPr>
            <w:tcW w:w="878" w:type="dxa"/>
            <w:tcBorders>
              <w:top w:val="single" w:sz="4" w:space="0" w:color="auto"/>
              <w:bottom w:val="single" w:sz="4" w:space="0" w:color="auto"/>
            </w:tcBorders>
            <w:noWrap/>
            <w:vAlign w:val="bottom"/>
            <w:hideMark/>
          </w:tcPr>
          <w:p w14:paraId="281907D7" w14:textId="446A082A"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color w:val="000000"/>
                <w:sz w:val="20"/>
                <w:szCs w:val="20"/>
              </w:rPr>
              <w:t>DA S2C2 SeO</w:t>
            </w:r>
            <w:r w:rsidR="005C10B1" w:rsidRPr="00153D07">
              <w:rPr>
                <w:rFonts w:ascii="Times New Roman" w:hAnsi="Times New Roman" w:cs="Times New Roman"/>
                <w:color w:val="000000"/>
                <w:sz w:val="20"/>
                <w:szCs w:val="20"/>
              </w:rPr>
              <w:t>3</w:t>
            </w:r>
          </w:p>
        </w:tc>
        <w:tc>
          <w:tcPr>
            <w:tcW w:w="777" w:type="dxa"/>
            <w:tcBorders>
              <w:top w:val="single" w:sz="4" w:space="0" w:color="auto"/>
              <w:bottom w:val="single" w:sz="4" w:space="0" w:color="auto"/>
            </w:tcBorders>
            <w:noWrap/>
            <w:vAlign w:val="bottom"/>
            <w:hideMark/>
          </w:tcPr>
          <w:p w14:paraId="634E7D19" w14:textId="5BF2E1FF" w:rsidR="005C10B1" w:rsidRPr="00153D07" w:rsidRDefault="00171BD1" w:rsidP="005C10B1">
            <w:pPr>
              <w:jc w:val="center"/>
              <w:rPr>
                <w:rFonts w:ascii="Times New Roman" w:hAnsi="Times New Roman" w:cs="Times New Roman"/>
                <w:color w:val="000000"/>
                <w:sz w:val="20"/>
                <w:szCs w:val="20"/>
              </w:rPr>
            </w:pPr>
            <w:r w:rsidRPr="00153D07">
              <w:rPr>
                <w:rFonts w:ascii="Times New Roman" w:hAnsi="Times New Roman" w:cs="Times New Roman"/>
                <w:color w:val="000000"/>
                <w:sz w:val="20"/>
                <w:szCs w:val="20"/>
              </w:rPr>
              <w:t>DA S3 C2 SeO</w:t>
            </w:r>
            <w:r w:rsidR="005C10B1" w:rsidRPr="00153D07">
              <w:rPr>
                <w:rFonts w:ascii="Times New Roman" w:hAnsi="Times New Roman" w:cs="Times New Roman"/>
                <w:color w:val="000000"/>
                <w:sz w:val="20"/>
                <w:szCs w:val="20"/>
              </w:rPr>
              <w:t>3</w:t>
            </w:r>
          </w:p>
        </w:tc>
        <w:tc>
          <w:tcPr>
            <w:tcW w:w="1033" w:type="dxa"/>
            <w:tcBorders>
              <w:top w:val="single" w:sz="4" w:space="0" w:color="auto"/>
              <w:bottom w:val="single" w:sz="4" w:space="0" w:color="auto"/>
            </w:tcBorders>
            <w:noWrap/>
            <w:vAlign w:val="bottom"/>
            <w:hideMark/>
          </w:tcPr>
          <w:p w14:paraId="5522188C" w14:textId="717137C6"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color w:val="000000"/>
                <w:sz w:val="20"/>
                <w:szCs w:val="20"/>
              </w:rPr>
              <w:t>DA S1C3 SeO</w:t>
            </w:r>
            <w:r w:rsidR="005C10B1" w:rsidRPr="00153D07">
              <w:rPr>
                <w:rFonts w:ascii="Times New Roman" w:hAnsi="Times New Roman" w:cs="Times New Roman"/>
                <w:color w:val="000000"/>
                <w:sz w:val="20"/>
                <w:szCs w:val="20"/>
              </w:rPr>
              <w:t>3</w:t>
            </w:r>
          </w:p>
        </w:tc>
        <w:tc>
          <w:tcPr>
            <w:tcW w:w="793" w:type="dxa"/>
            <w:tcBorders>
              <w:top w:val="single" w:sz="4" w:space="0" w:color="auto"/>
              <w:bottom w:val="single" w:sz="4" w:space="0" w:color="auto"/>
            </w:tcBorders>
            <w:noWrap/>
            <w:vAlign w:val="bottom"/>
            <w:hideMark/>
          </w:tcPr>
          <w:p w14:paraId="1814A55A" w14:textId="7F62F77A"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color w:val="000000"/>
                <w:sz w:val="20"/>
                <w:szCs w:val="20"/>
              </w:rPr>
              <w:t>DA S2C3 SeO</w:t>
            </w:r>
            <w:r w:rsidR="005C10B1" w:rsidRPr="00153D07">
              <w:rPr>
                <w:rFonts w:ascii="Times New Roman" w:hAnsi="Times New Roman" w:cs="Times New Roman"/>
                <w:color w:val="000000"/>
                <w:sz w:val="20"/>
                <w:szCs w:val="20"/>
              </w:rPr>
              <w:t>3</w:t>
            </w:r>
          </w:p>
        </w:tc>
        <w:tc>
          <w:tcPr>
            <w:tcW w:w="777" w:type="dxa"/>
            <w:tcBorders>
              <w:top w:val="single" w:sz="4" w:space="0" w:color="auto"/>
              <w:bottom w:val="single" w:sz="4" w:space="0" w:color="auto"/>
            </w:tcBorders>
            <w:noWrap/>
            <w:vAlign w:val="bottom"/>
            <w:hideMark/>
          </w:tcPr>
          <w:p w14:paraId="6B183626" w14:textId="78681B8F"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color w:val="000000"/>
                <w:sz w:val="20"/>
                <w:szCs w:val="20"/>
              </w:rPr>
              <w:t>DA S3C3 SeO</w:t>
            </w:r>
            <w:r w:rsidR="005C10B1" w:rsidRPr="00153D07">
              <w:rPr>
                <w:rFonts w:ascii="Times New Roman" w:hAnsi="Times New Roman" w:cs="Times New Roman"/>
                <w:color w:val="000000"/>
                <w:sz w:val="20"/>
                <w:szCs w:val="20"/>
              </w:rPr>
              <w:t>3</w:t>
            </w:r>
          </w:p>
        </w:tc>
      </w:tr>
      <w:tr w:rsidR="00171BD1" w:rsidRPr="00AD04DA" w14:paraId="4CFD28D2" w14:textId="77777777" w:rsidTr="00171BD1">
        <w:trPr>
          <w:trHeight w:val="300"/>
        </w:trPr>
        <w:tc>
          <w:tcPr>
            <w:tcW w:w="1243" w:type="dxa"/>
            <w:tcBorders>
              <w:top w:val="single" w:sz="4" w:space="0" w:color="auto"/>
              <w:bottom w:val="nil"/>
              <w:right w:val="single" w:sz="4" w:space="0" w:color="auto"/>
            </w:tcBorders>
            <w:noWrap/>
            <w:hideMark/>
          </w:tcPr>
          <w:p w14:paraId="751BE5F4"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Estimated Max conc (ppm)</w:t>
            </w:r>
          </w:p>
        </w:tc>
        <w:tc>
          <w:tcPr>
            <w:tcW w:w="878" w:type="dxa"/>
            <w:tcBorders>
              <w:top w:val="single" w:sz="4" w:space="0" w:color="auto"/>
              <w:left w:val="single" w:sz="4" w:space="0" w:color="auto"/>
            </w:tcBorders>
            <w:noWrap/>
            <w:hideMark/>
          </w:tcPr>
          <w:p w14:paraId="4A51B9FA"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79" w:type="dxa"/>
            <w:tcBorders>
              <w:top w:val="single" w:sz="4" w:space="0" w:color="auto"/>
            </w:tcBorders>
            <w:noWrap/>
            <w:hideMark/>
          </w:tcPr>
          <w:p w14:paraId="3C587ADF"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1098" w:type="dxa"/>
            <w:tcBorders>
              <w:top w:val="single" w:sz="4" w:space="0" w:color="auto"/>
            </w:tcBorders>
            <w:noWrap/>
            <w:hideMark/>
          </w:tcPr>
          <w:p w14:paraId="296E88B1"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894" w:type="dxa"/>
            <w:tcBorders>
              <w:top w:val="single" w:sz="4" w:space="0" w:color="auto"/>
            </w:tcBorders>
            <w:noWrap/>
            <w:hideMark/>
          </w:tcPr>
          <w:p w14:paraId="107EB350"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878" w:type="dxa"/>
            <w:tcBorders>
              <w:top w:val="single" w:sz="4" w:space="0" w:color="auto"/>
            </w:tcBorders>
            <w:noWrap/>
            <w:hideMark/>
          </w:tcPr>
          <w:p w14:paraId="67B1C2B3"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777" w:type="dxa"/>
            <w:tcBorders>
              <w:top w:val="single" w:sz="4" w:space="0" w:color="auto"/>
            </w:tcBorders>
            <w:noWrap/>
            <w:hideMark/>
          </w:tcPr>
          <w:p w14:paraId="29874789"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1033" w:type="dxa"/>
            <w:tcBorders>
              <w:top w:val="single" w:sz="4" w:space="0" w:color="auto"/>
            </w:tcBorders>
            <w:noWrap/>
            <w:hideMark/>
          </w:tcPr>
          <w:p w14:paraId="45D02BEF"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793" w:type="dxa"/>
            <w:tcBorders>
              <w:top w:val="single" w:sz="4" w:space="0" w:color="auto"/>
            </w:tcBorders>
            <w:noWrap/>
            <w:hideMark/>
          </w:tcPr>
          <w:p w14:paraId="5E324F82"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777" w:type="dxa"/>
            <w:tcBorders>
              <w:top w:val="single" w:sz="4" w:space="0" w:color="auto"/>
            </w:tcBorders>
            <w:noWrap/>
            <w:hideMark/>
          </w:tcPr>
          <w:p w14:paraId="4B210658"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10</w:t>
            </w:r>
          </w:p>
        </w:tc>
      </w:tr>
      <w:tr w:rsidR="00171BD1" w:rsidRPr="00AD04DA" w14:paraId="635C4FB3" w14:textId="77777777" w:rsidTr="00171BD1">
        <w:trPr>
          <w:trHeight w:val="300"/>
        </w:trPr>
        <w:tc>
          <w:tcPr>
            <w:tcW w:w="1243" w:type="dxa"/>
            <w:tcBorders>
              <w:top w:val="nil"/>
              <w:bottom w:val="nil"/>
              <w:right w:val="single" w:sz="4" w:space="0" w:color="auto"/>
            </w:tcBorders>
            <w:noWrap/>
            <w:hideMark/>
          </w:tcPr>
          <w:p w14:paraId="2713EBBD"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Estimated Starting Vol (mL)</w:t>
            </w:r>
          </w:p>
        </w:tc>
        <w:tc>
          <w:tcPr>
            <w:tcW w:w="878" w:type="dxa"/>
            <w:tcBorders>
              <w:left w:val="single" w:sz="4" w:space="0" w:color="auto"/>
            </w:tcBorders>
            <w:noWrap/>
            <w:hideMark/>
          </w:tcPr>
          <w:p w14:paraId="42477745"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0.2422</w:t>
            </w:r>
          </w:p>
        </w:tc>
        <w:tc>
          <w:tcPr>
            <w:tcW w:w="979" w:type="dxa"/>
            <w:noWrap/>
            <w:hideMark/>
          </w:tcPr>
          <w:p w14:paraId="4AB76217"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0.1861</w:t>
            </w:r>
          </w:p>
        </w:tc>
        <w:tc>
          <w:tcPr>
            <w:tcW w:w="1098" w:type="dxa"/>
            <w:noWrap/>
            <w:hideMark/>
          </w:tcPr>
          <w:p w14:paraId="783AE5E4"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0.1912</w:t>
            </w:r>
          </w:p>
        </w:tc>
        <w:tc>
          <w:tcPr>
            <w:tcW w:w="894" w:type="dxa"/>
            <w:noWrap/>
            <w:hideMark/>
          </w:tcPr>
          <w:p w14:paraId="06925E5B"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0.1621</w:t>
            </w:r>
          </w:p>
        </w:tc>
        <w:tc>
          <w:tcPr>
            <w:tcW w:w="878" w:type="dxa"/>
            <w:noWrap/>
            <w:hideMark/>
          </w:tcPr>
          <w:p w14:paraId="383A8CB8"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0.134</w:t>
            </w:r>
          </w:p>
        </w:tc>
        <w:tc>
          <w:tcPr>
            <w:tcW w:w="777" w:type="dxa"/>
            <w:noWrap/>
            <w:hideMark/>
          </w:tcPr>
          <w:p w14:paraId="39354982"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0.1172</w:t>
            </w:r>
          </w:p>
        </w:tc>
        <w:tc>
          <w:tcPr>
            <w:tcW w:w="1033" w:type="dxa"/>
            <w:noWrap/>
            <w:hideMark/>
          </w:tcPr>
          <w:p w14:paraId="4C51D1D3"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N/A</w:t>
            </w:r>
          </w:p>
        </w:tc>
        <w:tc>
          <w:tcPr>
            <w:tcW w:w="793" w:type="dxa"/>
            <w:noWrap/>
            <w:hideMark/>
          </w:tcPr>
          <w:p w14:paraId="79EB5E12"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0.1426</w:t>
            </w:r>
          </w:p>
        </w:tc>
        <w:tc>
          <w:tcPr>
            <w:tcW w:w="777" w:type="dxa"/>
            <w:noWrap/>
            <w:hideMark/>
          </w:tcPr>
          <w:p w14:paraId="5584D13F"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0.1172</w:t>
            </w:r>
          </w:p>
        </w:tc>
      </w:tr>
      <w:tr w:rsidR="00171BD1" w:rsidRPr="00AD04DA" w14:paraId="4F061EA6" w14:textId="77777777" w:rsidTr="00171BD1">
        <w:trPr>
          <w:trHeight w:val="300"/>
        </w:trPr>
        <w:tc>
          <w:tcPr>
            <w:tcW w:w="1243" w:type="dxa"/>
            <w:tcBorders>
              <w:top w:val="nil"/>
              <w:bottom w:val="single" w:sz="4" w:space="0" w:color="auto"/>
              <w:right w:val="single" w:sz="4" w:space="0" w:color="auto"/>
            </w:tcBorders>
            <w:noWrap/>
            <w:hideMark/>
          </w:tcPr>
          <w:p w14:paraId="676A82DB" w14:textId="77777777" w:rsidR="00171BD1" w:rsidRPr="00153D07" w:rsidRDefault="00171BD1" w:rsidP="00171BD1">
            <w:pPr>
              <w:jc w:val="center"/>
              <w:rPr>
                <w:rFonts w:ascii="Times New Roman" w:hAnsi="Times New Roman" w:cs="Times New Roman"/>
                <w:b/>
                <w:bCs/>
                <w:sz w:val="20"/>
                <w:szCs w:val="20"/>
              </w:rPr>
            </w:pPr>
            <w:r w:rsidRPr="00153D07">
              <w:rPr>
                <w:rFonts w:ascii="Times New Roman" w:hAnsi="Times New Roman" w:cs="Times New Roman"/>
                <w:b/>
                <w:bCs/>
                <w:sz w:val="20"/>
                <w:szCs w:val="20"/>
              </w:rPr>
              <w:t>Vol Diluent Added</w:t>
            </w:r>
          </w:p>
        </w:tc>
        <w:tc>
          <w:tcPr>
            <w:tcW w:w="878" w:type="dxa"/>
            <w:tcBorders>
              <w:left w:val="single" w:sz="4" w:space="0" w:color="auto"/>
            </w:tcBorders>
            <w:noWrap/>
            <w:hideMark/>
          </w:tcPr>
          <w:p w14:paraId="7C2AFCEC"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4.600</w:t>
            </w:r>
          </w:p>
        </w:tc>
        <w:tc>
          <w:tcPr>
            <w:tcW w:w="979" w:type="dxa"/>
            <w:noWrap/>
            <w:hideMark/>
          </w:tcPr>
          <w:p w14:paraId="1835E31F"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3.535</w:t>
            </w:r>
          </w:p>
        </w:tc>
        <w:tc>
          <w:tcPr>
            <w:tcW w:w="1098" w:type="dxa"/>
            <w:noWrap/>
            <w:hideMark/>
          </w:tcPr>
          <w:p w14:paraId="6656D9A0"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3.635</w:t>
            </w:r>
          </w:p>
        </w:tc>
        <w:tc>
          <w:tcPr>
            <w:tcW w:w="894" w:type="dxa"/>
            <w:noWrap/>
            <w:hideMark/>
          </w:tcPr>
          <w:p w14:paraId="2CE7C643"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3.080</w:t>
            </w:r>
          </w:p>
        </w:tc>
        <w:tc>
          <w:tcPr>
            <w:tcW w:w="878" w:type="dxa"/>
            <w:noWrap/>
            <w:hideMark/>
          </w:tcPr>
          <w:p w14:paraId="52ADCAD6"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2.545</w:t>
            </w:r>
          </w:p>
        </w:tc>
        <w:tc>
          <w:tcPr>
            <w:tcW w:w="777" w:type="dxa"/>
            <w:noWrap/>
            <w:hideMark/>
          </w:tcPr>
          <w:p w14:paraId="704B4D0E"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2.230</w:t>
            </w:r>
          </w:p>
        </w:tc>
        <w:tc>
          <w:tcPr>
            <w:tcW w:w="1033" w:type="dxa"/>
            <w:noWrap/>
            <w:hideMark/>
          </w:tcPr>
          <w:p w14:paraId="13D7FFB6" w14:textId="7D5FA8DD" w:rsidR="00171BD1" w:rsidRPr="00153D07" w:rsidRDefault="005C10B1" w:rsidP="00171BD1">
            <w:pPr>
              <w:jc w:val="center"/>
              <w:rPr>
                <w:rFonts w:ascii="Times New Roman" w:hAnsi="Times New Roman" w:cs="Times New Roman"/>
                <w:sz w:val="20"/>
                <w:szCs w:val="20"/>
              </w:rPr>
            </w:pPr>
            <w:r w:rsidRPr="00153D07">
              <w:rPr>
                <w:rFonts w:ascii="Times New Roman" w:hAnsi="Times New Roman" w:cs="Times New Roman"/>
                <w:sz w:val="20"/>
                <w:szCs w:val="20"/>
              </w:rPr>
              <w:t>N/A</w:t>
            </w:r>
          </w:p>
        </w:tc>
        <w:tc>
          <w:tcPr>
            <w:tcW w:w="793" w:type="dxa"/>
            <w:noWrap/>
            <w:hideMark/>
          </w:tcPr>
          <w:p w14:paraId="607992B3"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2.710</w:t>
            </w:r>
          </w:p>
        </w:tc>
        <w:tc>
          <w:tcPr>
            <w:tcW w:w="777" w:type="dxa"/>
            <w:noWrap/>
            <w:hideMark/>
          </w:tcPr>
          <w:p w14:paraId="32FDD5F6" w14:textId="77777777" w:rsidR="00171BD1" w:rsidRPr="00153D07" w:rsidRDefault="00171BD1" w:rsidP="00171BD1">
            <w:pPr>
              <w:jc w:val="center"/>
              <w:rPr>
                <w:rFonts w:ascii="Times New Roman" w:hAnsi="Times New Roman" w:cs="Times New Roman"/>
                <w:sz w:val="20"/>
                <w:szCs w:val="20"/>
              </w:rPr>
            </w:pPr>
            <w:r w:rsidRPr="00153D07">
              <w:rPr>
                <w:rFonts w:ascii="Times New Roman" w:hAnsi="Times New Roman" w:cs="Times New Roman"/>
                <w:sz w:val="20"/>
                <w:szCs w:val="20"/>
              </w:rPr>
              <w:t>2.230</w:t>
            </w:r>
          </w:p>
        </w:tc>
      </w:tr>
    </w:tbl>
    <w:p w14:paraId="3AEF6826" w14:textId="77777777" w:rsidR="002347A3" w:rsidRPr="00AD04DA" w:rsidRDefault="002347A3" w:rsidP="00171BD1">
      <w:pPr>
        <w:spacing w:line="480" w:lineRule="auto"/>
        <w:rPr>
          <w:rFonts w:ascii="Times New Roman" w:hAnsi="Times New Roman" w:cs="Times New Roman"/>
          <w:sz w:val="24"/>
          <w:szCs w:val="24"/>
        </w:rPr>
      </w:pPr>
    </w:p>
    <w:p w14:paraId="0526E117" w14:textId="3A9B38FA" w:rsidR="00C4062D" w:rsidRPr="00AD04DA" w:rsidRDefault="00C4062D"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w:t>
      </w:r>
      <w:r w:rsidR="00E00185" w:rsidRPr="00153D07">
        <w:rPr>
          <w:rFonts w:ascii="Times New Roman" w:hAnsi="Times New Roman" w:cs="Times New Roman"/>
          <w:b/>
          <w:bCs/>
          <w:sz w:val="24"/>
          <w:szCs w:val="24"/>
        </w:rPr>
        <w:t>10</w:t>
      </w:r>
      <w:r w:rsidRPr="00AD04DA">
        <w:rPr>
          <w:rFonts w:ascii="Times New Roman" w:hAnsi="Times New Roman" w:cs="Times New Roman"/>
          <w:sz w:val="24"/>
          <w:szCs w:val="24"/>
        </w:rPr>
        <w:t>: Experimental Data for DA with 500 ppm SeO</w:t>
      </w:r>
      <w:r w:rsidRPr="00AD04DA">
        <w:rPr>
          <w:rFonts w:ascii="Times New Roman" w:hAnsi="Times New Roman" w:cs="Times New Roman"/>
          <w:sz w:val="24"/>
          <w:szCs w:val="24"/>
          <w:vertAlign w:val="subscript"/>
        </w:rPr>
        <w:t>4</w:t>
      </w:r>
      <w:r w:rsidRPr="00AD04DA">
        <w:rPr>
          <w:rFonts w:ascii="Times New Roman" w:hAnsi="Times New Roman" w:cs="Times New Roman"/>
          <w:sz w:val="24"/>
          <w:szCs w:val="24"/>
        </w:rPr>
        <w:t xml:space="preserve"> feed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52"/>
        <w:gridCol w:w="515"/>
        <w:gridCol w:w="233"/>
        <w:gridCol w:w="521"/>
        <w:gridCol w:w="718"/>
        <w:gridCol w:w="693"/>
        <w:gridCol w:w="900"/>
        <w:gridCol w:w="763"/>
        <w:gridCol w:w="900"/>
        <w:gridCol w:w="900"/>
        <w:gridCol w:w="855"/>
        <w:gridCol w:w="900"/>
        <w:gridCol w:w="900"/>
      </w:tblGrid>
      <w:tr w:rsidR="009454BE" w:rsidRPr="00AD04DA" w14:paraId="037AFCF6" w14:textId="77777777" w:rsidTr="009454BE">
        <w:trPr>
          <w:trHeight w:val="360"/>
        </w:trPr>
        <w:tc>
          <w:tcPr>
            <w:tcW w:w="558" w:type="dxa"/>
            <w:tcBorders>
              <w:top w:val="single" w:sz="4" w:space="0" w:color="auto"/>
              <w:bottom w:val="single" w:sz="4" w:space="0" w:color="auto"/>
            </w:tcBorders>
            <w:noWrap/>
            <w:hideMark/>
          </w:tcPr>
          <w:p w14:paraId="75D1C20A" w14:textId="77777777" w:rsidR="00D16908" w:rsidRPr="00153D07" w:rsidRDefault="00D16908" w:rsidP="00D16908">
            <w:pPr>
              <w:jc w:val="center"/>
              <w:rPr>
                <w:rFonts w:ascii="Times New Roman" w:hAnsi="Times New Roman" w:cs="Times New Roman"/>
                <w:b/>
                <w:bCs/>
              </w:rPr>
            </w:pPr>
            <w:r w:rsidRPr="00153D07">
              <w:rPr>
                <w:rFonts w:ascii="Times New Roman" w:hAnsi="Times New Roman" w:cs="Times New Roman"/>
                <w:b/>
                <w:bCs/>
              </w:rPr>
              <w:t>Run</w:t>
            </w:r>
          </w:p>
        </w:tc>
        <w:tc>
          <w:tcPr>
            <w:tcW w:w="797" w:type="dxa"/>
            <w:gridSpan w:val="2"/>
            <w:tcBorders>
              <w:top w:val="single" w:sz="4" w:space="0" w:color="auto"/>
              <w:bottom w:val="single" w:sz="4" w:space="0" w:color="auto"/>
            </w:tcBorders>
            <w:noWrap/>
            <w:hideMark/>
          </w:tcPr>
          <w:p w14:paraId="0B0DF4E5" w14:textId="77777777" w:rsidR="00D16908" w:rsidRPr="00153D07" w:rsidRDefault="00D16908" w:rsidP="00D16908">
            <w:pPr>
              <w:jc w:val="center"/>
              <w:rPr>
                <w:rFonts w:ascii="Times New Roman" w:hAnsi="Times New Roman" w:cs="Times New Roman"/>
                <w:b/>
                <w:bCs/>
              </w:rPr>
            </w:pPr>
            <w:r w:rsidRPr="00153D07">
              <w:rPr>
                <w:rFonts w:ascii="Times New Roman" w:hAnsi="Times New Roman" w:cs="Times New Roman"/>
                <w:b/>
                <w:bCs/>
              </w:rPr>
              <w:t>Cycle</w:t>
            </w:r>
          </w:p>
        </w:tc>
        <w:tc>
          <w:tcPr>
            <w:tcW w:w="482" w:type="dxa"/>
            <w:tcBorders>
              <w:top w:val="single" w:sz="4" w:space="0" w:color="auto"/>
              <w:bottom w:val="single" w:sz="4" w:space="0" w:color="auto"/>
            </w:tcBorders>
            <w:noWrap/>
            <w:hideMark/>
          </w:tcPr>
          <w:p w14:paraId="3178A107" w14:textId="77777777" w:rsidR="00D16908" w:rsidRPr="00153D07" w:rsidRDefault="00D16908" w:rsidP="00D16908">
            <w:pPr>
              <w:jc w:val="center"/>
              <w:rPr>
                <w:rFonts w:ascii="Times New Roman" w:hAnsi="Times New Roman" w:cs="Times New Roman"/>
                <w:b/>
                <w:bCs/>
              </w:rPr>
            </w:pPr>
            <w:r w:rsidRPr="00153D07">
              <w:rPr>
                <w:rFonts w:ascii="Times New Roman" w:hAnsi="Times New Roman" w:cs="Times New Roman"/>
                <w:b/>
                <w:bCs/>
              </w:rPr>
              <w:t>V</w:t>
            </w:r>
            <w:r w:rsidRPr="00153D07">
              <w:rPr>
                <w:rFonts w:ascii="Times New Roman" w:hAnsi="Times New Roman" w:cs="Times New Roman"/>
                <w:b/>
                <w:bCs/>
                <w:vertAlign w:val="subscript"/>
              </w:rPr>
              <w:t>0</w:t>
            </w:r>
            <w:r w:rsidRPr="00153D07">
              <w:rPr>
                <w:rFonts w:ascii="Times New Roman" w:hAnsi="Times New Roman" w:cs="Times New Roman"/>
                <w:b/>
                <w:bCs/>
              </w:rPr>
              <w:t xml:space="preserve"> mL</w:t>
            </w:r>
          </w:p>
        </w:tc>
        <w:tc>
          <w:tcPr>
            <w:tcW w:w="705" w:type="dxa"/>
            <w:tcBorders>
              <w:top w:val="single" w:sz="4" w:space="0" w:color="auto"/>
              <w:bottom w:val="single" w:sz="4" w:space="0" w:color="auto"/>
            </w:tcBorders>
            <w:noWrap/>
            <w:hideMark/>
          </w:tcPr>
          <w:p w14:paraId="7BC646FB" w14:textId="77777777" w:rsidR="00D16908" w:rsidRPr="00153D07" w:rsidRDefault="00D16908" w:rsidP="00D16908">
            <w:pPr>
              <w:jc w:val="center"/>
              <w:rPr>
                <w:rFonts w:ascii="Times New Roman" w:hAnsi="Times New Roman" w:cs="Times New Roman"/>
                <w:b/>
                <w:bCs/>
              </w:rPr>
            </w:pPr>
            <w:r w:rsidRPr="00153D07">
              <w:rPr>
                <w:rFonts w:ascii="Times New Roman" w:hAnsi="Times New Roman" w:cs="Times New Roman"/>
                <w:b/>
                <w:bCs/>
              </w:rPr>
              <w:t>V</w:t>
            </w:r>
            <w:r w:rsidRPr="00153D07">
              <w:rPr>
                <w:rFonts w:ascii="Times New Roman" w:hAnsi="Times New Roman" w:cs="Times New Roman"/>
                <w:b/>
                <w:bCs/>
                <w:vertAlign w:val="subscript"/>
              </w:rPr>
              <w:t>R</w:t>
            </w:r>
            <w:r w:rsidRPr="00153D07">
              <w:rPr>
                <w:rFonts w:ascii="Times New Roman" w:hAnsi="Times New Roman" w:cs="Times New Roman"/>
                <w:b/>
                <w:bCs/>
              </w:rPr>
              <w:t xml:space="preserve"> mL</w:t>
            </w:r>
          </w:p>
        </w:tc>
        <w:tc>
          <w:tcPr>
            <w:tcW w:w="724" w:type="dxa"/>
            <w:tcBorders>
              <w:top w:val="single" w:sz="4" w:space="0" w:color="auto"/>
              <w:bottom w:val="single" w:sz="4" w:space="0" w:color="auto"/>
            </w:tcBorders>
            <w:noWrap/>
            <w:hideMark/>
          </w:tcPr>
          <w:p w14:paraId="009E094B" w14:textId="77777777" w:rsidR="00D16908" w:rsidRPr="00153D07" w:rsidRDefault="00D16908" w:rsidP="00D16908">
            <w:pPr>
              <w:jc w:val="center"/>
              <w:rPr>
                <w:rFonts w:ascii="Times New Roman" w:hAnsi="Times New Roman" w:cs="Times New Roman"/>
                <w:b/>
                <w:bCs/>
              </w:rPr>
            </w:pPr>
            <w:r w:rsidRPr="00153D07">
              <w:rPr>
                <w:rFonts w:ascii="Times New Roman" w:hAnsi="Times New Roman" w:cs="Times New Roman"/>
                <w:b/>
                <w:bCs/>
              </w:rPr>
              <w:t>Total Rec%</w:t>
            </w:r>
          </w:p>
        </w:tc>
        <w:tc>
          <w:tcPr>
            <w:tcW w:w="882" w:type="dxa"/>
            <w:tcBorders>
              <w:top w:val="single" w:sz="4" w:space="0" w:color="auto"/>
              <w:bottom w:val="single" w:sz="4" w:space="0" w:color="auto"/>
            </w:tcBorders>
            <w:noWrap/>
            <w:hideMark/>
          </w:tcPr>
          <w:p w14:paraId="49D72A55" w14:textId="77777777" w:rsidR="00D16908" w:rsidRPr="00153D07" w:rsidRDefault="00D16908" w:rsidP="00D16908">
            <w:pPr>
              <w:jc w:val="center"/>
              <w:rPr>
                <w:rFonts w:ascii="Times New Roman" w:hAnsi="Times New Roman" w:cs="Times New Roman"/>
                <w:b/>
                <w:bCs/>
              </w:rPr>
            </w:pPr>
            <w:r w:rsidRPr="00153D07">
              <w:rPr>
                <w:rFonts w:ascii="Times New Roman" w:hAnsi="Times New Roman" w:cs="Times New Roman"/>
                <w:b/>
                <w:bCs/>
              </w:rPr>
              <w:t>Trial rec %</w:t>
            </w:r>
          </w:p>
        </w:tc>
        <w:tc>
          <w:tcPr>
            <w:tcW w:w="783" w:type="dxa"/>
            <w:tcBorders>
              <w:top w:val="single" w:sz="4" w:space="0" w:color="auto"/>
              <w:bottom w:val="single" w:sz="4" w:space="0" w:color="auto"/>
            </w:tcBorders>
            <w:noWrap/>
            <w:hideMark/>
          </w:tcPr>
          <w:p w14:paraId="5E7FDF89" w14:textId="77777777" w:rsidR="00D16908" w:rsidRPr="00153D07" w:rsidRDefault="00D16908" w:rsidP="00D16908">
            <w:pPr>
              <w:jc w:val="center"/>
              <w:rPr>
                <w:rFonts w:ascii="Times New Roman" w:hAnsi="Times New Roman" w:cs="Times New Roman"/>
                <w:b/>
                <w:bCs/>
              </w:rPr>
            </w:pPr>
            <w:r w:rsidRPr="00153D07">
              <w:rPr>
                <w:rFonts w:ascii="Times New Roman" w:hAnsi="Times New Roman" w:cs="Times New Roman"/>
                <w:b/>
                <w:bCs/>
              </w:rPr>
              <w:t>C</w:t>
            </w:r>
            <w:r w:rsidRPr="00153D07">
              <w:rPr>
                <w:rFonts w:ascii="Times New Roman" w:hAnsi="Times New Roman" w:cs="Times New Roman"/>
                <w:b/>
                <w:bCs/>
                <w:vertAlign w:val="subscript"/>
              </w:rPr>
              <w:t>0</w:t>
            </w:r>
            <w:r w:rsidRPr="00153D07">
              <w:rPr>
                <w:rFonts w:ascii="Times New Roman" w:hAnsi="Times New Roman" w:cs="Times New Roman"/>
                <w:b/>
                <w:bCs/>
              </w:rPr>
              <w:t xml:space="preserve"> ppb</w:t>
            </w:r>
          </w:p>
        </w:tc>
        <w:tc>
          <w:tcPr>
            <w:tcW w:w="824" w:type="dxa"/>
            <w:tcBorders>
              <w:top w:val="single" w:sz="4" w:space="0" w:color="auto"/>
              <w:bottom w:val="single" w:sz="4" w:space="0" w:color="auto"/>
            </w:tcBorders>
            <w:noWrap/>
            <w:hideMark/>
          </w:tcPr>
          <w:p w14:paraId="6AAF7C35" w14:textId="533481F2" w:rsidR="00D16908" w:rsidRPr="00153D07" w:rsidRDefault="00D16908" w:rsidP="00D16908">
            <w:pPr>
              <w:jc w:val="center"/>
              <w:rPr>
                <w:rFonts w:ascii="Times New Roman" w:hAnsi="Times New Roman" w:cs="Times New Roman"/>
                <w:b/>
                <w:bCs/>
              </w:rPr>
            </w:pPr>
            <w:r w:rsidRPr="00153D07">
              <w:rPr>
                <w:rFonts w:ascii="Times New Roman" w:hAnsi="Times New Roman" w:cs="Times New Roman"/>
                <w:b/>
                <w:bCs/>
              </w:rPr>
              <w:t>ICPMS</w:t>
            </w:r>
            <w:r w:rsidR="009454BE" w:rsidRPr="00153D07">
              <w:rPr>
                <w:rFonts w:ascii="Times New Roman" w:hAnsi="Times New Roman" w:cs="Times New Roman"/>
                <w:b/>
                <w:bCs/>
              </w:rPr>
              <w:t xml:space="preserve"> (CPS)</w:t>
            </w:r>
          </w:p>
        </w:tc>
        <w:tc>
          <w:tcPr>
            <w:tcW w:w="992" w:type="dxa"/>
            <w:tcBorders>
              <w:top w:val="single" w:sz="4" w:space="0" w:color="auto"/>
              <w:bottom w:val="single" w:sz="4" w:space="0" w:color="auto"/>
            </w:tcBorders>
            <w:noWrap/>
            <w:hideMark/>
          </w:tcPr>
          <w:p w14:paraId="693CFD9B" w14:textId="77777777" w:rsidR="00D16908" w:rsidRPr="00153D07" w:rsidRDefault="00D16908" w:rsidP="00D16908">
            <w:pPr>
              <w:jc w:val="center"/>
              <w:rPr>
                <w:rFonts w:ascii="Times New Roman" w:hAnsi="Times New Roman" w:cs="Times New Roman"/>
                <w:b/>
                <w:bCs/>
              </w:rPr>
            </w:pPr>
            <w:r w:rsidRPr="00153D07">
              <w:rPr>
                <w:rFonts w:ascii="Times New Roman" w:hAnsi="Times New Roman" w:cs="Times New Roman"/>
                <w:b/>
                <w:bCs/>
              </w:rPr>
              <w:t>Cal Curve</w:t>
            </w:r>
          </w:p>
        </w:tc>
        <w:tc>
          <w:tcPr>
            <w:tcW w:w="839" w:type="dxa"/>
            <w:tcBorders>
              <w:top w:val="single" w:sz="4" w:space="0" w:color="auto"/>
              <w:bottom w:val="single" w:sz="4" w:space="0" w:color="auto"/>
            </w:tcBorders>
            <w:noWrap/>
            <w:hideMark/>
          </w:tcPr>
          <w:p w14:paraId="63DA02EA" w14:textId="73862A32" w:rsidR="00D16908" w:rsidRPr="00153D07" w:rsidRDefault="00D16908" w:rsidP="00D16908">
            <w:pPr>
              <w:jc w:val="center"/>
              <w:rPr>
                <w:rFonts w:ascii="Times New Roman" w:hAnsi="Times New Roman" w:cs="Times New Roman"/>
                <w:b/>
                <w:bCs/>
              </w:rPr>
            </w:pPr>
            <w:r w:rsidRPr="00153D07">
              <w:rPr>
                <w:rFonts w:ascii="Times New Roman" w:hAnsi="Times New Roman" w:cs="Times New Roman"/>
                <w:b/>
                <w:bCs/>
              </w:rPr>
              <w:t>Dilution V</w:t>
            </w:r>
            <w:r w:rsidR="009454BE" w:rsidRPr="00153D07">
              <w:rPr>
                <w:rFonts w:ascii="Times New Roman" w:hAnsi="Times New Roman" w:cs="Times New Roman"/>
                <w:b/>
                <w:bCs/>
              </w:rPr>
              <w:t xml:space="preserve"> mL</w:t>
            </w:r>
          </w:p>
        </w:tc>
        <w:tc>
          <w:tcPr>
            <w:tcW w:w="882" w:type="dxa"/>
            <w:tcBorders>
              <w:top w:val="single" w:sz="4" w:space="0" w:color="auto"/>
              <w:bottom w:val="single" w:sz="4" w:space="0" w:color="auto"/>
            </w:tcBorders>
            <w:noWrap/>
            <w:hideMark/>
          </w:tcPr>
          <w:p w14:paraId="3DAEC285" w14:textId="77777777" w:rsidR="00D16908" w:rsidRPr="00153D07" w:rsidRDefault="00D16908" w:rsidP="00D16908">
            <w:pPr>
              <w:jc w:val="center"/>
              <w:rPr>
                <w:rFonts w:ascii="Times New Roman" w:hAnsi="Times New Roman" w:cs="Times New Roman"/>
                <w:b/>
                <w:bCs/>
              </w:rPr>
            </w:pPr>
            <w:r w:rsidRPr="00153D07">
              <w:rPr>
                <w:rFonts w:ascii="Times New Roman" w:hAnsi="Times New Roman" w:cs="Times New Roman"/>
                <w:b/>
                <w:bCs/>
              </w:rPr>
              <w:t>C</w:t>
            </w:r>
            <w:r w:rsidRPr="00153D07">
              <w:rPr>
                <w:rFonts w:ascii="Times New Roman" w:hAnsi="Times New Roman" w:cs="Times New Roman"/>
                <w:b/>
                <w:bCs/>
                <w:vertAlign w:val="subscript"/>
              </w:rPr>
              <w:t>F</w:t>
            </w:r>
            <w:r w:rsidRPr="00153D07">
              <w:rPr>
                <w:rFonts w:ascii="Times New Roman" w:hAnsi="Times New Roman" w:cs="Times New Roman"/>
                <w:b/>
                <w:bCs/>
              </w:rPr>
              <w:t xml:space="preserve"> M</w:t>
            </w:r>
          </w:p>
        </w:tc>
        <w:tc>
          <w:tcPr>
            <w:tcW w:w="882" w:type="dxa"/>
            <w:tcBorders>
              <w:top w:val="single" w:sz="4" w:space="0" w:color="auto"/>
              <w:bottom w:val="single" w:sz="4" w:space="0" w:color="auto"/>
            </w:tcBorders>
            <w:noWrap/>
            <w:hideMark/>
          </w:tcPr>
          <w:p w14:paraId="7469374A" w14:textId="77777777" w:rsidR="00D16908" w:rsidRPr="00153D07" w:rsidRDefault="00D16908" w:rsidP="00D16908">
            <w:pPr>
              <w:jc w:val="center"/>
              <w:rPr>
                <w:rFonts w:ascii="Times New Roman" w:hAnsi="Times New Roman" w:cs="Times New Roman"/>
                <w:b/>
                <w:bCs/>
              </w:rPr>
            </w:pPr>
            <w:proofErr w:type="spellStart"/>
            <w:r w:rsidRPr="00153D07">
              <w:rPr>
                <w:rFonts w:ascii="Times New Roman" w:hAnsi="Times New Roman" w:cs="Times New Roman"/>
                <w:b/>
                <w:bCs/>
              </w:rPr>
              <w:t>Rej</w:t>
            </w:r>
            <w:proofErr w:type="spellEnd"/>
            <w:r w:rsidRPr="00153D07">
              <w:rPr>
                <w:rFonts w:ascii="Times New Roman" w:hAnsi="Times New Roman" w:cs="Times New Roman"/>
                <w:b/>
                <w:bCs/>
              </w:rPr>
              <w:t>%</w:t>
            </w:r>
          </w:p>
        </w:tc>
      </w:tr>
      <w:tr w:rsidR="009454BE" w:rsidRPr="00AD04DA" w14:paraId="41E2F8C0" w14:textId="77777777" w:rsidTr="009454BE">
        <w:trPr>
          <w:trHeight w:val="300"/>
        </w:trPr>
        <w:tc>
          <w:tcPr>
            <w:tcW w:w="558" w:type="dxa"/>
            <w:tcBorders>
              <w:top w:val="single" w:sz="4" w:space="0" w:color="auto"/>
            </w:tcBorders>
            <w:noWrap/>
            <w:hideMark/>
          </w:tcPr>
          <w:p w14:paraId="20470C36"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w:t>
            </w:r>
          </w:p>
        </w:tc>
        <w:tc>
          <w:tcPr>
            <w:tcW w:w="576" w:type="dxa"/>
            <w:tcBorders>
              <w:top w:val="single" w:sz="4" w:space="0" w:color="auto"/>
            </w:tcBorders>
            <w:noWrap/>
            <w:hideMark/>
          </w:tcPr>
          <w:p w14:paraId="60AC38D9"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w:t>
            </w:r>
          </w:p>
        </w:tc>
        <w:tc>
          <w:tcPr>
            <w:tcW w:w="703" w:type="dxa"/>
            <w:gridSpan w:val="2"/>
            <w:tcBorders>
              <w:top w:val="single" w:sz="4" w:space="0" w:color="auto"/>
            </w:tcBorders>
            <w:noWrap/>
            <w:hideMark/>
          </w:tcPr>
          <w:p w14:paraId="4A0DD6B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10</w:t>
            </w:r>
          </w:p>
        </w:tc>
        <w:tc>
          <w:tcPr>
            <w:tcW w:w="705" w:type="dxa"/>
            <w:tcBorders>
              <w:top w:val="single" w:sz="4" w:space="0" w:color="auto"/>
            </w:tcBorders>
            <w:noWrap/>
            <w:hideMark/>
          </w:tcPr>
          <w:p w14:paraId="0FF3FECF"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0.107</w:t>
            </w:r>
          </w:p>
        </w:tc>
        <w:tc>
          <w:tcPr>
            <w:tcW w:w="724" w:type="dxa"/>
            <w:tcBorders>
              <w:top w:val="single" w:sz="4" w:space="0" w:color="auto"/>
            </w:tcBorders>
            <w:noWrap/>
            <w:hideMark/>
          </w:tcPr>
          <w:p w14:paraId="1E82FF20"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1.07</w:t>
            </w:r>
          </w:p>
        </w:tc>
        <w:tc>
          <w:tcPr>
            <w:tcW w:w="882" w:type="dxa"/>
            <w:tcBorders>
              <w:top w:val="single" w:sz="4" w:space="0" w:color="auto"/>
            </w:tcBorders>
            <w:noWrap/>
            <w:hideMark/>
          </w:tcPr>
          <w:p w14:paraId="228243BF"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1.07</w:t>
            </w:r>
          </w:p>
        </w:tc>
        <w:tc>
          <w:tcPr>
            <w:tcW w:w="783" w:type="dxa"/>
            <w:tcBorders>
              <w:top w:val="single" w:sz="4" w:space="0" w:color="auto"/>
            </w:tcBorders>
            <w:noWrap/>
            <w:hideMark/>
          </w:tcPr>
          <w:p w14:paraId="7A6DB70C"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500000</w:t>
            </w:r>
          </w:p>
        </w:tc>
        <w:tc>
          <w:tcPr>
            <w:tcW w:w="824" w:type="dxa"/>
            <w:tcBorders>
              <w:top w:val="single" w:sz="4" w:space="0" w:color="auto"/>
            </w:tcBorders>
            <w:noWrap/>
            <w:hideMark/>
          </w:tcPr>
          <w:p w14:paraId="5E143E32"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7871.6</w:t>
            </w:r>
          </w:p>
        </w:tc>
        <w:tc>
          <w:tcPr>
            <w:tcW w:w="992" w:type="dxa"/>
            <w:tcBorders>
              <w:top w:val="single" w:sz="4" w:space="0" w:color="auto"/>
            </w:tcBorders>
            <w:noWrap/>
            <w:hideMark/>
          </w:tcPr>
          <w:p w14:paraId="49A2E14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64.56404</w:t>
            </w:r>
          </w:p>
        </w:tc>
        <w:tc>
          <w:tcPr>
            <w:tcW w:w="839" w:type="dxa"/>
            <w:tcBorders>
              <w:top w:val="single" w:sz="4" w:space="0" w:color="auto"/>
            </w:tcBorders>
            <w:noWrap/>
            <w:hideMark/>
          </w:tcPr>
          <w:p w14:paraId="08AA1859"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2.03</w:t>
            </w:r>
          </w:p>
        </w:tc>
        <w:tc>
          <w:tcPr>
            <w:tcW w:w="882" w:type="dxa"/>
            <w:tcBorders>
              <w:top w:val="single" w:sz="4" w:space="0" w:color="auto"/>
            </w:tcBorders>
            <w:noWrap/>
            <w:hideMark/>
          </w:tcPr>
          <w:p w14:paraId="0074CBDA"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1289.471</w:t>
            </w:r>
          </w:p>
        </w:tc>
        <w:tc>
          <w:tcPr>
            <w:tcW w:w="882" w:type="dxa"/>
            <w:tcBorders>
              <w:top w:val="single" w:sz="4" w:space="0" w:color="auto"/>
            </w:tcBorders>
            <w:noWrap/>
            <w:hideMark/>
          </w:tcPr>
          <w:p w14:paraId="1BBD228B"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99.74211</w:t>
            </w:r>
          </w:p>
        </w:tc>
      </w:tr>
      <w:tr w:rsidR="009454BE" w:rsidRPr="00AD04DA" w14:paraId="4C32B85F" w14:textId="77777777" w:rsidTr="009454BE">
        <w:trPr>
          <w:trHeight w:val="300"/>
        </w:trPr>
        <w:tc>
          <w:tcPr>
            <w:tcW w:w="558" w:type="dxa"/>
            <w:noWrap/>
            <w:hideMark/>
          </w:tcPr>
          <w:p w14:paraId="3B6DC351"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w:t>
            </w:r>
          </w:p>
        </w:tc>
        <w:tc>
          <w:tcPr>
            <w:tcW w:w="576" w:type="dxa"/>
            <w:noWrap/>
            <w:hideMark/>
          </w:tcPr>
          <w:p w14:paraId="7CEAC93F"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w:t>
            </w:r>
          </w:p>
        </w:tc>
        <w:tc>
          <w:tcPr>
            <w:tcW w:w="703" w:type="dxa"/>
            <w:gridSpan w:val="2"/>
            <w:noWrap/>
            <w:hideMark/>
          </w:tcPr>
          <w:p w14:paraId="56377963"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10</w:t>
            </w:r>
          </w:p>
        </w:tc>
        <w:tc>
          <w:tcPr>
            <w:tcW w:w="705" w:type="dxa"/>
            <w:noWrap/>
            <w:hideMark/>
          </w:tcPr>
          <w:p w14:paraId="29389C6A"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0.0623</w:t>
            </w:r>
          </w:p>
        </w:tc>
        <w:tc>
          <w:tcPr>
            <w:tcW w:w="724" w:type="dxa"/>
            <w:noWrap/>
            <w:hideMark/>
          </w:tcPr>
          <w:p w14:paraId="7BD552F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0.623</w:t>
            </w:r>
          </w:p>
        </w:tc>
        <w:tc>
          <w:tcPr>
            <w:tcW w:w="882" w:type="dxa"/>
            <w:noWrap/>
            <w:hideMark/>
          </w:tcPr>
          <w:p w14:paraId="41DDB4D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0.623</w:t>
            </w:r>
          </w:p>
        </w:tc>
        <w:tc>
          <w:tcPr>
            <w:tcW w:w="783" w:type="dxa"/>
            <w:noWrap/>
            <w:hideMark/>
          </w:tcPr>
          <w:p w14:paraId="71704CFC"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500000</w:t>
            </w:r>
          </w:p>
        </w:tc>
        <w:tc>
          <w:tcPr>
            <w:tcW w:w="824" w:type="dxa"/>
            <w:noWrap/>
            <w:hideMark/>
          </w:tcPr>
          <w:p w14:paraId="7C46636B"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16473.5</w:t>
            </w:r>
          </w:p>
        </w:tc>
        <w:tc>
          <w:tcPr>
            <w:tcW w:w="992" w:type="dxa"/>
            <w:noWrap/>
            <w:hideMark/>
          </w:tcPr>
          <w:p w14:paraId="3360F416"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135.117</w:t>
            </w:r>
          </w:p>
        </w:tc>
        <w:tc>
          <w:tcPr>
            <w:tcW w:w="839" w:type="dxa"/>
            <w:noWrap/>
            <w:hideMark/>
          </w:tcPr>
          <w:p w14:paraId="2980BF58"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1.185</w:t>
            </w:r>
          </w:p>
        </w:tc>
        <w:tc>
          <w:tcPr>
            <w:tcW w:w="882" w:type="dxa"/>
            <w:noWrap/>
            <w:hideMark/>
          </w:tcPr>
          <w:p w14:paraId="4B395428"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2705.159</w:t>
            </w:r>
          </w:p>
        </w:tc>
        <w:tc>
          <w:tcPr>
            <w:tcW w:w="882" w:type="dxa"/>
            <w:noWrap/>
            <w:hideMark/>
          </w:tcPr>
          <w:p w14:paraId="715E5D6B"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99.45897</w:t>
            </w:r>
          </w:p>
        </w:tc>
      </w:tr>
      <w:tr w:rsidR="009454BE" w:rsidRPr="00AD04DA" w14:paraId="3A8DE8E0" w14:textId="77777777" w:rsidTr="009454BE">
        <w:trPr>
          <w:trHeight w:val="300"/>
        </w:trPr>
        <w:tc>
          <w:tcPr>
            <w:tcW w:w="558" w:type="dxa"/>
            <w:noWrap/>
            <w:hideMark/>
          </w:tcPr>
          <w:p w14:paraId="50D800EF"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3</w:t>
            </w:r>
          </w:p>
        </w:tc>
        <w:tc>
          <w:tcPr>
            <w:tcW w:w="576" w:type="dxa"/>
            <w:noWrap/>
            <w:hideMark/>
          </w:tcPr>
          <w:p w14:paraId="09A8A44C"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w:t>
            </w:r>
          </w:p>
        </w:tc>
        <w:tc>
          <w:tcPr>
            <w:tcW w:w="703" w:type="dxa"/>
            <w:gridSpan w:val="2"/>
            <w:noWrap/>
            <w:hideMark/>
          </w:tcPr>
          <w:p w14:paraId="25B3B86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10</w:t>
            </w:r>
          </w:p>
        </w:tc>
        <w:tc>
          <w:tcPr>
            <w:tcW w:w="705" w:type="dxa"/>
            <w:noWrap/>
            <w:hideMark/>
          </w:tcPr>
          <w:p w14:paraId="7AB6E5A4"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0.1558</w:t>
            </w:r>
          </w:p>
        </w:tc>
        <w:tc>
          <w:tcPr>
            <w:tcW w:w="724" w:type="dxa"/>
            <w:noWrap/>
            <w:hideMark/>
          </w:tcPr>
          <w:p w14:paraId="5594BFAF"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1.558</w:t>
            </w:r>
          </w:p>
        </w:tc>
        <w:tc>
          <w:tcPr>
            <w:tcW w:w="882" w:type="dxa"/>
            <w:noWrap/>
            <w:hideMark/>
          </w:tcPr>
          <w:p w14:paraId="468A8732"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1.558</w:t>
            </w:r>
          </w:p>
        </w:tc>
        <w:tc>
          <w:tcPr>
            <w:tcW w:w="783" w:type="dxa"/>
            <w:noWrap/>
            <w:hideMark/>
          </w:tcPr>
          <w:p w14:paraId="4B717536"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500000</w:t>
            </w:r>
          </w:p>
        </w:tc>
        <w:tc>
          <w:tcPr>
            <w:tcW w:w="824" w:type="dxa"/>
            <w:noWrap/>
            <w:hideMark/>
          </w:tcPr>
          <w:p w14:paraId="5AAA6F9C"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204182.8</w:t>
            </w:r>
          </w:p>
        </w:tc>
        <w:tc>
          <w:tcPr>
            <w:tcW w:w="992" w:type="dxa"/>
            <w:noWrap/>
            <w:hideMark/>
          </w:tcPr>
          <w:p w14:paraId="57888917"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1674.728</w:t>
            </w:r>
          </w:p>
        </w:tc>
        <w:tc>
          <w:tcPr>
            <w:tcW w:w="839" w:type="dxa"/>
            <w:noWrap/>
            <w:hideMark/>
          </w:tcPr>
          <w:p w14:paraId="2C0013E5"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2.96</w:t>
            </w:r>
          </w:p>
        </w:tc>
        <w:tc>
          <w:tcPr>
            <w:tcW w:w="882" w:type="dxa"/>
            <w:noWrap/>
            <w:hideMark/>
          </w:tcPr>
          <w:p w14:paraId="1A07F82F"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33492.41</w:t>
            </w:r>
          </w:p>
        </w:tc>
        <w:tc>
          <w:tcPr>
            <w:tcW w:w="882" w:type="dxa"/>
            <w:noWrap/>
            <w:hideMark/>
          </w:tcPr>
          <w:p w14:paraId="3EC8DB32"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93.30152</w:t>
            </w:r>
          </w:p>
        </w:tc>
      </w:tr>
      <w:tr w:rsidR="009454BE" w:rsidRPr="00AD04DA" w14:paraId="221A94D8" w14:textId="77777777" w:rsidTr="009454BE">
        <w:trPr>
          <w:trHeight w:val="300"/>
        </w:trPr>
        <w:tc>
          <w:tcPr>
            <w:tcW w:w="558" w:type="dxa"/>
            <w:noWrap/>
            <w:hideMark/>
          </w:tcPr>
          <w:p w14:paraId="712BBFC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w:t>
            </w:r>
          </w:p>
        </w:tc>
        <w:tc>
          <w:tcPr>
            <w:tcW w:w="576" w:type="dxa"/>
            <w:noWrap/>
            <w:hideMark/>
          </w:tcPr>
          <w:p w14:paraId="366A00E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w:t>
            </w:r>
          </w:p>
        </w:tc>
        <w:tc>
          <w:tcPr>
            <w:tcW w:w="703" w:type="dxa"/>
            <w:gridSpan w:val="2"/>
            <w:noWrap/>
            <w:hideMark/>
          </w:tcPr>
          <w:p w14:paraId="1BB25BD7"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9.893</w:t>
            </w:r>
          </w:p>
        </w:tc>
        <w:tc>
          <w:tcPr>
            <w:tcW w:w="705" w:type="dxa"/>
            <w:noWrap/>
            <w:hideMark/>
          </w:tcPr>
          <w:p w14:paraId="247A157C"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0.0926</w:t>
            </w:r>
          </w:p>
        </w:tc>
        <w:tc>
          <w:tcPr>
            <w:tcW w:w="724" w:type="dxa"/>
            <w:noWrap/>
            <w:hideMark/>
          </w:tcPr>
          <w:p w14:paraId="7A96E95F"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0.926</w:t>
            </w:r>
          </w:p>
        </w:tc>
        <w:tc>
          <w:tcPr>
            <w:tcW w:w="882" w:type="dxa"/>
            <w:noWrap/>
            <w:hideMark/>
          </w:tcPr>
          <w:p w14:paraId="0A83CB9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0.936015</w:t>
            </w:r>
          </w:p>
        </w:tc>
        <w:tc>
          <w:tcPr>
            <w:tcW w:w="783" w:type="dxa"/>
            <w:noWrap/>
            <w:hideMark/>
          </w:tcPr>
          <w:p w14:paraId="7D27014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500000</w:t>
            </w:r>
          </w:p>
        </w:tc>
        <w:tc>
          <w:tcPr>
            <w:tcW w:w="824" w:type="dxa"/>
            <w:noWrap/>
            <w:hideMark/>
          </w:tcPr>
          <w:p w14:paraId="5C69DACF"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524395.4</w:t>
            </w:r>
          </w:p>
        </w:tc>
        <w:tc>
          <w:tcPr>
            <w:tcW w:w="992" w:type="dxa"/>
            <w:noWrap/>
            <w:hideMark/>
          </w:tcPr>
          <w:p w14:paraId="63FC3082"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4301.144</w:t>
            </w:r>
          </w:p>
        </w:tc>
        <w:tc>
          <w:tcPr>
            <w:tcW w:w="839" w:type="dxa"/>
            <w:noWrap/>
            <w:hideMark/>
          </w:tcPr>
          <w:p w14:paraId="5CDDC7F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1.76</w:t>
            </w:r>
          </w:p>
        </w:tc>
        <w:tc>
          <w:tcPr>
            <w:tcW w:w="882" w:type="dxa"/>
            <w:noWrap/>
            <w:hideMark/>
          </w:tcPr>
          <w:p w14:paraId="434E09CE"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86050.74</w:t>
            </w:r>
          </w:p>
        </w:tc>
        <w:tc>
          <w:tcPr>
            <w:tcW w:w="882" w:type="dxa"/>
            <w:noWrap/>
            <w:hideMark/>
          </w:tcPr>
          <w:p w14:paraId="23DAF5F6" w14:textId="77777777" w:rsidR="00D16908" w:rsidRPr="00153D07" w:rsidRDefault="00D16908" w:rsidP="00D16908">
            <w:pPr>
              <w:jc w:val="center"/>
              <w:rPr>
                <w:rFonts w:ascii="Times New Roman" w:hAnsi="Times New Roman" w:cs="Times New Roman"/>
                <w:highlight w:val="red"/>
              </w:rPr>
            </w:pPr>
            <w:r w:rsidRPr="00153D07">
              <w:rPr>
                <w:rFonts w:ascii="Times New Roman" w:hAnsi="Times New Roman" w:cs="Times New Roman"/>
                <w:highlight w:val="red"/>
              </w:rPr>
              <w:t>82.78985</w:t>
            </w:r>
          </w:p>
        </w:tc>
      </w:tr>
      <w:tr w:rsidR="009454BE" w:rsidRPr="00AD04DA" w14:paraId="6CBD4DFC" w14:textId="77777777" w:rsidTr="009454BE">
        <w:trPr>
          <w:trHeight w:val="300"/>
        </w:trPr>
        <w:tc>
          <w:tcPr>
            <w:tcW w:w="558" w:type="dxa"/>
            <w:noWrap/>
            <w:hideMark/>
          </w:tcPr>
          <w:p w14:paraId="70CCD7F7"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w:t>
            </w:r>
          </w:p>
        </w:tc>
        <w:tc>
          <w:tcPr>
            <w:tcW w:w="576" w:type="dxa"/>
            <w:noWrap/>
            <w:hideMark/>
          </w:tcPr>
          <w:p w14:paraId="7D861317"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w:t>
            </w:r>
          </w:p>
        </w:tc>
        <w:tc>
          <w:tcPr>
            <w:tcW w:w="703" w:type="dxa"/>
            <w:gridSpan w:val="2"/>
            <w:noWrap/>
            <w:hideMark/>
          </w:tcPr>
          <w:p w14:paraId="1B975D02"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9.9377</w:t>
            </w:r>
          </w:p>
        </w:tc>
        <w:tc>
          <w:tcPr>
            <w:tcW w:w="705" w:type="dxa"/>
            <w:noWrap/>
            <w:hideMark/>
          </w:tcPr>
          <w:p w14:paraId="18D7CEC0"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0.0246</w:t>
            </w:r>
          </w:p>
        </w:tc>
        <w:tc>
          <w:tcPr>
            <w:tcW w:w="724" w:type="dxa"/>
            <w:noWrap/>
            <w:hideMark/>
          </w:tcPr>
          <w:p w14:paraId="2A2357FE"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0.246</w:t>
            </w:r>
          </w:p>
        </w:tc>
        <w:tc>
          <w:tcPr>
            <w:tcW w:w="882" w:type="dxa"/>
            <w:noWrap/>
            <w:hideMark/>
          </w:tcPr>
          <w:p w14:paraId="28F3869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0.247542</w:t>
            </w:r>
          </w:p>
        </w:tc>
        <w:tc>
          <w:tcPr>
            <w:tcW w:w="783" w:type="dxa"/>
            <w:noWrap/>
            <w:hideMark/>
          </w:tcPr>
          <w:p w14:paraId="217FF89F"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500000</w:t>
            </w:r>
          </w:p>
        </w:tc>
        <w:tc>
          <w:tcPr>
            <w:tcW w:w="824" w:type="dxa"/>
            <w:noWrap/>
            <w:hideMark/>
          </w:tcPr>
          <w:p w14:paraId="4571BF75"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2861.6</w:t>
            </w:r>
          </w:p>
        </w:tc>
        <w:tc>
          <w:tcPr>
            <w:tcW w:w="992" w:type="dxa"/>
            <w:noWrap/>
            <w:hideMark/>
          </w:tcPr>
          <w:p w14:paraId="37CAC139"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23.47111</w:t>
            </w:r>
          </w:p>
        </w:tc>
        <w:tc>
          <w:tcPr>
            <w:tcW w:w="839" w:type="dxa"/>
            <w:noWrap/>
            <w:hideMark/>
          </w:tcPr>
          <w:p w14:paraId="786379C0"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4.8</w:t>
            </w:r>
          </w:p>
        </w:tc>
        <w:tc>
          <w:tcPr>
            <w:tcW w:w="882" w:type="dxa"/>
            <w:noWrap/>
            <w:hideMark/>
          </w:tcPr>
          <w:p w14:paraId="1B42B6FC"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4603.199</w:t>
            </w:r>
          </w:p>
        </w:tc>
        <w:tc>
          <w:tcPr>
            <w:tcW w:w="882" w:type="dxa"/>
            <w:noWrap/>
            <w:hideMark/>
          </w:tcPr>
          <w:p w14:paraId="69729B50"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99.07936</w:t>
            </w:r>
          </w:p>
        </w:tc>
      </w:tr>
      <w:tr w:rsidR="009454BE" w:rsidRPr="00AD04DA" w14:paraId="0D3DB740" w14:textId="77777777" w:rsidTr="009454BE">
        <w:trPr>
          <w:trHeight w:val="300"/>
        </w:trPr>
        <w:tc>
          <w:tcPr>
            <w:tcW w:w="558" w:type="dxa"/>
            <w:noWrap/>
            <w:hideMark/>
          </w:tcPr>
          <w:p w14:paraId="3565BB67"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3</w:t>
            </w:r>
          </w:p>
        </w:tc>
        <w:tc>
          <w:tcPr>
            <w:tcW w:w="576" w:type="dxa"/>
            <w:noWrap/>
            <w:hideMark/>
          </w:tcPr>
          <w:p w14:paraId="1AD325D4"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w:t>
            </w:r>
          </w:p>
        </w:tc>
        <w:tc>
          <w:tcPr>
            <w:tcW w:w="703" w:type="dxa"/>
            <w:gridSpan w:val="2"/>
            <w:noWrap/>
            <w:hideMark/>
          </w:tcPr>
          <w:p w14:paraId="315EED77"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9.8442</w:t>
            </w:r>
          </w:p>
        </w:tc>
        <w:tc>
          <w:tcPr>
            <w:tcW w:w="705" w:type="dxa"/>
            <w:noWrap/>
            <w:hideMark/>
          </w:tcPr>
          <w:p w14:paraId="21C8B198"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0.0866</w:t>
            </w:r>
          </w:p>
        </w:tc>
        <w:tc>
          <w:tcPr>
            <w:tcW w:w="724" w:type="dxa"/>
            <w:noWrap/>
            <w:hideMark/>
          </w:tcPr>
          <w:p w14:paraId="2B51D303"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0.866</w:t>
            </w:r>
          </w:p>
        </w:tc>
        <w:tc>
          <w:tcPr>
            <w:tcW w:w="882" w:type="dxa"/>
            <w:noWrap/>
            <w:hideMark/>
          </w:tcPr>
          <w:p w14:paraId="7D18D5CE"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0.879706</w:t>
            </w:r>
          </w:p>
        </w:tc>
        <w:tc>
          <w:tcPr>
            <w:tcW w:w="783" w:type="dxa"/>
            <w:noWrap/>
            <w:hideMark/>
          </w:tcPr>
          <w:p w14:paraId="3CCF371F"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500000</w:t>
            </w:r>
          </w:p>
        </w:tc>
        <w:tc>
          <w:tcPr>
            <w:tcW w:w="824" w:type="dxa"/>
            <w:noWrap/>
            <w:hideMark/>
          </w:tcPr>
          <w:p w14:paraId="748280B1"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49466.4</w:t>
            </w:r>
          </w:p>
        </w:tc>
        <w:tc>
          <w:tcPr>
            <w:tcW w:w="992" w:type="dxa"/>
            <w:noWrap/>
            <w:hideMark/>
          </w:tcPr>
          <w:p w14:paraId="4D8FFDBC"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405.7287</w:t>
            </w:r>
          </w:p>
        </w:tc>
        <w:tc>
          <w:tcPr>
            <w:tcW w:w="839" w:type="dxa"/>
            <w:noWrap/>
            <w:hideMark/>
          </w:tcPr>
          <w:p w14:paraId="280603D1"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6.58</w:t>
            </w:r>
          </w:p>
        </w:tc>
        <w:tc>
          <w:tcPr>
            <w:tcW w:w="882" w:type="dxa"/>
            <w:noWrap/>
            <w:hideMark/>
          </w:tcPr>
          <w:p w14:paraId="09CD3FB2"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31233.61</w:t>
            </w:r>
          </w:p>
        </w:tc>
        <w:tc>
          <w:tcPr>
            <w:tcW w:w="882" w:type="dxa"/>
            <w:noWrap/>
            <w:hideMark/>
          </w:tcPr>
          <w:p w14:paraId="2211502E"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93.75328</w:t>
            </w:r>
          </w:p>
        </w:tc>
      </w:tr>
      <w:tr w:rsidR="009454BE" w:rsidRPr="00AD04DA" w14:paraId="0EA68B6A" w14:textId="77777777" w:rsidTr="009454BE">
        <w:trPr>
          <w:trHeight w:val="300"/>
        </w:trPr>
        <w:tc>
          <w:tcPr>
            <w:tcW w:w="558" w:type="dxa"/>
            <w:noWrap/>
            <w:hideMark/>
          </w:tcPr>
          <w:p w14:paraId="13ABD11E"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w:t>
            </w:r>
          </w:p>
        </w:tc>
        <w:tc>
          <w:tcPr>
            <w:tcW w:w="576" w:type="dxa"/>
            <w:noWrap/>
            <w:hideMark/>
          </w:tcPr>
          <w:p w14:paraId="41822E96"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3</w:t>
            </w:r>
          </w:p>
        </w:tc>
        <w:tc>
          <w:tcPr>
            <w:tcW w:w="703" w:type="dxa"/>
            <w:gridSpan w:val="2"/>
            <w:noWrap/>
            <w:hideMark/>
          </w:tcPr>
          <w:p w14:paraId="3A41FD4B"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9.8004</w:t>
            </w:r>
          </w:p>
        </w:tc>
        <w:tc>
          <w:tcPr>
            <w:tcW w:w="705" w:type="dxa"/>
            <w:noWrap/>
            <w:hideMark/>
          </w:tcPr>
          <w:p w14:paraId="109F070F"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0.0451</w:t>
            </w:r>
          </w:p>
        </w:tc>
        <w:tc>
          <w:tcPr>
            <w:tcW w:w="724" w:type="dxa"/>
            <w:noWrap/>
            <w:hideMark/>
          </w:tcPr>
          <w:p w14:paraId="3FDE71A3"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0.451</w:t>
            </w:r>
          </w:p>
        </w:tc>
        <w:tc>
          <w:tcPr>
            <w:tcW w:w="882" w:type="dxa"/>
            <w:noWrap/>
            <w:hideMark/>
          </w:tcPr>
          <w:p w14:paraId="53BA53FA"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0.460185</w:t>
            </w:r>
          </w:p>
        </w:tc>
        <w:tc>
          <w:tcPr>
            <w:tcW w:w="783" w:type="dxa"/>
            <w:noWrap/>
            <w:hideMark/>
          </w:tcPr>
          <w:p w14:paraId="2E348EE3"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500000</w:t>
            </w:r>
          </w:p>
        </w:tc>
        <w:tc>
          <w:tcPr>
            <w:tcW w:w="824" w:type="dxa"/>
            <w:noWrap/>
            <w:hideMark/>
          </w:tcPr>
          <w:p w14:paraId="315A77FA"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989.9</w:t>
            </w:r>
          </w:p>
        </w:tc>
        <w:tc>
          <w:tcPr>
            <w:tcW w:w="992" w:type="dxa"/>
            <w:noWrap/>
            <w:hideMark/>
          </w:tcPr>
          <w:p w14:paraId="76B97FAB"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8.119387</w:t>
            </w:r>
          </w:p>
        </w:tc>
        <w:tc>
          <w:tcPr>
            <w:tcW w:w="839" w:type="dxa"/>
            <w:noWrap/>
            <w:hideMark/>
          </w:tcPr>
          <w:p w14:paraId="4563B8C2"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7.035</w:t>
            </w:r>
          </w:p>
        </w:tc>
        <w:tc>
          <w:tcPr>
            <w:tcW w:w="882" w:type="dxa"/>
            <w:noWrap/>
            <w:hideMark/>
          </w:tcPr>
          <w:p w14:paraId="1DB3CB36"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1274.636</w:t>
            </w:r>
          </w:p>
        </w:tc>
        <w:tc>
          <w:tcPr>
            <w:tcW w:w="882" w:type="dxa"/>
            <w:noWrap/>
            <w:hideMark/>
          </w:tcPr>
          <w:p w14:paraId="15879D34"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99.74507</w:t>
            </w:r>
          </w:p>
        </w:tc>
      </w:tr>
      <w:tr w:rsidR="009454BE" w:rsidRPr="00AD04DA" w14:paraId="03841859" w14:textId="77777777" w:rsidTr="009454BE">
        <w:trPr>
          <w:trHeight w:val="300"/>
        </w:trPr>
        <w:tc>
          <w:tcPr>
            <w:tcW w:w="558" w:type="dxa"/>
            <w:noWrap/>
            <w:hideMark/>
          </w:tcPr>
          <w:p w14:paraId="263F2BD7"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w:t>
            </w:r>
          </w:p>
        </w:tc>
        <w:tc>
          <w:tcPr>
            <w:tcW w:w="576" w:type="dxa"/>
            <w:noWrap/>
            <w:hideMark/>
          </w:tcPr>
          <w:p w14:paraId="608191C6"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3</w:t>
            </w:r>
          </w:p>
        </w:tc>
        <w:tc>
          <w:tcPr>
            <w:tcW w:w="703" w:type="dxa"/>
            <w:gridSpan w:val="2"/>
            <w:noWrap/>
            <w:hideMark/>
          </w:tcPr>
          <w:p w14:paraId="65C23B62"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9.9131</w:t>
            </w:r>
          </w:p>
        </w:tc>
        <w:tc>
          <w:tcPr>
            <w:tcW w:w="705" w:type="dxa"/>
            <w:noWrap/>
            <w:hideMark/>
          </w:tcPr>
          <w:p w14:paraId="676D125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0.0759</w:t>
            </w:r>
          </w:p>
        </w:tc>
        <w:tc>
          <w:tcPr>
            <w:tcW w:w="724" w:type="dxa"/>
            <w:noWrap/>
            <w:hideMark/>
          </w:tcPr>
          <w:p w14:paraId="5E666BF9"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0.759</w:t>
            </w:r>
          </w:p>
        </w:tc>
        <w:tc>
          <w:tcPr>
            <w:tcW w:w="882" w:type="dxa"/>
            <w:noWrap/>
            <w:hideMark/>
          </w:tcPr>
          <w:p w14:paraId="1A4928C5"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0.765654</w:t>
            </w:r>
          </w:p>
        </w:tc>
        <w:tc>
          <w:tcPr>
            <w:tcW w:w="783" w:type="dxa"/>
            <w:noWrap/>
            <w:hideMark/>
          </w:tcPr>
          <w:p w14:paraId="03ADC3F8"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500000</w:t>
            </w:r>
          </w:p>
        </w:tc>
        <w:tc>
          <w:tcPr>
            <w:tcW w:w="824" w:type="dxa"/>
            <w:noWrap/>
            <w:hideMark/>
          </w:tcPr>
          <w:p w14:paraId="3C43AFA0"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1013.5</w:t>
            </w:r>
          </w:p>
        </w:tc>
        <w:tc>
          <w:tcPr>
            <w:tcW w:w="992" w:type="dxa"/>
            <w:noWrap/>
            <w:hideMark/>
          </w:tcPr>
          <w:p w14:paraId="0BB55F40"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8.313188</w:t>
            </w:r>
          </w:p>
        </w:tc>
        <w:tc>
          <w:tcPr>
            <w:tcW w:w="839" w:type="dxa"/>
            <w:noWrap/>
            <w:hideMark/>
          </w:tcPr>
          <w:p w14:paraId="4813D0B9"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1.442</w:t>
            </w:r>
          </w:p>
        </w:tc>
        <w:tc>
          <w:tcPr>
            <w:tcW w:w="882" w:type="dxa"/>
            <w:noWrap/>
            <w:hideMark/>
          </w:tcPr>
          <w:p w14:paraId="3B3B2512"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166.2528</w:t>
            </w:r>
          </w:p>
        </w:tc>
        <w:tc>
          <w:tcPr>
            <w:tcW w:w="882" w:type="dxa"/>
            <w:noWrap/>
            <w:hideMark/>
          </w:tcPr>
          <w:p w14:paraId="6709F18A"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99.96675</w:t>
            </w:r>
          </w:p>
        </w:tc>
      </w:tr>
      <w:tr w:rsidR="009454BE" w:rsidRPr="00AD04DA" w14:paraId="642EDFCD" w14:textId="77777777" w:rsidTr="009454BE">
        <w:trPr>
          <w:trHeight w:val="300"/>
        </w:trPr>
        <w:tc>
          <w:tcPr>
            <w:tcW w:w="558" w:type="dxa"/>
            <w:noWrap/>
            <w:hideMark/>
          </w:tcPr>
          <w:p w14:paraId="7DA6C04E"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3</w:t>
            </w:r>
          </w:p>
        </w:tc>
        <w:tc>
          <w:tcPr>
            <w:tcW w:w="576" w:type="dxa"/>
            <w:noWrap/>
            <w:hideMark/>
          </w:tcPr>
          <w:p w14:paraId="012C7676"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3</w:t>
            </w:r>
          </w:p>
        </w:tc>
        <w:tc>
          <w:tcPr>
            <w:tcW w:w="703" w:type="dxa"/>
            <w:gridSpan w:val="2"/>
            <w:noWrap/>
            <w:hideMark/>
          </w:tcPr>
          <w:p w14:paraId="21C945BD"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9.7576</w:t>
            </w:r>
          </w:p>
        </w:tc>
        <w:tc>
          <w:tcPr>
            <w:tcW w:w="705" w:type="dxa"/>
            <w:noWrap/>
            <w:hideMark/>
          </w:tcPr>
          <w:p w14:paraId="41853855"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0.0546</w:t>
            </w:r>
          </w:p>
        </w:tc>
        <w:tc>
          <w:tcPr>
            <w:tcW w:w="724" w:type="dxa"/>
            <w:noWrap/>
            <w:hideMark/>
          </w:tcPr>
          <w:p w14:paraId="2ECEDD99"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0.546</w:t>
            </w:r>
          </w:p>
        </w:tc>
        <w:tc>
          <w:tcPr>
            <w:tcW w:w="882" w:type="dxa"/>
            <w:noWrap/>
            <w:hideMark/>
          </w:tcPr>
          <w:p w14:paraId="5118081A"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0.559564</w:t>
            </w:r>
          </w:p>
        </w:tc>
        <w:tc>
          <w:tcPr>
            <w:tcW w:w="783" w:type="dxa"/>
            <w:noWrap/>
            <w:hideMark/>
          </w:tcPr>
          <w:p w14:paraId="21FBBF43"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500000</w:t>
            </w:r>
          </w:p>
        </w:tc>
        <w:tc>
          <w:tcPr>
            <w:tcW w:w="824" w:type="dxa"/>
            <w:noWrap/>
            <w:hideMark/>
          </w:tcPr>
          <w:p w14:paraId="51E543CE"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236.5</w:t>
            </w:r>
          </w:p>
        </w:tc>
        <w:tc>
          <w:tcPr>
            <w:tcW w:w="992" w:type="dxa"/>
            <w:noWrap/>
            <w:hideMark/>
          </w:tcPr>
          <w:p w14:paraId="63672733"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1.93981</w:t>
            </w:r>
          </w:p>
        </w:tc>
        <w:tc>
          <w:tcPr>
            <w:tcW w:w="839" w:type="dxa"/>
            <w:noWrap/>
            <w:hideMark/>
          </w:tcPr>
          <w:p w14:paraId="0757C8EA"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1.037</w:t>
            </w:r>
          </w:p>
        </w:tc>
        <w:tc>
          <w:tcPr>
            <w:tcW w:w="882" w:type="dxa"/>
            <w:noWrap/>
            <w:hideMark/>
          </w:tcPr>
          <w:p w14:paraId="4DC37660"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38.782</w:t>
            </w:r>
          </w:p>
        </w:tc>
        <w:tc>
          <w:tcPr>
            <w:tcW w:w="882" w:type="dxa"/>
            <w:noWrap/>
            <w:hideMark/>
          </w:tcPr>
          <w:p w14:paraId="5EA111A5" w14:textId="77777777" w:rsidR="00D16908" w:rsidRPr="00153D07" w:rsidRDefault="00D16908" w:rsidP="00D16908">
            <w:pPr>
              <w:jc w:val="center"/>
              <w:rPr>
                <w:rFonts w:ascii="Times New Roman" w:hAnsi="Times New Roman" w:cs="Times New Roman"/>
              </w:rPr>
            </w:pPr>
            <w:r w:rsidRPr="00153D07">
              <w:rPr>
                <w:rFonts w:ascii="Times New Roman" w:hAnsi="Times New Roman" w:cs="Times New Roman"/>
              </w:rPr>
              <w:t>99.99224</w:t>
            </w:r>
          </w:p>
        </w:tc>
      </w:tr>
    </w:tbl>
    <w:p w14:paraId="0F3CACFA" w14:textId="77777777" w:rsidR="008D6421" w:rsidRPr="00AD04DA" w:rsidRDefault="008D6421" w:rsidP="00B02CBC">
      <w:pPr>
        <w:spacing w:line="480" w:lineRule="auto"/>
        <w:jc w:val="center"/>
        <w:rPr>
          <w:rFonts w:ascii="Times New Roman" w:hAnsi="Times New Roman" w:cs="Times New Roman"/>
          <w:sz w:val="24"/>
          <w:szCs w:val="24"/>
        </w:rPr>
      </w:pPr>
    </w:p>
    <w:p w14:paraId="74F28F9B" w14:textId="57A9B6E5" w:rsidR="00C4062D" w:rsidRPr="00AD04DA" w:rsidRDefault="00C4062D"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A1</w:t>
      </w:r>
      <w:r w:rsidR="00E00185" w:rsidRPr="00153D07">
        <w:rPr>
          <w:rFonts w:ascii="Times New Roman" w:hAnsi="Times New Roman" w:cs="Times New Roman"/>
          <w:b/>
          <w:bCs/>
          <w:sz w:val="24"/>
          <w:szCs w:val="24"/>
        </w:rPr>
        <w:t>1</w:t>
      </w:r>
      <w:r w:rsidRPr="00AD04DA">
        <w:rPr>
          <w:rFonts w:ascii="Times New Roman" w:hAnsi="Times New Roman" w:cs="Times New Roman"/>
          <w:sz w:val="24"/>
          <w:szCs w:val="24"/>
        </w:rPr>
        <w:t>: Experimental Data for DPA with 500 ppm SeO</w:t>
      </w:r>
      <w:r w:rsidRPr="00AD04DA">
        <w:rPr>
          <w:rFonts w:ascii="Times New Roman" w:hAnsi="Times New Roman" w:cs="Times New Roman"/>
          <w:sz w:val="24"/>
          <w:szCs w:val="24"/>
          <w:vertAlign w:val="subscript"/>
        </w:rPr>
        <w:t>4</w:t>
      </w:r>
      <w:r w:rsidRPr="00AD04DA">
        <w:rPr>
          <w:rFonts w:ascii="Times New Roman" w:hAnsi="Times New Roman" w:cs="Times New Roman"/>
          <w:sz w:val="24"/>
          <w:szCs w:val="24"/>
        </w:rPr>
        <w:t xml:space="preserve"> feed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05"/>
        <w:gridCol w:w="607"/>
        <w:gridCol w:w="665"/>
        <w:gridCol w:w="665"/>
        <w:gridCol w:w="665"/>
        <w:gridCol w:w="829"/>
        <w:gridCol w:w="706"/>
        <w:gridCol w:w="743"/>
        <w:gridCol w:w="829"/>
        <w:gridCol w:w="789"/>
        <w:gridCol w:w="829"/>
        <w:gridCol w:w="589"/>
        <w:gridCol w:w="829"/>
      </w:tblGrid>
      <w:tr w:rsidR="00321EBD" w:rsidRPr="00AD04DA" w14:paraId="77B98667" w14:textId="77777777" w:rsidTr="00892DAE">
        <w:trPr>
          <w:trHeight w:val="360"/>
        </w:trPr>
        <w:tc>
          <w:tcPr>
            <w:tcW w:w="692" w:type="dxa"/>
            <w:tcBorders>
              <w:top w:val="single" w:sz="4" w:space="0" w:color="auto"/>
              <w:bottom w:val="single" w:sz="4" w:space="0" w:color="auto"/>
            </w:tcBorders>
            <w:noWrap/>
            <w:hideMark/>
          </w:tcPr>
          <w:p w14:paraId="6236FCBB"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Run</w:t>
            </w:r>
          </w:p>
        </w:tc>
        <w:tc>
          <w:tcPr>
            <w:tcW w:w="691" w:type="dxa"/>
            <w:tcBorders>
              <w:top w:val="single" w:sz="4" w:space="0" w:color="auto"/>
              <w:bottom w:val="single" w:sz="4" w:space="0" w:color="auto"/>
            </w:tcBorders>
            <w:noWrap/>
            <w:hideMark/>
          </w:tcPr>
          <w:p w14:paraId="728A7283"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Cycle</w:t>
            </w:r>
          </w:p>
        </w:tc>
        <w:tc>
          <w:tcPr>
            <w:tcW w:w="691" w:type="dxa"/>
            <w:tcBorders>
              <w:top w:val="single" w:sz="4" w:space="0" w:color="auto"/>
              <w:bottom w:val="single" w:sz="4" w:space="0" w:color="auto"/>
            </w:tcBorders>
            <w:noWrap/>
            <w:hideMark/>
          </w:tcPr>
          <w:p w14:paraId="445810F6"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mL</w:t>
            </w:r>
          </w:p>
        </w:tc>
        <w:tc>
          <w:tcPr>
            <w:tcW w:w="691" w:type="dxa"/>
            <w:tcBorders>
              <w:top w:val="single" w:sz="4" w:space="0" w:color="auto"/>
              <w:bottom w:val="single" w:sz="4" w:space="0" w:color="auto"/>
            </w:tcBorders>
            <w:noWrap/>
            <w:hideMark/>
          </w:tcPr>
          <w:p w14:paraId="018F9380"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R</w:t>
            </w:r>
            <w:r w:rsidRPr="00153D07">
              <w:rPr>
                <w:rFonts w:ascii="Times New Roman" w:hAnsi="Times New Roman" w:cs="Times New Roman"/>
                <w:b/>
                <w:bCs/>
                <w:sz w:val="20"/>
                <w:szCs w:val="20"/>
              </w:rPr>
              <w:t xml:space="preserve"> mL</w:t>
            </w:r>
          </w:p>
        </w:tc>
        <w:tc>
          <w:tcPr>
            <w:tcW w:w="690" w:type="dxa"/>
            <w:tcBorders>
              <w:top w:val="single" w:sz="4" w:space="0" w:color="auto"/>
              <w:bottom w:val="single" w:sz="4" w:space="0" w:color="auto"/>
            </w:tcBorders>
            <w:noWrap/>
            <w:hideMark/>
          </w:tcPr>
          <w:p w14:paraId="7C1A38B7"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Total Rec%</w:t>
            </w:r>
          </w:p>
        </w:tc>
        <w:tc>
          <w:tcPr>
            <w:tcW w:w="786" w:type="dxa"/>
            <w:tcBorders>
              <w:top w:val="single" w:sz="4" w:space="0" w:color="auto"/>
              <w:bottom w:val="single" w:sz="4" w:space="0" w:color="auto"/>
            </w:tcBorders>
            <w:noWrap/>
            <w:hideMark/>
          </w:tcPr>
          <w:p w14:paraId="14FEAC8F"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Trial rec %</w:t>
            </w:r>
          </w:p>
        </w:tc>
        <w:tc>
          <w:tcPr>
            <w:tcW w:w="690" w:type="dxa"/>
            <w:tcBorders>
              <w:top w:val="single" w:sz="4" w:space="0" w:color="auto"/>
              <w:bottom w:val="single" w:sz="4" w:space="0" w:color="auto"/>
            </w:tcBorders>
            <w:noWrap/>
            <w:hideMark/>
          </w:tcPr>
          <w:p w14:paraId="092EB482"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w:t>
            </w:r>
          </w:p>
        </w:tc>
        <w:tc>
          <w:tcPr>
            <w:tcW w:w="707" w:type="dxa"/>
            <w:tcBorders>
              <w:top w:val="single" w:sz="4" w:space="0" w:color="auto"/>
              <w:bottom w:val="single" w:sz="4" w:space="0" w:color="auto"/>
            </w:tcBorders>
            <w:noWrap/>
            <w:hideMark/>
          </w:tcPr>
          <w:p w14:paraId="5FCF886F"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ICPMS</w:t>
            </w:r>
          </w:p>
        </w:tc>
        <w:tc>
          <w:tcPr>
            <w:tcW w:w="786" w:type="dxa"/>
            <w:tcBorders>
              <w:top w:val="single" w:sz="4" w:space="0" w:color="auto"/>
              <w:bottom w:val="single" w:sz="4" w:space="0" w:color="auto"/>
            </w:tcBorders>
            <w:noWrap/>
            <w:hideMark/>
          </w:tcPr>
          <w:p w14:paraId="37B206C8"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 xml:space="preserve">Cal </w:t>
            </w:r>
            <w:proofErr w:type="spellStart"/>
            <w:r w:rsidRPr="00153D07">
              <w:rPr>
                <w:rFonts w:ascii="Times New Roman" w:hAnsi="Times New Roman" w:cs="Times New Roman"/>
                <w:b/>
                <w:bCs/>
                <w:sz w:val="20"/>
                <w:szCs w:val="20"/>
              </w:rPr>
              <w:t>Cuve</w:t>
            </w:r>
            <w:proofErr w:type="spellEnd"/>
          </w:p>
        </w:tc>
        <w:tc>
          <w:tcPr>
            <w:tcW w:w="749" w:type="dxa"/>
            <w:tcBorders>
              <w:top w:val="single" w:sz="4" w:space="0" w:color="auto"/>
              <w:bottom w:val="single" w:sz="4" w:space="0" w:color="auto"/>
            </w:tcBorders>
            <w:noWrap/>
            <w:hideMark/>
          </w:tcPr>
          <w:p w14:paraId="43BAF52E"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Dilution V</w:t>
            </w:r>
          </w:p>
        </w:tc>
        <w:tc>
          <w:tcPr>
            <w:tcW w:w="786" w:type="dxa"/>
            <w:tcBorders>
              <w:top w:val="single" w:sz="4" w:space="0" w:color="auto"/>
              <w:bottom w:val="single" w:sz="4" w:space="0" w:color="auto"/>
            </w:tcBorders>
            <w:noWrap/>
            <w:hideMark/>
          </w:tcPr>
          <w:p w14:paraId="765CCD55"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F</w:t>
            </w:r>
            <w:r w:rsidRPr="00153D07">
              <w:rPr>
                <w:rFonts w:ascii="Times New Roman" w:hAnsi="Times New Roman" w:cs="Times New Roman"/>
                <w:b/>
                <w:bCs/>
                <w:sz w:val="20"/>
                <w:szCs w:val="20"/>
              </w:rPr>
              <w:t xml:space="preserve"> M</w:t>
            </w:r>
          </w:p>
        </w:tc>
        <w:tc>
          <w:tcPr>
            <w:tcW w:w="496" w:type="dxa"/>
            <w:tcBorders>
              <w:top w:val="single" w:sz="4" w:space="0" w:color="auto"/>
              <w:bottom w:val="single" w:sz="4" w:space="0" w:color="auto"/>
            </w:tcBorders>
            <w:noWrap/>
            <w:hideMark/>
          </w:tcPr>
          <w:p w14:paraId="613E3E19" w14:textId="77777777" w:rsidR="00321EBD" w:rsidRPr="00153D07" w:rsidRDefault="00321EBD" w:rsidP="00321EBD">
            <w:pPr>
              <w:jc w:val="center"/>
              <w:rPr>
                <w:rFonts w:ascii="Times New Roman" w:hAnsi="Times New Roman" w:cs="Times New Roman"/>
                <w:b/>
                <w:bCs/>
                <w:sz w:val="20"/>
                <w:szCs w:val="20"/>
              </w:rPr>
            </w:pPr>
            <w:r w:rsidRPr="00153D07">
              <w:rPr>
                <w:rFonts w:ascii="Times New Roman" w:hAnsi="Times New Roman" w:cs="Times New Roman"/>
                <w:b/>
                <w:bCs/>
                <w:sz w:val="20"/>
                <w:szCs w:val="20"/>
              </w:rPr>
              <w:t xml:space="preserve">V </w:t>
            </w:r>
            <w:proofErr w:type="spellStart"/>
            <w:r w:rsidRPr="00153D07">
              <w:rPr>
                <w:rFonts w:ascii="Times New Roman" w:hAnsi="Times New Roman" w:cs="Times New Roman"/>
                <w:b/>
                <w:bCs/>
                <w:sz w:val="20"/>
                <w:szCs w:val="20"/>
              </w:rPr>
              <w:t>samp</w:t>
            </w:r>
            <w:proofErr w:type="spellEnd"/>
          </w:p>
        </w:tc>
        <w:tc>
          <w:tcPr>
            <w:tcW w:w="895" w:type="dxa"/>
            <w:tcBorders>
              <w:top w:val="single" w:sz="4" w:space="0" w:color="auto"/>
              <w:bottom w:val="single" w:sz="4" w:space="0" w:color="auto"/>
            </w:tcBorders>
            <w:noWrap/>
            <w:hideMark/>
          </w:tcPr>
          <w:p w14:paraId="2BE1279D" w14:textId="77777777" w:rsidR="00321EBD" w:rsidRPr="00153D07" w:rsidRDefault="00321EBD" w:rsidP="00321EBD">
            <w:pPr>
              <w:jc w:val="center"/>
              <w:rPr>
                <w:rFonts w:ascii="Times New Roman" w:hAnsi="Times New Roman" w:cs="Times New Roman"/>
                <w:b/>
                <w:bCs/>
                <w:sz w:val="20"/>
                <w:szCs w:val="20"/>
              </w:rPr>
            </w:pPr>
            <w:proofErr w:type="spellStart"/>
            <w:r w:rsidRPr="00153D07">
              <w:rPr>
                <w:rFonts w:ascii="Times New Roman" w:hAnsi="Times New Roman" w:cs="Times New Roman"/>
                <w:b/>
                <w:bCs/>
                <w:sz w:val="20"/>
                <w:szCs w:val="20"/>
              </w:rPr>
              <w:t>Rej</w:t>
            </w:r>
            <w:proofErr w:type="spellEnd"/>
            <w:r w:rsidRPr="00153D07">
              <w:rPr>
                <w:rFonts w:ascii="Times New Roman" w:hAnsi="Times New Roman" w:cs="Times New Roman"/>
                <w:b/>
                <w:bCs/>
                <w:sz w:val="20"/>
                <w:szCs w:val="20"/>
              </w:rPr>
              <w:t>%</w:t>
            </w:r>
          </w:p>
        </w:tc>
      </w:tr>
      <w:tr w:rsidR="00892DAE" w:rsidRPr="00AD04DA" w14:paraId="0D7052BD" w14:textId="77777777" w:rsidTr="00892DAE">
        <w:trPr>
          <w:trHeight w:val="300"/>
        </w:trPr>
        <w:tc>
          <w:tcPr>
            <w:tcW w:w="692" w:type="dxa"/>
            <w:tcBorders>
              <w:top w:val="single" w:sz="4" w:space="0" w:color="auto"/>
            </w:tcBorders>
            <w:noWrap/>
            <w:hideMark/>
          </w:tcPr>
          <w:p w14:paraId="23660B7D"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691" w:type="dxa"/>
            <w:tcBorders>
              <w:top w:val="single" w:sz="4" w:space="0" w:color="auto"/>
            </w:tcBorders>
            <w:noWrap/>
            <w:hideMark/>
          </w:tcPr>
          <w:p w14:paraId="1CD38DCF"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691" w:type="dxa"/>
            <w:tcBorders>
              <w:top w:val="single" w:sz="4" w:space="0" w:color="auto"/>
            </w:tcBorders>
            <w:noWrap/>
            <w:hideMark/>
          </w:tcPr>
          <w:p w14:paraId="7AF3F80A"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691" w:type="dxa"/>
            <w:tcBorders>
              <w:top w:val="single" w:sz="4" w:space="0" w:color="auto"/>
            </w:tcBorders>
            <w:noWrap/>
            <w:hideMark/>
          </w:tcPr>
          <w:p w14:paraId="7C7FA086"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1.1864</w:t>
            </w:r>
          </w:p>
        </w:tc>
        <w:tc>
          <w:tcPr>
            <w:tcW w:w="690" w:type="dxa"/>
            <w:tcBorders>
              <w:top w:val="single" w:sz="4" w:space="0" w:color="auto"/>
            </w:tcBorders>
            <w:noWrap/>
            <w:hideMark/>
          </w:tcPr>
          <w:p w14:paraId="473E2F7D"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11.864</w:t>
            </w:r>
          </w:p>
        </w:tc>
        <w:tc>
          <w:tcPr>
            <w:tcW w:w="786" w:type="dxa"/>
            <w:tcBorders>
              <w:top w:val="single" w:sz="4" w:space="0" w:color="auto"/>
            </w:tcBorders>
            <w:noWrap/>
            <w:hideMark/>
          </w:tcPr>
          <w:p w14:paraId="37B09D29"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11.864</w:t>
            </w:r>
          </w:p>
        </w:tc>
        <w:tc>
          <w:tcPr>
            <w:tcW w:w="690" w:type="dxa"/>
            <w:tcBorders>
              <w:top w:val="single" w:sz="4" w:space="0" w:color="auto"/>
            </w:tcBorders>
            <w:noWrap/>
            <w:hideMark/>
          </w:tcPr>
          <w:p w14:paraId="0D8A0411"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07" w:type="dxa"/>
            <w:tcBorders>
              <w:top w:val="single" w:sz="4" w:space="0" w:color="auto"/>
            </w:tcBorders>
            <w:noWrap/>
            <w:hideMark/>
          </w:tcPr>
          <w:p w14:paraId="02CAAF4F"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752.4</w:t>
            </w:r>
          </w:p>
        </w:tc>
        <w:tc>
          <w:tcPr>
            <w:tcW w:w="786" w:type="dxa"/>
            <w:tcBorders>
              <w:top w:val="single" w:sz="4" w:space="0" w:color="auto"/>
            </w:tcBorders>
            <w:noWrap/>
            <w:hideMark/>
          </w:tcPr>
          <w:p w14:paraId="34B426D7"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119.8386</w:t>
            </w:r>
          </w:p>
        </w:tc>
        <w:tc>
          <w:tcPr>
            <w:tcW w:w="749" w:type="dxa"/>
            <w:tcBorders>
              <w:top w:val="single" w:sz="4" w:space="0" w:color="auto"/>
            </w:tcBorders>
            <w:noWrap/>
            <w:hideMark/>
          </w:tcPr>
          <w:p w14:paraId="7E42E856"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86" w:type="dxa"/>
            <w:tcBorders>
              <w:top w:val="single" w:sz="4" w:space="0" w:color="auto"/>
            </w:tcBorders>
            <w:noWrap/>
            <w:hideMark/>
          </w:tcPr>
          <w:p w14:paraId="67D8211A"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359635.8</w:t>
            </w:r>
          </w:p>
        </w:tc>
        <w:tc>
          <w:tcPr>
            <w:tcW w:w="496" w:type="dxa"/>
            <w:tcBorders>
              <w:top w:val="single" w:sz="4" w:space="0" w:color="auto"/>
            </w:tcBorders>
            <w:noWrap/>
            <w:hideMark/>
          </w:tcPr>
          <w:p w14:paraId="697AD801"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tcBorders>
              <w:top w:val="single" w:sz="4" w:space="0" w:color="auto"/>
            </w:tcBorders>
            <w:noWrap/>
            <w:hideMark/>
          </w:tcPr>
          <w:p w14:paraId="28BD9E58"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28.07285</w:t>
            </w:r>
          </w:p>
        </w:tc>
      </w:tr>
      <w:tr w:rsidR="00321EBD" w:rsidRPr="00AD04DA" w14:paraId="5F87C78E" w14:textId="77777777" w:rsidTr="00892DAE">
        <w:trPr>
          <w:trHeight w:val="300"/>
        </w:trPr>
        <w:tc>
          <w:tcPr>
            <w:tcW w:w="692" w:type="dxa"/>
            <w:noWrap/>
            <w:hideMark/>
          </w:tcPr>
          <w:p w14:paraId="2922DC0D"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691" w:type="dxa"/>
            <w:noWrap/>
            <w:hideMark/>
          </w:tcPr>
          <w:p w14:paraId="3960ABD3"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691" w:type="dxa"/>
            <w:noWrap/>
            <w:hideMark/>
          </w:tcPr>
          <w:p w14:paraId="4CAC93F8"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691" w:type="dxa"/>
            <w:noWrap/>
            <w:hideMark/>
          </w:tcPr>
          <w:p w14:paraId="13B57487"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1.4224</w:t>
            </w:r>
          </w:p>
        </w:tc>
        <w:tc>
          <w:tcPr>
            <w:tcW w:w="690" w:type="dxa"/>
            <w:noWrap/>
            <w:hideMark/>
          </w:tcPr>
          <w:p w14:paraId="334413F2"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14.224</w:t>
            </w:r>
          </w:p>
        </w:tc>
        <w:tc>
          <w:tcPr>
            <w:tcW w:w="786" w:type="dxa"/>
            <w:noWrap/>
            <w:hideMark/>
          </w:tcPr>
          <w:p w14:paraId="55BDE788"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14.224</w:t>
            </w:r>
          </w:p>
        </w:tc>
        <w:tc>
          <w:tcPr>
            <w:tcW w:w="690" w:type="dxa"/>
            <w:noWrap/>
            <w:hideMark/>
          </w:tcPr>
          <w:p w14:paraId="71682438"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07" w:type="dxa"/>
            <w:noWrap/>
            <w:hideMark/>
          </w:tcPr>
          <w:p w14:paraId="4342740D"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769.7</w:t>
            </w:r>
          </w:p>
        </w:tc>
        <w:tc>
          <w:tcPr>
            <w:tcW w:w="786" w:type="dxa"/>
            <w:noWrap/>
            <w:hideMark/>
          </w:tcPr>
          <w:p w14:paraId="676AEC5D"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122.5968</w:t>
            </w:r>
          </w:p>
        </w:tc>
        <w:tc>
          <w:tcPr>
            <w:tcW w:w="749" w:type="dxa"/>
            <w:noWrap/>
            <w:hideMark/>
          </w:tcPr>
          <w:p w14:paraId="0BFA9D3B"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86" w:type="dxa"/>
            <w:noWrap/>
            <w:hideMark/>
          </w:tcPr>
          <w:p w14:paraId="286E9410"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367912.9</w:t>
            </w:r>
          </w:p>
        </w:tc>
        <w:tc>
          <w:tcPr>
            <w:tcW w:w="496" w:type="dxa"/>
            <w:noWrap/>
            <w:hideMark/>
          </w:tcPr>
          <w:p w14:paraId="3532E30F"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7C3D8798"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26.41742</w:t>
            </w:r>
          </w:p>
        </w:tc>
      </w:tr>
      <w:tr w:rsidR="00892DAE" w:rsidRPr="00AD04DA" w14:paraId="7D6FDEEF" w14:textId="77777777" w:rsidTr="00892DAE">
        <w:trPr>
          <w:trHeight w:val="300"/>
        </w:trPr>
        <w:tc>
          <w:tcPr>
            <w:tcW w:w="692" w:type="dxa"/>
            <w:noWrap/>
            <w:hideMark/>
          </w:tcPr>
          <w:p w14:paraId="76FF7DCE"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lastRenderedPageBreak/>
              <w:t>3</w:t>
            </w:r>
          </w:p>
        </w:tc>
        <w:tc>
          <w:tcPr>
            <w:tcW w:w="691" w:type="dxa"/>
            <w:noWrap/>
            <w:hideMark/>
          </w:tcPr>
          <w:p w14:paraId="428A4544"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691" w:type="dxa"/>
            <w:noWrap/>
            <w:hideMark/>
          </w:tcPr>
          <w:p w14:paraId="4D901E3D"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691" w:type="dxa"/>
            <w:noWrap/>
            <w:hideMark/>
          </w:tcPr>
          <w:p w14:paraId="2CE4F084"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0.973</w:t>
            </w:r>
          </w:p>
        </w:tc>
        <w:tc>
          <w:tcPr>
            <w:tcW w:w="690" w:type="dxa"/>
            <w:noWrap/>
            <w:hideMark/>
          </w:tcPr>
          <w:p w14:paraId="65EBB013"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9.73</w:t>
            </w:r>
          </w:p>
        </w:tc>
        <w:tc>
          <w:tcPr>
            <w:tcW w:w="786" w:type="dxa"/>
            <w:noWrap/>
            <w:hideMark/>
          </w:tcPr>
          <w:p w14:paraId="1DCEA49E"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9.73</w:t>
            </w:r>
          </w:p>
        </w:tc>
        <w:tc>
          <w:tcPr>
            <w:tcW w:w="690" w:type="dxa"/>
            <w:noWrap/>
            <w:hideMark/>
          </w:tcPr>
          <w:p w14:paraId="1B8E0177"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07" w:type="dxa"/>
            <w:noWrap/>
            <w:hideMark/>
          </w:tcPr>
          <w:p w14:paraId="31DAF152"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831.6</w:t>
            </w:r>
          </w:p>
        </w:tc>
        <w:tc>
          <w:tcPr>
            <w:tcW w:w="786" w:type="dxa"/>
            <w:noWrap/>
            <w:hideMark/>
          </w:tcPr>
          <w:p w14:paraId="3768AE62"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132.4525</w:t>
            </w:r>
          </w:p>
        </w:tc>
        <w:tc>
          <w:tcPr>
            <w:tcW w:w="749" w:type="dxa"/>
            <w:noWrap/>
            <w:hideMark/>
          </w:tcPr>
          <w:p w14:paraId="45F6A60A"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86" w:type="dxa"/>
            <w:noWrap/>
            <w:hideMark/>
          </w:tcPr>
          <w:p w14:paraId="224CAF91"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397490.1</w:t>
            </w:r>
          </w:p>
        </w:tc>
        <w:tc>
          <w:tcPr>
            <w:tcW w:w="496" w:type="dxa"/>
            <w:noWrap/>
            <w:hideMark/>
          </w:tcPr>
          <w:p w14:paraId="72F810A9"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31A40C12"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20.50199</w:t>
            </w:r>
          </w:p>
        </w:tc>
      </w:tr>
      <w:tr w:rsidR="00321EBD" w:rsidRPr="00AD04DA" w14:paraId="5618DC9E" w14:textId="77777777" w:rsidTr="00892DAE">
        <w:trPr>
          <w:trHeight w:val="300"/>
        </w:trPr>
        <w:tc>
          <w:tcPr>
            <w:tcW w:w="692" w:type="dxa"/>
            <w:noWrap/>
            <w:hideMark/>
          </w:tcPr>
          <w:p w14:paraId="47C87334"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691" w:type="dxa"/>
            <w:noWrap/>
            <w:hideMark/>
          </w:tcPr>
          <w:p w14:paraId="6FF87FCF"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691" w:type="dxa"/>
            <w:noWrap/>
            <w:hideMark/>
          </w:tcPr>
          <w:p w14:paraId="2B4C13F3"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8.8136</w:t>
            </w:r>
          </w:p>
        </w:tc>
        <w:tc>
          <w:tcPr>
            <w:tcW w:w="691" w:type="dxa"/>
            <w:noWrap/>
            <w:hideMark/>
          </w:tcPr>
          <w:p w14:paraId="20A60C8C"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1.9345</w:t>
            </w:r>
          </w:p>
        </w:tc>
        <w:tc>
          <w:tcPr>
            <w:tcW w:w="690" w:type="dxa"/>
            <w:noWrap/>
            <w:hideMark/>
          </w:tcPr>
          <w:p w14:paraId="1D3C2456"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19.345</w:t>
            </w:r>
          </w:p>
        </w:tc>
        <w:tc>
          <w:tcPr>
            <w:tcW w:w="786" w:type="dxa"/>
            <w:noWrap/>
            <w:hideMark/>
          </w:tcPr>
          <w:p w14:paraId="274ACA0A"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21.94903</w:t>
            </w:r>
          </w:p>
        </w:tc>
        <w:tc>
          <w:tcPr>
            <w:tcW w:w="690" w:type="dxa"/>
            <w:noWrap/>
            <w:hideMark/>
          </w:tcPr>
          <w:p w14:paraId="7B35B074"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07" w:type="dxa"/>
            <w:noWrap/>
            <w:hideMark/>
          </w:tcPr>
          <w:p w14:paraId="55BF55A4"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984.3</w:t>
            </w:r>
          </w:p>
        </w:tc>
        <w:tc>
          <w:tcPr>
            <w:tcW w:w="786" w:type="dxa"/>
            <w:noWrap/>
            <w:hideMark/>
          </w:tcPr>
          <w:p w14:paraId="28454607"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156.7683</w:t>
            </w:r>
          </w:p>
        </w:tc>
        <w:tc>
          <w:tcPr>
            <w:tcW w:w="749" w:type="dxa"/>
            <w:noWrap/>
            <w:hideMark/>
          </w:tcPr>
          <w:p w14:paraId="049C3F08"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86" w:type="dxa"/>
            <w:noWrap/>
            <w:hideMark/>
          </w:tcPr>
          <w:p w14:paraId="792ACA21"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470461.6</w:t>
            </w:r>
          </w:p>
        </w:tc>
        <w:tc>
          <w:tcPr>
            <w:tcW w:w="496" w:type="dxa"/>
            <w:noWrap/>
            <w:hideMark/>
          </w:tcPr>
          <w:p w14:paraId="799944FA"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07F827BB"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5.907675</w:t>
            </w:r>
          </w:p>
        </w:tc>
      </w:tr>
      <w:tr w:rsidR="00892DAE" w:rsidRPr="00AD04DA" w14:paraId="66A8FE99" w14:textId="77777777" w:rsidTr="00892DAE">
        <w:trPr>
          <w:trHeight w:val="300"/>
        </w:trPr>
        <w:tc>
          <w:tcPr>
            <w:tcW w:w="692" w:type="dxa"/>
            <w:noWrap/>
            <w:hideMark/>
          </w:tcPr>
          <w:p w14:paraId="12D46F45"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691" w:type="dxa"/>
            <w:noWrap/>
            <w:hideMark/>
          </w:tcPr>
          <w:p w14:paraId="7ABD63AF"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691" w:type="dxa"/>
            <w:noWrap/>
            <w:hideMark/>
          </w:tcPr>
          <w:p w14:paraId="4EA62490"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8.5776</w:t>
            </w:r>
          </w:p>
        </w:tc>
        <w:tc>
          <w:tcPr>
            <w:tcW w:w="691" w:type="dxa"/>
            <w:noWrap/>
            <w:hideMark/>
          </w:tcPr>
          <w:p w14:paraId="56D5890B"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1.8153</w:t>
            </w:r>
          </w:p>
        </w:tc>
        <w:tc>
          <w:tcPr>
            <w:tcW w:w="690" w:type="dxa"/>
            <w:noWrap/>
            <w:hideMark/>
          </w:tcPr>
          <w:p w14:paraId="58F757F1"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18.153</w:t>
            </w:r>
          </w:p>
        </w:tc>
        <w:tc>
          <w:tcPr>
            <w:tcW w:w="786" w:type="dxa"/>
            <w:noWrap/>
            <w:hideMark/>
          </w:tcPr>
          <w:p w14:paraId="23F59670"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21.16326</w:t>
            </w:r>
          </w:p>
        </w:tc>
        <w:tc>
          <w:tcPr>
            <w:tcW w:w="690" w:type="dxa"/>
            <w:noWrap/>
            <w:hideMark/>
          </w:tcPr>
          <w:p w14:paraId="1F991105"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07" w:type="dxa"/>
            <w:noWrap/>
            <w:hideMark/>
          </w:tcPr>
          <w:p w14:paraId="4E2EA77C"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1064.5</w:t>
            </w:r>
          </w:p>
        </w:tc>
        <w:tc>
          <w:tcPr>
            <w:tcW w:w="786" w:type="dxa"/>
            <w:noWrap/>
            <w:hideMark/>
          </w:tcPr>
          <w:p w14:paraId="6EDC2280"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169.5561</w:t>
            </w:r>
          </w:p>
        </w:tc>
        <w:tc>
          <w:tcPr>
            <w:tcW w:w="749" w:type="dxa"/>
            <w:noWrap/>
            <w:hideMark/>
          </w:tcPr>
          <w:p w14:paraId="0E247C45"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86" w:type="dxa"/>
            <w:noWrap/>
            <w:hideMark/>
          </w:tcPr>
          <w:p w14:paraId="28C0089B"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508837.8</w:t>
            </w:r>
          </w:p>
        </w:tc>
        <w:tc>
          <w:tcPr>
            <w:tcW w:w="496" w:type="dxa"/>
            <w:noWrap/>
            <w:hideMark/>
          </w:tcPr>
          <w:p w14:paraId="6A16FC38"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0ED6EF5A"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-1.76756</w:t>
            </w:r>
          </w:p>
        </w:tc>
      </w:tr>
      <w:tr w:rsidR="00321EBD" w:rsidRPr="00AD04DA" w14:paraId="5732ABF7" w14:textId="77777777" w:rsidTr="00892DAE">
        <w:trPr>
          <w:trHeight w:val="300"/>
        </w:trPr>
        <w:tc>
          <w:tcPr>
            <w:tcW w:w="692" w:type="dxa"/>
            <w:noWrap/>
            <w:hideMark/>
          </w:tcPr>
          <w:p w14:paraId="7C3C288B"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691" w:type="dxa"/>
            <w:noWrap/>
            <w:hideMark/>
          </w:tcPr>
          <w:p w14:paraId="2AEC4B18"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691" w:type="dxa"/>
            <w:noWrap/>
            <w:hideMark/>
          </w:tcPr>
          <w:p w14:paraId="46098F17"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9.027</w:t>
            </w:r>
          </w:p>
        </w:tc>
        <w:tc>
          <w:tcPr>
            <w:tcW w:w="691" w:type="dxa"/>
            <w:noWrap/>
            <w:hideMark/>
          </w:tcPr>
          <w:p w14:paraId="77C3481C"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1.4207</w:t>
            </w:r>
          </w:p>
        </w:tc>
        <w:tc>
          <w:tcPr>
            <w:tcW w:w="690" w:type="dxa"/>
            <w:noWrap/>
            <w:hideMark/>
          </w:tcPr>
          <w:p w14:paraId="19B24373"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14.207</w:t>
            </w:r>
          </w:p>
        </w:tc>
        <w:tc>
          <w:tcPr>
            <w:tcW w:w="786" w:type="dxa"/>
            <w:noWrap/>
            <w:hideMark/>
          </w:tcPr>
          <w:p w14:paraId="66D24E32"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15.73834</w:t>
            </w:r>
          </w:p>
        </w:tc>
        <w:tc>
          <w:tcPr>
            <w:tcW w:w="690" w:type="dxa"/>
            <w:noWrap/>
            <w:hideMark/>
          </w:tcPr>
          <w:p w14:paraId="2D0EAF94"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07" w:type="dxa"/>
            <w:noWrap/>
            <w:hideMark/>
          </w:tcPr>
          <w:p w14:paraId="27728B52"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1310.0</w:t>
            </w:r>
          </w:p>
        </w:tc>
        <w:tc>
          <w:tcPr>
            <w:tcW w:w="786" w:type="dxa"/>
            <w:noWrap/>
            <w:hideMark/>
          </w:tcPr>
          <w:p w14:paraId="7057985C"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208.6539</w:t>
            </w:r>
          </w:p>
        </w:tc>
        <w:tc>
          <w:tcPr>
            <w:tcW w:w="749" w:type="dxa"/>
            <w:noWrap/>
            <w:hideMark/>
          </w:tcPr>
          <w:p w14:paraId="6B7CFDE0"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86" w:type="dxa"/>
            <w:noWrap/>
            <w:hideMark/>
          </w:tcPr>
          <w:p w14:paraId="35246F57"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626170.3</w:t>
            </w:r>
          </w:p>
        </w:tc>
        <w:tc>
          <w:tcPr>
            <w:tcW w:w="496" w:type="dxa"/>
            <w:noWrap/>
            <w:hideMark/>
          </w:tcPr>
          <w:p w14:paraId="51D024E9"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3924E359"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-25.2341</w:t>
            </w:r>
          </w:p>
        </w:tc>
      </w:tr>
      <w:tr w:rsidR="00892DAE" w:rsidRPr="00AD04DA" w14:paraId="5205E40B" w14:textId="77777777" w:rsidTr="00892DAE">
        <w:trPr>
          <w:trHeight w:val="300"/>
        </w:trPr>
        <w:tc>
          <w:tcPr>
            <w:tcW w:w="692" w:type="dxa"/>
            <w:noWrap/>
            <w:hideMark/>
          </w:tcPr>
          <w:p w14:paraId="4DFC0C61"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691" w:type="dxa"/>
            <w:noWrap/>
            <w:hideMark/>
          </w:tcPr>
          <w:p w14:paraId="5973C36C"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691" w:type="dxa"/>
            <w:noWrap/>
            <w:hideMark/>
          </w:tcPr>
          <w:p w14:paraId="491CEC70"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6.8791</w:t>
            </w:r>
          </w:p>
        </w:tc>
        <w:tc>
          <w:tcPr>
            <w:tcW w:w="691" w:type="dxa"/>
            <w:noWrap/>
            <w:hideMark/>
          </w:tcPr>
          <w:p w14:paraId="75A7553C"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1.4717</w:t>
            </w:r>
          </w:p>
        </w:tc>
        <w:tc>
          <w:tcPr>
            <w:tcW w:w="690" w:type="dxa"/>
            <w:noWrap/>
            <w:hideMark/>
          </w:tcPr>
          <w:p w14:paraId="2F7DC2C1"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14.717</w:t>
            </w:r>
          </w:p>
        </w:tc>
        <w:tc>
          <w:tcPr>
            <w:tcW w:w="786" w:type="dxa"/>
            <w:noWrap/>
            <w:hideMark/>
          </w:tcPr>
          <w:p w14:paraId="06A52595"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21.39379</w:t>
            </w:r>
          </w:p>
        </w:tc>
        <w:tc>
          <w:tcPr>
            <w:tcW w:w="690" w:type="dxa"/>
            <w:noWrap/>
            <w:hideMark/>
          </w:tcPr>
          <w:p w14:paraId="089F72D7"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07" w:type="dxa"/>
            <w:noWrap/>
            <w:hideMark/>
          </w:tcPr>
          <w:p w14:paraId="68054DF0"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2461.2</w:t>
            </w:r>
          </w:p>
        </w:tc>
        <w:tc>
          <w:tcPr>
            <w:tcW w:w="786" w:type="dxa"/>
            <w:noWrap/>
            <w:hideMark/>
          </w:tcPr>
          <w:p w14:paraId="2E8BD3FE"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392.0173</w:t>
            </w:r>
          </w:p>
        </w:tc>
        <w:tc>
          <w:tcPr>
            <w:tcW w:w="749" w:type="dxa"/>
            <w:noWrap/>
            <w:hideMark/>
          </w:tcPr>
          <w:p w14:paraId="45508F04"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86" w:type="dxa"/>
            <w:noWrap/>
            <w:hideMark/>
          </w:tcPr>
          <w:p w14:paraId="3E8B5AD4"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1176444</w:t>
            </w:r>
          </w:p>
        </w:tc>
        <w:tc>
          <w:tcPr>
            <w:tcW w:w="496" w:type="dxa"/>
            <w:noWrap/>
            <w:hideMark/>
          </w:tcPr>
          <w:p w14:paraId="032850B5"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3CACF37D" w14:textId="77777777" w:rsidR="00321EBD" w:rsidRPr="00153D07" w:rsidRDefault="00321EBD" w:rsidP="00321EBD">
            <w:pPr>
              <w:jc w:val="center"/>
              <w:rPr>
                <w:rFonts w:ascii="Times New Roman" w:hAnsi="Times New Roman" w:cs="Times New Roman"/>
                <w:sz w:val="20"/>
                <w:szCs w:val="20"/>
                <w:highlight w:val="red"/>
              </w:rPr>
            </w:pPr>
            <w:r w:rsidRPr="00153D07">
              <w:rPr>
                <w:rFonts w:ascii="Times New Roman" w:hAnsi="Times New Roman" w:cs="Times New Roman"/>
                <w:sz w:val="20"/>
                <w:szCs w:val="20"/>
                <w:highlight w:val="red"/>
              </w:rPr>
              <w:t>-135.289</w:t>
            </w:r>
          </w:p>
        </w:tc>
      </w:tr>
      <w:tr w:rsidR="00892DAE" w:rsidRPr="00AD04DA" w14:paraId="4611F205" w14:textId="77777777" w:rsidTr="00892DAE">
        <w:trPr>
          <w:trHeight w:val="300"/>
        </w:trPr>
        <w:tc>
          <w:tcPr>
            <w:tcW w:w="692" w:type="dxa"/>
            <w:noWrap/>
            <w:hideMark/>
          </w:tcPr>
          <w:p w14:paraId="470A5E7A"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691" w:type="dxa"/>
            <w:noWrap/>
            <w:hideMark/>
          </w:tcPr>
          <w:p w14:paraId="73D7380C"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691" w:type="dxa"/>
            <w:noWrap/>
            <w:hideMark/>
          </w:tcPr>
          <w:p w14:paraId="228E1A60"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6.7623</w:t>
            </w:r>
          </w:p>
        </w:tc>
        <w:tc>
          <w:tcPr>
            <w:tcW w:w="691" w:type="dxa"/>
            <w:noWrap/>
            <w:hideMark/>
          </w:tcPr>
          <w:p w14:paraId="40968BA6"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w:t>
            </w:r>
          </w:p>
        </w:tc>
        <w:tc>
          <w:tcPr>
            <w:tcW w:w="690" w:type="dxa"/>
            <w:noWrap/>
            <w:hideMark/>
          </w:tcPr>
          <w:p w14:paraId="6A7830AD"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w:t>
            </w:r>
          </w:p>
        </w:tc>
        <w:tc>
          <w:tcPr>
            <w:tcW w:w="786" w:type="dxa"/>
            <w:noWrap/>
            <w:hideMark/>
          </w:tcPr>
          <w:p w14:paraId="1FF040BB"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w:t>
            </w:r>
          </w:p>
        </w:tc>
        <w:tc>
          <w:tcPr>
            <w:tcW w:w="690" w:type="dxa"/>
            <w:noWrap/>
            <w:hideMark/>
          </w:tcPr>
          <w:p w14:paraId="5EEFFE47"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07" w:type="dxa"/>
            <w:noWrap/>
            <w:hideMark/>
          </w:tcPr>
          <w:p w14:paraId="37FADA69"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NA</w:t>
            </w:r>
          </w:p>
        </w:tc>
        <w:tc>
          <w:tcPr>
            <w:tcW w:w="786" w:type="dxa"/>
            <w:noWrap/>
            <w:hideMark/>
          </w:tcPr>
          <w:p w14:paraId="2D99C836"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NA</w:t>
            </w:r>
          </w:p>
        </w:tc>
        <w:tc>
          <w:tcPr>
            <w:tcW w:w="749" w:type="dxa"/>
            <w:noWrap/>
            <w:hideMark/>
          </w:tcPr>
          <w:p w14:paraId="7FA27FD4"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NA</w:t>
            </w:r>
          </w:p>
        </w:tc>
        <w:tc>
          <w:tcPr>
            <w:tcW w:w="786" w:type="dxa"/>
            <w:noWrap/>
            <w:hideMark/>
          </w:tcPr>
          <w:p w14:paraId="180EDB68"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NA</w:t>
            </w:r>
          </w:p>
        </w:tc>
        <w:tc>
          <w:tcPr>
            <w:tcW w:w="496" w:type="dxa"/>
            <w:noWrap/>
            <w:hideMark/>
          </w:tcPr>
          <w:p w14:paraId="0D03F422"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6BB97D89"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NA</w:t>
            </w:r>
          </w:p>
        </w:tc>
      </w:tr>
      <w:tr w:rsidR="00321EBD" w:rsidRPr="00AD04DA" w14:paraId="13715645" w14:textId="77777777" w:rsidTr="00892DAE">
        <w:trPr>
          <w:trHeight w:val="300"/>
        </w:trPr>
        <w:tc>
          <w:tcPr>
            <w:tcW w:w="692" w:type="dxa"/>
            <w:noWrap/>
            <w:hideMark/>
          </w:tcPr>
          <w:p w14:paraId="397E9065"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691" w:type="dxa"/>
            <w:noWrap/>
            <w:hideMark/>
          </w:tcPr>
          <w:p w14:paraId="47763FB8"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691" w:type="dxa"/>
            <w:noWrap/>
            <w:hideMark/>
          </w:tcPr>
          <w:p w14:paraId="1E774532"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7.6063</w:t>
            </w:r>
          </w:p>
        </w:tc>
        <w:tc>
          <w:tcPr>
            <w:tcW w:w="691" w:type="dxa"/>
            <w:noWrap/>
            <w:hideMark/>
          </w:tcPr>
          <w:p w14:paraId="60A6505A"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0.6251</w:t>
            </w:r>
          </w:p>
        </w:tc>
        <w:tc>
          <w:tcPr>
            <w:tcW w:w="690" w:type="dxa"/>
            <w:noWrap/>
            <w:hideMark/>
          </w:tcPr>
          <w:p w14:paraId="67656795"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6.251</w:t>
            </w:r>
          </w:p>
        </w:tc>
        <w:tc>
          <w:tcPr>
            <w:tcW w:w="786" w:type="dxa"/>
            <w:noWrap/>
            <w:hideMark/>
          </w:tcPr>
          <w:p w14:paraId="3843A5A2"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8.218188</w:t>
            </w:r>
          </w:p>
        </w:tc>
        <w:tc>
          <w:tcPr>
            <w:tcW w:w="690" w:type="dxa"/>
            <w:noWrap/>
            <w:hideMark/>
          </w:tcPr>
          <w:p w14:paraId="1635FDEA"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07" w:type="dxa"/>
            <w:noWrap/>
            <w:hideMark/>
          </w:tcPr>
          <w:p w14:paraId="305AA71E"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1306.7</w:t>
            </w:r>
          </w:p>
        </w:tc>
        <w:tc>
          <w:tcPr>
            <w:tcW w:w="786" w:type="dxa"/>
            <w:noWrap/>
            <w:hideMark/>
          </w:tcPr>
          <w:p w14:paraId="20C9EAB7"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208.1249</w:t>
            </w:r>
          </w:p>
        </w:tc>
        <w:tc>
          <w:tcPr>
            <w:tcW w:w="749" w:type="dxa"/>
            <w:noWrap/>
            <w:hideMark/>
          </w:tcPr>
          <w:p w14:paraId="7D3E2686"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86" w:type="dxa"/>
            <w:noWrap/>
            <w:hideMark/>
          </w:tcPr>
          <w:p w14:paraId="5458DDC9"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624582.8</w:t>
            </w:r>
          </w:p>
        </w:tc>
        <w:tc>
          <w:tcPr>
            <w:tcW w:w="496" w:type="dxa"/>
            <w:noWrap/>
            <w:hideMark/>
          </w:tcPr>
          <w:p w14:paraId="704152A4"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150C49A1" w14:textId="77777777" w:rsidR="00321EBD" w:rsidRPr="00153D07" w:rsidRDefault="00321EBD" w:rsidP="00321EBD">
            <w:pPr>
              <w:jc w:val="center"/>
              <w:rPr>
                <w:rFonts w:ascii="Times New Roman" w:hAnsi="Times New Roman" w:cs="Times New Roman"/>
                <w:sz w:val="20"/>
                <w:szCs w:val="20"/>
              </w:rPr>
            </w:pPr>
            <w:r w:rsidRPr="00153D07">
              <w:rPr>
                <w:rFonts w:ascii="Times New Roman" w:hAnsi="Times New Roman" w:cs="Times New Roman"/>
                <w:sz w:val="20"/>
                <w:szCs w:val="20"/>
              </w:rPr>
              <w:t>-24.9166</w:t>
            </w:r>
          </w:p>
        </w:tc>
      </w:tr>
    </w:tbl>
    <w:p w14:paraId="13A97E9D" w14:textId="77777777" w:rsidR="008D6421" w:rsidRPr="00AD04DA" w:rsidRDefault="008D6421" w:rsidP="00B02CBC">
      <w:pPr>
        <w:spacing w:line="480" w:lineRule="auto"/>
        <w:jc w:val="center"/>
        <w:rPr>
          <w:rFonts w:ascii="Times New Roman" w:hAnsi="Times New Roman" w:cs="Times New Roman"/>
          <w:sz w:val="24"/>
          <w:szCs w:val="24"/>
        </w:rPr>
      </w:pPr>
    </w:p>
    <w:p w14:paraId="05A8470B" w14:textId="66167F3B" w:rsidR="00C4062D" w:rsidRPr="00AD04DA" w:rsidRDefault="00C4062D"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A1</w:t>
      </w:r>
      <w:r w:rsidR="00E00185" w:rsidRPr="00153D07">
        <w:rPr>
          <w:rFonts w:ascii="Times New Roman" w:hAnsi="Times New Roman" w:cs="Times New Roman"/>
          <w:b/>
          <w:bCs/>
          <w:sz w:val="24"/>
          <w:szCs w:val="24"/>
        </w:rPr>
        <w:t>2</w:t>
      </w:r>
      <w:r w:rsidRPr="00AD04DA">
        <w:rPr>
          <w:rFonts w:ascii="Times New Roman" w:hAnsi="Times New Roman" w:cs="Times New Roman"/>
          <w:sz w:val="24"/>
          <w:szCs w:val="24"/>
        </w:rPr>
        <w:t>: Experimental Data for DA with 500 ppm SeO</w:t>
      </w:r>
      <w:r w:rsidRPr="00AD04DA">
        <w:rPr>
          <w:rFonts w:ascii="Times New Roman" w:hAnsi="Times New Roman" w:cs="Times New Roman"/>
          <w:sz w:val="24"/>
          <w:szCs w:val="24"/>
          <w:vertAlign w:val="subscript"/>
        </w:rPr>
        <w:t>3</w:t>
      </w:r>
      <w:r w:rsidRPr="00AD04DA">
        <w:rPr>
          <w:rFonts w:ascii="Times New Roman" w:hAnsi="Times New Roman" w:cs="Times New Roman"/>
          <w:sz w:val="24"/>
          <w:szCs w:val="24"/>
        </w:rPr>
        <w:t xml:space="preserve"> feed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772"/>
        <w:gridCol w:w="772"/>
        <w:gridCol w:w="773"/>
        <w:gridCol w:w="773"/>
        <w:gridCol w:w="773"/>
        <w:gridCol w:w="777"/>
        <w:gridCol w:w="773"/>
        <w:gridCol w:w="773"/>
        <w:gridCol w:w="777"/>
        <w:gridCol w:w="833"/>
        <w:gridCol w:w="777"/>
        <w:gridCol w:w="777"/>
      </w:tblGrid>
      <w:tr w:rsidR="009454BE" w:rsidRPr="00AD04DA" w14:paraId="3DEC9317" w14:textId="77777777" w:rsidTr="009454BE">
        <w:trPr>
          <w:trHeight w:val="360"/>
        </w:trPr>
        <w:tc>
          <w:tcPr>
            <w:tcW w:w="960" w:type="dxa"/>
            <w:tcBorders>
              <w:top w:val="single" w:sz="4" w:space="0" w:color="auto"/>
              <w:bottom w:val="single" w:sz="4" w:space="0" w:color="auto"/>
            </w:tcBorders>
            <w:noWrap/>
            <w:hideMark/>
          </w:tcPr>
          <w:p w14:paraId="5241CD00" w14:textId="77777777" w:rsidR="009454BE" w:rsidRPr="00153D07" w:rsidRDefault="009454BE" w:rsidP="009454BE">
            <w:pPr>
              <w:jc w:val="center"/>
              <w:rPr>
                <w:rFonts w:ascii="Times New Roman" w:hAnsi="Times New Roman" w:cs="Times New Roman"/>
                <w:b/>
                <w:bCs/>
                <w:sz w:val="20"/>
                <w:szCs w:val="20"/>
              </w:rPr>
            </w:pPr>
            <w:r w:rsidRPr="00153D07">
              <w:rPr>
                <w:rFonts w:ascii="Times New Roman" w:hAnsi="Times New Roman" w:cs="Times New Roman"/>
                <w:b/>
                <w:bCs/>
                <w:sz w:val="20"/>
                <w:szCs w:val="20"/>
              </w:rPr>
              <w:t>Run</w:t>
            </w:r>
          </w:p>
        </w:tc>
        <w:tc>
          <w:tcPr>
            <w:tcW w:w="960" w:type="dxa"/>
            <w:tcBorders>
              <w:top w:val="single" w:sz="4" w:space="0" w:color="auto"/>
              <w:bottom w:val="single" w:sz="4" w:space="0" w:color="auto"/>
            </w:tcBorders>
            <w:noWrap/>
            <w:hideMark/>
          </w:tcPr>
          <w:p w14:paraId="416256CF" w14:textId="77777777" w:rsidR="009454BE" w:rsidRPr="00153D07" w:rsidRDefault="009454BE" w:rsidP="009454BE">
            <w:pPr>
              <w:jc w:val="center"/>
              <w:rPr>
                <w:rFonts w:ascii="Times New Roman" w:hAnsi="Times New Roman" w:cs="Times New Roman"/>
                <w:b/>
                <w:bCs/>
                <w:sz w:val="20"/>
                <w:szCs w:val="20"/>
              </w:rPr>
            </w:pPr>
            <w:r w:rsidRPr="00153D07">
              <w:rPr>
                <w:rFonts w:ascii="Times New Roman" w:hAnsi="Times New Roman" w:cs="Times New Roman"/>
                <w:b/>
                <w:bCs/>
                <w:sz w:val="20"/>
                <w:szCs w:val="20"/>
              </w:rPr>
              <w:t>Cycle</w:t>
            </w:r>
          </w:p>
        </w:tc>
        <w:tc>
          <w:tcPr>
            <w:tcW w:w="960" w:type="dxa"/>
            <w:tcBorders>
              <w:top w:val="single" w:sz="4" w:space="0" w:color="auto"/>
              <w:bottom w:val="single" w:sz="4" w:space="0" w:color="auto"/>
            </w:tcBorders>
            <w:noWrap/>
            <w:hideMark/>
          </w:tcPr>
          <w:p w14:paraId="74A92CEC" w14:textId="77777777" w:rsidR="009454BE" w:rsidRPr="00153D07" w:rsidRDefault="009454BE" w:rsidP="009454BE">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192D3EE4" w14:textId="77777777" w:rsidR="009454BE" w:rsidRPr="00153D07" w:rsidRDefault="009454BE" w:rsidP="009454BE">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R</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77D26CB1" w14:textId="77777777" w:rsidR="009454BE" w:rsidRPr="00153D07" w:rsidRDefault="009454BE" w:rsidP="009454BE">
            <w:pPr>
              <w:jc w:val="center"/>
              <w:rPr>
                <w:rFonts w:ascii="Times New Roman" w:hAnsi="Times New Roman" w:cs="Times New Roman"/>
                <w:b/>
                <w:bCs/>
                <w:sz w:val="20"/>
                <w:szCs w:val="20"/>
              </w:rPr>
            </w:pPr>
            <w:r w:rsidRPr="00153D07">
              <w:rPr>
                <w:rFonts w:ascii="Times New Roman" w:hAnsi="Times New Roman" w:cs="Times New Roman"/>
                <w:b/>
                <w:bCs/>
                <w:sz w:val="20"/>
                <w:szCs w:val="20"/>
              </w:rPr>
              <w:t>Total Rec%</w:t>
            </w:r>
          </w:p>
        </w:tc>
        <w:tc>
          <w:tcPr>
            <w:tcW w:w="960" w:type="dxa"/>
            <w:tcBorders>
              <w:top w:val="single" w:sz="4" w:space="0" w:color="auto"/>
              <w:bottom w:val="single" w:sz="4" w:space="0" w:color="auto"/>
            </w:tcBorders>
            <w:noWrap/>
            <w:hideMark/>
          </w:tcPr>
          <w:p w14:paraId="5EA0C786" w14:textId="77777777" w:rsidR="009454BE" w:rsidRPr="00153D07" w:rsidRDefault="009454BE" w:rsidP="009454BE">
            <w:pPr>
              <w:jc w:val="center"/>
              <w:rPr>
                <w:rFonts w:ascii="Times New Roman" w:hAnsi="Times New Roman" w:cs="Times New Roman"/>
                <w:b/>
                <w:bCs/>
                <w:sz w:val="20"/>
                <w:szCs w:val="20"/>
              </w:rPr>
            </w:pPr>
            <w:r w:rsidRPr="00153D07">
              <w:rPr>
                <w:rFonts w:ascii="Times New Roman" w:hAnsi="Times New Roman" w:cs="Times New Roman"/>
                <w:b/>
                <w:bCs/>
                <w:sz w:val="20"/>
                <w:szCs w:val="20"/>
              </w:rPr>
              <w:t>Trial rec %</w:t>
            </w:r>
          </w:p>
        </w:tc>
        <w:tc>
          <w:tcPr>
            <w:tcW w:w="960" w:type="dxa"/>
            <w:tcBorders>
              <w:top w:val="single" w:sz="4" w:space="0" w:color="auto"/>
              <w:bottom w:val="single" w:sz="4" w:space="0" w:color="auto"/>
            </w:tcBorders>
            <w:noWrap/>
            <w:hideMark/>
          </w:tcPr>
          <w:p w14:paraId="59133805" w14:textId="77777777" w:rsidR="009454BE" w:rsidRPr="00153D07" w:rsidRDefault="009454BE" w:rsidP="009454BE">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w:t>
            </w:r>
          </w:p>
        </w:tc>
        <w:tc>
          <w:tcPr>
            <w:tcW w:w="960" w:type="dxa"/>
            <w:tcBorders>
              <w:top w:val="single" w:sz="4" w:space="0" w:color="auto"/>
              <w:bottom w:val="single" w:sz="4" w:space="0" w:color="auto"/>
            </w:tcBorders>
            <w:noWrap/>
            <w:hideMark/>
          </w:tcPr>
          <w:p w14:paraId="5158F793" w14:textId="77777777" w:rsidR="009454BE" w:rsidRPr="00153D07" w:rsidRDefault="009454BE" w:rsidP="009454BE">
            <w:pPr>
              <w:jc w:val="center"/>
              <w:rPr>
                <w:rFonts w:ascii="Times New Roman" w:hAnsi="Times New Roman" w:cs="Times New Roman"/>
                <w:b/>
                <w:bCs/>
                <w:sz w:val="20"/>
                <w:szCs w:val="20"/>
              </w:rPr>
            </w:pPr>
            <w:r w:rsidRPr="00153D07">
              <w:rPr>
                <w:rFonts w:ascii="Times New Roman" w:hAnsi="Times New Roman" w:cs="Times New Roman"/>
                <w:b/>
                <w:bCs/>
                <w:sz w:val="20"/>
                <w:szCs w:val="20"/>
              </w:rPr>
              <w:t>ICPMS</w:t>
            </w:r>
          </w:p>
        </w:tc>
        <w:tc>
          <w:tcPr>
            <w:tcW w:w="960" w:type="dxa"/>
            <w:tcBorders>
              <w:top w:val="single" w:sz="4" w:space="0" w:color="auto"/>
              <w:bottom w:val="single" w:sz="4" w:space="0" w:color="auto"/>
            </w:tcBorders>
            <w:noWrap/>
            <w:hideMark/>
          </w:tcPr>
          <w:p w14:paraId="5D1EA17C" w14:textId="77777777" w:rsidR="009454BE" w:rsidRPr="00153D07" w:rsidRDefault="009454BE" w:rsidP="009454BE">
            <w:pPr>
              <w:jc w:val="center"/>
              <w:rPr>
                <w:rFonts w:ascii="Times New Roman" w:hAnsi="Times New Roman" w:cs="Times New Roman"/>
                <w:b/>
                <w:bCs/>
                <w:sz w:val="20"/>
                <w:szCs w:val="20"/>
              </w:rPr>
            </w:pPr>
            <w:r w:rsidRPr="00153D07">
              <w:rPr>
                <w:rFonts w:ascii="Times New Roman" w:hAnsi="Times New Roman" w:cs="Times New Roman"/>
                <w:b/>
                <w:bCs/>
                <w:sz w:val="20"/>
                <w:szCs w:val="20"/>
              </w:rPr>
              <w:t>Cal Curve</w:t>
            </w:r>
          </w:p>
        </w:tc>
        <w:tc>
          <w:tcPr>
            <w:tcW w:w="1040" w:type="dxa"/>
            <w:tcBorders>
              <w:top w:val="single" w:sz="4" w:space="0" w:color="auto"/>
              <w:bottom w:val="single" w:sz="4" w:space="0" w:color="auto"/>
            </w:tcBorders>
            <w:noWrap/>
            <w:hideMark/>
          </w:tcPr>
          <w:p w14:paraId="7B25FF24" w14:textId="77777777" w:rsidR="009454BE" w:rsidRPr="00153D07" w:rsidRDefault="009454BE" w:rsidP="009454BE">
            <w:pPr>
              <w:jc w:val="center"/>
              <w:rPr>
                <w:rFonts w:ascii="Times New Roman" w:hAnsi="Times New Roman" w:cs="Times New Roman"/>
                <w:b/>
                <w:bCs/>
                <w:sz w:val="20"/>
                <w:szCs w:val="20"/>
              </w:rPr>
            </w:pPr>
            <w:proofErr w:type="spellStart"/>
            <w:r w:rsidRPr="00153D07">
              <w:rPr>
                <w:rFonts w:ascii="Times New Roman" w:hAnsi="Times New Roman" w:cs="Times New Roman"/>
                <w:b/>
                <w:bCs/>
                <w:sz w:val="20"/>
                <w:szCs w:val="20"/>
              </w:rPr>
              <w:t>Diltuion</w:t>
            </w:r>
            <w:proofErr w:type="spellEnd"/>
            <w:r w:rsidRPr="00153D07">
              <w:rPr>
                <w:rFonts w:ascii="Times New Roman" w:hAnsi="Times New Roman" w:cs="Times New Roman"/>
                <w:b/>
                <w:bCs/>
                <w:sz w:val="20"/>
                <w:szCs w:val="20"/>
              </w:rPr>
              <w:t xml:space="preserve"> V</w:t>
            </w:r>
          </w:p>
        </w:tc>
        <w:tc>
          <w:tcPr>
            <w:tcW w:w="960" w:type="dxa"/>
            <w:tcBorders>
              <w:top w:val="single" w:sz="4" w:space="0" w:color="auto"/>
              <w:bottom w:val="single" w:sz="4" w:space="0" w:color="auto"/>
            </w:tcBorders>
            <w:noWrap/>
            <w:hideMark/>
          </w:tcPr>
          <w:p w14:paraId="7BB9F3E6" w14:textId="77777777" w:rsidR="009454BE" w:rsidRPr="00153D07" w:rsidRDefault="009454BE" w:rsidP="009454BE">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F</w:t>
            </w:r>
            <w:r w:rsidRPr="00153D07">
              <w:rPr>
                <w:rFonts w:ascii="Times New Roman" w:hAnsi="Times New Roman" w:cs="Times New Roman"/>
                <w:b/>
                <w:bCs/>
                <w:sz w:val="20"/>
                <w:szCs w:val="20"/>
              </w:rPr>
              <w:t xml:space="preserve"> M</w:t>
            </w:r>
          </w:p>
        </w:tc>
        <w:tc>
          <w:tcPr>
            <w:tcW w:w="960" w:type="dxa"/>
            <w:tcBorders>
              <w:top w:val="single" w:sz="4" w:space="0" w:color="auto"/>
              <w:bottom w:val="single" w:sz="4" w:space="0" w:color="auto"/>
            </w:tcBorders>
            <w:noWrap/>
            <w:hideMark/>
          </w:tcPr>
          <w:p w14:paraId="27CEA715" w14:textId="77777777" w:rsidR="009454BE" w:rsidRPr="00153D07" w:rsidRDefault="009454BE" w:rsidP="009454BE">
            <w:pPr>
              <w:jc w:val="center"/>
              <w:rPr>
                <w:rFonts w:ascii="Times New Roman" w:hAnsi="Times New Roman" w:cs="Times New Roman"/>
                <w:b/>
                <w:bCs/>
                <w:sz w:val="20"/>
                <w:szCs w:val="20"/>
              </w:rPr>
            </w:pPr>
            <w:proofErr w:type="spellStart"/>
            <w:r w:rsidRPr="00153D07">
              <w:rPr>
                <w:rFonts w:ascii="Times New Roman" w:hAnsi="Times New Roman" w:cs="Times New Roman"/>
                <w:b/>
                <w:bCs/>
                <w:sz w:val="20"/>
                <w:szCs w:val="20"/>
              </w:rPr>
              <w:t>Rej</w:t>
            </w:r>
            <w:proofErr w:type="spellEnd"/>
            <w:r w:rsidRPr="00153D07">
              <w:rPr>
                <w:rFonts w:ascii="Times New Roman" w:hAnsi="Times New Roman" w:cs="Times New Roman"/>
                <w:b/>
                <w:bCs/>
                <w:sz w:val="20"/>
                <w:szCs w:val="20"/>
              </w:rPr>
              <w:t>%</w:t>
            </w:r>
          </w:p>
        </w:tc>
      </w:tr>
      <w:tr w:rsidR="009454BE" w:rsidRPr="00AD04DA" w14:paraId="7ECE85F2" w14:textId="77777777" w:rsidTr="009454BE">
        <w:trPr>
          <w:trHeight w:val="300"/>
        </w:trPr>
        <w:tc>
          <w:tcPr>
            <w:tcW w:w="960" w:type="dxa"/>
            <w:tcBorders>
              <w:top w:val="single" w:sz="4" w:space="0" w:color="auto"/>
            </w:tcBorders>
            <w:noWrap/>
            <w:hideMark/>
          </w:tcPr>
          <w:p w14:paraId="37D3B79E"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tcBorders>
              <w:top w:val="single" w:sz="4" w:space="0" w:color="auto"/>
            </w:tcBorders>
            <w:noWrap/>
            <w:hideMark/>
          </w:tcPr>
          <w:p w14:paraId="5037EF34"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tcBorders>
              <w:top w:val="single" w:sz="4" w:space="0" w:color="auto"/>
            </w:tcBorders>
            <w:noWrap/>
            <w:hideMark/>
          </w:tcPr>
          <w:p w14:paraId="0CE090A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tcBorders>
              <w:top w:val="single" w:sz="4" w:space="0" w:color="auto"/>
            </w:tcBorders>
            <w:noWrap/>
            <w:hideMark/>
          </w:tcPr>
          <w:p w14:paraId="1E1B478B"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0.2422</w:t>
            </w:r>
          </w:p>
        </w:tc>
        <w:tc>
          <w:tcPr>
            <w:tcW w:w="960" w:type="dxa"/>
            <w:tcBorders>
              <w:top w:val="single" w:sz="4" w:space="0" w:color="auto"/>
            </w:tcBorders>
            <w:noWrap/>
            <w:hideMark/>
          </w:tcPr>
          <w:p w14:paraId="17945B4B"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2.422</w:t>
            </w:r>
          </w:p>
        </w:tc>
        <w:tc>
          <w:tcPr>
            <w:tcW w:w="960" w:type="dxa"/>
            <w:tcBorders>
              <w:top w:val="single" w:sz="4" w:space="0" w:color="auto"/>
            </w:tcBorders>
            <w:noWrap/>
            <w:hideMark/>
          </w:tcPr>
          <w:p w14:paraId="317EFDC6"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2.422</w:t>
            </w:r>
          </w:p>
        </w:tc>
        <w:tc>
          <w:tcPr>
            <w:tcW w:w="960" w:type="dxa"/>
            <w:tcBorders>
              <w:top w:val="single" w:sz="4" w:space="0" w:color="auto"/>
            </w:tcBorders>
            <w:noWrap/>
            <w:hideMark/>
          </w:tcPr>
          <w:p w14:paraId="6FDA713D"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960" w:type="dxa"/>
            <w:tcBorders>
              <w:top w:val="single" w:sz="4" w:space="0" w:color="auto"/>
            </w:tcBorders>
            <w:noWrap/>
            <w:hideMark/>
          </w:tcPr>
          <w:p w14:paraId="2A3728F9"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915.2</w:t>
            </w:r>
          </w:p>
        </w:tc>
        <w:tc>
          <w:tcPr>
            <w:tcW w:w="960" w:type="dxa"/>
            <w:tcBorders>
              <w:top w:val="single" w:sz="4" w:space="0" w:color="auto"/>
            </w:tcBorders>
            <w:noWrap/>
            <w:hideMark/>
          </w:tcPr>
          <w:p w14:paraId="212B9D05"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145.772</w:t>
            </w:r>
          </w:p>
        </w:tc>
        <w:tc>
          <w:tcPr>
            <w:tcW w:w="1040" w:type="dxa"/>
            <w:tcBorders>
              <w:top w:val="single" w:sz="4" w:space="0" w:color="auto"/>
            </w:tcBorders>
            <w:noWrap/>
            <w:hideMark/>
          </w:tcPr>
          <w:p w14:paraId="21338403"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4.6</w:t>
            </w:r>
          </w:p>
        </w:tc>
        <w:tc>
          <w:tcPr>
            <w:tcW w:w="960" w:type="dxa"/>
            <w:tcBorders>
              <w:top w:val="single" w:sz="4" w:space="0" w:color="auto"/>
            </w:tcBorders>
            <w:noWrap/>
            <w:hideMark/>
          </w:tcPr>
          <w:p w14:paraId="505C2D99"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2914.356</w:t>
            </w:r>
          </w:p>
        </w:tc>
        <w:tc>
          <w:tcPr>
            <w:tcW w:w="960" w:type="dxa"/>
            <w:tcBorders>
              <w:top w:val="single" w:sz="4" w:space="0" w:color="auto"/>
            </w:tcBorders>
            <w:noWrap/>
            <w:hideMark/>
          </w:tcPr>
          <w:p w14:paraId="7B4E1D7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99.41713</w:t>
            </w:r>
          </w:p>
        </w:tc>
      </w:tr>
      <w:tr w:rsidR="009454BE" w:rsidRPr="00AD04DA" w14:paraId="376D363C" w14:textId="77777777" w:rsidTr="009454BE">
        <w:trPr>
          <w:trHeight w:val="300"/>
        </w:trPr>
        <w:tc>
          <w:tcPr>
            <w:tcW w:w="960" w:type="dxa"/>
            <w:noWrap/>
            <w:hideMark/>
          </w:tcPr>
          <w:p w14:paraId="53F59C02"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106EE5C0"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0970B53E"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43E5D1BB"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0.1861</w:t>
            </w:r>
          </w:p>
        </w:tc>
        <w:tc>
          <w:tcPr>
            <w:tcW w:w="960" w:type="dxa"/>
            <w:noWrap/>
            <w:hideMark/>
          </w:tcPr>
          <w:p w14:paraId="62ABD457"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1.861</w:t>
            </w:r>
          </w:p>
        </w:tc>
        <w:tc>
          <w:tcPr>
            <w:tcW w:w="960" w:type="dxa"/>
            <w:noWrap/>
            <w:hideMark/>
          </w:tcPr>
          <w:p w14:paraId="74FDEC89"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1.861</w:t>
            </w:r>
          </w:p>
        </w:tc>
        <w:tc>
          <w:tcPr>
            <w:tcW w:w="960" w:type="dxa"/>
            <w:noWrap/>
            <w:hideMark/>
          </w:tcPr>
          <w:p w14:paraId="4C68494B"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960" w:type="dxa"/>
            <w:noWrap/>
            <w:hideMark/>
          </w:tcPr>
          <w:p w14:paraId="57D09018"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817.2</w:t>
            </w:r>
          </w:p>
        </w:tc>
        <w:tc>
          <w:tcPr>
            <w:tcW w:w="960" w:type="dxa"/>
            <w:noWrap/>
            <w:hideMark/>
          </w:tcPr>
          <w:p w14:paraId="7734DE5A"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130.162</w:t>
            </w:r>
          </w:p>
        </w:tc>
        <w:tc>
          <w:tcPr>
            <w:tcW w:w="1040" w:type="dxa"/>
            <w:noWrap/>
            <w:hideMark/>
          </w:tcPr>
          <w:p w14:paraId="424329A4"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3.535</w:t>
            </w:r>
          </w:p>
        </w:tc>
        <w:tc>
          <w:tcPr>
            <w:tcW w:w="960" w:type="dxa"/>
            <w:noWrap/>
            <w:hideMark/>
          </w:tcPr>
          <w:p w14:paraId="25A157AA"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2602.61</w:t>
            </w:r>
          </w:p>
        </w:tc>
        <w:tc>
          <w:tcPr>
            <w:tcW w:w="960" w:type="dxa"/>
            <w:noWrap/>
            <w:hideMark/>
          </w:tcPr>
          <w:p w14:paraId="39ACDB7E"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99.47948</w:t>
            </w:r>
          </w:p>
        </w:tc>
      </w:tr>
      <w:tr w:rsidR="009454BE" w:rsidRPr="00AD04DA" w14:paraId="43BBD078" w14:textId="77777777" w:rsidTr="009454BE">
        <w:trPr>
          <w:trHeight w:val="300"/>
        </w:trPr>
        <w:tc>
          <w:tcPr>
            <w:tcW w:w="960" w:type="dxa"/>
            <w:noWrap/>
            <w:hideMark/>
          </w:tcPr>
          <w:p w14:paraId="73C65DE1"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1C0C88E3"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27EC2197"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28D16F61"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0.1912</w:t>
            </w:r>
          </w:p>
        </w:tc>
        <w:tc>
          <w:tcPr>
            <w:tcW w:w="960" w:type="dxa"/>
            <w:noWrap/>
            <w:hideMark/>
          </w:tcPr>
          <w:p w14:paraId="05AAA7B2"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1.912</w:t>
            </w:r>
          </w:p>
        </w:tc>
        <w:tc>
          <w:tcPr>
            <w:tcW w:w="960" w:type="dxa"/>
            <w:noWrap/>
            <w:hideMark/>
          </w:tcPr>
          <w:p w14:paraId="7EF007C4"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1.912</w:t>
            </w:r>
          </w:p>
        </w:tc>
        <w:tc>
          <w:tcPr>
            <w:tcW w:w="960" w:type="dxa"/>
            <w:noWrap/>
            <w:hideMark/>
          </w:tcPr>
          <w:p w14:paraId="5966DB92"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960" w:type="dxa"/>
            <w:noWrap/>
            <w:hideMark/>
          </w:tcPr>
          <w:p w14:paraId="5A024322"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885.7</w:t>
            </w:r>
          </w:p>
        </w:tc>
        <w:tc>
          <w:tcPr>
            <w:tcW w:w="960" w:type="dxa"/>
            <w:noWrap/>
            <w:hideMark/>
          </w:tcPr>
          <w:p w14:paraId="23D65A0D"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141.0767</w:t>
            </w:r>
          </w:p>
        </w:tc>
        <w:tc>
          <w:tcPr>
            <w:tcW w:w="1040" w:type="dxa"/>
            <w:noWrap/>
            <w:hideMark/>
          </w:tcPr>
          <w:p w14:paraId="7149715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3.635</w:t>
            </w:r>
          </w:p>
        </w:tc>
        <w:tc>
          <w:tcPr>
            <w:tcW w:w="960" w:type="dxa"/>
            <w:noWrap/>
            <w:hideMark/>
          </w:tcPr>
          <w:p w14:paraId="298F42B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2823.157</w:t>
            </w:r>
          </w:p>
        </w:tc>
        <w:tc>
          <w:tcPr>
            <w:tcW w:w="960" w:type="dxa"/>
            <w:noWrap/>
            <w:hideMark/>
          </w:tcPr>
          <w:p w14:paraId="78006F54"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99.43537</w:t>
            </w:r>
          </w:p>
        </w:tc>
      </w:tr>
      <w:tr w:rsidR="009454BE" w:rsidRPr="00AD04DA" w14:paraId="38F2D7E4" w14:textId="77777777" w:rsidTr="009454BE">
        <w:trPr>
          <w:trHeight w:val="300"/>
        </w:trPr>
        <w:tc>
          <w:tcPr>
            <w:tcW w:w="960" w:type="dxa"/>
            <w:noWrap/>
            <w:hideMark/>
          </w:tcPr>
          <w:p w14:paraId="17395540"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0D8840E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3F2FCBA5"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9.7578</w:t>
            </w:r>
          </w:p>
        </w:tc>
        <w:tc>
          <w:tcPr>
            <w:tcW w:w="960" w:type="dxa"/>
            <w:noWrap/>
            <w:hideMark/>
          </w:tcPr>
          <w:p w14:paraId="27A442F9"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0.1621</w:t>
            </w:r>
          </w:p>
        </w:tc>
        <w:tc>
          <w:tcPr>
            <w:tcW w:w="960" w:type="dxa"/>
            <w:noWrap/>
            <w:hideMark/>
          </w:tcPr>
          <w:p w14:paraId="63AA0F9D"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1.621</w:t>
            </w:r>
          </w:p>
        </w:tc>
        <w:tc>
          <w:tcPr>
            <w:tcW w:w="960" w:type="dxa"/>
            <w:noWrap/>
            <w:hideMark/>
          </w:tcPr>
          <w:p w14:paraId="0E25ECFB"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1.661235</w:t>
            </w:r>
          </w:p>
        </w:tc>
        <w:tc>
          <w:tcPr>
            <w:tcW w:w="960" w:type="dxa"/>
            <w:noWrap/>
            <w:hideMark/>
          </w:tcPr>
          <w:p w14:paraId="6000FEB9"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960" w:type="dxa"/>
            <w:noWrap/>
            <w:hideMark/>
          </w:tcPr>
          <w:p w14:paraId="2138D920"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2019.2</w:t>
            </w:r>
          </w:p>
        </w:tc>
        <w:tc>
          <w:tcPr>
            <w:tcW w:w="960" w:type="dxa"/>
            <w:noWrap/>
            <w:hideMark/>
          </w:tcPr>
          <w:p w14:paraId="1CEE52E8"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321.6111</w:t>
            </w:r>
          </w:p>
        </w:tc>
        <w:tc>
          <w:tcPr>
            <w:tcW w:w="1040" w:type="dxa"/>
            <w:noWrap/>
            <w:hideMark/>
          </w:tcPr>
          <w:p w14:paraId="7DEF3D2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3.08</w:t>
            </w:r>
          </w:p>
        </w:tc>
        <w:tc>
          <w:tcPr>
            <w:tcW w:w="960" w:type="dxa"/>
            <w:noWrap/>
            <w:hideMark/>
          </w:tcPr>
          <w:p w14:paraId="5E0B2909"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6432.421</w:t>
            </w:r>
          </w:p>
        </w:tc>
        <w:tc>
          <w:tcPr>
            <w:tcW w:w="960" w:type="dxa"/>
            <w:noWrap/>
            <w:hideMark/>
          </w:tcPr>
          <w:p w14:paraId="6D322CF0"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98.71352</w:t>
            </w:r>
          </w:p>
        </w:tc>
      </w:tr>
      <w:tr w:rsidR="009454BE" w:rsidRPr="00AD04DA" w14:paraId="28905E75" w14:textId="77777777" w:rsidTr="009454BE">
        <w:trPr>
          <w:trHeight w:val="300"/>
        </w:trPr>
        <w:tc>
          <w:tcPr>
            <w:tcW w:w="960" w:type="dxa"/>
            <w:noWrap/>
            <w:hideMark/>
          </w:tcPr>
          <w:p w14:paraId="57512476"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5EF0AC84"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52172223"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9.8139</w:t>
            </w:r>
          </w:p>
        </w:tc>
        <w:tc>
          <w:tcPr>
            <w:tcW w:w="960" w:type="dxa"/>
            <w:noWrap/>
            <w:hideMark/>
          </w:tcPr>
          <w:p w14:paraId="5C857EEA"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0.134</w:t>
            </w:r>
          </w:p>
        </w:tc>
        <w:tc>
          <w:tcPr>
            <w:tcW w:w="960" w:type="dxa"/>
            <w:noWrap/>
            <w:hideMark/>
          </w:tcPr>
          <w:p w14:paraId="0862CDEC"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1.34</w:t>
            </w:r>
          </w:p>
        </w:tc>
        <w:tc>
          <w:tcPr>
            <w:tcW w:w="960" w:type="dxa"/>
            <w:noWrap/>
            <w:hideMark/>
          </w:tcPr>
          <w:p w14:paraId="51829453"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1.36541</w:t>
            </w:r>
          </w:p>
        </w:tc>
        <w:tc>
          <w:tcPr>
            <w:tcW w:w="960" w:type="dxa"/>
            <w:noWrap/>
            <w:hideMark/>
          </w:tcPr>
          <w:p w14:paraId="198119D5"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960" w:type="dxa"/>
            <w:noWrap/>
            <w:hideMark/>
          </w:tcPr>
          <w:p w14:paraId="08C8C684"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4466.9</w:t>
            </w:r>
          </w:p>
        </w:tc>
        <w:tc>
          <w:tcPr>
            <w:tcW w:w="960" w:type="dxa"/>
            <w:noWrap/>
            <w:hideMark/>
          </w:tcPr>
          <w:p w14:paraId="19746A08"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711.4786</w:t>
            </w:r>
          </w:p>
        </w:tc>
        <w:tc>
          <w:tcPr>
            <w:tcW w:w="1040" w:type="dxa"/>
            <w:noWrap/>
            <w:hideMark/>
          </w:tcPr>
          <w:p w14:paraId="2214719A"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2.545</w:t>
            </w:r>
          </w:p>
        </w:tc>
        <w:tc>
          <w:tcPr>
            <w:tcW w:w="960" w:type="dxa"/>
            <w:noWrap/>
            <w:hideMark/>
          </w:tcPr>
          <w:p w14:paraId="0556D95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14224.26</w:t>
            </w:r>
          </w:p>
        </w:tc>
        <w:tc>
          <w:tcPr>
            <w:tcW w:w="960" w:type="dxa"/>
            <w:noWrap/>
            <w:hideMark/>
          </w:tcPr>
          <w:p w14:paraId="6FDDBC5E"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97.15515</w:t>
            </w:r>
          </w:p>
        </w:tc>
      </w:tr>
      <w:tr w:rsidR="009454BE" w:rsidRPr="00AD04DA" w14:paraId="78E287EC" w14:textId="77777777" w:rsidTr="009454BE">
        <w:trPr>
          <w:trHeight w:val="300"/>
        </w:trPr>
        <w:tc>
          <w:tcPr>
            <w:tcW w:w="960" w:type="dxa"/>
            <w:noWrap/>
            <w:hideMark/>
          </w:tcPr>
          <w:p w14:paraId="45846F2B"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04A99519"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78C996B4"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9.8088</w:t>
            </w:r>
          </w:p>
        </w:tc>
        <w:tc>
          <w:tcPr>
            <w:tcW w:w="960" w:type="dxa"/>
            <w:noWrap/>
            <w:hideMark/>
          </w:tcPr>
          <w:p w14:paraId="68A76130"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0.1172</w:t>
            </w:r>
          </w:p>
        </w:tc>
        <w:tc>
          <w:tcPr>
            <w:tcW w:w="960" w:type="dxa"/>
            <w:noWrap/>
            <w:hideMark/>
          </w:tcPr>
          <w:p w14:paraId="78485A8E"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1.172</w:t>
            </w:r>
          </w:p>
        </w:tc>
        <w:tc>
          <w:tcPr>
            <w:tcW w:w="960" w:type="dxa"/>
            <w:noWrap/>
            <w:hideMark/>
          </w:tcPr>
          <w:p w14:paraId="0AC6FDEA"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1.194845</w:t>
            </w:r>
          </w:p>
        </w:tc>
        <w:tc>
          <w:tcPr>
            <w:tcW w:w="960" w:type="dxa"/>
            <w:noWrap/>
            <w:hideMark/>
          </w:tcPr>
          <w:p w14:paraId="0F07A518"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960" w:type="dxa"/>
            <w:noWrap/>
            <w:hideMark/>
          </w:tcPr>
          <w:p w14:paraId="33554E34"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1741.0</w:t>
            </w:r>
          </w:p>
        </w:tc>
        <w:tc>
          <w:tcPr>
            <w:tcW w:w="960" w:type="dxa"/>
            <w:noWrap/>
            <w:hideMark/>
          </w:tcPr>
          <w:p w14:paraId="6AA5FB7A"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277.3043</w:t>
            </w:r>
          </w:p>
        </w:tc>
        <w:tc>
          <w:tcPr>
            <w:tcW w:w="1040" w:type="dxa"/>
            <w:noWrap/>
            <w:hideMark/>
          </w:tcPr>
          <w:p w14:paraId="7CAD684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2.23</w:t>
            </w:r>
          </w:p>
        </w:tc>
        <w:tc>
          <w:tcPr>
            <w:tcW w:w="960" w:type="dxa"/>
            <w:noWrap/>
            <w:hideMark/>
          </w:tcPr>
          <w:p w14:paraId="23879B9B"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5553.657</w:t>
            </w:r>
          </w:p>
        </w:tc>
        <w:tc>
          <w:tcPr>
            <w:tcW w:w="960" w:type="dxa"/>
            <w:noWrap/>
            <w:hideMark/>
          </w:tcPr>
          <w:p w14:paraId="24695B5B"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98.88927</w:t>
            </w:r>
          </w:p>
        </w:tc>
      </w:tr>
      <w:tr w:rsidR="009454BE" w:rsidRPr="00AD04DA" w14:paraId="04273160" w14:textId="77777777" w:rsidTr="009454BE">
        <w:trPr>
          <w:trHeight w:val="300"/>
        </w:trPr>
        <w:tc>
          <w:tcPr>
            <w:tcW w:w="960" w:type="dxa"/>
            <w:noWrap/>
            <w:hideMark/>
          </w:tcPr>
          <w:p w14:paraId="25856F15"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noWrap/>
            <w:hideMark/>
          </w:tcPr>
          <w:p w14:paraId="0B034655"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17ADEC38"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9.5957</w:t>
            </w:r>
          </w:p>
        </w:tc>
        <w:tc>
          <w:tcPr>
            <w:tcW w:w="960" w:type="dxa"/>
            <w:noWrap/>
            <w:hideMark/>
          </w:tcPr>
          <w:p w14:paraId="064BE2C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0</w:t>
            </w:r>
          </w:p>
        </w:tc>
        <w:tc>
          <w:tcPr>
            <w:tcW w:w="960" w:type="dxa"/>
            <w:noWrap/>
            <w:hideMark/>
          </w:tcPr>
          <w:p w14:paraId="2848D719"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0</w:t>
            </w:r>
          </w:p>
        </w:tc>
        <w:tc>
          <w:tcPr>
            <w:tcW w:w="960" w:type="dxa"/>
            <w:noWrap/>
            <w:hideMark/>
          </w:tcPr>
          <w:p w14:paraId="0D70A0E5"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0</w:t>
            </w:r>
          </w:p>
        </w:tc>
        <w:tc>
          <w:tcPr>
            <w:tcW w:w="960" w:type="dxa"/>
            <w:noWrap/>
            <w:hideMark/>
          </w:tcPr>
          <w:p w14:paraId="34D91742"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960" w:type="dxa"/>
            <w:noWrap/>
            <w:hideMark/>
          </w:tcPr>
          <w:p w14:paraId="075DFCF2"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NA</w:t>
            </w:r>
          </w:p>
        </w:tc>
        <w:tc>
          <w:tcPr>
            <w:tcW w:w="960" w:type="dxa"/>
            <w:noWrap/>
            <w:hideMark/>
          </w:tcPr>
          <w:p w14:paraId="3BBD8BB5"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NA</w:t>
            </w:r>
          </w:p>
        </w:tc>
        <w:tc>
          <w:tcPr>
            <w:tcW w:w="1040" w:type="dxa"/>
            <w:noWrap/>
            <w:hideMark/>
          </w:tcPr>
          <w:p w14:paraId="71A576A4"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NA</w:t>
            </w:r>
          </w:p>
        </w:tc>
        <w:tc>
          <w:tcPr>
            <w:tcW w:w="960" w:type="dxa"/>
            <w:noWrap/>
            <w:hideMark/>
          </w:tcPr>
          <w:p w14:paraId="73C57440"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NA</w:t>
            </w:r>
          </w:p>
        </w:tc>
        <w:tc>
          <w:tcPr>
            <w:tcW w:w="960" w:type="dxa"/>
            <w:noWrap/>
            <w:hideMark/>
          </w:tcPr>
          <w:p w14:paraId="7909B30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NA</w:t>
            </w:r>
          </w:p>
        </w:tc>
      </w:tr>
      <w:tr w:rsidR="009454BE" w:rsidRPr="00AD04DA" w14:paraId="4DA40C44" w14:textId="77777777" w:rsidTr="009454BE">
        <w:trPr>
          <w:trHeight w:val="300"/>
        </w:trPr>
        <w:tc>
          <w:tcPr>
            <w:tcW w:w="960" w:type="dxa"/>
            <w:noWrap/>
            <w:hideMark/>
          </w:tcPr>
          <w:p w14:paraId="6E9DEB24"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3B52B7EB"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6F668550"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9.6799</w:t>
            </w:r>
          </w:p>
        </w:tc>
        <w:tc>
          <w:tcPr>
            <w:tcW w:w="960" w:type="dxa"/>
            <w:noWrap/>
            <w:hideMark/>
          </w:tcPr>
          <w:p w14:paraId="4B155130"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0.1426</w:t>
            </w:r>
          </w:p>
        </w:tc>
        <w:tc>
          <w:tcPr>
            <w:tcW w:w="960" w:type="dxa"/>
            <w:noWrap/>
            <w:hideMark/>
          </w:tcPr>
          <w:p w14:paraId="0BD8737C"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1.426</w:t>
            </w:r>
          </w:p>
        </w:tc>
        <w:tc>
          <w:tcPr>
            <w:tcW w:w="960" w:type="dxa"/>
            <w:noWrap/>
            <w:hideMark/>
          </w:tcPr>
          <w:p w14:paraId="09D315B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1.473156</w:t>
            </w:r>
          </w:p>
        </w:tc>
        <w:tc>
          <w:tcPr>
            <w:tcW w:w="960" w:type="dxa"/>
            <w:noWrap/>
            <w:hideMark/>
          </w:tcPr>
          <w:p w14:paraId="01F5EE9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960" w:type="dxa"/>
            <w:noWrap/>
            <w:hideMark/>
          </w:tcPr>
          <w:p w14:paraId="52D00002"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1360.8</w:t>
            </w:r>
          </w:p>
        </w:tc>
        <w:tc>
          <w:tcPr>
            <w:tcW w:w="960" w:type="dxa"/>
            <w:noWrap/>
            <w:hideMark/>
          </w:tcPr>
          <w:p w14:paraId="109D3A0D"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216.7503</w:t>
            </w:r>
          </w:p>
        </w:tc>
        <w:tc>
          <w:tcPr>
            <w:tcW w:w="1040" w:type="dxa"/>
            <w:noWrap/>
            <w:hideMark/>
          </w:tcPr>
          <w:p w14:paraId="7AC8CFB9"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2.71</w:t>
            </w:r>
          </w:p>
        </w:tc>
        <w:tc>
          <w:tcPr>
            <w:tcW w:w="960" w:type="dxa"/>
            <w:noWrap/>
            <w:hideMark/>
          </w:tcPr>
          <w:p w14:paraId="04D5E598"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4335.918</w:t>
            </w:r>
          </w:p>
        </w:tc>
        <w:tc>
          <w:tcPr>
            <w:tcW w:w="960" w:type="dxa"/>
            <w:noWrap/>
            <w:hideMark/>
          </w:tcPr>
          <w:p w14:paraId="1CD5B596"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99.13282</w:t>
            </w:r>
          </w:p>
        </w:tc>
      </w:tr>
      <w:tr w:rsidR="009454BE" w:rsidRPr="00AD04DA" w14:paraId="640826DD" w14:textId="77777777" w:rsidTr="009454BE">
        <w:trPr>
          <w:trHeight w:val="300"/>
        </w:trPr>
        <w:tc>
          <w:tcPr>
            <w:tcW w:w="960" w:type="dxa"/>
            <w:noWrap/>
            <w:hideMark/>
          </w:tcPr>
          <w:p w14:paraId="29775F33"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638C00D7"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0D0925BB"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9.6916</w:t>
            </w:r>
          </w:p>
        </w:tc>
        <w:tc>
          <w:tcPr>
            <w:tcW w:w="960" w:type="dxa"/>
            <w:noWrap/>
            <w:hideMark/>
          </w:tcPr>
          <w:p w14:paraId="32F92072"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0.1172</w:t>
            </w:r>
          </w:p>
        </w:tc>
        <w:tc>
          <w:tcPr>
            <w:tcW w:w="960" w:type="dxa"/>
            <w:noWrap/>
            <w:hideMark/>
          </w:tcPr>
          <w:p w14:paraId="1A5E8105"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1.172</w:t>
            </w:r>
          </w:p>
        </w:tc>
        <w:tc>
          <w:tcPr>
            <w:tcW w:w="960" w:type="dxa"/>
            <w:noWrap/>
            <w:hideMark/>
          </w:tcPr>
          <w:p w14:paraId="36885ADC"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1.209295</w:t>
            </w:r>
          </w:p>
        </w:tc>
        <w:tc>
          <w:tcPr>
            <w:tcW w:w="960" w:type="dxa"/>
            <w:noWrap/>
            <w:hideMark/>
          </w:tcPr>
          <w:p w14:paraId="28126CAF"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960" w:type="dxa"/>
            <w:noWrap/>
            <w:hideMark/>
          </w:tcPr>
          <w:p w14:paraId="65E04958"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2374.0</w:t>
            </w:r>
          </w:p>
        </w:tc>
        <w:tc>
          <w:tcPr>
            <w:tcW w:w="960" w:type="dxa"/>
            <w:noWrap/>
            <w:hideMark/>
          </w:tcPr>
          <w:p w14:paraId="686A91A7"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378.1278</w:t>
            </w:r>
          </w:p>
        </w:tc>
        <w:tc>
          <w:tcPr>
            <w:tcW w:w="1040" w:type="dxa"/>
            <w:noWrap/>
            <w:hideMark/>
          </w:tcPr>
          <w:p w14:paraId="5B62A7F5"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2.23</w:t>
            </w:r>
          </w:p>
        </w:tc>
        <w:tc>
          <w:tcPr>
            <w:tcW w:w="960" w:type="dxa"/>
            <w:noWrap/>
            <w:hideMark/>
          </w:tcPr>
          <w:p w14:paraId="72D2383E"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7572.88</w:t>
            </w:r>
          </w:p>
        </w:tc>
        <w:tc>
          <w:tcPr>
            <w:tcW w:w="960" w:type="dxa"/>
            <w:noWrap/>
            <w:hideMark/>
          </w:tcPr>
          <w:p w14:paraId="05C4A55A" w14:textId="77777777" w:rsidR="009454BE" w:rsidRPr="00153D07" w:rsidRDefault="009454BE" w:rsidP="009454BE">
            <w:pPr>
              <w:jc w:val="center"/>
              <w:rPr>
                <w:rFonts w:ascii="Times New Roman" w:hAnsi="Times New Roman" w:cs="Times New Roman"/>
                <w:sz w:val="20"/>
                <w:szCs w:val="20"/>
              </w:rPr>
            </w:pPr>
            <w:r w:rsidRPr="00153D07">
              <w:rPr>
                <w:rFonts w:ascii="Times New Roman" w:hAnsi="Times New Roman" w:cs="Times New Roman"/>
                <w:sz w:val="20"/>
                <w:szCs w:val="20"/>
              </w:rPr>
              <w:t>98.48542</w:t>
            </w:r>
          </w:p>
        </w:tc>
      </w:tr>
    </w:tbl>
    <w:p w14:paraId="6D9D60A3" w14:textId="77777777" w:rsidR="008D6421" w:rsidRPr="00AD04DA" w:rsidRDefault="008D6421" w:rsidP="00B02CBC">
      <w:pPr>
        <w:spacing w:line="480" w:lineRule="auto"/>
        <w:jc w:val="center"/>
        <w:rPr>
          <w:rFonts w:ascii="Times New Roman" w:hAnsi="Times New Roman" w:cs="Times New Roman"/>
          <w:sz w:val="24"/>
          <w:szCs w:val="24"/>
        </w:rPr>
      </w:pPr>
    </w:p>
    <w:p w14:paraId="0116AAA2" w14:textId="30EFF8FB" w:rsidR="00C4062D" w:rsidRPr="00AD04DA" w:rsidRDefault="00C4062D"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A1</w:t>
      </w:r>
      <w:r w:rsidR="00E00185" w:rsidRPr="00153D07">
        <w:rPr>
          <w:rFonts w:ascii="Times New Roman" w:hAnsi="Times New Roman" w:cs="Times New Roman"/>
          <w:b/>
          <w:bCs/>
          <w:sz w:val="24"/>
          <w:szCs w:val="24"/>
        </w:rPr>
        <w:t>3</w:t>
      </w:r>
      <w:r w:rsidRPr="00AD04DA">
        <w:rPr>
          <w:rFonts w:ascii="Times New Roman" w:hAnsi="Times New Roman" w:cs="Times New Roman"/>
          <w:sz w:val="24"/>
          <w:szCs w:val="24"/>
        </w:rPr>
        <w:t>: Experimental Data for DPA with 500 ppm SeO</w:t>
      </w:r>
      <w:r w:rsidRPr="00AD04DA">
        <w:rPr>
          <w:rFonts w:ascii="Times New Roman" w:hAnsi="Times New Roman" w:cs="Times New Roman"/>
          <w:sz w:val="24"/>
          <w:szCs w:val="24"/>
          <w:vertAlign w:val="subscript"/>
        </w:rPr>
        <w:t>3</w:t>
      </w:r>
      <w:r w:rsidRPr="00AD04DA">
        <w:rPr>
          <w:rFonts w:ascii="Times New Roman" w:hAnsi="Times New Roman" w:cs="Times New Roman"/>
          <w:sz w:val="24"/>
          <w:szCs w:val="24"/>
        </w:rPr>
        <w:t xml:space="preserve"> feed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3"/>
        <w:gridCol w:w="621"/>
        <w:gridCol w:w="663"/>
        <w:gridCol w:w="663"/>
        <w:gridCol w:w="663"/>
        <w:gridCol w:w="825"/>
        <w:gridCol w:w="704"/>
        <w:gridCol w:w="740"/>
        <w:gridCol w:w="825"/>
        <w:gridCol w:w="786"/>
        <w:gridCol w:w="825"/>
        <w:gridCol w:w="587"/>
        <w:gridCol w:w="825"/>
      </w:tblGrid>
      <w:tr w:rsidR="00D630BC" w:rsidRPr="00AD04DA" w14:paraId="15C0436F" w14:textId="77777777" w:rsidTr="00892DAE">
        <w:trPr>
          <w:trHeight w:val="360"/>
        </w:trPr>
        <w:tc>
          <w:tcPr>
            <w:tcW w:w="716" w:type="dxa"/>
            <w:tcBorders>
              <w:top w:val="single" w:sz="4" w:space="0" w:color="auto"/>
              <w:bottom w:val="single" w:sz="4" w:space="0" w:color="auto"/>
            </w:tcBorders>
            <w:noWrap/>
            <w:hideMark/>
          </w:tcPr>
          <w:p w14:paraId="00F5E8C5"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Run</w:t>
            </w:r>
          </w:p>
        </w:tc>
        <w:tc>
          <w:tcPr>
            <w:tcW w:w="715" w:type="dxa"/>
            <w:tcBorders>
              <w:top w:val="single" w:sz="4" w:space="0" w:color="auto"/>
              <w:bottom w:val="single" w:sz="4" w:space="0" w:color="auto"/>
            </w:tcBorders>
            <w:noWrap/>
            <w:hideMark/>
          </w:tcPr>
          <w:p w14:paraId="74EF6EAF"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Cycle</w:t>
            </w:r>
          </w:p>
        </w:tc>
        <w:tc>
          <w:tcPr>
            <w:tcW w:w="715" w:type="dxa"/>
            <w:tcBorders>
              <w:top w:val="single" w:sz="4" w:space="0" w:color="auto"/>
              <w:bottom w:val="single" w:sz="4" w:space="0" w:color="auto"/>
            </w:tcBorders>
            <w:noWrap/>
            <w:hideMark/>
          </w:tcPr>
          <w:p w14:paraId="20761FDB"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mL</w:t>
            </w:r>
          </w:p>
        </w:tc>
        <w:tc>
          <w:tcPr>
            <w:tcW w:w="715" w:type="dxa"/>
            <w:tcBorders>
              <w:top w:val="single" w:sz="4" w:space="0" w:color="auto"/>
              <w:bottom w:val="single" w:sz="4" w:space="0" w:color="auto"/>
            </w:tcBorders>
            <w:noWrap/>
            <w:hideMark/>
          </w:tcPr>
          <w:p w14:paraId="6EB0CB7A"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R</w:t>
            </w:r>
            <w:r w:rsidRPr="00153D07">
              <w:rPr>
                <w:rFonts w:ascii="Times New Roman" w:hAnsi="Times New Roman" w:cs="Times New Roman"/>
                <w:b/>
                <w:bCs/>
                <w:sz w:val="20"/>
                <w:szCs w:val="20"/>
              </w:rPr>
              <w:t xml:space="preserve"> mL</w:t>
            </w:r>
          </w:p>
        </w:tc>
        <w:tc>
          <w:tcPr>
            <w:tcW w:w="715" w:type="dxa"/>
            <w:tcBorders>
              <w:top w:val="single" w:sz="4" w:space="0" w:color="auto"/>
              <w:bottom w:val="single" w:sz="4" w:space="0" w:color="auto"/>
            </w:tcBorders>
            <w:noWrap/>
            <w:hideMark/>
          </w:tcPr>
          <w:p w14:paraId="0F7B0CFF"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Total Rec%</w:t>
            </w:r>
          </w:p>
        </w:tc>
        <w:tc>
          <w:tcPr>
            <w:tcW w:w="715" w:type="dxa"/>
            <w:tcBorders>
              <w:top w:val="single" w:sz="4" w:space="0" w:color="auto"/>
              <w:bottom w:val="single" w:sz="4" w:space="0" w:color="auto"/>
            </w:tcBorders>
            <w:noWrap/>
            <w:hideMark/>
          </w:tcPr>
          <w:p w14:paraId="7EAE47E8"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Trial rec %</w:t>
            </w:r>
          </w:p>
        </w:tc>
        <w:tc>
          <w:tcPr>
            <w:tcW w:w="715" w:type="dxa"/>
            <w:tcBorders>
              <w:top w:val="single" w:sz="4" w:space="0" w:color="auto"/>
              <w:bottom w:val="single" w:sz="4" w:space="0" w:color="auto"/>
            </w:tcBorders>
            <w:noWrap/>
            <w:hideMark/>
          </w:tcPr>
          <w:p w14:paraId="7F09951A"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w:t>
            </w:r>
          </w:p>
        </w:tc>
        <w:tc>
          <w:tcPr>
            <w:tcW w:w="715" w:type="dxa"/>
            <w:tcBorders>
              <w:top w:val="single" w:sz="4" w:space="0" w:color="auto"/>
              <w:bottom w:val="single" w:sz="4" w:space="0" w:color="auto"/>
            </w:tcBorders>
            <w:noWrap/>
            <w:hideMark/>
          </w:tcPr>
          <w:p w14:paraId="2DA9F02C"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ICPMS</w:t>
            </w:r>
          </w:p>
        </w:tc>
        <w:tc>
          <w:tcPr>
            <w:tcW w:w="715" w:type="dxa"/>
            <w:tcBorders>
              <w:top w:val="single" w:sz="4" w:space="0" w:color="auto"/>
              <w:bottom w:val="single" w:sz="4" w:space="0" w:color="auto"/>
            </w:tcBorders>
            <w:noWrap/>
            <w:hideMark/>
          </w:tcPr>
          <w:p w14:paraId="6B6F86D9"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 xml:space="preserve">Cal </w:t>
            </w:r>
            <w:proofErr w:type="spellStart"/>
            <w:r w:rsidRPr="00153D07">
              <w:rPr>
                <w:rFonts w:ascii="Times New Roman" w:hAnsi="Times New Roman" w:cs="Times New Roman"/>
                <w:b/>
                <w:bCs/>
                <w:sz w:val="20"/>
                <w:szCs w:val="20"/>
              </w:rPr>
              <w:t>Cuve</w:t>
            </w:r>
            <w:proofErr w:type="spellEnd"/>
          </w:p>
        </w:tc>
        <w:tc>
          <w:tcPr>
            <w:tcW w:w="769" w:type="dxa"/>
            <w:tcBorders>
              <w:top w:val="single" w:sz="4" w:space="0" w:color="auto"/>
              <w:bottom w:val="single" w:sz="4" w:space="0" w:color="auto"/>
            </w:tcBorders>
            <w:noWrap/>
            <w:hideMark/>
          </w:tcPr>
          <w:p w14:paraId="30951BE2"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Dilution V</w:t>
            </w:r>
          </w:p>
        </w:tc>
        <w:tc>
          <w:tcPr>
            <w:tcW w:w="715" w:type="dxa"/>
            <w:tcBorders>
              <w:top w:val="single" w:sz="4" w:space="0" w:color="auto"/>
              <w:bottom w:val="single" w:sz="4" w:space="0" w:color="auto"/>
            </w:tcBorders>
            <w:noWrap/>
            <w:hideMark/>
          </w:tcPr>
          <w:p w14:paraId="635B7A0D"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F</w:t>
            </w:r>
            <w:r w:rsidRPr="00153D07">
              <w:rPr>
                <w:rFonts w:ascii="Times New Roman" w:hAnsi="Times New Roman" w:cs="Times New Roman"/>
                <w:b/>
                <w:bCs/>
                <w:sz w:val="20"/>
                <w:szCs w:val="20"/>
              </w:rPr>
              <w:t xml:space="preserve"> M</w:t>
            </w:r>
          </w:p>
        </w:tc>
        <w:tc>
          <w:tcPr>
            <w:tcW w:w="535" w:type="dxa"/>
            <w:tcBorders>
              <w:top w:val="single" w:sz="4" w:space="0" w:color="auto"/>
              <w:bottom w:val="single" w:sz="4" w:space="0" w:color="auto"/>
            </w:tcBorders>
            <w:noWrap/>
            <w:hideMark/>
          </w:tcPr>
          <w:p w14:paraId="47663377" w14:textId="77777777" w:rsidR="00D630BC" w:rsidRPr="00153D07" w:rsidRDefault="00D630BC" w:rsidP="00D630BC">
            <w:pPr>
              <w:jc w:val="center"/>
              <w:rPr>
                <w:rFonts w:ascii="Times New Roman" w:hAnsi="Times New Roman" w:cs="Times New Roman"/>
                <w:b/>
                <w:bCs/>
                <w:sz w:val="20"/>
                <w:szCs w:val="20"/>
              </w:rPr>
            </w:pPr>
            <w:r w:rsidRPr="00153D07">
              <w:rPr>
                <w:rFonts w:ascii="Times New Roman" w:hAnsi="Times New Roman" w:cs="Times New Roman"/>
                <w:b/>
                <w:bCs/>
                <w:sz w:val="20"/>
                <w:szCs w:val="20"/>
              </w:rPr>
              <w:t xml:space="preserve">V </w:t>
            </w:r>
            <w:proofErr w:type="spellStart"/>
            <w:r w:rsidRPr="00153D07">
              <w:rPr>
                <w:rFonts w:ascii="Times New Roman" w:hAnsi="Times New Roman" w:cs="Times New Roman"/>
                <w:b/>
                <w:bCs/>
                <w:sz w:val="20"/>
                <w:szCs w:val="20"/>
              </w:rPr>
              <w:t>samp</w:t>
            </w:r>
            <w:proofErr w:type="spellEnd"/>
          </w:p>
        </w:tc>
        <w:tc>
          <w:tcPr>
            <w:tcW w:w="895" w:type="dxa"/>
            <w:tcBorders>
              <w:top w:val="single" w:sz="4" w:space="0" w:color="auto"/>
              <w:bottom w:val="single" w:sz="4" w:space="0" w:color="auto"/>
            </w:tcBorders>
            <w:noWrap/>
            <w:hideMark/>
          </w:tcPr>
          <w:p w14:paraId="36D147E7" w14:textId="77777777" w:rsidR="00D630BC" w:rsidRPr="00153D07" w:rsidRDefault="00D630BC" w:rsidP="00D630BC">
            <w:pPr>
              <w:jc w:val="center"/>
              <w:rPr>
                <w:rFonts w:ascii="Times New Roman" w:hAnsi="Times New Roman" w:cs="Times New Roman"/>
                <w:b/>
                <w:bCs/>
                <w:sz w:val="20"/>
                <w:szCs w:val="20"/>
              </w:rPr>
            </w:pPr>
            <w:proofErr w:type="spellStart"/>
            <w:r w:rsidRPr="00153D07">
              <w:rPr>
                <w:rFonts w:ascii="Times New Roman" w:hAnsi="Times New Roman" w:cs="Times New Roman"/>
                <w:b/>
                <w:bCs/>
                <w:sz w:val="20"/>
                <w:szCs w:val="20"/>
              </w:rPr>
              <w:t>Rej</w:t>
            </w:r>
            <w:proofErr w:type="spellEnd"/>
            <w:r w:rsidRPr="00153D07">
              <w:rPr>
                <w:rFonts w:ascii="Times New Roman" w:hAnsi="Times New Roman" w:cs="Times New Roman"/>
                <w:b/>
                <w:bCs/>
                <w:sz w:val="20"/>
                <w:szCs w:val="20"/>
              </w:rPr>
              <w:t>%</w:t>
            </w:r>
          </w:p>
        </w:tc>
      </w:tr>
      <w:tr w:rsidR="00892DAE" w:rsidRPr="00AD04DA" w14:paraId="3F765B41" w14:textId="77777777" w:rsidTr="00892DAE">
        <w:trPr>
          <w:trHeight w:val="300"/>
        </w:trPr>
        <w:tc>
          <w:tcPr>
            <w:tcW w:w="716" w:type="dxa"/>
            <w:tcBorders>
              <w:top w:val="single" w:sz="4" w:space="0" w:color="auto"/>
            </w:tcBorders>
            <w:noWrap/>
            <w:hideMark/>
          </w:tcPr>
          <w:p w14:paraId="0BE7BCFD"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lastRenderedPageBreak/>
              <w:t>1</w:t>
            </w:r>
          </w:p>
        </w:tc>
        <w:tc>
          <w:tcPr>
            <w:tcW w:w="715" w:type="dxa"/>
            <w:tcBorders>
              <w:top w:val="single" w:sz="4" w:space="0" w:color="auto"/>
            </w:tcBorders>
            <w:noWrap/>
            <w:hideMark/>
          </w:tcPr>
          <w:p w14:paraId="5449EA36"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715" w:type="dxa"/>
            <w:tcBorders>
              <w:top w:val="single" w:sz="4" w:space="0" w:color="auto"/>
            </w:tcBorders>
            <w:noWrap/>
            <w:hideMark/>
          </w:tcPr>
          <w:p w14:paraId="32AAEB37"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715" w:type="dxa"/>
            <w:tcBorders>
              <w:top w:val="single" w:sz="4" w:space="0" w:color="auto"/>
            </w:tcBorders>
            <w:noWrap/>
            <w:hideMark/>
          </w:tcPr>
          <w:p w14:paraId="620E6F66"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1.8893</w:t>
            </w:r>
          </w:p>
        </w:tc>
        <w:tc>
          <w:tcPr>
            <w:tcW w:w="715" w:type="dxa"/>
            <w:tcBorders>
              <w:top w:val="single" w:sz="4" w:space="0" w:color="auto"/>
            </w:tcBorders>
            <w:noWrap/>
            <w:hideMark/>
          </w:tcPr>
          <w:p w14:paraId="5ED494C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18.893</w:t>
            </w:r>
          </w:p>
        </w:tc>
        <w:tc>
          <w:tcPr>
            <w:tcW w:w="715" w:type="dxa"/>
            <w:tcBorders>
              <w:top w:val="single" w:sz="4" w:space="0" w:color="auto"/>
            </w:tcBorders>
            <w:noWrap/>
            <w:hideMark/>
          </w:tcPr>
          <w:p w14:paraId="1C5BEE9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18.893</w:t>
            </w:r>
          </w:p>
        </w:tc>
        <w:tc>
          <w:tcPr>
            <w:tcW w:w="715" w:type="dxa"/>
            <w:tcBorders>
              <w:top w:val="single" w:sz="4" w:space="0" w:color="auto"/>
            </w:tcBorders>
            <w:noWrap/>
            <w:hideMark/>
          </w:tcPr>
          <w:p w14:paraId="0DDC99A2"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15" w:type="dxa"/>
            <w:tcBorders>
              <w:top w:val="single" w:sz="4" w:space="0" w:color="auto"/>
            </w:tcBorders>
            <w:noWrap/>
            <w:hideMark/>
          </w:tcPr>
          <w:p w14:paraId="62FE849C"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1761.5</w:t>
            </w:r>
          </w:p>
        </w:tc>
        <w:tc>
          <w:tcPr>
            <w:tcW w:w="715" w:type="dxa"/>
            <w:tcBorders>
              <w:top w:val="single" w:sz="4" w:space="0" w:color="auto"/>
            </w:tcBorders>
            <w:noWrap/>
            <w:hideMark/>
          </w:tcPr>
          <w:p w14:paraId="59324DAE"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280.5707</w:t>
            </w:r>
          </w:p>
        </w:tc>
        <w:tc>
          <w:tcPr>
            <w:tcW w:w="769" w:type="dxa"/>
            <w:tcBorders>
              <w:top w:val="single" w:sz="4" w:space="0" w:color="auto"/>
            </w:tcBorders>
            <w:noWrap/>
            <w:hideMark/>
          </w:tcPr>
          <w:p w14:paraId="79DAF37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tcBorders>
              <w:top w:val="single" w:sz="4" w:space="0" w:color="auto"/>
            </w:tcBorders>
            <w:noWrap/>
            <w:hideMark/>
          </w:tcPr>
          <w:p w14:paraId="5FBADB3E"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841992.7</w:t>
            </w:r>
          </w:p>
        </w:tc>
        <w:tc>
          <w:tcPr>
            <w:tcW w:w="535" w:type="dxa"/>
            <w:tcBorders>
              <w:top w:val="single" w:sz="4" w:space="0" w:color="auto"/>
            </w:tcBorders>
            <w:noWrap/>
            <w:hideMark/>
          </w:tcPr>
          <w:p w14:paraId="1E79D096"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tcBorders>
              <w:top w:val="single" w:sz="4" w:space="0" w:color="auto"/>
            </w:tcBorders>
            <w:noWrap/>
            <w:hideMark/>
          </w:tcPr>
          <w:p w14:paraId="4243D60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-68.3985</w:t>
            </w:r>
          </w:p>
        </w:tc>
      </w:tr>
      <w:tr w:rsidR="00892DAE" w:rsidRPr="00AD04DA" w14:paraId="471C8293" w14:textId="77777777" w:rsidTr="00892DAE">
        <w:trPr>
          <w:trHeight w:val="300"/>
        </w:trPr>
        <w:tc>
          <w:tcPr>
            <w:tcW w:w="716" w:type="dxa"/>
            <w:noWrap/>
            <w:hideMark/>
          </w:tcPr>
          <w:p w14:paraId="3A97937F"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715" w:type="dxa"/>
            <w:noWrap/>
            <w:hideMark/>
          </w:tcPr>
          <w:p w14:paraId="64024288"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715" w:type="dxa"/>
            <w:noWrap/>
            <w:hideMark/>
          </w:tcPr>
          <w:p w14:paraId="45BF3B9D"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715" w:type="dxa"/>
            <w:noWrap/>
            <w:hideMark/>
          </w:tcPr>
          <w:p w14:paraId="545ED891"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2.0412</w:t>
            </w:r>
          </w:p>
        </w:tc>
        <w:tc>
          <w:tcPr>
            <w:tcW w:w="715" w:type="dxa"/>
            <w:noWrap/>
            <w:hideMark/>
          </w:tcPr>
          <w:p w14:paraId="55A7070B"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20.412</w:t>
            </w:r>
          </w:p>
        </w:tc>
        <w:tc>
          <w:tcPr>
            <w:tcW w:w="715" w:type="dxa"/>
            <w:noWrap/>
            <w:hideMark/>
          </w:tcPr>
          <w:p w14:paraId="03C61F12"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20.412</w:t>
            </w:r>
          </w:p>
        </w:tc>
        <w:tc>
          <w:tcPr>
            <w:tcW w:w="715" w:type="dxa"/>
            <w:noWrap/>
            <w:hideMark/>
          </w:tcPr>
          <w:p w14:paraId="62A2A27F"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15" w:type="dxa"/>
            <w:noWrap/>
            <w:hideMark/>
          </w:tcPr>
          <w:p w14:paraId="1440BB61"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838.5</w:t>
            </w:r>
          </w:p>
        </w:tc>
        <w:tc>
          <w:tcPr>
            <w:tcW w:w="715" w:type="dxa"/>
            <w:noWrap/>
            <w:hideMark/>
          </w:tcPr>
          <w:p w14:paraId="12613888"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133.5569</w:t>
            </w:r>
          </w:p>
        </w:tc>
        <w:tc>
          <w:tcPr>
            <w:tcW w:w="769" w:type="dxa"/>
            <w:noWrap/>
            <w:hideMark/>
          </w:tcPr>
          <w:p w14:paraId="36C2670A"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5AF7B5DC"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400804.3</w:t>
            </w:r>
          </w:p>
        </w:tc>
        <w:tc>
          <w:tcPr>
            <w:tcW w:w="535" w:type="dxa"/>
            <w:noWrap/>
            <w:hideMark/>
          </w:tcPr>
          <w:p w14:paraId="6C08A0D8"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220F7C3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19.83914</w:t>
            </w:r>
          </w:p>
        </w:tc>
      </w:tr>
      <w:tr w:rsidR="00D630BC" w:rsidRPr="00AD04DA" w14:paraId="61D2D237" w14:textId="77777777" w:rsidTr="00892DAE">
        <w:trPr>
          <w:trHeight w:val="300"/>
        </w:trPr>
        <w:tc>
          <w:tcPr>
            <w:tcW w:w="716" w:type="dxa"/>
            <w:noWrap/>
            <w:hideMark/>
          </w:tcPr>
          <w:p w14:paraId="2BCA1746"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02EB920E"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715" w:type="dxa"/>
            <w:noWrap/>
            <w:hideMark/>
          </w:tcPr>
          <w:p w14:paraId="224ECA5A"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715" w:type="dxa"/>
            <w:noWrap/>
            <w:hideMark/>
          </w:tcPr>
          <w:p w14:paraId="43B59911"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1.0275</w:t>
            </w:r>
          </w:p>
        </w:tc>
        <w:tc>
          <w:tcPr>
            <w:tcW w:w="715" w:type="dxa"/>
            <w:noWrap/>
            <w:hideMark/>
          </w:tcPr>
          <w:p w14:paraId="28BDFEC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10.275</w:t>
            </w:r>
          </w:p>
        </w:tc>
        <w:tc>
          <w:tcPr>
            <w:tcW w:w="715" w:type="dxa"/>
            <w:noWrap/>
            <w:hideMark/>
          </w:tcPr>
          <w:p w14:paraId="1BE353A9"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10.275</w:t>
            </w:r>
          </w:p>
        </w:tc>
        <w:tc>
          <w:tcPr>
            <w:tcW w:w="715" w:type="dxa"/>
            <w:noWrap/>
            <w:hideMark/>
          </w:tcPr>
          <w:p w14:paraId="7B0D458B"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15" w:type="dxa"/>
            <w:noWrap/>
            <w:hideMark/>
          </w:tcPr>
          <w:p w14:paraId="4731ECD1"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498.9</w:t>
            </w:r>
          </w:p>
        </w:tc>
        <w:tc>
          <w:tcPr>
            <w:tcW w:w="715" w:type="dxa"/>
            <w:noWrap/>
            <w:hideMark/>
          </w:tcPr>
          <w:p w14:paraId="6156E990"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79.46448</w:t>
            </w:r>
          </w:p>
        </w:tc>
        <w:tc>
          <w:tcPr>
            <w:tcW w:w="769" w:type="dxa"/>
            <w:noWrap/>
            <w:hideMark/>
          </w:tcPr>
          <w:p w14:paraId="5E4B18C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0202272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238472.9</w:t>
            </w:r>
          </w:p>
        </w:tc>
        <w:tc>
          <w:tcPr>
            <w:tcW w:w="535" w:type="dxa"/>
            <w:noWrap/>
            <w:hideMark/>
          </w:tcPr>
          <w:p w14:paraId="27A4674C"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691B9292"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52.30542</w:t>
            </w:r>
          </w:p>
        </w:tc>
      </w:tr>
      <w:tr w:rsidR="00892DAE" w:rsidRPr="00AD04DA" w14:paraId="413FD670" w14:textId="77777777" w:rsidTr="00892DAE">
        <w:trPr>
          <w:trHeight w:val="300"/>
        </w:trPr>
        <w:tc>
          <w:tcPr>
            <w:tcW w:w="716" w:type="dxa"/>
            <w:noWrap/>
            <w:hideMark/>
          </w:tcPr>
          <w:p w14:paraId="6FD7666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715" w:type="dxa"/>
            <w:noWrap/>
            <w:hideMark/>
          </w:tcPr>
          <w:p w14:paraId="357FDF1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715" w:type="dxa"/>
            <w:noWrap/>
            <w:hideMark/>
          </w:tcPr>
          <w:p w14:paraId="059DA02A"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8.1107</w:t>
            </w:r>
          </w:p>
        </w:tc>
        <w:tc>
          <w:tcPr>
            <w:tcW w:w="715" w:type="dxa"/>
            <w:noWrap/>
            <w:hideMark/>
          </w:tcPr>
          <w:p w14:paraId="0B1630F2"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1.5716</w:t>
            </w:r>
          </w:p>
        </w:tc>
        <w:tc>
          <w:tcPr>
            <w:tcW w:w="715" w:type="dxa"/>
            <w:noWrap/>
            <w:hideMark/>
          </w:tcPr>
          <w:p w14:paraId="6D60648A"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15.716</w:t>
            </w:r>
          </w:p>
        </w:tc>
        <w:tc>
          <w:tcPr>
            <w:tcW w:w="715" w:type="dxa"/>
            <w:noWrap/>
            <w:hideMark/>
          </w:tcPr>
          <w:p w14:paraId="25FDFDEB"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19.37687</w:t>
            </w:r>
          </w:p>
        </w:tc>
        <w:tc>
          <w:tcPr>
            <w:tcW w:w="715" w:type="dxa"/>
            <w:noWrap/>
            <w:hideMark/>
          </w:tcPr>
          <w:p w14:paraId="1C02D68C"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15" w:type="dxa"/>
            <w:noWrap/>
            <w:hideMark/>
          </w:tcPr>
          <w:p w14:paraId="33ED78D9"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530.9</w:t>
            </w:r>
          </w:p>
        </w:tc>
        <w:tc>
          <w:tcPr>
            <w:tcW w:w="715" w:type="dxa"/>
            <w:noWrap/>
            <w:hideMark/>
          </w:tcPr>
          <w:p w14:paraId="3841FB51"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84.56019</w:t>
            </w:r>
          </w:p>
        </w:tc>
        <w:tc>
          <w:tcPr>
            <w:tcW w:w="769" w:type="dxa"/>
            <w:noWrap/>
            <w:hideMark/>
          </w:tcPr>
          <w:p w14:paraId="56532E2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501DDB24"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253765.1</w:t>
            </w:r>
          </w:p>
        </w:tc>
        <w:tc>
          <w:tcPr>
            <w:tcW w:w="535" w:type="dxa"/>
            <w:noWrap/>
            <w:hideMark/>
          </w:tcPr>
          <w:p w14:paraId="246CD988"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7EE20DFE"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49.24698</w:t>
            </w:r>
          </w:p>
        </w:tc>
      </w:tr>
      <w:tr w:rsidR="00D630BC" w:rsidRPr="00AD04DA" w14:paraId="4507BDA6" w14:textId="77777777" w:rsidTr="00892DAE">
        <w:trPr>
          <w:trHeight w:val="300"/>
        </w:trPr>
        <w:tc>
          <w:tcPr>
            <w:tcW w:w="716" w:type="dxa"/>
            <w:noWrap/>
            <w:hideMark/>
          </w:tcPr>
          <w:p w14:paraId="4912689E"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715" w:type="dxa"/>
            <w:noWrap/>
            <w:hideMark/>
          </w:tcPr>
          <w:p w14:paraId="62445EBF"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715" w:type="dxa"/>
            <w:noWrap/>
            <w:hideMark/>
          </w:tcPr>
          <w:p w14:paraId="73F3AE0F"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7.9588</w:t>
            </w:r>
          </w:p>
        </w:tc>
        <w:tc>
          <w:tcPr>
            <w:tcW w:w="715" w:type="dxa"/>
            <w:noWrap/>
            <w:hideMark/>
          </w:tcPr>
          <w:p w14:paraId="66696C22"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1.6214</w:t>
            </w:r>
          </w:p>
        </w:tc>
        <w:tc>
          <w:tcPr>
            <w:tcW w:w="715" w:type="dxa"/>
            <w:noWrap/>
            <w:hideMark/>
          </w:tcPr>
          <w:p w14:paraId="756649C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16.214</w:t>
            </w:r>
          </w:p>
        </w:tc>
        <w:tc>
          <w:tcPr>
            <w:tcW w:w="715" w:type="dxa"/>
            <w:noWrap/>
            <w:hideMark/>
          </w:tcPr>
          <w:p w14:paraId="7028AFE1"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20.37242</w:t>
            </w:r>
          </w:p>
        </w:tc>
        <w:tc>
          <w:tcPr>
            <w:tcW w:w="715" w:type="dxa"/>
            <w:noWrap/>
            <w:hideMark/>
          </w:tcPr>
          <w:p w14:paraId="63F03642"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15" w:type="dxa"/>
            <w:noWrap/>
            <w:hideMark/>
          </w:tcPr>
          <w:p w14:paraId="115E74FF"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824.4</w:t>
            </w:r>
          </w:p>
        </w:tc>
        <w:tc>
          <w:tcPr>
            <w:tcW w:w="715" w:type="dxa"/>
            <w:noWrap/>
            <w:hideMark/>
          </w:tcPr>
          <w:p w14:paraId="6FBB0724"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131.304</w:t>
            </w:r>
          </w:p>
        </w:tc>
        <w:tc>
          <w:tcPr>
            <w:tcW w:w="769" w:type="dxa"/>
            <w:noWrap/>
            <w:hideMark/>
          </w:tcPr>
          <w:p w14:paraId="750DEC3B"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322C92E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394043.4</w:t>
            </w:r>
          </w:p>
        </w:tc>
        <w:tc>
          <w:tcPr>
            <w:tcW w:w="535" w:type="dxa"/>
            <w:noWrap/>
            <w:hideMark/>
          </w:tcPr>
          <w:p w14:paraId="730BE741"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2AB38BD2"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21.19132</w:t>
            </w:r>
          </w:p>
        </w:tc>
      </w:tr>
      <w:tr w:rsidR="00892DAE" w:rsidRPr="00AD04DA" w14:paraId="6365DFFC" w14:textId="77777777" w:rsidTr="00892DAE">
        <w:trPr>
          <w:trHeight w:val="300"/>
        </w:trPr>
        <w:tc>
          <w:tcPr>
            <w:tcW w:w="716" w:type="dxa"/>
            <w:noWrap/>
            <w:hideMark/>
          </w:tcPr>
          <w:p w14:paraId="55035249"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7B78913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715" w:type="dxa"/>
            <w:noWrap/>
            <w:hideMark/>
          </w:tcPr>
          <w:p w14:paraId="5B67A486"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8.9725</w:t>
            </w:r>
          </w:p>
        </w:tc>
        <w:tc>
          <w:tcPr>
            <w:tcW w:w="715" w:type="dxa"/>
            <w:noWrap/>
            <w:hideMark/>
          </w:tcPr>
          <w:p w14:paraId="321F95B4"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1.5645</w:t>
            </w:r>
          </w:p>
        </w:tc>
        <w:tc>
          <w:tcPr>
            <w:tcW w:w="715" w:type="dxa"/>
            <w:noWrap/>
            <w:hideMark/>
          </w:tcPr>
          <w:p w14:paraId="00BED8E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15.645</w:t>
            </w:r>
          </w:p>
        </w:tc>
        <w:tc>
          <w:tcPr>
            <w:tcW w:w="715" w:type="dxa"/>
            <w:noWrap/>
            <w:hideMark/>
          </w:tcPr>
          <w:p w14:paraId="34931C4F"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17.43661</w:t>
            </w:r>
          </w:p>
        </w:tc>
        <w:tc>
          <w:tcPr>
            <w:tcW w:w="715" w:type="dxa"/>
            <w:noWrap/>
            <w:hideMark/>
          </w:tcPr>
          <w:p w14:paraId="0AB1E41C"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15" w:type="dxa"/>
            <w:noWrap/>
            <w:hideMark/>
          </w:tcPr>
          <w:p w14:paraId="6588CA3E"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829.3</w:t>
            </w:r>
          </w:p>
        </w:tc>
        <w:tc>
          <w:tcPr>
            <w:tcW w:w="715" w:type="dxa"/>
            <w:noWrap/>
            <w:hideMark/>
          </w:tcPr>
          <w:p w14:paraId="4BC39A5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132.09</w:t>
            </w:r>
          </w:p>
        </w:tc>
        <w:tc>
          <w:tcPr>
            <w:tcW w:w="769" w:type="dxa"/>
            <w:noWrap/>
            <w:hideMark/>
          </w:tcPr>
          <w:p w14:paraId="2A047CF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093A80D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396402.1</w:t>
            </w:r>
          </w:p>
        </w:tc>
        <w:tc>
          <w:tcPr>
            <w:tcW w:w="535" w:type="dxa"/>
            <w:noWrap/>
            <w:hideMark/>
          </w:tcPr>
          <w:p w14:paraId="246CCC8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7CEE775B"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20.71958</w:t>
            </w:r>
          </w:p>
        </w:tc>
      </w:tr>
      <w:tr w:rsidR="00892DAE" w:rsidRPr="00AD04DA" w14:paraId="006867E3" w14:textId="77777777" w:rsidTr="00892DAE">
        <w:trPr>
          <w:trHeight w:val="300"/>
        </w:trPr>
        <w:tc>
          <w:tcPr>
            <w:tcW w:w="716" w:type="dxa"/>
            <w:noWrap/>
            <w:hideMark/>
          </w:tcPr>
          <w:p w14:paraId="564E9F30"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715" w:type="dxa"/>
            <w:noWrap/>
            <w:hideMark/>
          </w:tcPr>
          <w:p w14:paraId="213DC9B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5A6FF35A"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6.5391</w:t>
            </w:r>
          </w:p>
        </w:tc>
        <w:tc>
          <w:tcPr>
            <w:tcW w:w="715" w:type="dxa"/>
            <w:noWrap/>
            <w:hideMark/>
          </w:tcPr>
          <w:p w14:paraId="13D7B24B"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1.3695</w:t>
            </w:r>
          </w:p>
        </w:tc>
        <w:tc>
          <w:tcPr>
            <w:tcW w:w="715" w:type="dxa"/>
            <w:noWrap/>
            <w:hideMark/>
          </w:tcPr>
          <w:p w14:paraId="54DF9E9E"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13.695</w:t>
            </w:r>
          </w:p>
        </w:tc>
        <w:tc>
          <w:tcPr>
            <w:tcW w:w="715" w:type="dxa"/>
            <w:noWrap/>
            <w:hideMark/>
          </w:tcPr>
          <w:p w14:paraId="21D4F628"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20.94325</w:t>
            </w:r>
          </w:p>
        </w:tc>
        <w:tc>
          <w:tcPr>
            <w:tcW w:w="715" w:type="dxa"/>
            <w:noWrap/>
            <w:hideMark/>
          </w:tcPr>
          <w:p w14:paraId="01F41F72"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15" w:type="dxa"/>
            <w:noWrap/>
            <w:hideMark/>
          </w:tcPr>
          <w:p w14:paraId="0D6713C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905.5</w:t>
            </w:r>
          </w:p>
        </w:tc>
        <w:tc>
          <w:tcPr>
            <w:tcW w:w="715" w:type="dxa"/>
            <w:noWrap/>
            <w:hideMark/>
          </w:tcPr>
          <w:p w14:paraId="466DCDEC"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144.217</w:t>
            </w:r>
          </w:p>
        </w:tc>
        <w:tc>
          <w:tcPr>
            <w:tcW w:w="769" w:type="dxa"/>
            <w:noWrap/>
            <w:hideMark/>
          </w:tcPr>
          <w:p w14:paraId="7D81BC69"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7525F4A3"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432795.2</w:t>
            </w:r>
          </w:p>
        </w:tc>
        <w:tc>
          <w:tcPr>
            <w:tcW w:w="535" w:type="dxa"/>
            <w:noWrap/>
            <w:hideMark/>
          </w:tcPr>
          <w:p w14:paraId="4C271204"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11EB0696"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13.44097</w:t>
            </w:r>
          </w:p>
        </w:tc>
      </w:tr>
      <w:tr w:rsidR="00D630BC" w:rsidRPr="00AD04DA" w14:paraId="09FB0A17" w14:textId="77777777" w:rsidTr="00892DAE">
        <w:trPr>
          <w:trHeight w:val="300"/>
        </w:trPr>
        <w:tc>
          <w:tcPr>
            <w:tcW w:w="716" w:type="dxa"/>
            <w:noWrap/>
            <w:hideMark/>
          </w:tcPr>
          <w:p w14:paraId="40661634"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715" w:type="dxa"/>
            <w:noWrap/>
            <w:hideMark/>
          </w:tcPr>
          <w:p w14:paraId="276E9F36"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59DEA612"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6.3374</w:t>
            </w:r>
          </w:p>
        </w:tc>
        <w:tc>
          <w:tcPr>
            <w:tcW w:w="715" w:type="dxa"/>
            <w:noWrap/>
            <w:hideMark/>
          </w:tcPr>
          <w:p w14:paraId="4D95D701"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1.3283</w:t>
            </w:r>
          </w:p>
        </w:tc>
        <w:tc>
          <w:tcPr>
            <w:tcW w:w="715" w:type="dxa"/>
            <w:noWrap/>
            <w:hideMark/>
          </w:tcPr>
          <w:p w14:paraId="086632BC"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13.283</w:t>
            </w:r>
          </w:p>
        </w:tc>
        <w:tc>
          <w:tcPr>
            <w:tcW w:w="715" w:type="dxa"/>
            <w:noWrap/>
            <w:hideMark/>
          </w:tcPr>
          <w:p w14:paraId="53B502F4"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20.9597</w:t>
            </w:r>
          </w:p>
        </w:tc>
        <w:tc>
          <w:tcPr>
            <w:tcW w:w="715" w:type="dxa"/>
            <w:noWrap/>
            <w:hideMark/>
          </w:tcPr>
          <w:p w14:paraId="623F2E5E"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15" w:type="dxa"/>
            <w:noWrap/>
            <w:hideMark/>
          </w:tcPr>
          <w:p w14:paraId="2CE2C349"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1347.2</w:t>
            </w:r>
          </w:p>
        </w:tc>
        <w:tc>
          <w:tcPr>
            <w:tcW w:w="715" w:type="dxa"/>
            <w:noWrap/>
            <w:hideMark/>
          </w:tcPr>
          <w:p w14:paraId="126A9A0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214.5797</w:t>
            </w:r>
          </w:p>
        </w:tc>
        <w:tc>
          <w:tcPr>
            <w:tcW w:w="769" w:type="dxa"/>
            <w:noWrap/>
            <w:hideMark/>
          </w:tcPr>
          <w:p w14:paraId="1EA364C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4</w:t>
            </w:r>
          </w:p>
        </w:tc>
        <w:tc>
          <w:tcPr>
            <w:tcW w:w="715" w:type="dxa"/>
            <w:noWrap/>
            <w:hideMark/>
          </w:tcPr>
          <w:p w14:paraId="7D5DA0D2"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858533.3</w:t>
            </w:r>
          </w:p>
        </w:tc>
        <w:tc>
          <w:tcPr>
            <w:tcW w:w="535" w:type="dxa"/>
            <w:noWrap/>
            <w:hideMark/>
          </w:tcPr>
          <w:p w14:paraId="0BEF8E88"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003B9CCD"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-71.7067</w:t>
            </w:r>
          </w:p>
        </w:tc>
      </w:tr>
      <w:tr w:rsidR="00892DAE" w:rsidRPr="00AD04DA" w14:paraId="40D6B089" w14:textId="77777777" w:rsidTr="00892DAE">
        <w:trPr>
          <w:trHeight w:val="300"/>
        </w:trPr>
        <w:tc>
          <w:tcPr>
            <w:tcW w:w="716" w:type="dxa"/>
            <w:noWrap/>
            <w:hideMark/>
          </w:tcPr>
          <w:p w14:paraId="7EBECEDF"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79134A4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74152124"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7.408</w:t>
            </w:r>
          </w:p>
        </w:tc>
        <w:tc>
          <w:tcPr>
            <w:tcW w:w="715" w:type="dxa"/>
            <w:noWrap/>
            <w:hideMark/>
          </w:tcPr>
          <w:p w14:paraId="69A54774"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1.3628</w:t>
            </w:r>
          </w:p>
        </w:tc>
        <w:tc>
          <w:tcPr>
            <w:tcW w:w="715" w:type="dxa"/>
            <w:noWrap/>
            <w:hideMark/>
          </w:tcPr>
          <w:p w14:paraId="04B3243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13.628</w:t>
            </w:r>
          </w:p>
        </w:tc>
        <w:tc>
          <w:tcPr>
            <w:tcW w:w="715" w:type="dxa"/>
            <w:noWrap/>
            <w:hideMark/>
          </w:tcPr>
          <w:p w14:paraId="6780AA6B"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18.39633</w:t>
            </w:r>
          </w:p>
        </w:tc>
        <w:tc>
          <w:tcPr>
            <w:tcW w:w="715" w:type="dxa"/>
            <w:noWrap/>
            <w:hideMark/>
          </w:tcPr>
          <w:p w14:paraId="4E16A84E"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715" w:type="dxa"/>
            <w:noWrap/>
            <w:hideMark/>
          </w:tcPr>
          <w:p w14:paraId="5643A59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658.8</w:t>
            </w:r>
          </w:p>
        </w:tc>
        <w:tc>
          <w:tcPr>
            <w:tcW w:w="715" w:type="dxa"/>
            <w:noWrap/>
            <w:hideMark/>
          </w:tcPr>
          <w:p w14:paraId="7C341885"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104.9278</w:t>
            </w:r>
          </w:p>
        </w:tc>
        <w:tc>
          <w:tcPr>
            <w:tcW w:w="769" w:type="dxa"/>
            <w:noWrap/>
            <w:hideMark/>
          </w:tcPr>
          <w:p w14:paraId="759DACE2"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715" w:type="dxa"/>
            <w:noWrap/>
            <w:hideMark/>
          </w:tcPr>
          <w:p w14:paraId="3CFE62FF"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314888.4</w:t>
            </w:r>
          </w:p>
        </w:tc>
        <w:tc>
          <w:tcPr>
            <w:tcW w:w="535" w:type="dxa"/>
            <w:noWrap/>
            <w:hideMark/>
          </w:tcPr>
          <w:p w14:paraId="0628A516"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0.001</w:t>
            </w:r>
          </w:p>
        </w:tc>
        <w:tc>
          <w:tcPr>
            <w:tcW w:w="895" w:type="dxa"/>
            <w:noWrap/>
            <w:hideMark/>
          </w:tcPr>
          <w:p w14:paraId="6051E54D" w14:textId="77777777" w:rsidR="00D630BC" w:rsidRPr="00153D07" w:rsidRDefault="00D630BC" w:rsidP="00D630BC">
            <w:pPr>
              <w:jc w:val="center"/>
              <w:rPr>
                <w:rFonts w:ascii="Times New Roman" w:hAnsi="Times New Roman" w:cs="Times New Roman"/>
                <w:sz w:val="20"/>
                <w:szCs w:val="20"/>
              </w:rPr>
            </w:pPr>
            <w:r w:rsidRPr="00153D07">
              <w:rPr>
                <w:rFonts w:ascii="Times New Roman" w:hAnsi="Times New Roman" w:cs="Times New Roman"/>
                <w:sz w:val="20"/>
                <w:szCs w:val="20"/>
              </w:rPr>
              <w:t>37.02232</w:t>
            </w:r>
          </w:p>
        </w:tc>
      </w:tr>
    </w:tbl>
    <w:p w14:paraId="6390B36E" w14:textId="65475D74" w:rsidR="008D6421" w:rsidRPr="00AD04DA" w:rsidRDefault="008D6421" w:rsidP="00B02CBC">
      <w:pPr>
        <w:spacing w:line="480" w:lineRule="auto"/>
        <w:jc w:val="center"/>
        <w:rPr>
          <w:rFonts w:ascii="Times New Roman" w:hAnsi="Times New Roman" w:cs="Times New Roman"/>
          <w:sz w:val="24"/>
          <w:szCs w:val="24"/>
        </w:rPr>
      </w:pPr>
    </w:p>
    <w:p w14:paraId="7DD915E9" w14:textId="6118FFCE" w:rsidR="00BE257D" w:rsidRPr="00AD04DA" w:rsidRDefault="00BE257D"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A14</w:t>
      </w:r>
      <w:r w:rsidRPr="00AD04DA">
        <w:rPr>
          <w:rFonts w:ascii="Times New Roman" w:hAnsi="Times New Roman" w:cs="Times New Roman"/>
          <w:sz w:val="24"/>
          <w:szCs w:val="24"/>
        </w:rPr>
        <w:t>: Experimental Data for DPA with synthetic FGD feed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753"/>
        <w:gridCol w:w="753"/>
        <w:gridCol w:w="753"/>
        <w:gridCol w:w="754"/>
        <w:gridCol w:w="754"/>
        <w:gridCol w:w="754"/>
        <w:gridCol w:w="754"/>
        <w:gridCol w:w="830"/>
        <w:gridCol w:w="975"/>
        <w:gridCol w:w="754"/>
        <w:gridCol w:w="758"/>
        <w:gridCol w:w="758"/>
      </w:tblGrid>
      <w:tr w:rsidR="00BE257D" w:rsidRPr="00AD04DA" w14:paraId="6AFC0D51" w14:textId="77777777" w:rsidTr="00BE257D">
        <w:trPr>
          <w:trHeight w:val="360"/>
        </w:trPr>
        <w:tc>
          <w:tcPr>
            <w:tcW w:w="960" w:type="dxa"/>
            <w:tcBorders>
              <w:top w:val="single" w:sz="4" w:space="0" w:color="auto"/>
              <w:bottom w:val="single" w:sz="4" w:space="0" w:color="auto"/>
            </w:tcBorders>
            <w:noWrap/>
            <w:hideMark/>
          </w:tcPr>
          <w:p w14:paraId="0203BA92" w14:textId="77777777" w:rsidR="00BE257D" w:rsidRPr="00153D07" w:rsidRDefault="00BE257D" w:rsidP="00BE257D">
            <w:pPr>
              <w:jc w:val="center"/>
              <w:rPr>
                <w:rFonts w:ascii="Times New Roman" w:hAnsi="Times New Roman" w:cs="Times New Roman"/>
                <w:b/>
                <w:bCs/>
                <w:sz w:val="20"/>
                <w:szCs w:val="20"/>
              </w:rPr>
            </w:pPr>
            <w:r w:rsidRPr="00153D07">
              <w:rPr>
                <w:rFonts w:ascii="Times New Roman" w:hAnsi="Times New Roman" w:cs="Times New Roman"/>
                <w:b/>
                <w:bCs/>
                <w:sz w:val="20"/>
                <w:szCs w:val="20"/>
              </w:rPr>
              <w:t>Run</w:t>
            </w:r>
          </w:p>
        </w:tc>
        <w:tc>
          <w:tcPr>
            <w:tcW w:w="960" w:type="dxa"/>
            <w:tcBorders>
              <w:top w:val="single" w:sz="4" w:space="0" w:color="auto"/>
              <w:bottom w:val="single" w:sz="4" w:space="0" w:color="auto"/>
            </w:tcBorders>
            <w:noWrap/>
            <w:hideMark/>
          </w:tcPr>
          <w:p w14:paraId="6419277D" w14:textId="77777777" w:rsidR="00BE257D" w:rsidRPr="00153D07" w:rsidRDefault="00BE257D" w:rsidP="00BE257D">
            <w:pPr>
              <w:jc w:val="center"/>
              <w:rPr>
                <w:rFonts w:ascii="Times New Roman" w:hAnsi="Times New Roman" w:cs="Times New Roman"/>
                <w:b/>
                <w:bCs/>
                <w:sz w:val="20"/>
                <w:szCs w:val="20"/>
              </w:rPr>
            </w:pPr>
            <w:r w:rsidRPr="00153D07">
              <w:rPr>
                <w:rFonts w:ascii="Times New Roman" w:hAnsi="Times New Roman" w:cs="Times New Roman"/>
                <w:b/>
                <w:bCs/>
                <w:sz w:val="20"/>
                <w:szCs w:val="20"/>
              </w:rPr>
              <w:t>Cont.</w:t>
            </w:r>
          </w:p>
        </w:tc>
        <w:tc>
          <w:tcPr>
            <w:tcW w:w="960" w:type="dxa"/>
            <w:tcBorders>
              <w:top w:val="single" w:sz="4" w:space="0" w:color="auto"/>
              <w:bottom w:val="single" w:sz="4" w:space="0" w:color="auto"/>
            </w:tcBorders>
            <w:noWrap/>
            <w:hideMark/>
          </w:tcPr>
          <w:p w14:paraId="340CC5F2" w14:textId="77777777" w:rsidR="00BE257D" w:rsidRPr="00153D07" w:rsidRDefault="00BE257D" w:rsidP="00BE257D">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6912B618" w14:textId="77777777" w:rsidR="00BE257D" w:rsidRPr="00153D07" w:rsidRDefault="00BE257D" w:rsidP="00BE257D">
            <w:pPr>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R</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0DE0A71D" w14:textId="77777777" w:rsidR="00BE257D" w:rsidRPr="00153D07" w:rsidRDefault="00BE257D" w:rsidP="00BE257D">
            <w:pPr>
              <w:jc w:val="center"/>
              <w:rPr>
                <w:rFonts w:ascii="Times New Roman" w:hAnsi="Times New Roman" w:cs="Times New Roman"/>
                <w:b/>
                <w:bCs/>
                <w:sz w:val="20"/>
                <w:szCs w:val="20"/>
              </w:rPr>
            </w:pPr>
            <w:r w:rsidRPr="00153D07">
              <w:rPr>
                <w:rFonts w:ascii="Times New Roman" w:hAnsi="Times New Roman" w:cs="Times New Roman"/>
                <w:b/>
                <w:bCs/>
                <w:sz w:val="20"/>
                <w:szCs w:val="20"/>
              </w:rPr>
              <w:t>Total Rec%</w:t>
            </w:r>
          </w:p>
        </w:tc>
        <w:tc>
          <w:tcPr>
            <w:tcW w:w="960" w:type="dxa"/>
            <w:tcBorders>
              <w:top w:val="single" w:sz="4" w:space="0" w:color="auto"/>
              <w:bottom w:val="single" w:sz="4" w:space="0" w:color="auto"/>
            </w:tcBorders>
            <w:noWrap/>
            <w:hideMark/>
          </w:tcPr>
          <w:p w14:paraId="7E77C8B1" w14:textId="77777777" w:rsidR="00BE257D" w:rsidRPr="00153D07" w:rsidRDefault="00BE257D" w:rsidP="00BE257D">
            <w:pPr>
              <w:jc w:val="center"/>
              <w:rPr>
                <w:rFonts w:ascii="Times New Roman" w:hAnsi="Times New Roman" w:cs="Times New Roman"/>
                <w:b/>
                <w:bCs/>
                <w:sz w:val="20"/>
                <w:szCs w:val="20"/>
              </w:rPr>
            </w:pPr>
            <w:r w:rsidRPr="00153D07">
              <w:rPr>
                <w:rFonts w:ascii="Times New Roman" w:hAnsi="Times New Roman" w:cs="Times New Roman"/>
                <w:b/>
                <w:bCs/>
                <w:sz w:val="20"/>
                <w:szCs w:val="20"/>
              </w:rPr>
              <w:t>Trial rec %</w:t>
            </w:r>
          </w:p>
        </w:tc>
        <w:tc>
          <w:tcPr>
            <w:tcW w:w="960" w:type="dxa"/>
            <w:tcBorders>
              <w:top w:val="single" w:sz="4" w:space="0" w:color="auto"/>
              <w:bottom w:val="single" w:sz="4" w:space="0" w:color="auto"/>
            </w:tcBorders>
            <w:noWrap/>
            <w:hideMark/>
          </w:tcPr>
          <w:p w14:paraId="545B213D" w14:textId="77777777" w:rsidR="00BE257D" w:rsidRPr="00153D07" w:rsidRDefault="00BE257D" w:rsidP="00BE257D">
            <w:pPr>
              <w:jc w:val="center"/>
              <w:rPr>
                <w:rFonts w:ascii="Times New Roman" w:hAnsi="Times New Roman" w:cs="Times New Roman"/>
                <w:b/>
                <w:bCs/>
                <w:sz w:val="20"/>
                <w:szCs w:val="20"/>
              </w:rPr>
            </w:pPr>
            <w:r w:rsidRPr="00153D07">
              <w:rPr>
                <w:rFonts w:ascii="Times New Roman" w:hAnsi="Times New Roman" w:cs="Times New Roman"/>
                <w:b/>
                <w:bCs/>
                <w:sz w:val="20"/>
                <w:szCs w:val="20"/>
              </w:rPr>
              <w:t>C0</w:t>
            </w:r>
          </w:p>
        </w:tc>
        <w:tc>
          <w:tcPr>
            <w:tcW w:w="1060" w:type="dxa"/>
            <w:tcBorders>
              <w:top w:val="single" w:sz="4" w:space="0" w:color="auto"/>
              <w:bottom w:val="single" w:sz="4" w:space="0" w:color="auto"/>
            </w:tcBorders>
            <w:noWrap/>
            <w:hideMark/>
          </w:tcPr>
          <w:p w14:paraId="47171393" w14:textId="77777777" w:rsidR="00BE257D" w:rsidRPr="00153D07" w:rsidRDefault="00BE257D" w:rsidP="00BE257D">
            <w:pPr>
              <w:jc w:val="center"/>
              <w:rPr>
                <w:rFonts w:ascii="Times New Roman" w:hAnsi="Times New Roman" w:cs="Times New Roman"/>
                <w:b/>
                <w:bCs/>
                <w:sz w:val="20"/>
                <w:szCs w:val="20"/>
              </w:rPr>
            </w:pPr>
            <w:r w:rsidRPr="00153D07">
              <w:rPr>
                <w:rFonts w:ascii="Times New Roman" w:hAnsi="Times New Roman" w:cs="Times New Roman"/>
                <w:b/>
                <w:bCs/>
                <w:sz w:val="20"/>
                <w:szCs w:val="20"/>
              </w:rPr>
              <w:t>reading</w:t>
            </w:r>
          </w:p>
        </w:tc>
        <w:tc>
          <w:tcPr>
            <w:tcW w:w="1260" w:type="dxa"/>
            <w:tcBorders>
              <w:top w:val="single" w:sz="4" w:space="0" w:color="auto"/>
              <w:bottom w:val="single" w:sz="4" w:space="0" w:color="auto"/>
            </w:tcBorders>
            <w:noWrap/>
            <w:hideMark/>
          </w:tcPr>
          <w:p w14:paraId="5B56D640" w14:textId="77777777" w:rsidR="00BE257D" w:rsidRPr="00153D07" w:rsidRDefault="00BE257D" w:rsidP="00BE257D">
            <w:pPr>
              <w:jc w:val="center"/>
              <w:rPr>
                <w:rFonts w:ascii="Times New Roman" w:hAnsi="Times New Roman" w:cs="Times New Roman"/>
                <w:b/>
                <w:bCs/>
                <w:sz w:val="20"/>
                <w:szCs w:val="20"/>
              </w:rPr>
            </w:pPr>
            <w:r w:rsidRPr="00153D07">
              <w:rPr>
                <w:rFonts w:ascii="Times New Roman" w:hAnsi="Times New Roman" w:cs="Times New Roman"/>
                <w:b/>
                <w:bCs/>
                <w:sz w:val="20"/>
                <w:szCs w:val="20"/>
              </w:rPr>
              <w:t>Cal Curve</w:t>
            </w:r>
          </w:p>
        </w:tc>
        <w:tc>
          <w:tcPr>
            <w:tcW w:w="960" w:type="dxa"/>
            <w:tcBorders>
              <w:top w:val="single" w:sz="4" w:space="0" w:color="auto"/>
              <w:bottom w:val="single" w:sz="4" w:space="0" w:color="auto"/>
            </w:tcBorders>
            <w:noWrap/>
            <w:hideMark/>
          </w:tcPr>
          <w:p w14:paraId="2D664C03" w14:textId="77777777" w:rsidR="00BE257D" w:rsidRPr="00153D07" w:rsidRDefault="00BE257D" w:rsidP="00BE257D">
            <w:pPr>
              <w:jc w:val="center"/>
              <w:rPr>
                <w:rFonts w:ascii="Times New Roman" w:hAnsi="Times New Roman" w:cs="Times New Roman"/>
                <w:b/>
                <w:bCs/>
                <w:sz w:val="20"/>
                <w:szCs w:val="20"/>
              </w:rPr>
            </w:pPr>
            <w:r w:rsidRPr="00153D07">
              <w:rPr>
                <w:rFonts w:ascii="Times New Roman" w:hAnsi="Times New Roman" w:cs="Times New Roman"/>
                <w:b/>
                <w:bCs/>
                <w:sz w:val="20"/>
                <w:szCs w:val="20"/>
              </w:rPr>
              <w:t>Dilution V</w:t>
            </w:r>
          </w:p>
        </w:tc>
        <w:tc>
          <w:tcPr>
            <w:tcW w:w="960" w:type="dxa"/>
            <w:tcBorders>
              <w:top w:val="single" w:sz="4" w:space="0" w:color="auto"/>
              <w:bottom w:val="single" w:sz="4" w:space="0" w:color="auto"/>
            </w:tcBorders>
            <w:noWrap/>
            <w:hideMark/>
          </w:tcPr>
          <w:p w14:paraId="487EE51B" w14:textId="77777777" w:rsidR="00BE257D" w:rsidRPr="00153D07" w:rsidRDefault="00BE257D" w:rsidP="00BE257D">
            <w:pPr>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F</w:t>
            </w:r>
            <w:r w:rsidRPr="00153D07">
              <w:rPr>
                <w:rFonts w:ascii="Times New Roman" w:hAnsi="Times New Roman" w:cs="Times New Roman"/>
                <w:b/>
                <w:bCs/>
                <w:sz w:val="20"/>
                <w:szCs w:val="20"/>
              </w:rPr>
              <w:t xml:space="preserve"> M</w:t>
            </w:r>
          </w:p>
        </w:tc>
        <w:tc>
          <w:tcPr>
            <w:tcW w:w="960" w:type="dxa"/>
            <w:tcBorders>
              <w:top w:val="single" w:sz="4" w:space="0" w:color="auto"/>
              <w:bottom w:val="single" w:sz="4" w:space="0" w:color="auto"/>
            </w:tcBorders>
            <w:noWrap/>
            <w:hideMark/>
          </w:tcPr>
          <w:p w14:paraId="47282ABA" w14:textId="77777777" w:rsidR="00BE257D" w:rsidRPr="00153D07" w:rsidRDefault="00BE257D" w:rsidP="00BE257D">
            <w:pPr>
              <w:jc w:val="center"/>
              <w:rPr>
                <w:rFonts w:ascii="Times New Roman" w:hAnsi="Times New Roman" w:cs="Times New Roman"/>
                <w:b/>
                <w:bCs/>
                <w:sz w:val="20"/>
                <w:szCs w:val="20"/>
              </w:rPr>
            </w:pPr>
            <w:proofErr w:type="spellStart"/>
            <w:r w:rsidRPr="00153D07">
              <w:rPr>
                <w:rFonts w:ascii="Times New Roman" w:hAnsi="Times New Roman" w:cs="Times New Roman"/>
                <w:b/>
                <w:bCs/>
                <w:sz w:val="20"/>
                <w:szCs w:val="20"/>
              </w:rPr>
              <w:t>Rej</w:t>
            </w:r>
            <w:proofErr w:type="spellEnd"/>
            <w:r w:rsidRPr="00153D07">
              <w:rPr>
                <w:rFonts w:ascii="Times New Roman" w:hAnsi="Times New Roman" w:cs="Times New Roman"/>
                <w:b/>
                <w:bCs/>
                <w:sz w:val="20"/>
                <w:szCs w:val="20"/>
              </w:rPr>
              <w:t>%</w:t>
            </w:r>
          </w:p>
        </w:tc>
      </w:tr>
      <w:tr w:rsidR="00BE257D" w:rsidRPr="00AD04DA" w14:paraId="7737619C" w14:textId="77777777" w:rsidTr="00BE257D">
        <w:trPr>
          <w:trHeight w:val="300"/>
        </w:trPr>
        <w:tc>
          <w:tcPr>
            <w:tcW w:w="960" w:type="dxa"/>
            <w:tcBorders>
              <w:top w:val="single" w:sz="4" w:space="0" w:color="auto"/>
            </w:tcBorders>
            <w:noWrap/>
            <w:hideMark/>
          </w:tcPr>
          <w:p w14:paraId="6297BDE8"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tcBorders>
              <w:top w:val="single" w:sz="4" w:space="0" w:color="auto"/>
            </w:tcBorders>
            <w:noWrap/>
            <w:hideMark/>
          </w:tcPr>
          <w:p w14:paraId="725D5342"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NaCl</w:t>
            </w:r>
          </w:p>
        </w:tc>
        <w:tc>
          <w:tcPr>
            <w:tcW w:w="960" w:type="dxa"/>
            <w:tcBorders>
              <w:top w:val="single" w:sz="4" w:space="0" w:color="auto"/>
            </w:tcBorders>
            <w:noWrap/>
            <w:hideMark/>
          </w:tcPr>
          <w:p w14:paraId="014FECFD"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tcBorders>
              <w:top w:val="single" w:sz="4" w:space="0" w:color="auto"/>
            </w:tcBorders>
            <w:noWrap/>
            <w:hideMark/>
          </w:tcPr>
          <w:p w14:paraId="72434980"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1.1985</w:t>
            </w:r>
          </w:p>
        </w:tc>
        <w:tc>
          <w:tcPr>
            <w:tcW w:w="960" w:type="dxa"/>
            <w:tcBorders>
              <w:top w:val="single" w:sz="4" w:space="0" w:color="auto"/>
            </w:tcBorders>
            <w:noWrap/>
            <w:hideMark/>
          </w:tcPr>
          <w:p w14:paraId="1A67980F"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11.985</w:t>
            </w:r>
          </w:p>
        </w:tc>
        <w:tc>
          <w:tcPr>
            <w:tcW w:w="960" w:type="dxa"/>
            <w:tcBorders>
              <w:top w:val="single" w:sz="4" w:space="0" w:color="auto"/>
            </w:tcBorders>
            <w:noWrap/>
            <w:hideMark/>
          </w:tcPr>
          <w:p w14:paraId="13412D53"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11.985</w:t>
            </w:r>
          </w:p>
        </w:tc>
        <w:tc>
          <w:tcPr>
            <w:tcW w:w="960" w:type="dxa"/>
            <w:tcBorders>
              <w:top w:val="single" w:sz="4" w:space="0" w:color="auto"/>
            </w:tcBorders>
            <w:noWrap/>
            <w:hideMark/>
          </w:tcPr>
          <w:p w14:paraId="467493A2"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0.56</w:t>
            </w:r>
          </w:p>
        </w:tc>
        <w:tc>
          <w:tcPr>
            <w:tcW w:w="1060" w:type="dxa"/>
            <w:tcBorders>
              <w:top w:val="single" w:sz="4" w:space="0" w:color="auto"/>
            </w:tcBorders>
            <w:noWrap/>
            <w:hideMark/>
          </w:tcPr>
          <w:p w14:paraId="01507676"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1.47100</w:t>
            </w:r>
          </w:p>
        </w:tc>
        <w:tc>
          <w:tcPr>
            <w:tcW w:w="1260" w:type="dxa"/>
            <w:tcBorders>
              <w:top w:val="single" w:sz="4" w:space="0" w:color="auto"/>
            </w:tcBorders>
            <w:noWrap/>
            <w:hideMark/>
          </w:tcPr>
          <w:p w14:paraId="06DD40B9"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0.002861943</w:t>
            </w:r>
          </w:p>
        </w:tc>
        <w:tc>
          <w:tcPr>
            <w:tcW w:w="960" w:type="dxa"/>
            <w:tcBorders>
              <w:top w:val="single" w:sz="4" w:space="0" w:color="auto"/>
            </w:tcBorders>
            <w:noWrap/>
            <w:hideMark/>
          </w:tcPr>
          <w:p w14:paraId="7108A0FE" w14:textId="77777777" w:rsidR="00BE257D" w:rsidRPr="00153D07" w:rsidRDefault="00BE257D" w:rsidP="00BE257D">
            <w:pPr>
              <w:jc w:val="center"/>
              <w:rPr>
                <w:rFonts w:ascii="Times New Roman" w:hAnsi="Times New Roman" w:cs="Times New Roman"/>
                <w:sz w:val="20"/>
                <w:szCs w:val="20"/>
              </w:rPr>
            </w:pPr>
          </w:p>
        </w:tc>
        <w:tc>
          <w:tcPr>
            <w:tcW w:w="960" w:type="dxa"/>
            <w:tcBorders>
              <w:top w:val="single" w:sz="4" w:space="0" w:color="auto"/>
            </w:tcBorders>
            <w:noWrap/>
            <w:hideMark/>
          </w:tcPr>
          <w:p w14:paraId="731526EB"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0.119397</w:t>
            </w:r>
          </w:p>
        </w:tc>
        <w:tc>
          <w:tcPr>
            <w:tcW w:w="960" w:type="dxa"/>
            <w:tcBorders>
              <w:top w:val="single" w:sz="4" w:space="0" w:color="auto"/>
            </w:tcBorders>
            <w:noWrap/>
            <w:hideMark/>
          </w:tcPr>
          <w:p w14:paraId="0D830A86"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78.67913</w:t>
            </w:r>
          </w:p>
        </w:tc>
      </w:tr>
      <w:tr w:rsidR="00BE257D" w:rsidRPr="00AD04DA" w14:paraId="5BBEE178" w14:textId="77777777" w:rsidTr="00BE257D">
        <w:trPr>
          <w:trHeight w:val="300"/>
        </w:trPr>
        <w:tc>
          <w:tcPr>
            <w:tcW w:w="960" w:type="dxa"/>
            <w:noWrap/>
            <w:hideMark/>
          </w:tcPr>
          <w:p w14:paraId="22A8A0F3"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3A3346BF"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Se</w:t>
            </w:r>
          </w:p>
        </w:tc>
        <w:tc>
          <w:tcPr>
            <w:tcW w:w="960" w:type="dxa"/>
            <w:noWrap/>
            <w:hideMark/>
          </w:tcPr>
          <w:p w14:paraId="5C2DD744"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65A82949"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1.1985</w:t>
            </w:r>
          </w:p>
        </w:tc>
        <w:tc>
          <w:tcPr>
            <w:tcW w:w="960" w:type="dxa"/>
            <w:noWrap/>
            <w:hideMark/>
          </w:tcPr>
          <w:p w14:paraId="7F44D0B3"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0E07548C"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4A433987"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1060" w:type="dxa"/>
            <w:noWrap/>
            <w:hideMark/>
          </w:tcPr>
          <w:p w14:paraId="1002D281"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144.80000</w:t>
            </w:r>
          </w:p>
        </w:tc>
        <w:tc>
          <w:tcPr>
            <w:tcW w:w="1260" w:type="dxa"/>
            <w:noWrap/>
            <w:hideMark/>
          </w:tcPr>
          <w:p w14:paraId="575245E6"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19.35207955</w:t>
            </w:r>
          </w:p>
        </w:tc>
        <w:tc>
          <w:tcPr>
            <w:tcW w:w="960" w:type="dxa"/>
            <w:noWrap/>
            <w:hideMark/>
          </w:tcPr>
          <w:p w14:paraId="0A507AC0"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4C81C455"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58075.59</w:t>
            </w:r>
          </w:p>
        </w:tc>
        <w:tc>
          <w:tcPr>
            <w:tcW w:w="960" w:type="dxa"/>
            <w:noWrap/>
            <w:hideMark/>
          </w:tcPr>
          <w:p w14:paraId="2955CDA4"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88.38488</w:t>
            </w:r>
          </w:p>
        </w:tc>
      </w:tr>
      <w:tr w:rsidR="00BE257D" w:rsidRPr="00AD04DA" w14:paraId="7886813C" w14:textId="77777777" w:rsidTr="00BE257D">
        <w:trPr>
          <w:trHeight w:val="300"/>
        </w:trPr>
        <w:tc>
          <w:tcPr>
            <w:tcW w:w="960" w:type="dxa"/>
            <w:noWrap/>
            <w:hideMark/>
          </w:tcPr>
          <w:p w14:paraId="44DCB114"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6182291A"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NaCl</w:t>
            </w:r>
          </w:p>
        </w:tc>
        <w:tc>
          <w:tcPr>
            <w:tcW w:w="960" w:type="dxa"/>
            <w:noWrap/>
            <w:hideMark/>
          </w:tcPr>
          <w:p w14:paraId="596FA64E"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2B4BF2B3"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0.9983</w:t>
            </w:r>
          </w:p>
        </w:tc>
        <w:tc>
          <w:tcPr>
            <w:tcW w:w="960" w:type="dxa"/>
            <w:noWrap/>
            <w:hideMark/>
          </w:tcPr>
          <w:p w14:paraId="1BAA9A3E"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9.983</w:t>
            </w:r>
          </w:p>
        </w:tc>
        <w:tc>
          <w:tcPr>
            <w:tcW w:w="960" w:type="dxa"/>
            <w:noWrap/>
            <w:hideMark/>
          </w:tcPr>
          <w:p w14:paraId="7AEBEE7F"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9.983</w:t>
            </w:r>
          </w:p>
        </w:tc>
        <w:tc>
          <w:tcPr>
            <w:tcW w:w="960" w:type="dxa"/>
            <w:noWrap/>
            <w:hideMark/>
          </w:tcPr>
          <w:p w14:paraId="48298442"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0.56</w:t>
            </w:r>
          </w:p>
        </w:tc>
        <w:tc>
          <w:tcPr>
            <w:tcW w:w="1060" w:type="dxa"/>
            <w:noWrap/>
            <w:hideMark/>
          </w:tcPr>
          <w:p w14:paraId="7BC3B735"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1.35100</w:t>
            </w:r>
          </w:p>
        </w:tc>
        <w:tc>
          <w:tcPr>
            <w:tcW w:w="1260" w:type="dxa"/>
            <w:noWrap/>
            <w:hideMark/>
          </w:tcPr>
          <w:p w14:paraId="1E58674A"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0.002404885</w:t>
            </w:r>
          </w:p>
        </w:tc>
        <w:tc>
          <w:tcPr>
            <w:tcW w:w="960" w:type="dxa"/>
            <w:noWrap/>
            <w:hideMark/>
          </w:tcPr>
          <w:p w14:paraId="407F3F40"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6CAA4B05"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0.120449</w:t>
            </w:r>
          </w:p>
        </w:tc>
        <w:tc>
          <w:tcPr>
            <w:tcW w:w="960" w:type="dxa"/>
            <w:noWrap/>
            <w:hideMark/>
          </w:tcPr>
          <w:p w14:paraId="5C0CF7AD"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78.49125</w:t>
            </w:r>
          </w:p>
        </w:tc>
      </w:tr>
      <w:tr w:rsidR="00BE257D" w:rsidRPr="00AD04DA" w14:paraId="53CDD34A" w14:textId="77777777" w:rsidTr="00BE257D">
        <w:trPr>
          <w:trHeight w:val="300"/>
        </w:trPr>
        <w:tc>
          <w:tcPr>
            <w:tcW w:w="960" w:type="dxa"/>
            <w:noWrap/>
            <w:hideMark/>
          </w:tcPr>
          <w:p w14:paraId="5B18CF62"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61D8D4B7"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Se</w:t>
            </w:r>
          </w:p>
        </w:tc>
        <w:tc>
          <w:tcPr>
            <w:tcW w:w="960" w:type="dxa"/>
            <w:noWrap/>
            <w:hideMark/>
          </w:tcPr>
          <w:p w14:paraId="566562D2"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0A8CF32D"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0.9983</w:t>
            </w:r>
          </w:p>
        </w:tc>
        <w:tc>
          <w:tcPr>
            <w:tcW w:w="960" w:type="dxa"/>
            <w:noWrap/>
            <w:hideMark/>
          </w:tcPr>
          <w:p w14:paraId="5C59B381"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78483181"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04A0134F"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1060" w:type="dxa"/>
            <w:noWrap/>
            <w:hideMark/>
          </w:tcPr>
          <w:p w14:paraId="0C11717A"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263.40000</w:t>
            </w:r>
          </w:p>
        </w:tc>
        <w:tc>
          <w:tcPr>
            <w:tcW w:w="1260" w:type="dxa"/>
            <w:noWrap/>
            <w:hideMark/>
          </w:tcPr>
          <w:p w14:paraId="143B1C81"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35.20260879</w:t>
            </w:r>
          </w:p>
        </w:tc>
        <w:tc>
          <w:tcPr>
            <w:tcW w:w="960" w:type="dxa"/>
            <w:noWrap/>
            <w:hideMark/>
          </w:tcPr>
          <w:p w14:paraId="3AC149C5"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2437DA4B"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105643</w:t>
            </w:r>
          </w:p>
        </w:tc>
        <w:tc>
          <w:tcPr>
            <w:tcW w:w="960" w:type="dxa"/>
            <w:noWrap/>
            <w:hideMark/>
          </w:tcPr>
          <w:p w14:paraId="0DBE2CEA"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78.87139</w:t>
            </w:r>
          </w:p>
        </w:tc>
      </w:tr>
      <w:tr w:rsidR="00BE257D" w:rsidRPr="00AD04DA" w14:paraId="68A45CAE" w14:textId="77777777" w:rsidTr="00BE257D">
        <w:trPr>
          <w:trHeight w:val="300"/>
        </w:trPr>
        <w:tc>
          <w:tcPr>
            <w:tcW w:w="960" w:type="dxa"/>
            <w:noWrap/>
            <w:hideMark/>
          </w:tcPr>
          <w:p w14:paraId="1A2FA643"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310A0CCA"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NaCl</w:t>
            </w:r>
          </w:p>
        </w:tc>
        <w:tc>
          <w:tcPr>
            <w:tcW w:w="960" w:type="dxa"/>
            <w:noWrap/>
            <w:hideMark/>
          </w:tcPr>
          <w:p w14:paraId="699980EA"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40F3818D"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0.716</w:t>
            </w:r>
          </w:p>
        </w:tc>
        <w:tc>
          <w:tcPr>
            <w:tcW w:w="960" w:type="dxa"/>
            <w:noWrap/>
            <w:hideMark/>
          </w:tcPr>
          <w:p w14:paraId="58BDD151"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7.16</w:t>
            </w:r>
          </w:p>
        </w:tc>
        <w:tc>
          <w:tcPr>
            <w:tcW w:w="960" w:type="dxa"/>
            <w:noWrap/>
            <w:hideMark/>
          </w:tcPr>
          <w:p w14:paraId="0513FB21"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7.16</w:t>
            </w:r>
          </w:p>
        </w:tc>
        <w:tc>
          <w:tcPr>
            <w:tcW w:w="960" w:type="dxa"/>
            <w:noWrap/>
            <w:hideMark/>
          </w:tcPr>
          <w:p w14:paraId="6A95C746"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0.56</w:t>
            </w:r>
          </w:p>
        </w:tc>
        <w:tc>
          <w:tcPr>
            <w:tcW w:w="1060" w:type="dxa"/>
            <w:noWrap/>
            <w:hideMark/>
          </w:tcPr>
          <w:p w14:paraId="0F0AC1AB"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1.45600</w:t>
            </w:r>
          </w:p>
        </w:tc>
        <w:tc>
          <w:tcPr>
            <w:tcW w:w="1260" w:type="dxa"/>
            <w:noWrap/>
            <w:hideMark/>
          </w:tcPr>
          <w:p w14:paraId="2AB46C8D"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0.002802589</w:t>
            </w:r>
          </w:p>
        </w:tc>
        <w:tc>
          <w:tcPr>
            <w:tcW w:w="960" w:type="dxa"/>
            <w:noWrap/>
            <w:hideMark/>
          </w:tcPr>
          <w:p w14:paraId="66B5363C"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50EE93E8"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0.195712</w:t>
            </w:r>
          </w:p>
        </w:tc>
        <w:tc>
          <w:tcPr>
            <w:tcW w:w="960" w:type="dxa"/>
            <w:noWrap/>
            <w:hideMark/>
          </w:tcPr>
          <w:p w14:paraId="6BAD0BA3"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65.05151</w:t>
            </w:r>
          </w:p>
        </w:tc>
      </w:tr>
      <w:tr w:rsidR="00BE257D" w:rsidRPr="00AD04DA" w14:paraId="3627B046" w14:textId="77777777" w:rsidTr="00BE257D">
        <w:trPr>
          <w:trHeight w:val="300"/>
        </w:trPr>
        <w:tc>
          <w:tcPr>
            <w:tcW w:w="960" w:type="dxa"/>
            <w:noWrap/>
            <w:hideMark/>
          </w:tcPr>
          <w:p w14:paraId="048471C8"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680DAEB7"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Se</w:t>
            </w:r>
          </w:p>
        </w:tc>
        <w:tc>
          <w:tcPr>
            <w:tcW w:w="960" w:type="dxa"/>
            <w:noWrap/>
            <w:hideMark/>
          </w:tcPr>
          <w:p w14:paraId="6FF490FF"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146B83C5"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0.716</w:t>
            </w:r>
          </w:p>
        </w:tc>
        <w:tc>
          <w:tcPr>
            <w:tcW w:w="960" w:type="dxa"/>
            <w:noWrap/>
            <w:hideMark/>
          </w:tcPr>
          <w:p w14:paraId="7BAADD3A"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64F5F0E8" w14:textId="77777777" w:rsidR="00BE257D" w:rsidRPr="00153D07" w:rsidRDefault="00BE257D" w:rsidP="00BE257D">
            <w:pPr>
              <w:jc w:val="center"/>
              <w:rPr>
                <w:rFonts w:ascii="Times New Roman" w:hAnsi="Times New Roman" w:cs="Times New Roman"/>
                <w:sz w:val="20"/>
                <w:szCs w:val="20"/>
              </w:rPr>
            </w:pPr>
          </w:p>
        </w:tc>
        <w:tc>
          <w:tcPr>
            <w:tcW w:w="960" w:type="dxa"/>
            <w:noWrap/>
            <w:hideMark/>
          </w:tcPr>
          <w:p w14:paraId="4A27D16B"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1060" w:type="dxa"/>
            <w:noWrap/>
            <w:hideMark/>
          </w:tcPr>
          <w:p w14:paraId="7499C73E"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99.70000</w:t>
            </w:r>
          </w:p>
        </w:tc>
        <w:tc>
          <w:tcPr>
            <w:tcW w:w="1260" w:type="dxa"/>
            <w:noWrap/>
            <w:hideMark/>
          </w:tcPr>
          <w:p w14:paraId="4A7D7967"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13.32460173</w:t>
            </w:r>
          </w:p>
        </w:tc>
        <w:tc>
          <w:tcPr>
            <w:tcW w:w="960" w:type="dxa"/>
            <w:noWrap/>
            <w:hideMark/>
          </w:tcPr>
          <w:p w14:paraId="4AA74334"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0DC9F31E"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39987.13</w:t>
            </w:r>
          </w:p>
        </w:tc>
        <w:tc>
          <w:tcPr>
            <w:tcW w:w="960" w:type="dxa"/>
            <w:noWrap/>
            <w:hideMark/>
          </w:tcPr>
          <w:p w14:paraId="1780757B" w14:textId="77777777" w:rsidR="00BE257D" w:rsidRPr="00153D07" w:rsidRDefault="00BE257D" w:rsidP="00BE257D">
            <w:pPr>
              <w:jc w:val="center"/>
              <w:rPr>
                <w:rFonts w:ascii="Times New Roman" w:hAnsi="Times New Roman" w:cs="Times New Roman"/>
                <w:sz w:val="20"/>
                <w:szCs w:val="20"/>
              </w:rPr>
            </w:pPr>
            <w:r w:rsidRPr="00153D07">
              <w:rPr>
                <w:rFonts w:ascii="Times New Roman" w:hAnsi="Times New Roman" w:cs="Times New Roman"/>
                <w:sz w:val="20"/>
                <w:szCs w:val="20"/>
              </w:rPr>
              <w:t>92.00257</w:t>
            </w:r>
          </w:p>
        </w:tc>
      </w:tr>
    </w:tbl>
    <w:p w14:paraId="171A7ACF" w14:textId="1068E540" w:rsidR="00BE257D" w:rsidRPr="00AD04DA" w:rsidRDefault="00BE257D" w:rsidP="00B02CBC">
      <w:pPr>
        <w:spacing w:line="480" w:lineRule="auto"/>
        <w:jc w:val="center"/>
        <w:rPr>
          <w:rFonts w:ascii="Times New Roman" w:hAnsi="Times New Roman" w:cs="Times New Roman"/>
          <w:sz w:val="24"/>
          <w:szCs w:val="24"/>
        </w:rPr>
      </w:pPr>
    </w:p>
    <w:p w14:paraId="232F89F7" w14:textId="6FAEDEC0" w:rsidR="00BE257D" w:rsidRPr="00AD04DA" w:rsidRDefault="00BE257D" w:rsidP="00B02CBC">
      <w:pPr>
        <w:spacing w:line="480" w:lineRule="auto"/>
        <w:jc w:val="center"/>
        <w:rPr>
          <w:rFonts w:ascii="Times New Roman" w:hAnsi="Times New Roman" w:cs="Times New Roman"/>
          <w:sz w:val="24"/>
          <w:szCs w:val="24"/>
        </w:rPr>
      </w:pPr>
      <w:r w:rsidRPr="00153D07">
        <w:rPr>
          <w:rFonts w:ascii="Times New Roman" w:hAnsi="Times New Roman" w:cs="Times New Roman"/>
          <w:b/>
          <w:bCs/>
          <w:sz w:val="24"/>
          <w:szCs w:val="24"/>
        </w:rPr>
        <w:t>Table A15</w:t>
      </w:r>
      <w:r w:rsidRPr="00AD04DA">
        <w:rPr>
          <w:rFonts w:ascii="Times New Roman" w:hAnsi="Times New Roman" w:cs="Times New Roman"/>
          <w:sz w:val="24"/>
          <w:szCs w:val="24"/>
        </w:rPr>
        <w:t>: Experimental data for DA with synthetic FGD feed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748"/>
        <w:gridCol w:w="748"/>
        <w:gridCol w:w="748"/>
        <w:gridCol w:w="748"/>
        <w:gridCol w:w="748"/>
        <w:gridCol w:w="748"/>
        <w:gridCol w:w="748"/>
        <w:gridCol w:w="895"/>
        <w:gridCol w:w="967"/>
        <w:gridCol w:w="748"/>
        <w:gridCol w:w="752"/>
        <w:gridCol w:w="752"/>
      </w:tblGrid>
      <w:tr w:rsidR="00BE257D" w:rsidRPr="00AD04DA" w14:paraId="7A72066E" w14:textId="77777777" w:rsidTr="00BE257D">
        <w:trPr>
          <w:trHeight w:val="360"/>
        </w:trPr>
        <w:tc>
          <w:tcPr>
            <w:tcW w:w="960" w:type="dxa"/>
            <w:tcBorders>
              <w:top w:val="single" w:sz="4" w:space="0" w:color="auto"/>
              <w:bottom w:val="single" w:sz="4" w:space="0" w:color="auto"/>
            </w:tcBorders>
            <w:noWrap/>
            <w:hideMark/>
          </w:tcPr>
          <w:p w14:paraId="4238FECC" w14:textId="77777777" w:rsidR="00BE257D" w:rsidRPr="00153D07" w:rsidRDefault="00BE257D" w:rsidP="00BE257D">
            <w:pPr>
              <w:spacing w:line="480" w:lineRule="auto"/>
              <w:jc w:val="center"/>
              <w:rPr>
                <w:rFonts w:ascii="Times New Roman" w:hAnsi="Times New Roman" w:cs="Times New Roman"/>
                <w:b/>
                <w:bCs/>
                <w:sz w:val="20"/>
                <w:szCs w:val="20"/>
              </w:rPr>
            </w:pPr>
            <w:r w:rsidRPr="00153D07">
              <w:rPr>
                <w:rFonts w:ascii="Times New Roman" w:hAnsi="Times New Roman" w:cs="Times New Roman"/>
                <w:b/>
                <w:bCs/>
                <w:sz w:val="20"/>
                <w:szCs w:val="20"/>
              </w:rPr>
              <w:t>Run</w:t>
            </w:r>
          </w:p>
        </w:tc>
        <w:tc>
          <w:tcPr>
            <w:tcW w:w="960" w:type="dxa"/>
            <w:tcBorders>
              <w:top w:val="single" w:sz="4" w:space="0" w:color="auto"/>
              <w:bottom w:val="single" w:sz="4" w:space="0" w:color="auto"/>
            </w:tcBorders>
            <w:noWrap/>
            <w:hideMark/>
          </w:tcPr>
          <w:p w14:paraId="1F93A297" w14:textId="77777777" w:rsidR="00BE257D" w:rsidRPr="00153D07" w:rsidRDefault="00BE257D" w:rsidP="00BE257D">
            <w:pPr>
              <w:spacing w:line="480" w:lineRule="auto"/>
              <w:jc w:val="center"/>
              <w:rPr>
                <w:rFonts w:ascii="Times New Roman" w:hAnsi="Times New Roman" w:cs="Times New Roman"/>
                <w:b/>
                <w:bCs/>
                <w:sz w:val="20"/>
                <w:szCs w:val="20"/>
              </w:rPr>
            </w:pPr>
            <w:r w:rsidRPr="00153D07">
              <w:rPr>
                <w:rFonts w:ascii="Times New Roman" w:hAnsi="Times New Roman" w:cs="Times New Roman"/>
                <w:b/>
                <w:bCs/>
                <w:sz w:val="20"/>
                <w:szCs w:val="20"/>
              </w:rPr>
              <w:t>Cont.</w:t>
            </w:r>
          </w:p>
        </w:tc>
        <w:tc>
          <w:tcPr>
            <w:tcW w:w="960" w:type="dxa"/>
            <w:tcBorders>
              <w:top w:val="single" w:sz="4" w:space="0" w:color="auto"/>
              <w:bottom w:val="single" w:sz="4" w:space="0" w:color="auto"/>
            </w:tcBorders>
            <w:noWrap/>
            <w:hideMark/>
          </w:tcPr>
          <w:p w14:paraId="7DD14375" w14:textId="77777777" w:rsidR="00BE257D" w:rsidRPr="00153D07" w:rsidRDefault="00BE257D" w:rsidP="00BE257D">
            <w:pPr>
              <w:spacing w:line="480" w:lineRule="auto"/>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0</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6015E014" w14:textId="77777777" w:rsidR="00BE257D" w:rsidRPr="00153D07" w:rsidRDefault="00BE257D" w:rsidP="00BE257D">
            <w:pPr>
              <w:spacing w:line="480" w:lineRule="auto"/>
              <w:jc w:val="center"/>
              <w:rPr>
                <w:rFonts w:ascii="Times New Roman" w:hAnsi="Times New Roman" w:cs="Times New Roman"/>
                <w:b/>
                <w:bCs/>
                <w:sz w:val="20"/>
                <w:szCs w:val="20"/>
              </w:rPr>
            </w:pPr>
            <w:r w:rsidRPr="00153D07">
              <w:rPr>
                <w:rFonts w:ascii="Times New Roman" w:hAnsi="Times New Roman" w:cs="Times New Roman"/>
                <w:b/>
                <w:bCs/>
                <w:sz w:val="20"/>
                <w:szCs w:val="20"/>
              </w:rPr>
              <w:t>V</w:t>
            </w:r>
            <w:r w:rsidRPr="00153D07">
              <w:rPr>
                <w:rFonts w:ascii="Times New Roman" w:hAnsi="Times New Roman" w:cs="Times New Roman"/>
                <w:b/>
                <w:bCs/>
                <w:sz w:val="20"/>
                <w:szCs w:val="20"/>
                <w:vertAlign w:val="subscript"/>
              </w:rPr>
              <w:t>R</w:t>
            </w:r>
            <w:r w:rsidRPr="00153D07">
              <w:rPr>
                <w:rFonts w:ascii="Times New Roman" w:hAnsi="Times New Roman" w:cs="Times New Roman"/>
                <w:b/>
                <w:bCs/>
                <w:sz w:val="20"/>
                <w:szCs w:val="20"/>
              </w:rPr>
              <w:t xml:space="preserve"> mL</w:t>
            </w:r>
          </w:p>
        </w:tc>
        <w:tc>
          <w:tcPr>
            <w:tcW w:w="960" w:type="dxa"/>
            <w:tcBorders>
              <w:top w:val="single" w:sz="4" w:space="0" w:color="auto"/>
              <w:bottom w:val="single" w:sz="4" w:space="0" w:color="auto"/>
            </w:tcBorders>
            <w:noWrap/>
            <w:hideMark/>
          </w:tcPr>
          <w:p w14:paraId="424253C8" w14:textId="77777777" w:rsidR="00BE257D" w:rsidRPr="00153D07" w:rsidRDefault="00BE257D" w:rsidP="00BE257D">
            <w:pPr>
              <w:spacing w:line="480" w:lineRule="auto"/>
              <w:jc w:val="center"/>
              <w:rPr>
                <w:rFonts w:ascii="Times New Roman" w:hAnsi="Times New Roman" w:cs="Times New Roman"/>
                <w:b/>
                <w:bCs/>
                <w:sz w:val="20"/>
                <w:szCs w:val="20"/>
              </w:rPr>
            </w:pPr>
            <w:r w:rsidRPr="00153D07">
              <w:rPr>
                <w:rFonts w:ascii="Times New Roman" w:hAnsi="Times New Roman" w:cs="Times New Roman"/>
                <w:b/>
                <w:bCs/>
                <w:sz w:val="20"/>
                <w:szCs w:val="20"/>
              </w:rPr>
              <w:t>Total Rec%</w:t>
            </w:r>
          </w:p>
        </w:tc>
        <w:tc>
          <w:tcPr>
            <w:tcW w:w="960" w:type="dxa"/>
            <w:tcBorders>
              <w:top w:val="single" w:sz="4" w:space="0" w:color="auto"/>
              <w:bottom w:val="single" w:sz="4" w:space="0" w:color="auto"/>
            </w:tcBorders>
            <w:noWrap/>
            <w:hideMark/>
          </w:tcPr>
          <w:p w14:paraId="0594E472" w14:textId="77777777" w:rsidR="00BE257D" w:rsidRPr="00153D07" w:rsidRDefault="00BE257D" w:rsidP="00BE257D">
            <w:pPr>
              <w:spacing w:line="480" w:lineRule="auto"/>
              <w:jc w:val="center"/>
              <w:rPr>
                <w:rFonts w:ascii="Times New Roman" w:hAnsi="Times New Roman" w:cs="Times New Roman"/>
                <w:b/>
                <w:bCs/>
                <w:sz w:val="20"/>
                <w:szCs w:val="20"/>
              </w:rPr>
            </w:pPr>
            <w:r w:rsidRPr="00153D07">
              <w:rPr>
                <w:rFonts w:ascii="Times New Roman" w:hAnsi="Times New Roman" w:cs="Times New Roman"/>
                <w:b/>
                <w:bCs/>
                <w:sz w:val="20"/>
                <w:szCs w:val="20"/>
              </w:rPr>
              <w:t>Trial rec %</w:t>
            </w:r>
          </w:p>
        </w:tc>
        <w:tc>
          <w:tcPr>
            <w:tcW w:w="960" w:type="dxa"/>
            <w:tcBorders>
              <w:top w:val="single" w:sz="4" w:space="0" w:color="auto"/>
              <w:bottom w:val="single" w:sz="4" w:space="0" w:color="auto"/>
            </w:tcBorders>
            <w:noWrap/>
            <w:hideMark/>
          </w:tcPr>
          <w:p w14:paraId="3C0C9326" w14:textId="77777777" w:rsidR="00BE257D" w:rsidRPr="00153D07" w:rsidRDefault="00BE257D" w:rsidP="00BE257D">
            <w:pPr>
              <w:spacing w:line="480" w:lineRule="auto"/>
              <w:jc w:val="center"/>
              <w:rPr>
                <w:rFonts w:ascii="Times New Roman" w:hAnsi="Times New Roman" w:cs="Times New Roman"/>
                <w:b/>
                <w:bCs/>
                <w:sz w:val="20"/>
                <w:szCs w:val="20"/>
              </w:rPr>
            </w:pPr>
            <w:r w:rsidRPr="00153D07">
              <w:rPr>
                <w:rFonts w:ascii="Times New Roman" w:hAnsi="Times New Roman" w:cs="Times New Roman"/>
                <w:b/>
                <w:bCs/>
                <w:sz w:val="20"/>
                <w:szCs w:val="20"/>
              </w:rPr>
              <w:t>C0</w:t>
            </w:r>
          </w:p>
        </w:tc>
        <w:tc>
          <w:tcPr>
            <w:tcW w:w="1060" w:type="dxa"/>
            <w:tcBorders>
              <w:top w:val="single" w:sz="4" w:space="0" w:color="auto"/>
              <w:bottom w:val="single" w:sz="4" w:space="0" w:color="auto"/>
            </w:tcBorders>
            <w:noWrap/>
            <w:hideMark/>
          </w:tcPr>
          <w:p w14:paraId="4975F950" w14:textId="77777777" w:rsidR="00BE257D" w:rsidRPr="00153D07" w:rsidRDefault="00BE257D" w:rsidP="00BE257D">
            <w:pPr>
              <w:spacing w:line="480" w:lineRule="auto"/>
              <w:jc w:val="center"/>
              <w:rPr>
                <w:rFonts w:ascii="Times New Roman" w:hAnsi="Times New Roman" w:cs="Times New Roman"/>
                <w:b/>
                <w:bCs/>
                <w:sz w:val="20"/>
                <w:szCs w:val="20"/>
              </w:rPr>
            </w:pPr>
            <w:r w:rsidRPr="00153D07">
              <w:rPr>
                <w:rFonts w:ascii="Times New Roman" w:hAnsi="Times New Roman" w:cs="Times New Roman"/>
                <w:b/>
                <w:bCs/>
                <w:sz w:val="20"/>
                <w:szCs w:val="20"/>
              </w:rPr>
              <w:t>reading</w:t>
            </w:r>
          </w:p>
        </w:tc>
        <w:tc>
          <w:tcPr>
            <w:tcW w:w="1260" w:type="dxa"/>
            <w:tcBorders>
              <w:top w:val="single" w:sz="4" w:space="0" w:color="auto"/>
              <w:bottom w:val="single" w:sz="4" w:space="0" w:color="auto"/>
            </w:tcBorders>
            <w:noWrap/>
            <w:hideMark/>
          </w:tcPr>
          <w:p w14:paraId="4DEA4A1A" w14:textId="77777777" w:rsidR="00BE257D" w:rsidRPr="00153D07" w:rsidRDefault="00BE257D" w:rsidP="00BE257D">
            <w:pPr>
              <w:spacing w:line="480" w:lineRule="auto"/>
              <w:jc w:val="center"/>
              <w:rPr>
                <w:rFonts w:ascii="Times New Roman" w:hAnsi="Times New Roman" w:cs="Times New Roman"/>
                <w:b/>
                <w:bCs/>
                <w:sz w:val="20"/>
                <w:szCs w:val="20"/>
              </w:rPr>
            </w:pPr>
            <w:r w:rsidRPr="00153D07">
              <w:rPr>
                <w:rFonts w:ascii="Times New Roman" w:hAnsi="Times New Roman" w:cs="Times New Roman"/>
                <w:b/>
                <w:bCs/>
                <w:sz w:val="20"/>
                <w:szCs w:val="20"/>
              </w:rPr>
              <w:t>Cal Curve</w:t>
            </w:r>
          </w:p>
        </w:tc>
        <w:tc>
          <w:tcPr>
            <w:tcW w:w="960" w:type="dxa"/>
            <w:tcBorders>
              <w:top w:val="single" w:sz="4" w:space="0" w:color="auto"/>
              <w:bottom w:val="single" w:sz="4" w:space="0" w:color="auto"/>
            </w:tcBorders>
            <w:noWrap/>
            <w:hideMark/>
          </w:tcPr>
          <w:p w14:paraId="3029B1B2" w14:textId="77777777" w:rsidR="00BE257D" w:rsidRPr="00153D07" w:rsidRDefault="00BE257D" w:rsidP="00BE257D">
            <w:pPr>
              <w:spacing w:line="480" w:lineRule="auto"/>
              <w:jc w:val="center"/>
              <w:rPr>
                <w:rFonts w:ascii="Times New Roman" w:hAnsi="Times New Roman" w:cs="Times New Roman"/>
                <w:b/>
                <w:bCs/>
                <w:sz w:val="20"/>
                <w:szCs w:val="20"/>
              </w:rPr>
            </w:pPr>
            <w:r w:rsidRPr="00153D07">
              <w:rPr>
                <w:rFonts w:ascii="Times New Roman" w:hAnsi="Times New Roman" w:cs="Times New Roman"/>
                <w:b/>
                <w:bCs/>
                <w:sz w:val="20"/>
                <w:szCs w:val="20"/>
              </w:rPr>
              <w:t>Dilution V</w:t>
            </w:r>
          </w:p>
        </w:tc>
        <w:tc>
          <w:tcPr>
            <w:tcW w:w="960" w:type="dxa"/>
            <w:tcBorders>
              <w:top w:val="single" w:sz="4" w:space="0" w:color="auto"/>
              <w:bottom w:val="single" w:sz="4" w:space="0" w:color="auto"/>
            </w:tcBorders>
            <w:noWrap/>
            <w:hideMark/>
          </w:tcPr>
          <w:p w14:paraId="4A92C2DE" w14:textId="77777777" w:rsidR="00BE257D" w:rsidRPr="00153D07" w:rsidRDefault="00BE257D" w:rsidP="00BE257D">
            <w:pPr>
              <w:spacing w:line="480" w:lineRule="auto"/>
              <w:jc w:val="center"/>
              <w:rPr>
                <w:rFonts w:ascii="Times New Roman" w:hAnsi="Times New Roman" w:cs="Times New Roman"/>
                <w:b/>
                <w:bCs/>
                <w:sz w:val="20"/>
                <w:szCs w:val="20"/>
              </w:rPr>
            </w:pPr>
            <w:r w:rsidRPr="00153D07">
              <w:rPr>
                <w:rFonts w:ascii="Times New Roman" w:hAnsi="Times New Roman" w:cs="Times New Roman"/>
                <w:b/>
                <w:bCs/>
                <w:sz w:val="20"/>
                <w:szCs w:val="20"/>
              </w:rPr>
              <w:t>C</w:t>
            </w:r>
            <w:r w:rsidRPr="00153D07">
              <w:rPr>
                <w:rFonts w:ascii="Times New Roman" w:hAnsi="Times New Roman" w:cs="Times New Roman"/>
                <w:b/>
                <w:bCs/>
                <w:sz w:val="20"/>
                <w:szCs w:val="20"/>
                <w:vertAlign w:val="subscript"/>
              </w:rPr>
              <w:t>F</w:t>
            </w:r>
            <w:r w:rsidRPr="00153D07">
              <w:rPr>
                <w:rFonts w:ascii="Times New Roman" w:hAnsi="Times New Roman" w:cs="Times New Roman"/>
                <w:b/>
                <w:bCs/>
                <w:sz w:val="20"/>
                <w:szCs w:val="20"/>
              </w:rPr>
              <w:t xml:space="preserve"> M</w:t>
            </w:r>
          </w:p>
        </w:tc>
        <w:tc>
          <w:tcPr>
            <w:tcW w:w="960" w:type="dxa"/>
            <w:tcBorders>
              <w:top w:val="single" w:sz="4" w:space="0" w:color="auto"/>
              <w:bottom w:val="single" w:sz="4" w:space="0" w:color="auto"/>
            </w:tcBorders>
            <w:noWrap/>
            <w:hideMark/>
          </w:tcPr>
          <w:p w14:paraId="7B4AAA3E" w14:textId="77777777" w:rsidR="00BE257D" w:rsidRPr="00153D07" w:rsidRDefault="00BE257D" w:rsidP="00BE257D">
            <w:pPr>
              <w:spacing w:line="480" w:lineRule="auto"/>
              <w:jc w:val="center"/>
              <w:rPr>
                <w:rFonts w:ascii="Times New Roman" w:hAnsi="Times New Roman" w:cs="Times New Roman"/>
                <w:b/>
                <w:bCs/>
                <w:sz w:val="20"/>
                <w:szCs w:val="20"/>
              </w:rPr>
            </w:pPr>
            <w:proofErr w:type="spellStart"/>
            <w:r w:rsidRPr="00153D07">
              <w:rPr>
                <w:rFonts w:ascii="Times New Roman" w:hAnsi="Times New Roman" w:cs="Times New Roman"/>
                <w:b/>
                <w:bCs/>
                <w:sz w:val="20"/>
                <w:szCs w:val="20"/>
              </w:rPr>
              <w:t>Rej</w:t>
            </w:r>
            <w:proofErr w:type="spellEnd"/>
            <w:r w:rsidRPr="00153D07">
              <w:rPr>
                <w:rFonts w:ascii="Times New Roman" w:hAnsi="Times New Roman" w:cs="Times New Roman"/>
                <w:b/>
                <w:bCs/>
                <w:sz w:val="20"/>
                <w:szCs w:val="20"/>
              </w:rPr>
              <w:t>%</w:t>
            </w:r>
          </w:p>
        </w:tc>
      </w:tr>
      <w:tr w:rsidR="00BE257D" w:rsidRPr="00AD04DA" w14:paraId="24B7E075" w14:textId="77777777" w:rsidTr="00BE257D">
        <w:trPr>
          <w:trHeight w:val="300"/>
        </w:trPr>
        <w:tc>
          <w:tcPr>
            <w:tcW w:w="960" w:type="dxa"/>
            <w:tcBorders>
              <w:top w:val="single" w:sz="4" w:space="0" w:color="auto"/>
            </w:tcBorders>
            <w:noWrap/>
            <w:hideMark/>
          </w:tcPr>
          <w:p w14:paraId="036D982F"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1</w:t>
            </w:r>
          </w:p>
        </w:tc>
        <w:tc>
          <w:tcPr>
            <w:tcW w:w="960" w:type="dxa"/>
            <w:tcBorders>
              <w:top w:val="single" w:sz="4" w:space="0" w:color="auto"/>
            </w:tcBorders>
            <w:noWrap/>
            <w:hideMark/>
          </w:tcPr>
          <w:p w14:paraId="1E73FE0C"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NaCl</w:t>
            </w:r>
          </w:p>
        </w:tc>
        <w:tc>
          <w:tcPr>
            <w:tcW w:w="960" w:type="dxa"/>
            <w:tcBorders>
              <w:top w:val="single" w:sz="4" w:space="0" w:color="auto"/>
            </w:tcBorders>
            <w:noWrap/>
            <w:hideMark/>
          </w:tcPr>
          <w:p w14:paraId="62E5C3F6"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tcBorders>
              <w:top w:val="single" w:sz="4" w:space="0" w:color="auto"/>
            </w:tcBorders>
            <w:noWrap/>
            <w:hideMark/>
          </w:tcPr>
          <w:p w14:paraId="239B97A6"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0.0268</w:t>
            </w:r>
          </w:p>
        </w:tc>
        <w:tc>
          <w:tcPr>
            <w:tcW w:w="960" w:type="dxa"/>
            <w:tcBorders>
              <w:top w:val="single" w:sz="4" w:space="0" w:color="auto"/>
            </w:tcBorders>
            <w:noWrap/>
            <w:hideMark/>
          </w:tcPr>
          <w:p w14:paraId="231588A2"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0.268</w:t>
            </w:r>
          </w:p>
        </w:tc>
        <w:tc>
          <w:tcPr>
            <w:tcW w:w="960" w:type="dxa"/>
            <w:tcBorders>
              <w:top w:val="single" w:sz="4" w:space="0" w:color="auto"/>
            </w:tcBorders>
            <w:noWrap/>
            <w:hideMark/>
          </w:tcPr>
          <w:p w14:paraId="0C2773B7"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0.268</w:t>
            </w:r>
          </w:p>
        </w:tc>
        <w:tc>
          <w:tcPr>
            <w:tcW w:w="960" w:type="dxa"/>
            <w:tcBorders>
              <w:top w:val="single" w:sz="4" w:space="0" w:color="auto"/>
            </w:tcBorders>
            <w:noWrap/>
            <w:hideMark/>
          </w:tcPr>
          <w:p w14:paraId="608EE42F"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0.56</w:t>
            </w:r>
          </w:p>
        </w:tc>
        <w:tc>
          <w:tcPr>
            <w:tcW w:w="1060" w:type="dxa"/>
            <w:tcBorders>
              <w:top w:val="single" w:sz="4" w:space="0" w:color="auto"/>
            </w:tcBorders>
            <w:noWrap/>
            <w:hideMark/>
          </w:tcPr>
          <w:p w14:paraId="64D4BB75"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0.00217</w:t>
            </w:r>
          </w:p>
        </w:tc>
        <w:tc>
          <w:tcPr>
            <w:tcW w:w="1260" w:type="dxa"/>
            <w:tcBorders>
              <w:top w:val="single" w:sz="4" w:space="0" w:color="auto"/>
            </w:tcBorders>
            <w:noWrap/>
            <w:hideMark/>
          </w:tcPr>
          <w:p w14:paraId="50287648"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1.16573E-05</w:t>
            </w:r>
          </w:p>
        </w:tc>
        <w:tc>
          <w:tcPr>
            <w:tcW w:w="960" w:type="dxa"/>
            <w:tcBorders>
              <w:top w:val="single" w:sz="4" w:space="0" w:color="auto"/>
            </w:tcBorders>
            <w:noWrap/>
            <w:hideMark/>
          </w:tcPr>
          <w:p w14:paraId="3B4E8EE2"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tcBorders>
              <w:top w:val="single" w:sz="4" w:space="0" w:color="auto"/>
            </w:tcBorders>
            <w:noWrap/>
            <w:hideMark/>
          </w:tcPr>
          <w:p w14:paraId="4FCC4F10"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0.021749</w:t>
            </w:r>
          </w:p>
        </w:tc>
        <w:tc>
          <w:tcPr>
            <w:tcW w:w="960" w:type="dxa"/>
            <w:tcBorders>
              <w:top w:val="single" w:sz="4" w:space="0" w:color="auto"/>
            </w:tcBorders>
            <w:noWrap/>
            <w:hideMark/>
          </w:tcPr>
          <w:p w14:paraId="6C020648"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96.11631</w:t>
            </w:r>
          </w:p>
        </w:tc>
      </w:tr>
      <w:tr w:rsidR="00BE257D" w:rsidRPr="00AD04DA" w14:paraId="47A58625" w14:textId="77777777" w:rsidTr="00BE257D">
        <w:trPr>
          <w:trHeight w:val="300"/>
        </w:trPr>
        <w:tc>
          <w:tcPr>
            <w:tcW w:w="960" w:type="dxa"/>
            <w:noWrap/>
            <w:hideMark/>
          </w:tcPr>
          <w:p w14:paraId="3D2ABC59"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2B8885FD"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Se</w:t>
            </w:r>
          </w:p>
        </w:tc>
        <w:tc>
          <w:tcPr>
            <w:tcW w:w="960" w:type="dxa"/>
            <w:noWrap/>
            <w:hideMark/>
          </w:tcPr>
          <w:p w14:paraId="2F8904B7"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3686B719"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0.0268</w:t>
            </w:r>
          </w:p>
        </w:tc>
        <w:tc>
          <w:tcPr>
            <w:tcW w:w="960" w:type="dxa"/>
            <w:noWrap/>
            <w:hideMark/>
          </w:tcPr>
          <w:p w14:paraId="692B1305"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348597F6"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0423767D"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1060" w:type="dxa"/>
            <w:noWrap/>
            <w:hideMark/>
          </w:tcPr>
          <w:p w14:paraId="5F853CC6"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229.30000</w:t>
            </w:r>
          </w:p>
        </w:tc>
        <w:tc>
          <w:tcPr>
            <w:tcW w:w="1260" w:type="dxa"/>
            <w:noWrap/>
            <w:hideMark/>
          </w:tcPr>
          <w:p w14:paraId="15796DF2"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30.64524751</w:t>
            </w:r>
          </w:p>
        </w:tc>
        <w:tc>
          <w:tcPr>
            <w:tcW w:w="960" w:type="dxa"/>
            <w:noWrap/>
            <w:hideMark/>
          </w:tcPr>
          <w:p w14:paraId="6E7B939C"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1.528</w:t>
            </w:r>
          </w:p>
        </w:tc>
        <w:tc>
          <w:tcPr>
            <w:tcW w:w="960" w:type="dxa"/>
            <w:noWrap/>
            <w:hideMark/>
          </w:tcPr>
          <w:p w14:paraId="15DAB871"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1777.882</w:t>
            </w:r>
          </w:p>
        </w:tc>
        <w:tc>
          <w:tcPr>
            <w:tcW w:w="960" w:type="dxa"/>
            <w:noWrap/>
            <w:hideMark/>
          </w:tcPr>
          <w:p w14:paraId="02E288C4"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99.64442</w:t>
            </w:r>
          </w:p>
        </w:tc>
      </w:tr>
      <w:tr w:rsidR="00BE257D" w:rsidRPr="00AD04DA" w14:paraId="1DF804E3" w14:textId="77777777" w:rsidTr="00BE257D">
        <w:trPr>
          <w:trHeight w:val="300"/>
        </w:trPr>
        <w:tc>
          <w:tcPr>
            <w:tcW w:w="960" w:type="dxa"/>
            <w:noWrap/>
            <w:hideMark/>
          </w:tcPr>
          <w:p w14:paraId="34180319"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2</w:t>
            </w:r>
          </w:p>
        </w:tc>
        <w:tc>
          <w:tcPr>
            <w:tcW w:w="960" w:type="dxa"/>
            <w:noWrap/>
            <w:hideMark/>
          </w:tcPr>
          <w:p w14:paraId="183BB5C5"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NaCl</w:t>
            </w:r>
          </w:p>
        </w:tc>
        <w:tc>
          <w:tcPr>
            <w:tcW w:w="960" w:type="dxa"/>
            <w:noWrap/>
            <w:hideMark/>
          </w:tcPr>
          <w:p w14:paraId="45B8F852"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641B2CA4"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0.0367</w:t>
            </w:r>
          </w:p>
        </w:tc>
        <w:tc>
          <w:tcPr>
            <w:tcW w:w="960" w:type="dxa"/>
            <w:noWrap/>
            <w:hideMark/>
          </w:tcPr>
          <w:p w14:paraId="018C7B08"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0.367</w:t>
            </w:r>
          </w:p>
        </w:tc>
        <w:tc>
          <w:tcPr>
            <w:tcW w:w="960" w:type="dxa"/>
            <w:noWrap/>
            <w:hideMark/>
          </w:tcPr>
          <w:p w14:paraId="05588128"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0.367</w:t>
            </w:r>
          </w:p>
        </w:tc>
        <w:tc>
          <w:tcPr>
            <w:tcW w:w="960" w:type="dxa"/>
            <w:noWrap/>
            <w:hideMark/>
          </w:tcPr>
          <w:p w14:paraId="2F5F8532"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0.56</w:t>
            </w:r>
          </w:p>
        </w:tc>
        <w:tc>
          <w:tcPr>
            <w:tcW w:w="1060" w:type="dxa"/>
            <w:noWrap/>
            <w:hideMark/>
          </w:tcPr>
          <w:p w14:paraId="7E858DD5"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0.00434</w:t>
            </w:r>
          </w:p>
        </w:tc>
        <w:tc>
          <w:tcPr>
            <w:tcW w:w="1260" w:type="dxa"/>
            <w:noWrap/>
            <w:hideMark/>
          </w:tcPr>
          <w:p w14:paraId="649F2DE8"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2.38153E-05</w:t>
            </w:r>
          </w:p>
        </w:tc>
        <w:tc>
          <w:tcPr>
            <w:tcW w:w="960" w:type="dxa"/>
            <w:noWrap/>
            <w:hideMark/>
          </w:tcPr>
          <w:p w14:paraId="49B119BD"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2A353630"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0.032446</w:t>
            </w:r>
          </w:p>
        </w:tc>
        <w:tc>
          <w:tcPr>
            <w:tcW w:w="960" w:type="dxa"/>
            <w:noWrap/>
            <w:hideMark/>
          </w:tcPr>
          <w:p w14:paraId="566C90B3"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94.20609</w:t>
            </w:r>
          </w:p>
        </w:tc>
      </w:tr>
      <w:tr w:rsidR="00BE257D" w:rsidRPr="00AD04DA" w14:paraId="4E3D8B87" w14:textId="77777777" w:rsidTr="00BE257D">
        <w:trPr>
          <w:trHeight w:val="300"/>
        </w:trPr>
        <w:tc>
          <w:tcPr>
            <w:tcW w:w="960" w:type="dxa"/>
            <w:noWrap/>
            <w:hideMark/>
          </w:tcPr>
          <w:p w14:paraId="4EE0347B"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0A4A3F7C"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Se</w:t>
            </w:r>
          </w:p>
        </w:tc>
        <w:tc>
          <w:tcPr>
            <w:tcW w:w="960" w:type="dxa"/>
            <w:noWrap/>
            <w:hideMark/>
          </w:tcPr>
          <w:p w14:paraId="5D7221A1"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7E81166B"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0.0367</w:t>
            </w:r>
          </w:p>
        </w:tc>
        <w:tc>
          <w:tcPr>
            <w:tcW w:w="960" w:type="dxa"/>
            <w:noWrap/>
            <w:hideMark/>
          </w:tcPr>
          <w:p w14:paraId="39460D85"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4F816A87"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32E09443"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1060" w:type="dxa"/>
            <w:noWrap/>
            <w:hideMark/>
          </w:tcPr>
          <w:p w14:paraId="6CA4924C"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2087.00000</w:t>
            </w:r>
          </w:p>
        </w:tc>
        <w:tc>
          <w:tcPr>
            <w:tcW w:w="1260" w:type="dxa"/>
            <w:noWrap/>
            <w:hideMark/>
          </w:tcPr>
          <w:p w14:paraId="008D6426"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278.9212018</w:t>
            </w:r>
          </w:p>
        </w:tc>
        <w:tc>
          <w:tcPr>
            <w:tcW w:w="960" w:type="dxa"/>
            <w:noWrap/>
            <w:hideMark/>
          </w:tcPr>
          <w:p w14:paraId="4B47C711"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2.092</w:t>
            </w:r>
          </w:p>
        </w:tc>
        <w:tc>
          <w:tcPr>
            <w:tcW w:w="960" w:type="dxa"/>
            <w:noWrap/>
            <w:hideMark/>
          </w:tcPr>
          <w:p w14:paraId="1BACB909"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16178.19</w:t>
            </w:r>
          </w:p>
        </w:tc>
        <w:tc>
          <w:tcPr>
            <w:tcW w:w="960" w:type="dxa"/>
            <w:noWrap/>
            <w:hideMark/>
          </w:tcPr>
          <w:p w14:paraId="4C4355C0"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96.76436</w:t>
            </w:r>
          </w:p>
        </w:tc>
      </w:tr>
      <w:tr w:rsidR="00BE257D" w:rsidRPr="00AD04DA" w14:paraId="745449A6" w14:textId="77777777" w:rsidTr="00BE257D">
        <w:trPr>
          <w:trHeight w:val="300"/>
        </w:trPr>
        <w:tc>
          <w:tcPr>
            <w:tcW w:w="960" w:type="dxa"/>
            <w:noWrap/>
            <w:hideMark/>
          </w:tcPr>
          <w:p w14:paraId="2A1E9FA6"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3</w:t>
            </w:r>
          </w:p>
        </w:tc>
        <w:tc>
          <w:tcPr>
            <w:tcW w:w="960" w:type="dxa"/>
            <w:noWrap/>
            <w:hideMark/>
          </w:tcPr>
          <w:p w14:paraId="73DF6277"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NaCl</w:t>
            </w:r>
          </w:p>
        </w:tc>
        <w:tc>
          <w:tcPr>
            <w:tcW w:w="960" w:type="dxa"/>
            <w:noWrap/>
            <w:hideMark/>
          </w:tcPr>
          <w:p w14:paraId="5BD17427"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10</w:t>
            </w:r>
          </w:p>
        </w:tc>
        <w:tc>
          <w:tcPr>
            <w:tcW w:w="960" w:type="dxa"/>
            <w:noWrap/>
            <w:hideMark/>
          </w:tcPr>
          <w:p w14:paraId="0D61DF00"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0.059</w:t>
            </w:r>
          </w:p>
        </w:tc>
        <w:tc>
          <w:tcPr>
            <w:tcW w:w="960" w:type="dxa"/>
            <w:noWrap/>
            <w:hideMark/>
          </w:tcPr>
          <w:p w14:paraId="7EB4CCE0"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0.59</w:t>
            </w:r>
          </w:p>
        </w:tc>
        <w:tc>
          <w:tcPr>
            <w:tcW w:w="960" w:type="dxa"/>
            <w:noWrap/>
            <w:hideMark/>
          </w:tcPr>
          <w:p w14:paraId="7924B152"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0.59</w:t>
            </w:r>
          </w:p>
        </w:tc>
        <w:tc>
          <w:tcPr>
            <w:tcW w:w="960" w:type="dxa"/>
            <w:noWrap/>
            <w:hideMark/>
          </w:tcPr>
          <w:p w14:paraId="0FB3920D"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0.56</w:t>
            </w:r>
          </w:p>
        </w:tc>
        <w:tc>
          <w:tcPr>
            <w:tcW w:w="1060" w:type="dxa"/>
            <w:noWrap/>
            <w:hideMark/>
          </w:tcPr>
          <w:p w14:paraId="76F6A88D"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0.00454</w:t>
            </w:r>
          </w:p>
        </w:tc>
        <w:tc>
          <w:tcPr>
            <w:tcW w:w="1260" w:type="dxa"/>
            <w:noWrap/>
            <w:hideMark/>
          </w:tcPr>
          <w:p w14:paraId="6FAD3363"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2.49484E-05</w:t>
            </w:r>
          </w:p>
        </w:tc>
        <w:tc>
          <w:tcPr>
            <w:tcW w:w="960" w:type="dxa"/>
            <w:noWrap/>
            <w:hideMark/>
          </w:tcPr>
          <w:p w14:paraId="62995B11"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30478FFE"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0.021143</w:t>
            </w:r>
          </w:p>
        </w:tc>
        <w:tc>
          <w:tcPr>
            <w:tcW w:w="960" w:type="dxa"/>
            <w:noWrap/>
            <w:hideMark/>
          </w:tcPr>
          <w:p w14:paraId="446BBD91"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96.22452</w:t>
            </w:r>
          </w:p>
        </w:tc>
      </w:tr>
      <w:tr w:rsidR="00BE257D" w:rsidRPr="00AD04DA" w14:paraId="29CEB6A2" w14:textId="77777777" w:rsidTr="00BE257D">
        <w:trPr>
          <w:trHeight w:val="300"/>
        </w:trPr>
        <w:tc>
          <w:tcPr>
            <w:tcW w:w="960" w:type="dxa"/>
            <w:noWrap/>
            <w:hideMark/>
          </w:tcPr>
          <w:p w14:paraId="609A6DAC"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1F6E4FCE"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Se</w:t>
            </w:r>
          </w:p>
        </w:tc>
        <w:tc>
          <w:tcPr>
            <w:tcW w:w="960" w:type="dxa"/>
            <w:noWrap/>
            <w:hideMark/>
          </w:tcPr>
          <w:p w14:paraId="65F85006"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0222ED3F"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0.059</w:t>
            </w:r>
          </w:p>
        </w:tc>
        <w:tc>
          <w:tcPr>
            <w:tcW w:w="960" w:type="dxa"/>
            <w:noWrap/>
            <w:hideMark/>
          </w:tcPr>
          <w:p w14:paraId="10F42F0E"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02BDE32A" w14:textId="77777777" w:rsidR="00BE257D" w:rsidRPr="00153D07" w:rsidRDefault="00BE257D" w:rsidP="00BE257D">
            <w:pPr>
              <w:spacing w:line="480" w:lineRule="auto"/>
              <w:jc w:val="center"/>
              <w:rPr>
                <w:rFonts w:ascii="Times New Roman" w:hAnsi="Times New Roman" w:cs="Times New Roman"/>
                <w:sz w:val="20"/>
                <w:szCs w:val="20"/>
              </w:rPr>
            </w:pPr>
          </w:p>
        </w:tc>
        <w:tc>
          <w:tcPr>
            <w:tcW w:w="960" w:type="dxa"/>
            <w:noWrap/>
            <w:hideMark/>
          </w:tcPr>
          <w:p w14:paraId="49C079C8"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500000</w:t>
            </w:r>
          </w:p>
        </w:tc>
        <w:tc>
          <w:tcPr>
            <w:tcW w:w="1060" w:type="dxa"/>
            <w:noWrap/>
            <w:hideMark/>
          </w:tcPr>
          <w:p w14:paraId="780CB7FC"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3834.40000</w:t>
            </w:r>
          </w:p>
        </w:tc>
        <w:tc>
          <w:tcPr>
            <w:tcW w:w="1260" w:type="dxa"/>
            <w:noWrap/>
            <w:hideMark/>
          </w:tcPr>
          <w:p w14:paraId="1AFB3696"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512.4558965</w:t>
            </w:r>
          </w:p>
        </w:tc>
        <w:tc>
          <w:tcPr>
            <w:tcW w:w="960" w:type="dxa"/>
            <w:noWrap/>
            <w:hideMark/>
          </w:tcPr>
          <w:p w14:paraId="3269CBAB"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3.363</w:t>
            </w:r>
          </w:p>
        </w:tc>
        <w:tc>
          <w:tcPr>
            <w:tcW w:w="960" w:type="dxa"/>
            <w:noWrap/>
            <w:hideMark/>
          </w:tcPr>
          <w:p w14:paraId="1FB73B49"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29722.44</w:t>
            </w:r>
          </w:p>
        </w:tc>
        <w:tc>
          <w:tcPr>
            <w:tcW w:w="960" w:type="dxa"/>
            <w:noWrap/>
            <w:hideMark/>
          </w:tcPr>
          <w:p w14:paraId="536A2307" w14:textId="77777777" w:rsidR="00BE257D" w:rsidRPr="00153D07" w:rsidRDefault="00BE257D" w:rsidP="00BE257D">
            <w:pPr>
              <w:spacing w:line="480" w:lineRule="auto"/>
              <w:jc w:val="center"/>
              <w:rPr>
                <w:rFonts w:ascii="Times New Roman" w:hAnsi="Times New Roman" w:cs="Times New Roman"/>
                <w:sz w:val="20"/>
                <w:szCs w:val="20"/>
              </w:rPr>
            </w:pPr>
            <w:r w:rsidRPr="00153D07">
              <w:rPr>
                <w:rFonts w:ascii="Times New Roman" w:hAnsi="Times New Roman" w:cs="Times New Roman"/>
                <w:sz w:val="20"/>
                <w:szCs w:val="20"/>
              </w:rPr>
              <w:t>94.05551</w:t>
            </w:r>
          </w:p>
        </w:tc>
      </w:tr>
    </w:tbl>
    <w:p w14:paraId="22A461EA" w14:textId="77777777" w:rsidR="00BE257D" w:rsidRPr="00AD04DA" w:rsidRDefault="00BE257D" w:rsidP="00B02CBC">
      <w:pPr>
        <w:spacing w:line="480" w:lineRule="auto"/>
        <w:jc w:val="center"/>
        <w:rPr>
          <w:rFonts w:ascii="Times New Roman" w:hAnsi="Times New Roman" w:cs="Times New Roman"/>
          <w:sz w:val="24"/>
          <w:szCs w:val="24"/>
        </w:rPr>
      </w:pPr>
    </w:p>
    <w:p w14:paraId="60A1AEB3" w14:textId="77777777" w:rsidR="008D6421" w:rsidRPr="00AD04DA" w:rsidRDefault="008D6421">
      <w:pPr>
        <w:rPr>
          <w:rFonts w:ascii="Times New Roman" w:eastAsiaTheme="majorEastAsia" w:hAnsi="Times New Roman" w:cs="Times New Roman"/>
          <w:color w:val="000000" w:themeColor="text1"/>
          <w:sz w:val="24"/>
          <w:szCs w:val="24"/>
        </w:rPr>
      </w:pPr>
      <w:r w:rsidRPr="00AD04DA">
        <w:rPr>
          <w:rFonts w:ascii="Times New Roman" w:hAnsi="Times New Roman" w:cs="Times New Roman"/>
          <w:color w:val="000000" w:themeColor="text1"/>
          <w:sz w:val="24"/>
          <w:szCs w:val="24"/>
        </w:rPr>
        <w:br w:type="page"/>
      </w:r>
    </w:p>
    <w:p w14:paraId="5AE37628" w14:textId="4A869EDE" w:rsidR="00FE1156" w:rsidRPr="00153D07" w:rsidRDefault="00935991" w:rsidP="00FE1156">
      <w:pPr>
        <w:pStyle w:val="Heading1"/>
        <w:spacing w:before="0" w:line="480" w:lineRule="auto"/>
        <w:rPr>
          <w:rFonts w:ascii="Times New Roman" w:hAnsi="Times New Roman" w:cs="Times New Roman"/>
          <w:color w:val="000000" w:themeColor="text1"/>
        </w:rPr>
      </w:pPr>
      <w:bookmarkStart w:id="27" w:name="_Toc100753478"/>
      <w:r w:rsidRPr="00153D07">
        <w:rPr>
          <w:rFonts w:ascii="Times New Roman" w:hAnsi="Times New Roman" w:cs="Times New Roman"/>
          <w:color w:val="000000" w:themeColor="text1"/>
        </w:rPr>
        <w:lastRenderedPageBreak/>
        <w:t xml:space="preserve">Appendix B: </w:t>
      </w:r>
      <w:r w:rsidR="00F556CC" w:rsidRPr="00153D07">
        <w:rPr>
          <w:rFonts w:ascii="Times New Roman" w:hAnsi="Times New Roman" w:cs="Times New Roman"/>
          <w:color w:val="000000" w:themeColor="text1"/>
        </w:rPr>
        <w:t xml:space="preserve">Additional </w:t>
      </w:r>
      <w:r w:rsidR="00654BAD" w:rsidRPr="00153D07">
        <w:rPr>
          <w:rFonts w:ascii="Times New Roman" w:hAnsi="Times New Roman" w:cs="Times New Roman"/>
          <w:color w:val="000000" w:themeColor="text1"/>
        </w:rPr>
        <w:t>Figures</w:t>
      </w:r>
      <w:bookmarkEnd w:id="27"/>
    </w:p>
    <w:p w14:paraId="6338B29F" w14:textId="77777777" w:rsidR="00FE1156" w:rsidRPr="00AD04DA" w:rsidRDefault="00FE1156" w:rsidP="00FE1156">
      <w:pPr>
        <w:jc w:val="center"/>
        <w:rPr>
          <w:rFonts w:ascii="Times New Roman" w:hAnsi="Times New Roman" w:cs="Times New Roman"/>
          <w:sz w:val="24"/>
          <w:szCs w:val="24"/>
        </w:rPr>
      </w:pPr>
      <w:r w:rsidRPr="00AD04DA">
        <w:rPr>
          <w:rFonts w:ascii="Times New Roman" w:hAnsi="Times New Roman" w:cs="Times New Roman"/>
          <w:noProof/>
          <w:sz w:val="24"/>
          <w:szCs w:val="24"/>
        </w:rPr>
        <w:drawing>
          <wp:inline distT="0" distB="0" distL="0" distR="0" wp14:anchorId="61B96B04" wp14:editId="214B5F1B">
            <wp:extent cx="4572000" cy="2743200"/>
            <wp:effectExtent l="0" t="0" r="0" b="0"/>
            <wp:docPr id="11" name="Chart 11">
              <a:extLst xmlns:a="http://schemas.openxmlformats.org/drawingml/2006/main">
                <a:ext uri="{FF2B5EF4-FFF2-40B4-BE49-F238E27FC236}">
                  <a16:creationId xmlns:a16="http://schemas.microsoft.com/office/drawing/2014/main" id="{9BDE7494-25BE-4E57-B6F0-21B3D6D462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12972A7" w14:textId="09F06B02" w:rsidR="00FE1156" w:rsidRPr="00AD04DA" w:rsidRDefault="00FE1156" w:rsidP="00FE1156">
      <w:pPr>
        <w:spacing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B1: </w:t>
      </w:r>
      <w:r w:rsidRPr="00AD04DA">
        <w:rPr>
          <w:rFonts w:ascii="Times New Roman" w:hAnsi="Times New Roman" w:cs="Times New Roman"/>
          <w:sz w:val="24"/>
          <w:szCs w:val="24"/>
        </w:rPr>
        <w:t>Feed and product water salinity for three cycles of  TSSE with 1.0 M NaCl feed and DA solvent.</w:t>
      </w:r>
    </w:p>
    <w:p w14:paraId="7E2031ED" w14:textId="77777777" w:rsidR="00FE1156" w:rsidRPr="00AD04DA" w:rsidRDefault="00FE1156" w:rsidP="00FE1156">
      <w:pPr>
        <w:jc w:val="center"/>
        <w:rPr>
          <w:rFonts w:ascii="Times New Roman" w:hAnsi="Times New Roman" w:cs="Times New Roman"/>
          <w:sz w:val="24"/>
          <w:szCs w:val="24"/>
        </w:rPr>
      </w:pPr>
      <w:r w:rsidRPr="00AD04DA">
        <w:rPr>
          <w:rFonts w:ascii="Times New Roman" w:hAnsi="Times New Roman" w:cs="Times New Roman"/>
          <w:noProof/>
          <w:sz w:val="24"/>
          <w:szCs w:val="24"/>
        </w:rPr>
        <w:drawing>
          <wp:inline distT="0" distB="0" distL="0" distR="0" wp14:anchorId="638C62CD" wp14:editId="1BB74411">
            <wp:extent cx="4572000" cy="2743200"/>
            <wp:effectExtent l="0" t="0" r="0" b="0"/>
            <wp:docPr id="16" name="Chart 16">
              <a:extLst xmlns:a="http://schemas.openxmlformats.org/drawingml/2006/main">
                <a:ext uri="{FF2B5EF4-FFF2-40B4-BE49-F238E27FC236}">
                  <a16:creationId xmlns:a16="http://schemas.microsoft.com/office/drawing/2014/main" id="{120C11E8-74B3-4695-8357-C302E8B7AB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4285951" w14:textId="463DC64A" w:rsidR="00FE1156" w:rsidRPr="00AD04DA" w:rsidRDefault="00FE1156" w:rsidP="00FE1156">
      <w:pPr>
        <w:spacing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B2: </w:t>
      </w:r>
      <w:r w:rsidRPr="00AD04DA">
        <w:rPr>
          <w:rFonts w:ascii="Times New Roman" w:hAnsi="Times New Roman" w:cs="Times New Roman"/>
          <w:sz w:val="24"/>
          <w:szCs w:val="24"/>
        </w:rPr>
        <w:t>Feed and product water salinity for three cycles of  TSSE with 1.0 M NaCl feed and DPA solvent.</w:t>
      </w:r>
    </w:p>
    <w:p w14:paraId="0AF75AF6" w14:textId="77777777" w:rsidR="00FE1156" w:rsidRPr="00AD04DA" w:rsidRDefault="00FE1156" w:rsidP="00FE1156">
      <w:pPr>
        <w:jc w:val="center"/>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60BB01BD" wp14:editId="013E8708">
            <wp:extent cx="4572000" cy="2743200"/>
            <wp:effectExtent l="0" t="0" r="0" b="0"/>
            <wp:docPr id="12" name="Chart 12">
              <a:extLst xmlns:a="http://schemas.openxmlformats.org/drawingml/2006/main">
                <a:ext uri="{FF2B5EF4-FFF2-40B4-BE49-F238E27FC236}">
                  <a16:creationId xmlns:a16="http://schemas.microsoft.com/office/drawing/2014/main" id="{72D36C86-BD08-4DD3-BF90-43D9029E6D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E693D5F" w14:textId="739602A7" w:rsidR="00FE1156" w:rsidRPr="00AD04DA" w:rsidRDefault="00FE1156" w:rsidP="00FE1156">
      <w:pPr>
        <w:spacing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B3: </w:t>
      </w:r>
      <w:r w:rsidRPr="00AD04DA">
        <w:rPr>
          <w:rFonts w:ascii="Times New Roman" w:hAnsi="Times New Roman" w:cs="Times New Roman"/>
          <w:sz w:val="24"/>
          <w:szCs w:val="24"/>
        </w:rPr>
        <w:t>Feed and product water salinity for three cycles of  TSSE with 4.0 M NaCl feed and DA solvent.</w:t>
      </w:r>
    </w:p>
    <w:p w14:paraId="36645395" w14:textId="77777777" w:rsidR="00FE1156" w:rsidRPr="00AD04DA" w:rsidRDefault="00FE1156" w:rsidP="00FE1156">
      <w:pPr>
        <w:jc w:val="center"/>
        <w:rPr>
          <w:rFonts w:ascii="Times New Roman" w:hAnsi="Times New Roman" w:cs="Times New Roman"/>
          <w:sz w:val="24"/>
          <w:szCs w:val="24"/>
        </w:rPr>
      </w:pPr>
      <w:r w:rsidRPr="00AD04DA">
        <w:rPr>
          <w:rFonts w:ascii="Times New Roman" w:hAnsi="Times New Roman" w:cs="Times New Roman"/>
          <w:noProof/>
          <w:sz w:val="24"/>
          <w:szCs w:val="24"/>
        </w:rPr>
        <w:drawing>
          <wp:inline distT="0" distB="0" distL="0" distR="0" wp14:anchorId="56CEE970" wp14:editId="5ADE5BFB">
            <wp:extent cx="4572000" cy="2743200"/>
            <wp:effectExtent l="0" t="0" r="0" b="0"/>
            <wp:docPr id="17" name="Chart 17">
              <a:extLst xmlns:a="http://schemas.openxmlformats.org/drawingml/2006/main">
                <a:ext uri="{FF2B5EF4-FFF2-40B4-BE49-F238E27FC236}">
                  <a16:creationId xmlns:a16="http://schemas.microsoft.com/office/drawing/2014/main" id="{D10106B8-3002-4816-B27D-CA1A6D7AF9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1E74E73" w14:textId="48D5F907" w:rsidR="00FE1156" w:rsidRPr="00AD04DA" w:rsidRDefault="00FE1156" w:rsidP="00FE1156">
      <w:pPr>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B4: </w:t>
      </w:r>
      <w:r w:rsidRPr="00AD04DA">
        <w:rPr>
          <w:rFonts w:ascii="Times New Roman" w:hAnsi="Times New Roman" w:cs="Times New Roman"/>
          <w:sz w:val="24"/>
          <w:szCs w:val="24"/>
        </w:rPr>
        <w:t>Feed and product water salinity for three cycles of  TSSE with 4.0 M NaCl feed and DPA solvent.</w:t>
      </w:r>
    </w:p>
    <w:p w14:paraId="7B071CA9" w14:textId="0B4E64ED" w:rsidR="009A35CA" w:rsidRPr="00AD04DA" w:rsidRDefault="009A35CA">
      <w:pPr>
        <w:rPr>
          <w:rFonts w:ascii="Times New Roman" w:hAnsi="Times New Roman" w:cs="Times New Roman"/>
          <w:sz w:val="24"/>
          <w:szCs w:val="24"/>
        </w:rPr>
      </w:pPr>
      <w:r w:rsidRPr="00AD04DA">
        <w:rPr>
          <w:rFonts w:ascii="Times New Roman" w:hAnsi="Times New Roman" w:cs="Times New Roman"/>
          <w:sz w:val="24"/>
          <w:szCs w:val="24"/>
        </w:rPr>
        <w:br w:type="page"/>
      </w:r>
    </w:p>
    <w:p w14:paraId="2695E44C" w14:textId="42567FE2" w:rsidR="009A35CA" w:rsidRPr="00125369" w:rsidRDefault="009A35CA" w:rsidP="009A35CA">
      <w:pPr>
        <w:pStyle w:val="Heading1"/>
        <w:spacing w:before="0" w:line="480" w:lineRule="auto"/>
        <w:rPr>
          <w:rFonts w:ascii="Times New Roman" w:hAnsi="Times New Roman" w:cs="Times New Roman"/>
          <w:color w:val="000000" w:themeColor="text1"/>
        </w:rPr>
      </w:pPr>
      <w:r w:rsidRPr="00125369">
        <w:rPr>
          <w:rFonts w:ascii="Times New Roman" w:hAnsi="Times New Roman" w:cs="Times New Roman"/>
          <w:color w:val="000000" w:themeColor="text1"/>
        </w:rPr>
        <w:lastRenderedPageBreak/>
        <w:t>Appendix C: Calibration Curves</w:t>
      </w:r>
    </w:p>
    <w:p w14:paraId="00007A47" w14:textId="7AD05D3D" w:rsidR="009A35CA" w:rsidRPr="00AD04DA" w:rsidRDefault="009A35CA" w:rsidP="009A35CA">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drawing>
          <wp:inline distT="0" distB="0" distL="0" distR="0" wp14:anchorId="57731D34" wp14:editId="76344627">
            <wp:extent cx="4555332" cy="2857500"/>
            <wp:effectExtent l="0" t="0" r="0" b="0"/>
            <wp:docPr id="5" name="Chart 5">
              <a:extLst xmlns:a="http://schemas.openxmlformats.org/drawingml/2006/main">
                <a:ext uri="{FF2B5EF4-FFF2-40B4-BE49-F238E27FC236}">
                  <a16:creationId xmlns:a16="http://schemas.microsoft.com/office/drawing/2014/main" id="{F7A15FB4-881D-4721-90F7-4380804EC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D5FA227" w14:textId="65270D72" w:rsidR="009A35CA" w:rsidRPr="00AD04DA" w:rsidRDefault="009A35CA" w:rsidP="009A35CA">
      <w:pPr>
        <w:spacing w:after="0"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C1: </w:t>
      </w:r>
      <w:r w:rsidRPr="00AD04DA">
        <w:rPr>
          <w:rFonts w:ascii="Times New Roman" w:hAnsi="Times New Roman" w:cs="Times New Roman"/>
          <w:sz w:val="24"/>
          <w:szCs w:val="24"/>
        </w:rPr>
        <w:t>Background-adjusted ICP-MS selenium calibration curve with ammonia collisions. Raw ICP-MS output is counts per second (CPS).</w:t>
      </w:r>
    </w:p>
    <w:p w14:paraId="48DC7A07" w14:textId="77777777" w:rsidR="009A35CA" w:rsidRPr="00AD04DA" w:rsidRDefault="009A35CA" w:rsidP="009A35CA">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drawing>
          <wp:inline distT="0" distB="0" distL="0" distR="0" wp14:anchorId="4E744672" wp14:editId="5DBF5C0E">
            <wp:extent cx="4555332" cy="2857500"/>
            <wp:effectExtent l="0" t="0" r="0" b="0"/>
            <wp:docPr id="6" name="Chart 6">
              <a:extLst xmlns:a="http://schemas.openxmlformats.org/drawingml/2006/main">
                <a:ext uri="{FF2B5EF4-FFF2-40B4-BE49-F238E27FC236}">
                  <a16:creationId xmlns:a16="http://schemas.microsoft.com/office/drawing/2014/main" id="{29C51803-E899-486D-BAC8-1C929D3273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D422739" w14:textId="468AD9E2" w:rsidR="009A35CA" w:rsidRPr="00AD04DA" w:rsidRDefault="009A35CA" w:rsidP="009A35CA">
      <w:pPr>
        <w:spacing w:after="0" w:line="480" w:lineRule="auto"/>
        <w:jc w:val="center"/>
        <w:rPr>
          <w:rFonts w:ascii="Times New Roman" w:hAnsi="Times New Roman" w:cs="Times New Roman"/>
          <w:sz w:val="24"/>
          <w:szCs w:val="24"/>
        </w:rPr>
      </w:pPr>
      <w:r w:rsidRPr="00AD04DA">
        <w:rPr>
          <w:rFonts w:ascii="Times New Roman" w:hAnsi="Times New Roman" w:cs="Times New Roman"/>
          <w:b/>
          <w:bCs/>
          <w:sz w:val="24"/>
          <w:szCs w:val="24"/>
        </w:rPr>
        <w:t xml:space="preserve">Figure C2: </w:t>
      </w:r>
      <w:r w:rsidRPr="00AD04DA">
        <w:rPr>
          <w:rFonts w:ascii="Times New Roman" w:hAnsi="Times New Roman" w:cs="Times New Roman"/>
          <w:sz w:val="24"/>
          <w:szCs w:val="24"/>
        </w:rPr>
        <w:t>Background-adjusted ICP-MS selenium calibration curve with helium collisions.</w:t>
      </w:r>
    </w:p>
    <w:p w14:paraId="7DE796E3" w14:textId="77777777" w:rsidR="009A35CA" w:rsidRPr="00AD04DA" w:rsidRDefault="009A35CA" w:rsidP="009A35CA">
      <w:pPr>
        <w:spacing w:after="0" w:line="480" w:lineRule="auto"/>
        <w:jc w:val="center"/>
        <w:rPr>
          <w:rFonts w:ascii="Times New Roman" w:hAnsi="Times New Roman" w:cs="Times New Roman"/>
          <w:sz w:val="24"/>
          <w:szCs w:val="24"/>
        </w:rPr>
      </w:pPr>
      <w:r w:rsidRPr="00AD04DA">
        <w:rPr>
          <w:rFonts w:ascii="Times New Roman" w:hAnsi="Times New Roman" w:cs="Times New Roman"/>
          <w:noProof/>
          <w:sz w:val="24"/>
          <w:szCs w:val="24"/>
        </w:rPr>
        <w:lastRenderedPageBreak/>
        <w:drawing>
          <wp:inline distT="0" distB="0" distL="0" distR="0" wp14:anchorId="113B5A5C" wp14:editId="2D0623A9">
            <wp:extent cx="4572000" cy="2743200"/>
            <wp:effectExtent l="0" t="0" r="0" b="0"/>
            <wp:docPr id="20" name="Chart 20">
              <a:extLst xmlns:a="http://schemas.openxmlformats.org/drawingml/2006/main">
                <a:ext uri="{FF2B5EF4-FFF2-40B4-BE49-F238E27FC236}">
                  <a16:creationId xmlns:a16="http://schemas.microsoft.com/office/drawing/2014/main" id="{13FE256A-63D2-4B7A-8D73-47825224BC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89472DC" w14:textId="06D8FEAC" w:rsidR="009A35CA" w:rsidRPr="00AD04DA" w:rsidRDefault="009A35CA" w:rsidP="009A35CA">
      <w:pPr>
        <w:spacing w:after="0" w:line="240" w:lineRule="auto"/>
        <w:jc w:val="center"/>
        <w:rPr>
          <w:rFonts w:ascii="Times New Roman" w:hAnsi="Times New Roman" w:cs="Times New Roman"/>
          <w:sz w:val="24"/>
          <w:szCs w:val="24"/>
        </w:rPr>
      </w:pPr>
      <w:r w:rsidRPr="00AD04DA">
        <w:rPr>
          <w:rFonts w:ascii="Times New Roman" w:hAnsi="Times New Roman" w:cs="Times New Roman"/>
          <w:b/>
          <w:bCs/>
          <w:sz w:val="24"/>
          <w:szCs w:val="24"/>
        </w:rPr>
        <w:t>Figure C3</w:t>
      </w:r>
      <w:r w:rsidRPr="00AD04DA">
        <w:rPr>
          <w:rFonts w:ascii="Times New Roman" w:hAnsi="Times New Roman" w:cs="Times New Roman"/>
          <w:sz w:val="24"/>
          <w:szCs w:val="24"/>
        </w:rPr>
        <w:t>: Background-adjusted ICP-MS selenium calibration curve with helium collisions for synthetic FGD measurements.</w:t>
      </w:r>
    </w:p>
    <w:p w14:paraId="32072715" w14:textId="77777777" w:rsidR="009A35CA" w:rsidRPr="00AD04DA" w:rsidRDefault="009A35CA" w:rsidP="009A35CA">
      <w:pPr>
        <w:spacing w:after="0" w:line="480" w:lineRule="auto"/>
        <w:jc w:val="center"/>
        <w:rPr>
          <w:rFonts w:ascii="Times New Roman" w:hAnsi="Times New Roman" w:cs="Times New Roman"/>
          <w:sz w:val="24"/>
          <w:szCs w:val="24"/>
        </w:rPr>
      </w:pPr>
    </w:p>
    <w:p w14:paraId="59828A4C" w14:textId="77777777" w:rsidR="00FE1156" w:rsidRPr="00AD04DA" w:rsidRDefault="00FE1156" w:rsidP="00FE1156">
      <w:pPr>
        <w:rPr>
          <w:rFonts w:ascii="Times New Roman" w:hAnsi="Times New Roman" w:cs="Times New Roman"/>
          <w:sz w:val="24"/>
          <w:szCs w:val="24"/>
        </w:rPr>
      </w:pPr>
    </w:p>
    <w:sectPr w:rsidR="00FE1156" w:rsidRPr="00AD04DA" w:rsidSect="00FF28E6">
      <w:footerReference w:type="default" r:id="rId3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F4E7B" w14:textId="77777777" w:rsidR="004878EE" w:rsidRDefault="004878EE" w:rsidP="000D0166">
      <w:pPr>
        <w:spacing w:after="0" w:line="240" w:lineRule="auto"/>
      </w:pPr>
      <w:r>
        <w:separator/>
      </w:r>
    </w:p>
  </w:endnote>
  <w:endnote w:type="continuationSeparator" w:id="0">
    <w:p w14:paraId="43BD6434" w14:textId="77777777" w:rsidR="004878EE" w:rsidRDefault="004878EE" w:rsidP="000D0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282476"/>
      <w:docPartObj>
        <w:docPartGallery w:val="Page Numbers (Bottom of Page)"/>
        <w:docPartUnique/>
      </w:docPartObj>
    </w:sdtPr>
    <w:sdtEndPr>
      <w:rPr>
        <w:noProof/>
      </w:rPr>
    </w:sdtEndPr>
    <w:sdtContent>
      <w:p w14:paraId="7C39E892" w14:textId="77777777" w:rsidR="00B1672C" w:rsidRDefault="00B167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9C36CD" w14:textId="77777777" w:rsidR="00B1672C" w:rsidRDefault="00B16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412350"/>
      <w:docPartObj>
        <w:docPartGallery w:val="Page Numbers (Bottom of Page)"/>
        <w:docPartUnique/>
      </w:docPartObj>
    </w:sdtPr>
    <w:sdtEndPr>
      <w:rPr>
        <w:rFonts w:ascii="Times New Roman" w:hAnsi="Times New Roman" w:cs="Times New Roman"/>
        <w:noProof/>
        <w:sz w:val="24"/>
        <w:szCs w:val="24"/>
      </w:rPr>
    </w:sdtEndPr>
    <w:sdtContent>
      <w:p w14:paraId="5F1E619E" w14:textId="4EDC7856" w:rsidR="00FF28E6" w:rsidRPr="00792039" w:rsidRDefault="00FF28E6">
        <w:pPr>
          <w:pStyle w:val="Footer"/>
          <w:jc w:val="center"/>
          <w:rPr>
            <w:rFonts w:ascii="Times New Roman" w:hAnsi="Times New Roman" w:cs="Times New Roman"/>
            <w:sz w:val="24"/>
            <w:szCs w:val="24"/>
          </w:rPr>
        </w:pPr>
        <w:r w:rsidRPr="00792039">
          <w:rPr>
            <w:rFonts w:ascii="Times New Roman" w:hAnsi="Times New Roman" w:cs="Times New Roman"/>
            <w:sz w:val="24"/>
            <w:szCs w:val="24"/>
          </w:rPr>
          <w:fldChar w:fldCharType="begin"/>
        </w:r>
        <w:r w:rsidRPr="00792039">
          <w:rPr>
            <w:rFonts w:ascii="Times New Roman" w:hAnsi="Times New Roman" w:cs="Times New Roman"/>
            <w:sz w:val="24"/>
            <w:szCs w:val="24"/>
          </w:rPr>
          <w:instrText xml:space="preserve"> PAGE   \* MERGEFORMAT </w:instrText>
        </w:r>
        <w:r w:rsidRPr="00792039">
          <w:rPr>
            <w:rFonts w:ascii="Times New Roman" w:hAnsi="Times New Roman" w:cs="Times New Roman"/>
            <w:sz w:val="24"/>
            <w:szCs w:val="24"/>
          </w:rPr>
          <w:fldChar w:fldCharType="separate"/>
        </w:r>
        <w:r w:rsidRPr="00792039">
          <w:rPr>
            <w:rFonts w:ascii="Times New Roman" w:hAnsi="Times New Roman" w:cs="Times New Roman"/>
            <w:noProof/>
            <w:sz w:val="24"/>
            <w:szCs w:val="24"/>
          </w:rPr>
          <w:t>2</w:t>
        </w:r>
        <w:r w:rsidRPr="00792039">
          <w:rPr>
            <w:rFonts w:ascii="Times New Roman" w:hAnsi="Times New Roman" w:cs="Times New Roman"/>
            <w:noProof/>
            <w:sz w:val="24"/>
            <w:szCs w:val="24"/>
          </w:rPr>
          <w:fldChar w:fldCharType="end"/>
        </w:r>
      </w:p>
    </w:sdtContent>
  </w:sdt>
  <w:p w14:paraId="58CC5BB0" w14:textId="77777777" w:rsidR="00FF28E6" w:rsidRDefault="00FF2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99CCE" w14:textId="77777777" w:rsidR="004878EE" w:rsidRDefault="004878EE" w:rsidP="000D0166">
      <w:pPr>
        <w:spacing w:after="0" w:line="240" w:lineRule="auto"/>
      </w:pPr>
      <w:r>
        <w:separator/>
      </w:r>
    </w:p>
  </w:footnote>
  <w:footnote w:type="continuationSeparator" w:id="0">
    <w:p w14:paraId="72DAEC03" w14:textId="77777777" w:rsidR="004878EE" w:rsidRDefault="004878EE" w:rsidP="000D01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5D0"/>
    <w:rsid w:val="00000839"/>
    <w:rsid w:val="00000899"/>
    <w:rsid w:val="000019F3"/>
    <w:rsid w:val="00001A5A"/>
    <w:rsid w:val="00002C99"/>
    <w:rsid w:val="00002D2F"/>
    <w:rsid w:val="0000336C"/>
    <w:rsid w:val="00003632"/>
    <w:rsid w:val="0000530B"/>
    <w:rsid w:val="00005D35"/>
    <w:rsid w:val="0000645A"/>
    <w:rsid w:val="00006BF5"/>
    <w:rsid w:val="00007EA7"/>
    <w:rsid w:val="0001118F"/>
    <w:rsid w:val="00011A71"/>
    <w:rsid w:val="00015298"/>
    <w:rsid w:val="000152D1"/>
    <w:rsid w:val="000161D1"/>
    <w:rsid w:val="00017450"/>
    <w:rsid w:val="00022992"/>
    <w:rsid w:val="0002343B"/>
    <w:rsid w:val="00023651"/>
    <w:rsid w:val="00024589"/>
    <w:rsid w:val="00024830"/>
    <w:rsid w:val="000249C7"/>
    <w:rsid w:val="00025DB1"/>
    <w:rsid w:val="00027E86"/>
    <w:rsid w:val="0003024A"/>
    <w:rsid w:val="00030861"/>
    <w:rsid w:val="00030B6E"/>
    <w:rsid w:val="000313C7"/>
    <w:rsid w:val="0003200B"/>
    <w:rsid w:val="000321C5"/>
    <w:rsid w:val="00033022"/>
    <w:rsid w:val="000347B1"/>
    <w:rsid w:val="00035E0B"/>
    <w:rsid w:val="00036714"/>
    <w:rsid w:val="000401B1"/>
    <w:rsid w:val="00040A74"/>
    <w:rsid w:val="000421F6"/>
    <w:rsid w:val="00043239"/>
    <w:rsid w:val="00043385"/>
    <w:rsid w:val="000436F1"/>
    <w:rsid w:val="00043E1E"/>
    <w:rsid w:val="00044983"/>
    <w:rsid w:val="00050AB1"/>
    <w:rsid w:val="00051624"/>
    <w:rsid w:val="0005175D"/>
    <w:rsid w:val="00053FB1"/>
    <w:rsid w:val="00055319"/>
    <w:rsid w:val="00055939"/>
    <w:rsid w:val="00055B1D"/>
    <w:rsid w:val="00057C71"/>
    <w:rsid w:val="00057D0E"/>
    <w:rsid w:val="000600C0"/>
    <w:rsid w:val="00060594"/>
    <w:rsid w:val="000619A5"/>
    <w:rsid w:val="00062BEF"/>
    <w:rsid w:val="00062D9E"/>
    <w:rsid w:val="00062F02"/>
    <w:rsid w:val="00065CE9"/>
    <w:rsid w:val="00066E6B"/>
    <w:rsid w:val="00073628"/>
    <w:rsid w:val="00073CF3"/>
    <w:rsid w:val="000745A3"/>
    <w:rsid w:val="0007543F"/>
    <w:rsid w:val="00077106"/>
    <w:rsid w:val="0008278C"/>
    <w:rsid w:val="00084826"/>
    <w:rsid w:val="00085499"/>
    <w:rsid w:val="0008623E"/>
    <w:rsid w:val="000864F2"/>
    <w:rsid w:val="00087E9D"/>
    <w:rsid w:val="00091FF4"/>
    <w:rsid w:val="00092103"/>
    <w:rsid w:val="0009322E"/>
    <w:rsid w:val="00093488"/>
    <w:rsid w:val="00094A0C"/>
    <w:rsid w:val="00094BA0"/>
    <w:rsid w:val="000954EE"/>
    <w:rsid w:val="00096613"/>
    <w:rsid w:val="000A1556"/>
    <w:rsid w:val="000A1650"/>
    <w:rsid w:val="000A506A"/>
    <w:rsid w:val="000B2477"/>
    <w:rsid w:val="000B3982"/>
    <w:rsid w:val="000B57FD"/>
    <w:rsid w:val="000B594A"/>
    <w:rsid w:val="000B66D2"/>
    <w:rsid w:val="000B66FA"/>
    <w:rsid w:val="000B6FE6"/>
    <w:rsid w:val="000B764D"/>
    <w:rsid w:val="000B76DC"/>
    <w:rsid w:val="000C04C6"/>
    <w:rsid w:val="000C1007"/>
    <w:rsid w:val="000C2954"/>
    <w:rsid w:val="000C39B1"/>
    <w:rsid w:val="000C55F9"/>
    <w:rsid w:val="000C56A1"/>
    <w:rsid w:val="000C7018"/>
    <w:rsid w:val="000D0166"/>
    <w:rsid w:val="000D21DA"/>
    <w:rsid w:val="000D22AF"/>
    <w:rsid w:val="000D34C4"/>
    <w:rsid w:val="000D51CF"/>
    <w:rsid w:val="000D78B2"/>
    <w:rsid w:val="000D7F80"/>
    <w:rsid w:val="000E07A4"/>
    <w:rsid w:val="000E07C0"/>
    <w:rsid w:val="000E0A60"/>
    <w:rsid w:val="000E133D"/>
    <w:rsid w:val="000E1577"/>
    <w:rsid w:val="000E4188"/>
    <w:rsid w:val="000E61FE"/>
    <w:rsid w:val="000E6385"/>
    <w:rsid w:val="000F1813"/>
    <w:rsid w:val="000F19BB"/>
    <w:rsid w:val="000F1D45"/>
    <w:rsid w:val="000F1F95"/>
    <w:rsid w:val="000F3DAA"/>
    <w:rsid w:val="000F4D60"/>
    <w:rsid w:val="000F5DE0"/>
    <w:rsid w:val="000F7BEE"/>
    <w:rsid w:val="0010005F"/>
    <w:rsid w:val="0010080F"/>
    <w:rsid w:val="00100E10"/>
    <w:rsid w:val="0010108B"/>
    <w:rsid w:val="00101560"/>
    <w:rsid w:val="0010223B"/>
    <w:rsid w:val="001028DC"/>
    <w:rsid w:val="00102C99"/>
    <w:rsid w:val="001042C7"/>
    <w:rsid w:val="001045B6"/>
    <w:rsid w:val="00105338"/>
    <w:rsid w:val="001055CE"/>
    <w:rsid w:val="001057DB"/>
    <w:rsid w:val="00107436"/>
    <w:rsid w:val="001078D1"/>
    <w:rsid w:val="00111129"/>
    <w:rsid w:val="00113903"/>
    <w:rsid w:val="00114ADC"/>
    <w:rsid w:val="00116197"/>
    <w:rsid w:val="0012002F"/>
    <w:rsid w:val="00121241"/>
    <w:rsid w:val="001218A6"/>
    <w:rsid w:val="00122170"/>
    <w:rsid w:val="001227CE"/>
    <w:rsid w:val="00125174"/>
    <w:rsid w:val="00125369"/>
    <w:rsid w:val="00127181"/>
    <w:rsid w:val="0012777A"/>
    <w:rsid w:val="00127781"/>
    <w:rsid w:val="00131DAF"/>
    <w:rsid w:val="00133F70"/>
    <w:rsid w:val="0013445F"/>
    <w:rsid w:val="00134728"/>
    <w:rsid w:val="00134F81"/>
    <w:rsid w:val="00137C09"/>
    <w:rsid w:val="00137D9E"/>
    <w:rsid w:val="0014036C"/>
    <w:rsid w:val="001404F6"/>
    <w:rsid w:val="001416B0"/>
    <w:rsid w:val="0014244A"/>
    <w:rsid w:val="001429A5"/>
    <w:rsid w:val="001434AA"/>
    <w:rsid w:val="00143E97"/>
    <w:rsid w:val="00145792"/>
    <w:rsid w:val="001502E3"/>
    <w:rsid w:val="00151ED5"/>
    <w:rsid w:val="00153D07"/>
    <w:rsid w:val="0015662D"/>
    <w:rsid w:val="00156A0C"/>
    <w:rsid w:val="0016209F"/>
    <w:rsid w:val="00162D0D"/>
    <w:rsid w:val="00163CA1"/>
    <w:rsid w:val="0016445C"/>
    <w:rsid w:val="00164D4B"/>
    <w:rsid w:val="00165D81"/>
    <w:rsid w:val="00165FEE"/>
    <w:rsid w:val="00170359"/>
    <w:rsid w:val="00170943"/>
    <w:rsid w:val="00170B7A"/>
    <w:rsid w:val="00171BD1"/>
    <w:rsid w:val="00171EAC"/>
    <w:rsid w:val="00173CB7"/>
    <w:rsid w:val="00174544"/>
    <w:rsid w:val="00175CAA"/>
    <w:rsid w:val="00175DB6"/>
    <w:rsid w:val="00180975"/>
    <w:rsid w:val="00181961"/>
    <w:rsid w:val="0018242E"/>
    <w:rsid w:val="00183650"/>
    <w:rsid w:val="00183A42"/>
    <w:rsid w:val="00185246"/>
    <w:rsid w:val="001855C7"/>
    <w:rsid w:val="00187522"/>
    <w:rsid w:val="00187D3D"/>
    <w:rsid w:val="001907E2"/>
    <w:rsid w:val="00190DC1"/>
    <w:rsid w:val="00191798"/>
    <w:rsid w:val="001917A6"/>
    <w:rsid w:val="00194A95"/>
    <w:rsid w:val="00195CB0"/>
    <w:rsid w:val="00197048"/>
    <w:rsid w:val="001A25CA"/>
    <w:rsid w:val="001A2778"/>
    <w:rsid w:val="001A283F"/>
    <w:rsid w:val="001A2F37"/>
    <w:rsid w:val="001A34CE"/>
    <w:rsid w:val="001A3C08"/>
    <w:rsid w:val="001A467B"/>
    <w:rsid w:val="001A5694"/>
    <w:rsid w:val="001A5DA0"/>
    <w:rsid w:val="001A7976"/>
    <w:rsid w:val="001A7CA1"/>
    <w:rsid w:val="001B10DE"/>
    <w:rsid w:val="001B133D"/>
    <w:rsid w:val="001B2FD0"/>
    <w:rsid w:val="001B30F2"/>
    <w:rsid w:val="001B59D8"/>
    <w:rsid w:val="001C0F84"/>
    <w:rsid w:val="001C1413"/>
    <w:rsid w:val="001C1544"/>
    <w:rsid w:val="001C1A5D"/>
    <w:rsid w:val="001C6658"/>
    <w:rsid w:val="001C70F9"/>
    <w:rsid w:val="001C727F"/>
    <w:rsid w:val="001C74B9"/>
    <w:rsid w:val="001D00CD"/>
    <w:rsid w:val="001D072C"/>
    <w:rsid w:val="001D10B0"/>
    <w:rsid w:val="001D1D39"/>
    <w:rsid w:val="001D2315"/>
    <w:rsid w:val="001D39F6"/>
    <w:rsid w:val="001D3B47"/>
    <w:rsid w:val="001D3E1C"/>
    <w:rsid w:val="001D41A7"/>
    <w:rsid w:val="001D4205"/>
    <w:rsid w:val="001D6562"/>
    <w:rsid w:val="001D6C31"/>
    <w:rsid w:val="001E021D"/>
    <w:rsid w:val="001E18E1"/>
    <w:rsid w:val="001E2258"/>
    <w:rsid w:val="001E434D"/>
    <w:rsid w:val="001E4ECA"/>
    <w:rsid w:val="001E51D8"/>
    <w:rsid w:val="001E6C74"/>
    <w:rsid w:val="001F2827"/>
    <w:rsid w:val="001F3261"/>
    <w:rsid w:val="001F34E7"/>
    <w:rsid w:val="001F3547"/>
    <w:rsid w:val="001F3556"/>
    <w:rsid w:val="001F368D"/>
    <w:rsid w:val="001F388A"/>
    <w:rsid w:val="001F5926"/>
    <w:rsid w:val="001F7AFA"/>
    <w:rsid w:val="00200CC2"/>
    <w:rsid w:val="00201596"/>
    <w:rsid w:val="002024C5"/>
    <w:rsid w:val="0020255F"/>
    <w:rsid w:val="00202E33"/>
    <w:rsid w:val="00202FD4"/>
    <w:rsid w:val="00203AE9"/>
    <w:rsid w:val="00204167"/>
    <w:rsid w:val="002060D9"/>
    <w:rsid w:val="00206A19"/>
    <w:rsid w:val="00206D81"/>
    <w:rsid w:val="00207357"/>
    <w:rsid w:val="00211630"/>
    <w:rsid w:val="00212A4C"/>
    <w:rsid w:val="002159B6"/>
    <w:rsid w:val="00222577"/>
    <w:rsid w:val="0022283D"/>
    <w:rsid w:val="0022357A"/>
    <w:rsid w:val="00225D70"/>
    <w:rsid w:val="002261EB"/>
    <w:rsid w:val="0023023D"/>
    <w:rsid w:val="00230591"/>
    <w:rsid w:val="002305EA"/>
    <w:rsid w:val="00231543"/>
    <w:rsid w:val="002343A2"/>
    <w:rsid w:val="002347A3"/>
    <w:rsid w:val="002350CF"/>
    <w:rsid w:val="00235D74"/>
    <w:rsid w:val="002367B0"/>
    <w:rsid w:val="002379B6"/>
    <w:rsid w:val="002404A4"/>
    <w:rsid w:val="00241B1F"/>
    <w:rsid w:val="00241DDB"/>
    <w:rsid w:val="00243CA1"/>
    <w:rsid w:val="00245379"/>
    <w:rsid w:val="00246844"/>
    <w:rsid w:val="002470DB"/>
    <w:rsid w:val="00250526"/>
    <w:rsid w:val="00250C7A"/>
    <w:rsid w:val="002529B9"/>
    <w:rsid w:val="00252B96"/>
    <w:rsid w:val="0025448E"/>
    <w:rsid w:val="00257C05"/>
    <w:rsid w:val="0026025F"/>
    <w:rsid w:val="00262FFF"/>
    <w:rsid w:val="00264911"/>
    <w:rsid w:val="002653DE"/>
    <w:rsid w:val="00265895"/>
    <w:rsid w:val="0026653D"/>
    <w:rsid w:val="00266FA2"/>
    <w:rsid w:val="0027022C"/>
    <w:rsid w:val="00270896"/>
    <w:rsid w:val="00271631"/>
    <w:rsid w:val="00272040"/>
    <w:rsid w:val="002721FC"/>
    <w:rsid w:val="002744B7"/>
    <w:rsid w:val="00275A64"/>
    <w:rsid w:val="00275CA0"/>
    <w:rsid w:val="00275FA6"/>
    <w:rsid w:val="00280DF2"/>
    <w:rsid w:val="00281457"/>
    <w:rsid w:val="0028252C"/>
    <w:rsid w:val="002841B6"/>
    <w:rsid w:val="002869CC"/>
    <w:rsid w:val="00287725"/>
    <w:rsid w:val="00290381"/>
    <w:rsid w:val="00290929"/>
    <w:rsid w:val="00290BC9"/>
    <w:rsid w:val="00291AEF"/>
    <w:rsid w:val="00293392"/>
    <w:rsid w:val="0029571A"/>
    <w:rsid w:val="00295C41"/>
    <w:rsid w:val="00295F18"/>
    <w:rsid w:val="00296588"/>
    <w:rsid w:val="00297381"/>
    <w:rsid w:val="002975C8"/>
    <w:rsid w:val="002A152D"/>
    <w:rsid w:val="002A17D9"/>
    <w:rsid w:val="002A1ABB"/>
    <w:rsid w:val="002A2DEE"/>
    <w:rsid w:val="002A2F18"/>
    <w:rsid w:val="002A60AC"/>
    <w:rsid w:val="002A6AE1"/>
    <w:rsid w:val="002A6D19"/>
    <w:rsid w:val="002A6D45"/>
    <w:rsid w:val="002A79B9"/>
    <w:rsid w:val="002A7D96"/>
    <w:rsid w:val="002B1121"/>
    <w:rsid w:val="002B16D5"/>
    <w:rsid w:val="002B1735"/>
    <w:rsid w:val="002B2410"/>
    <w:rsid w:val="002B3F46"/>
    <w:rsid w:val="002B5DED"/>
    <w:rsid w:val="002B6992"/>
    <w:rsid w:val="002B75A0"/>
    <w:rsid w:val="002C2E43"/>
    <w:rsid w:val="002C4841"/>
    <w:rsid w:val="002C5FD6"/>
    <w:rsid w:val="002C6CBB"/>
    <w:rsid w:val="002D0985"/>
    <w:rsid w:val="002D23A8"/>
    <w:rsid w:val="002D2A53"/>
    <w:rsid w:val="002D3199"/>
    <w:rsid w:val="002D3CBF"/>
    <w:rsid w:val="002E0151"/>
    <w:rsid w:val="002E23B7"/>
    <w:rsid w:val="002E2EDF"/>
    <w:rsid w:val="002E3B41"/>
    <w:rsid w:val="002E5276"/>
    <w:rsid w:val="002E5FB1"/>
    <w:rsid w:val="002E69FB"/>
    <w:rsid w:val="002F1363"/>
    <w:rsid w:val="002F178E"/>
    <w:rsid w:val="002F6812"/>
    <w:rsid w:val="0030059E"/>
    <w:rsid w:val="00300D1F"/>
    <w:rsid w:val="00301C9E"/>
    <w:rsid w:val="00302B3E"/>
    <w:rsid w:val="00303F01"/>
    <w:rsid w:val="0030487E"/>
    <w:rsid w:val="00306CF8"/>
    <w:rsid w:val="0031162A"/>
    <w:rsid w:val="0031179D"/>
    <w:rsid w:val="003117E8"/>
    <w:rsid w:val="003130F0"/>
    <w:rsid w:val="00313F0F"/>
    <w:rsid w:val="00314296"/>
    <w:rsid w:val="00316BD1"/>
    <w:rsid w:val="0031791B"/>
    <w:rsid w:val="00317E70"/>
    <w:rsid w:val="00320B7C"/>
    <w:rsid w:val="00321EBD"/>
    <w:rsid w:val="00322CC8"/>
    <w:rsid w:val="0032380D"/>
    <w:rsid w:val="00323DAE"/>
    <w:rsid w:val="00325CCE"/>
    <w:rsid w:val="00326483"/>
    <w:rsid w:val="00326FB6"/>
    <w:rsid w:val="00330187"/>
    <w:rsid w:val="003317F9"/>
    <w:rsid w:val="003344CB"/>
    <w:rsid w:val="003347DB"/>
    <w:rsid w:val="00335346"/>
    <w:rsid w:val="00335A47"/>
    <w:rsid w:val="00335AD3"/>
    <w:rsid w:val="00335F0C"/>
    <w:rsid w:val="00336DF6"/>
    <w:rsid w:val="00341A41"/>
    <w:rsid w:val="00341B69"/>
    <w:rsid w:val="00347045"/>
    <w:rsid w:val="00347C89"/>
    <w:rsid w:val="00347D40"/>
    <w:rsid w:val="003507C2"/>
    <w:rsid w:val="00350C89"/>
    <w:rsid w:val="00350FDE"/>
    <w:rsid w:val="0035179A"/>
    <w:rsid w:val="00355F3F"/>
    <w:rsid w:val="00357874"/>
    <w:rsid w:val="003606B2"/>
    <w:rsid w:val="00360A4F"/>
    <w:rsid w:val="003613D6"/>
    <w:rsid w:val="00361C66"/>
    <w:rsid w:val="00362651"/>
    <w:rsid w:val="003639FE"/>
    <w:rsid w:val="0036435D"/>
    <w:rsid w:val="00364400"/>
    <w:rsid w:val="0036603B"/>
    <w:rsid w:val="00367A69"/>
    <w:rsid w:val="00370CF6"/>
    <w:rsid w:val="00372319"/>
    <w:rsid w:val="00372845"/>
    <w:rsid w:val="003735A7"/>
    <w:rsid w:val="00374412"/>
    <w:rsid w:val="00376D9C"/>
    <w:rsid w:val="0037712A"/>
    <w:rsid w:val="003776F8"/>
    <w:rsid w:val="003818F8"/>
    <w:rsid w:val="00381F05"/>
    <w:rsid w:val="0038405F"/>
    <w:rsid w:val="003878B7"/>
    <w:rsid w:val="0039147C"/>
    <w:rsid w:val="00392456"/>
    <w:rsid w:val="0039271C"/>
    <w:rsid w:val="003931EA"/>
    <w:rsid w:val="00394DBB"/>
    <w:rsid w:val="00394E12"/>
    <w:rsid w:val="00394F7E"/>
    <w:rsid w:val="003965DD"/>
    <w:rsid w:val="003A20B7"/>
    <w:rsid w:val="003A287A"/>
    <w:rsid w:val="003A506A"/>
    <w:rsid w:val="003A5D4C"/>
    <w:rsid w:val="003A6949"/>
    <w:rsid w:val="003A70B1"/>
    <w:rsid w:val="003A743A"/>
    <w:rsid w:val="003B024D"/>
    <w:rsid w:val="003B0BB3"/>
    <w:rsid w:val="003B1277"/>
    <w:rsid w:val="003B2054"/>
    <w:rsid w:val="003B2578"/>
    <w:rsid w:val="003B2AC9"/>
    <w:rsid w:val="003B50A3"/>
    <w:rsid w:val="003C064E"/>
    <w:rsid w:val="003C3CF0"/>
    <w:rsid w:val="003C5A91"/>
    <w:rsid w:val="003C613E"/>
    <w:rsid w:val="003C6897"/>
    <w:rsid w:val="003C700A"/>
    <w:rsid w:val="003D4CFF"/>
    <w:rsid w:val="003D5811"/>
    <w:rsid w:val="003D5ADA"/>
    <w:rsid w:val="003D7415"/>
    <w:rsid w:val="003E1242"/>
    <w:rsid w:val="003E1ABA"/>
    <w:rsid w:val="003E475D"/>
    <w:rsid w:val="003E6CBA"/>
    <w:rsid w:val="003E6DC6"/>
    <w:rsid w:val="003E7397"/>
    <w:rsid w:val="003F0571"/>
    <w:rsid w:val="003F0F3B"/>
    <w:rsid w:val="003F1803"/>
    <w:rsid w:val="004017DA"/>
    <w:rsid w:val="00401D28"/>
    <w:rsid w:val="004028CD"/>
    <w:rsid w:val="00404F62"/>
    <w:rsid w:val="00406D5F"/>
    <w:rsid w:val="00406D88"/>
    <w:rsid w:val="0040755C"/>
    <w:rsid w:val="004136A5"/>
    <w:rsid w:val="00414ABF"/>
    <w:rsid w:val="004206BA"/>
    <w:rsid w:val="00421232"/>
    <w:rsid w:val="00421879"/>
    <w:rsid w:val="0042493C"/>
    <w:rsid w:val="004263FE"/>
    <w:rsid w:val="0042772E"/>
    <w:rsid w:val="00427D27"/>
    <w:rsid w:val="004314B2"/>
    <w:rsid w:val="00437D04"/>
    <w:rsid w:val="004447AD"/>
    <w:rsid w:val="0044492E"/>
    <w:rsid w:val="00444CD0"/>
    <w:rsid w:val="004457C7"/>
    <w:rsid w:val="00445F91"/>
    <w:rsid w:val="0044654B"/>
    <w:rsid w:val="00447BAB"/>
    <w:rsid w:val="00450015"/>
    <w:rsid w:val="00450153"/>
    <w:rsid w:val="00453BA5"/>
    <w:rsid w:val="004551F1"/>
    <w:rsid w:val="00456FC1"/>
    <w:rsid w:val="0046002A"/>
    <w:rsid w:val="00460E0E"/>
    <w:rsid w:val="00461053"/>
    <w:rsid w:val="00462F33"/>
    <w:rsid w:val="00463A78"/>
    <w:rsid w:val="00463B4B"/>
    <w:rsid w:val="0046478E"/>
    <w:rsid w:val="00464AE8"/>
    <w:rsid w:val="00464CE6"/>
    <w:rsid w:val="004657E2"/>
    <w:rsid w:val="00465B3C"/>
    <w:rsid w:val="00465F80"/>
    <w:rsid w:val="0046738F"/>
    <w:rsid w:val="00467F79"/>
    <w:rsid w:val="00471EE2"/>
    <w:rsid w:val="004754A4"/>
    <w:rsid w:val="00475C63"/>
    <w:rsid w:val="00477EAB"/>
    <w:rsid w:val="0048083B"/>
    <w:rsid w:val="00480BB7"/>
    <w:rsid w:val="00481698"/>
    <w:rsid w:val="004839EB"/>
    <w:rsid w:val="00483C64"/>
    <w:rsid w:val="00485B67"/>
    <w:rsid w:val="00485DB9"/>
    <w:rsid w:val="004869A8"/>
    <w:rsid w:val="00486CE7"/>
    <w:rsid w:val="004878EE"/>
    <w:rsid w:val="00491579"/>
    <w:rsid w:val="00491948"/>
    <w:rsid w:val="00494DC1"/>
    <w:rsid w:val="00494F37"/>
    <w:rsid w:val="004954E7"/>
    <w:rsid w:val="004963BF"/>
    <w:rsid w:val="0049685E"/>
    <w:rsid w:val="00497932"/>
    <w:rsid w:val="004A1741"/>
    <w:rsid w:val="004A1805"/>
    <w:rsid w:val="004A1CC4"/>
    <w:rsid w:val="004A1DA1"/>
    <w:rsid w:val="004A26A4"/>
    <w:rsid w:val="004A29E9"/>
    <w:rsid w:val="004A40B0"/>
    <w:rsid w:val="004A5857"/>
    <w:rsid w:val="004A64DF"/>
    <w:rsid w:val="004A7C04"/>
    <w:rsid w:val="004B2855"/>
    <w:rsid w:val="004B3A0A"/>
    <w:rsid w:val="004B4D3C"/>
    <w:rsid w:val="004B668E"/>
    <w:rsid w:val="004B6A24"/>
    <w:rsid w:val="004B75B7"/>
    <w:rsid w:val="004B7E0E"/>
    <w:rsid w:val="004C30A6"/>
    <w:rsid w:val="004C339A"/>
    <w:rsid w:val="004C4148"/>
    <w:rsid w:val="004C5099"/>
    <w:rsid w:val="004C591D"/>
    <w:rsid w:val="004C63C1"/>
    <w:rsid w:val="004C643E"/>
    <w:rsid w:val="004C7A28"/>
    <w:rsid w:val="004C7AB9"/>
    <w:rsid w:val="004C7B5F"/>
    <w:rsid w:val="004D0D5B"/>
    <w:rsid w:val="004D17A3"/>
    <w:rsid w:val="004D195C"/>
    <w:rsid w:val="004D544E"/>
    <w:rsid w:val="004D60A7"/>
    <w:rsid w:val="004D6129"/>
    <w:rsid w:val="004D6AEE"/>
    <w:rsid w:val="004D76E7"/>
    <w:rsid w:val="004E0260"/>
    <w:rsid w:val="004E6309"/>
    <w:rsid w:val="004E6E43"/>
    <w:rsid w:val="004E7AF4"/>
    <w:rsid w:val="004F03C3"/>
    <w:rsid w:val="004F0EA6"/>
    <w:rsid w:val="004F126A"/>
    <w:rsid w:val="004F1A53"/>
    <w:rsid w:val="004F2035"/>
    <w:rsid w:val="004F3CB9"/>
    <w:rsid w:val="004F5014"/>
    <w:rsid w:val="004F5BAB"/>
    <w:rsid w:val="004F6D2C"/>
    <w:rsid w:val="004F75C6"/>
    <w:rsid w:val="004F767B"/>
    <w:rsid w:val="00501CA1"/>
    <w:rsid w:val="0050261C"/>
    <w:rsid w:val="00502B38"/>
    <w:rsid w:val="0050366B"/>
    <w:rsid w:val="00506636"/>
    <w:rsid w:val="0050712A"/>
    <w:rsid w:val="00511304"/>
    <w:rsid w:val="00514049"/>
    <w:rsid w:val="00514FF7"/>
    <w:rsid w:val="00515CE6"/>
    <w:rsid w:val="0051637A"/>
    <w:rsid w:val="005164CA"/>
    <w:rsid w:val="0052106A"/>
    <w:rsid w:val="0052341B"/>
    <w:rsid w:val="00527C6B"/>
    <w:rsid w:val="00527E9B"/>
    <w:rsid w:val="00531282"/>
    <w:rsid w:val="0053259E"/>
    <w:rsid w:val="00532B4A"/>
    <w:rsid w:val="00532B93"/>
    <w:rsid w:val="00533931"/>
    <w:rsid w:val="00533A1A"/>
    <w:rsid w:val="00534C78"/>
    <w:rsid w:val="00535A81"/>
    <w:rsid w:val="00536728"/>
    <w:rsid w:val="0053778F"/>
    <w:rsid w:val="00541F33"/>
    <w:rsid w:val="00542B60"/>
    <w:rsid w:val="005435E5"/>
    <w:rsid w:val="00543F3D"/>
    <w:rsid w:val="0054721B"/>
    <w:rsid w:val="00547366"/>
    <w:rsid w:val="00552793"/>
    <w:rsid w:val="0055438D"/>
    <w:rsid w:val="00555374"/>
    <w:rsid w:val="00555C07"/>
    <w:rsid w:val="0055769D"/>
    <w:rsid w:val="00561F2D"/>
    <w:rsid w:val="005620D5"/>
    <w:rsid w:val="00564A19"/>
    <w:rsid w:val="005652B9"/>
    <w:rsid w:val="00565786"/>
    <w:rsid w:val="005679D8"/>
    <w:rsid w:val="00571398"/>
    <w:rsid w:val="00573020"/>
    <w:rsid w:val="00573E2F"/>
    <w:rsid w:val="00576858"/>
    <w:rsid w:val="0057687C"/>
    <w:rsid w:val="0057717B"/>
    <w:rsid w:val="005772A6"/>
    <w:rsid w:val="00580DB3"/>
    <w:rsid w:val="00581DA4"/>
    <w:rsid w:val="00582971"/>
    <w:rsid w:val="005834FB"/>
    <w:rsid w:val="00584A17"/>
    <w:rsid w:val="00585A64"/>
    <w:rsid w:val="00591442"/>
    <w:rsid w:val="00591E81"/>
    <w:rsid w:val="00593118"/>
    <w:rsid w:val="00594AB7"/>
    <w:rsid w:val="00597FD3"/>
    <w:rsid w:val="005A3993"/>
    <w:rsid w:val="005A3A0B"/>
    <w:rsid w:val="005A569B"/>
    <w:rsid w:val="005A5BD3"/>
    <w:rsid w:val="005A7D7D"/>
    <w:rsid w:val="005B336C"/>
    <w:rsid w:val="005B5AB6"/>
    <w:rsid w:val="005B5BCD"/>
    <w:rsid w:val="005B5C76"/>
    <w:rsid w:val="005B7713"/>
    <w:rsid w:val="005C10B1"/>
    <w:rsid w:val="005C1920"/>
    <w:rsid w:val="005C274F"/>
    <w:rsid w:val="005C37D6"/>
    <w:rsid w:val="005C4E85"/>
    <w:rsid w:val="005C5187"/>
    <w:rsid w:val="005C52B8"/>
    <w:rsid w:val="005C5963"/>
    <w:rsid w:val="005C61CB"/>
    <w:rsid w:val="005C63D7"/>
    <w:rsid w:val="005C78B7"/>
    <w:rsid w:val="005D0556"/>
    <w:rsid w:val="005D08AC"/>
    <w:rsid w:val="005D13CC"/>
    <w:rsid w:val="005D1E46"/>
    <w:rsid w:val="005D22A0"/>
    <w:rsid w:val="005D44D8"/>
    <w:rsid w:val="005D59DF"/>
    <w:rsid w:val="005D6970"/>
    <w:rsid w:val="005E139E"/>
    <w:rsid w:val="005E2884"/>
    <w:rsid w:val="005E31C3"/>
    <w:rsid w:val="005E363C"/>
    <w:rsid w:val="005E42D1"/>
    <w:rsid w:val="005E5206"/>
    <w:rsid w:val="005E6A0F"/>
    <w:rsid w:val="005E70C4"/>
    <w:rsid w:val="005E7353"/>
    <w:rsid w:val="005F162F"/>
    <w:rsid w:val="005F1717"/>
    <w:rsid w:val="005F1D5F"/>
    <w:rsid w:val="005F3E33"/>
    <w:rsid w:val="005F5938"/>
    <w:rsid w:val="005F6807"/>
    <w:rsid w:val="005F77CD"/>
    <w:rsid w:val="006021EC"/>
    <w:rsid w:val="00602ED0"/>
    <w:rsid w:val="00604286"/>
    <w:rsid w:val="0060715C"/>
    <w:rsid w:val="006079CC"/>
    <w:rsid w:val="0061057F"/>
    <w:rsid w:val="00611D77"/>
    <w:rsid w:val="00613051"/>
    <w:rsid w:val="00613274"/>
    <w:rsid w:val="006139F5"/>
    <w:rsid w:val="00616BBA"/>
    <w:rsid w:val="00616CFD"/>
    <w:rsid w:val="006171B2"/>
    <w:rsid w:val="00620EEF"/>
    <w:rsid w:val="006218EE"/>
    <w:rsid w:val="006225D0"/>
    <w:rsid w:val="00622D64"/>
    <w:rsid w:val="00623CE1"/>
    <w:rsid w:val="00625C75"/>
    <w:rsid w:val="00626290"/>
    <w:rsid w:val="00630954"/>
    <w:rsid w:val="00631493"/>
    <w:rsid w:val="00634AB3"/>
    <w:rsid w:val="0063553F"/>
    <w:rsid w:val="006407C8"/>
    <w:rsid w:val="0064163F"/>
    <w:rsid w:val="0064286C"/>
    <w:rsid w:val="00645CB9"/>
    <w:rsid w:val="00645DFB"/>
    <w:rsid w:val="006460E9"/>
    <w:rsid w:val="006545E3"/>
    <w:rsid w:val="00654BAD"/>
    <w:rsid w:val="00654E1A"/>
    <w:rsid w:val="00654FBF"/>
    <w:rsid w:val="00655E49"/>
    <w:rsid w:val="006602A1"/>
    <w:rsid w:val="006621A2"/>
    <w:rsid w:val="00663E9A"/>
    <w:rsid w:val="0066655E"/>
    <w:rsid w:val="00667F0F"/>
    <w:rsid w:val="00671A4C"/>
    <w:rsid w:val="006732D6"/>
    <w:rsid w:val="0067354C"/>
    <w:rsid w:val="00673A78"/>
    <w:rsid w:val="00673B4D"/>
    <w:rsid w:val="00674DC1"/>
    <w:rsid w:val="006750CC"/>
    <w:rsid w:val="00676087"/>
    <w:rsid w:val="00677254"/>
    <w:rsid w:val="00680BFD"/>
    <w:rsid w:val="006833D4"/>
    <w:rsid w:val="00683818"/>
    <w:rsid w:val="00683A3F"/>
    <w:rsid w:val="00685336"/>
    <w:rsid w:val="00686F09"/>
    <w:rsid w:val="00687A5B"/>
    <w:rsid w:val="006917D9"/>
    <w:rsid w:val="00692A0C"/>
    <w:rsid w:val="006936FF"/>
    <w:rsid w:val="00694594"/>
    <w:rsid w:val="00694CFD"/>
    <w:rsid w:val="00695DFD"/>
    <w:rsid w:val="006967D4"/>
    <w:rsid w:val="00697A3F"/>
    <w:rsid w:val="006A5B4F"/>
    <w:rsid w:val="006B1881"/>
    <w:rsid w:val="006B29A6"/>
    <w:rsid w:val="006B2F35"/>
    <w:rsid w:val="006B3C2F"/>
    <w:rsid w:val="006B453A"/>
    <w:rsid w:val="006B5C60"/>
    <w:rsid w:val="006B67C5"/>
    <w:rsid w:val="006C114D"/>
    <w:rsid w:val="006C1586"/>
    <w:rsid w:val="006C2A49"/>
    <w:rsid w:val="006C4AC2"/>
    <w:rsid w:val="006C51E7"/>
    <w:rsid w:val="006C6357"/>
    <w:rsid w:val="006C781C"/>
    <w:rsid w:val="006D04DA"/>
    <w:rsid w:val="006D1C05"/>
    <w:rsid w:val="006D3DE4"/>
    <w:rsid w:val="006D4BEA"/>
    <w:rsid w:val="006D67EF"/>
    <w:rsid w:val="006E05FD"/>
    <w:rsid w:val="006E336C"/>
    <w:rsid w:val="006E63FE"/>
    <w:rsid w:val="006E7FA1"/>
    <w:rsid w:val="006F2A4D"/>
    <w:rsid w:val="006F3764"/>
    <w:rsid w:val="006F5040"/>
    <w:rsid w:val="006F5545"/>
    <w:rsid w:val="006F6B59"/>
    <w:rsid w:val="006F787E"/>
    <w:rsid w:val="006F7DF9"/>
    <w:rsid w:val="007008AB"/>
    <w:rsid w:val="0070120F"/>
    <w:rsid w:val="007032B3"/>
    <w:rsid w:val="00703EA8"/>
    <w:rsid w:val="007043DB"/>
    <w:rsid w:val="00704985"/>
    <w:rsid w:val="0070649C"/>
    <w:rsid w:val="0070744F"/>
    <w:rsid w:val="0071255A"/>
    <w:rsid w:val="00712BE6"/>
    <w:rsid w:val="00712EE8"/>
    <w:rsid w:val="007146EE"/>
    <w:rsid w:val="00714CEE"/>
    <w:rsid w:val="00715ACB"/>
    <w:rsid w:val="00717268"/>
    <w:rsid w:val="00717ECC"/>
    <w:rsid w:val="00721DD4"/>
    <w:rsid w:val="00724006"/>
    <w:rsid w:val="00724076"/>
    <w:rsid w:val="007302EE"/>
    <w:rsid w:val="00730827"/>
    <w:rsid w:val="00732905"/>
    <w:rsid w:val="00734E3A"/>
    <w:rsid w:val="00736563"/>
    <w:rsid w:val="0074157C"/>
    <w:rsid w:val="0074189D"/>
    <w:rsid w:val="00741F50"/>
    <w:rsid w:val="00742C22"/>
    <w:rsid w:val="00744E3E"/>
    <w:rsid w:val="007475D5"/>
    <w:rsid w:val="00747E02"/>
    <w:rsid w:val="00750382"/>
    <w:rsid w:val="0075166E"/>
    <w:rsid w:val="00753247"/>
    <w:rsid w:val="00755C17"/>
    <w:rsid w:val="00756273"/>
    <w:rsid w:val="007634E5"/>
    <w:rsid w:val="007665B6"/>
    <w:rsid w:val="0076673C"/>
    <w:rsid w:val="00770A7F"/>
    <w:rsid w:val="00770C62"/>
    <w:rsid w:val="0077126C"/>
    <w:rsid w:val="00773D4D"/>
    <w:rsid w:val="00775505"/>
    <w:rsid w:val="007765C1"/>
    <w:rsid w:val="00776AB6"/>
    <w:rsid w:val="00780062"/>
    <w:rsid w:val="00780103"/>
    <w:rsid w:val="0078088C"/>
    <w:rsid w:val="00782240"/>
    <w:rsid w:val="00782DE5"/>
    <w:rsid w:val="00783F1F"/>
    <w:rsid w:val="00786B06"/>
    <w:rsid w:val="00787884"/>
    <w:rsid w:val="007900AA"/>
    <w:rsid w:val="00791386"/>
    <w:rsid w:val="0079153E"/>
    <w:rsid w:val="00791D48"/>
    <w:rsid w:val="00792039"/>
    <w:rsid w:val="0079321A"/>
    <w:rsid w:val="00796D46"/>
    <w:rsid w:val="007976D3"/>
    <w:rsid w:val="00797993"/>
    <w:rsid w:val="007A0445"/>
    <w:rsid w:val="007A1C83"/>
    <w:rsid w:val="007A2B60"/>
    <w:rsid w:val="007A336A"/>
    <w:rsid w:val="007A3BBB"/>
    <w:rsid w:val="007A4800"/>
    <w:rsid w:val="007A5EEB"/>
    <w:rsid w:val="007A6683"/>
    <w:rsid w:val="007A6B8C"/>
    <w:rsid w:val="007B43EC"/>
    <w:rsid w:val="007B4D84"/>
    <w:rsid w:val="007B683B"/>
    <w:rsid w:val="007B753C"/>
    <w:rsid w:val="007B7978"/>
    <w:rsid w:val="007B7EF8"/>
    <w:rsid w:val="007C0861"/>
    <w:rsid w:val="007C0F72"/>
    <w:rsid w:val="007C10EC"/>
    <w:rsid w:val="007C20E8"/>
    <w:rsid w:val="007C3811"/>
    <w:rsid w:val="007C50F4"/>
    <w:rsid w:val="007C67CF"/>
    <w:rsid w:val="007C797A"/>
    <w:rsid w:val="007D10FA"/>
    <w:rsid w:val="007D1953"/>
    <w:rsid w:val="007D39C6"/>
    <w:rsid w:val="007D5F46"/>
    <w:rsid w:val="007E05EA"/>
    <w:rsid w:val="007E0BBB"/>
    <w:rsid w:val="007E27C3"/>
    <w:rsid w:val="007E5289"/>
    <w:rsid w:val="007E5921"/>
    <w:rsid w:val="007E6C69"/>
    <w:rsid w:val="007E7786"/>
    <w:rsid w:val="007F32EF"/>
    <w:rsid w:val="007F3979"/>
    <w:rsid w:val="007F427A"/>
    <w:rsid w:val="007F5039"/>
    <w:rsid w:val="007F67EC"/>
    <w:rsid w:val="00800114"/>
    <w:rsid w:val="0080190C"/>
    <w:rsid w:val="00802C22"/>
    <w:rsid w:val="00802FD4"/>
    <w:rsid w:val="008040AE"/>
    <w:rsid w:val="008052AE"/>
    <w:rsid w:val="00813241"/>
    <w:rsid w:val="008145EB"/>
    <w:rsid w:val="00815C46"/>
    <w:rsid w:val="00816D1F"/>
    <w:rsid w:val="008174C8"/>
    <w:rsid w:val="0082128D"/>
    <w:rsid w:val="00821EF2"/>
    <w:rsid w:val="00822D98"/>
    <w:rsid w:val="00824840"/>
    <w:rsid w:val="00827792"/>
    <w:rsid w:val="008320BD"/>
    <w:rsid w:val="00832486"/>
    <w:rsid w:val="00833D44"/>
    <w:rsid w:val="00833D74"/>
    <w:rsid w:val="008344C4"/>
    <w:rsid w:val="0083567F"/>
    <w:rsid w:val="00835BE8"/>
    <w:rsid w:val="00835E18"/>
    <w:rsid w:val="0083610A"/>
    <w:rsid w:val="00837EDD"/>
    <w:rsid w:val="00840CE7"/>
    <w:rsid w:val="00841398"/>
    <w:rsid w:val="0084553B"/>
    <w:rsid w:val="00845D67"/>
    <w:rsid w:val="00847364"/>
    <w:rsid w:val="00852143"/>
    <w:rsid w:val="00852D2B"/>
    <w:rsid w:val="00852F34"/>
    <w:rsid w:val="008530FA"/>
    <w:rsid w:val="00855E07"/>
    <w:rsid w:val="00857926"/>
    <w:rsid w:val="00857B88"/>
    <w:rsid w:val="008612E4"/>
    <w:rsid w:val="0086206D"/>
    <w:rsid w:val="0086418F"/>
    <w:rsid w:val="0086488B"/>
    <w:rsid w:val="008663AB"/>
    <w:rsid w:val="00866D94"/>
    <w:rsid w:val="00866E6F"/>
    <w:rsid w:val="00871858"/>
    <w:rsid w:val="00871CB3"/>
    <w:rsid w:val="00872C65"/>
    <w:rsid w:val="008746FE"/>
    <w:rsid w:val="00875584"/>
    <w:rsid w:val="00877841"/>
    <w:rsid w:val="0087784A"/>
    <w:rsid w:val="00882D14"/>
    <w:rsid w:val="00884A0D"/>
    <w:rsid w:val="00885B28"/>
    <w:rsid w:val="0088670E"/>
    <w:rsid w:val="0088731F"/>
    <w:rsid w:val="00890417"/>
    <w:rsid w:val="00890590"/>
    <w:rsid w:val="00892DAE"/>
    <w:rsid w:val="00895289"/>
    <w:rsid w:val="0089585D"/>
    <w:rsid w:val="008960C1"/>
    <w:rsid w:val="00896A60"/>
    <w:rsid w:val="008A077B"/>
    <w:rsid w:val="008A1C40"/>
    <w:rsid w:val="008A3A56"/>
    <w:rsid w:val="008A4407"/>
    <w:rsid w:val="008A6499"/>
    <w:rsid w:val="008A68A0"/>
    <w:rsid w:val="008A69E9"/>
    <w:rsid w:val="008B06D9"/>
    <w:rsid w:val="008B0FE8"/>
    <w:rsid w:val="008B12D6"/>
    <w:rsid w:val="008B2ED1"/>
    <w:rsid w:val="008B2FCE"/>
    <w:rsid w:val="008B35C5"/>
    <w:rsid w:val="008B4CD3"/>
    <w:rsid w:val="008B5FD5"/>
    <w:rsid w:val="008B74F1"/>
    <w:rsid w:val="008B76AE"/>
    <w:rsid w:val="008C1061"/>
    <w:rsid w:val="008C10B6"/>
    <w:rsid w:val="008C3AFE"/>
    <w:rsid w:val="008D09ED"/>
    <w:rsid w:val="008D114F"/>
    <w:rsid w:val="008D2166"/>
    <w:rsid w:val="008D28D0"/>
    <w:rsid w:val="008D3F60"/>
    <w:rsid w:val="008D6421"/>
    <w:rsid w:val="008E0730"/>
    <w:rsid w:val="008E1E62"/>
    <w:rsid w:val="008E2606"/>
    <w:rsid w:val="008E29B2"/>
    <w:rsid w:val="008E3336"/>
    <w:rsid w:val="008E51D8"/>
    <w:rsid w:val="008E51FA"/>
    <w:rsid w:val="008E69AD"/>
    <w:rsid w:val="008E6B2C"/>
    <w:rsid w:val="008E7B8D"/>
    <w:rsid w:val="008F29F3"/>
    <w:rsid w:val="008F302C"/>
    <w:rsid w:val="008F3BC4"/>
    <w:rsid w:val="008F3E57"/>
    <w:rsid w:val="008F45CD"/>
    <w:rsid w:val="008F7944"/>
    <w:rsid w:val="008F7E42"/>
    <w:rsid w:val="00903E86"/>
    <w:rsid w:val="00904023"/>
    <w:rsid w:val="00905838"/>
    <w:rsid w:val="00906342"/>
    <w:rsid w:val="0091281A"/>
    <w:rsid w:val="0091356D"/>
    <w:rsid w:val="00913852"/>
    <w:rsid w:val="00915D4C"/>
    <w:rsid w:val="0091751F"/>
    <w:rsid w:val="009202EB"/>
    <w:rsid w:val="00920F5D"/>
    <w:rsid w:val="009215D5"/>
    <w:rsid w:val="00924088"/>
    <w:rsid w:val="009246FE"/>
    <w:rsid w:val="00927A0A"/>
    <w:rsid w:val="00930909"/>
    <w:rsid w:val="00930F08"/>
    <w:rsid w:val="00930F11"/>
    <w:rsid w:val="00931554"/>
    <w:rsid w:val="00932642"/>
    <w:rsid w:val="00932704"/>
    <w:rsid w:val="00932AC5"/>
    <w:rsid w:val="009341E9"/>
    <w:rsid w:val="009355E8"/>
    <w:rsid w:val="00935991"/>
    <w:rsid w:val="009366AB"/>
    <w:rsid w:val="00937B35"/>
    <w:rsid w:val="00941779"/>
    <w:rsid w:val="00942744"/>
    <w:rsid w:val="00943ADC"/>
    <w:rsid w:val="009454BE"/>
    <w:rsid w:val="00945991"/>
    <w:rsid w:val="00945DB1"/>
    <w:rsid w:val="00950822"/>
    <w:rsid w:val="00951A9B"/>
    <w:rsid w:val="00960662"/>
    <w:rsid w:val="009653FC"/>
    <w:rsid w:val="00966DDF"/>
    <w:rsid w:val="009718D5"/>
    <w:rsid w:val="0097449B"/>
    <w:rsid w:val="00974E0C"/>
    <w:rsid w:val="009778F5"/>
    <w:rsid w:val="00980004"/>
    <w:rsid w:val="009815EC"/>
    <w:rsid w:val="009819D4"/>
    <w:rsid w:val="00981EC8"/>
    <w:rsid w:val="00982691"/>
    <w:rsid w:val="00983332"/>
    <w:rsid w:val="009837AE"/>
    <w:rsid w:val="00985A52"/>
    <w:rsid w:val="00985F9A"/>
    <w:rsid w:val="00986479"/>
    <w:rsid w:val="00987342"/>
    <w:rsid w:val="00987EF2"/>
    <w:rsid w:val="009903D2"/>
    <w:rsid w:val="009909BB"/>
    <w:rsid w:val="00990D7D"/>
    <w:rsid w:val="00991930"/>
    <w:rsid w:val="00992709"/>
    <w:rsid w:val="00992FE0"/>
    <w:rsid w:val="009934A2"/>
    <w:rsid w:val="009963FC"/>
    <w:rsid w:val="009978EC"/>
    <w:rsid w:val="00997FC8"/>
    <w:rsid w:val="009A0444"/>
    <w:rsid w:val="009A0BEB"/>
    <w:rsid w:val="009A0CB8"/>
    <w:rsid w:val="009A2225"/>
    <w:rsid w:val="009A2C2F"/>
    <w:rsid w:val="009A2D65"/>
    <w:rsid w:val="009A30A8"/>
    <w:rsid w:val="009A35CA"/>
    <w:rsid w:val="009A3DA9"/>
    <w:rsid w:val="009A5497"/>
    <w:rsid w:val="009B195E"/>
    <w:rsid w:val="009B288F"/>
    <w:rsid w:val="009B49A2"/>
    <w:rsid w:val="009B7719"/>
    <w:rsid w:val="009C1AA8"/>
    <w:rsid w:val="009C1EAB"/>
    <w:rsid w:val="009C25E4"/>
    <w:rsid w:val="009C384C"/>
    <w:rsid w:val="009C647F"/>
    <w:rsid w:val="009D28A5"/>
    <w:rsid w:val="009D3FCD"/>
    <w:rsid w:val="009D49C8"/>
    <w:rsid w:val="009D4B81"/>
    <w:rsid w:val="009D4D3B"/>
    <w:rsid w:val="009D5668"/>
    <w:rsid w:val="009D7841"/>
    <w:rsid w:val="009E0428"/>
    <w:rsid w:val="009E2473"/>
    <w:rsid w:val="009E3A0E"/>
    <w:rsid w:val="009E6510"/>
    <w:rsid w:val="009F23C1"/>
    <w:rsid w:val="009F28F0"/>
    <w:rsid w:val="009F6C03"/>
    <w:rsid w:val="00A02D12"/>
    <w:rsid w:val="00A02DCF"/>
    <w:rsid w:val="00A05864"/>
    <w:rsid w:val="00A05D13"/>
    <w:rsid w:val="00A07C40"/>
    <w:rsid w:val="00A106A2"/>
    <w:rsid w:val="00A123C7"/>
    <w:rsid w:val="00A14ED0"/>
    <w:rsid w:val="00A15C2D"/>
    <w:rsid w:val="00A2159E"/>
    <w:rsid w:val="00A2160C"/>
    <w:rsid w:val="00A21C06"/>
    <w:rsid w:val="00A238EE"/>
    <w:rsid w:val="00A24373"/>
    <w:rsid w:val="00A24B82"/>
    <w:rsid w:val="00A2507D"/>
    <w:rsid w:val="00A250AF"/>
    <w:rsid w:val="00A25C5F"/>
    <w:rsid w:val="00A26621"/>
    <w:rsid w:val="00A30261"/>
    <w:rsid w:val="00A3333F"/>
    <w:rsid w:val="00A338E1"/>
    <w:rsid w:val="00A3406E"/>
    <w:rsid w:val="00A34B31"/>
    <w:rsid w:val="00A363E4"/>
    <w:rsid w:val="00A3718E"/>
    <w:rsid w:val="00A37CD3"/>
    <w:rsid w:val="00A41F6C"/>
    <w:rsid w:val="00A42457"/>
    <w:rsid w:val="00A43D4F"/>
    <w:rsid w:val="00A43E75"/>
    <w:rsid w:val="00A44664"/>
    <w:rsid w:val="00A45D44"/>
    <w:rsid w:val="00A46050"/>
    <w:rsid w:val="00A50128"/>
    <w:rsid w:val="00A51D57"/>
    <w:rsid w:val="00A51F53"/>
    <w:rsid w:val="00A527ED"/>
    <w:rsid w:val="00A55766"/>
    <w:rsid w:val="00A55879"/>
    <w:rsid w:val="00A562A0"/>
    <w:rsid w:val="00A57694"/>
    <w:rsid w:val="00A6126E"/>
    <w:rsid w:val="00A622F5"/>
    <w:rsid w:val="00A62F19"/>
    <w:rsid w:val="00A65C99"/>
    <w:rsid w:val="00A67628"/>
    <w:rsid w:val="00A70F06"/>
    <w:rsid w:val="00A711A8"/>
    <w:rsid w:val="00A733E2"/>
    <w:rsid w:val="00A75D2D"/>
    <w:rsid w:val="00A7785E"/>
    <w:rsid w:val="00A802B0"/>
    <w:rsid w:val="00A80961"/>
    <w:rsid w:val="00A812E2"/>
    <w:rsid w:val="00A81609"/>
    <w:rsid w:val="00A82DD3"/>
    <w:rsid w:val="00A82ED6"/>
    <w:rsid w:val="00A87ACD"/>
    <w:rsid w:val="00A90001"/>
    <w:rsid w:val="00A915FA"/>
    <w:rsid w:val="00A92ECA"/>
    <w:rsid w:val="00A93822"/>
    <w:rsid w:val="00A93AE0"/>
    <w:rsid w:val="00A94F23"/>
    <w:rsid w:val="00A95834"/>
    <w:rsid w:val="00A966FC"/>
    <w:rsid w:val="00A972CA"/>
    <w:rsid w:val="00A97CCA"/>
    <w:rsid w:val="00A97DFC"/>
    <w:rsid w:val="00AA0AC3"/>
    <w:rsid w:val="00AA2808"/>
    <w:rsid w:val="00AA33FB"/>
    <w:rsid w:val="00AA5179"/>
    <w:rsid w:val="00AA77FF"/>
    <w:rsid w:val="00AB0839"/>
    <w:rsid w:val="00AB23FC"/>
    <w:rsid w:val="00AB3212"/>
    <w:rsid w:val="00AB3C29"/>
    <w:rsid w:val="00AB4CC2"/>
    <w:rsid w:val="00AB5F6D"/>
    <w:rsid w:val="00AB75EA"/>
    <w:rsid w:val="00AC0108"/>
    <w:rsid w:val="00AC1F37"/>
    <w:rsid w:val="00AC4194"/>
    <w:rsid w:val="00AC6050"/>
    <w:rsid w:val="00AD04DA"/>
    <w:rsid w:val="00AD134B"/>
    <w:rsid w:val="00AD28C3"/>
    <w:rsid w:val="00AD51F0"/>
    <w:rsid w:val="00AD55AA"/>
    <w:rsid w:val="00AD5658"/>
    <w:rsid w:val="00AD6ECF"/>
    <w:rsid w:val="00AD6FFC"/>
    <w:rsid w:val="00AD756C"/>
    <w:rsid w:val="00AE051C"/>
    <w:rsid w:val="00AE103E"/>
    <w:rsid w:val="00AE1D97"/>
    <w:rsid w:val="00AE4C77"/>
    <w:rsid w:val="00AE4CC3"/>
    <w:rsid w:val="00AE5147"/>
    <w:rsid w:val="00AE5C3D"/>
    <w:rsid w:val="00AE63B7"/>
    <w:rsid w:val="00AE67B0"/>
    <w:rsid w:val="00AF078D"/>
    <w:rsid w:val="00AF406E"/>
    <w:rsid w:val="00AF51FD"/>
    <w:rsid w:val="00B02CBC"/>
    <w:rsid w:val="00B02F09"/>
    <w:rsid w:val="00B05856"/>
    <w:rsid w:val="00B05A17"/>
    <w:rsid w:val="00B06B80"/>
    <w:rsid w:val="00B070E3"/>
    <w:rsid w:val="00B12B3A"/>
    <w:rsid w:val="00B14EBF"/>
    <w:rsid w:val="00B1672C"/>
    <w:rsid w:val="00B17C9E"/>
    <w:rsid w:val="00B214DF"/>
    <w:rsid w:val="00B23334"/>
    <w:rsid w:val="00B24C79"/>
    <w:rsid w:val="00B257FD"/>
    <w:rsid w:val="00B260D6"/>
    <w:rsid w:val="00B26629"/>
    <w:rsid w:val="00B26C41"/>
    <w:rsid w:val="00B279FA"/>
    <w:rsid w:val="00B27AA0"/>
    <w:rsid w:val="00B340E6"/>
    <w:rsid w:val="00B350D4"/>
    <w:rsid w:val="00B357AB"/>
    <w:rsid w:val="00B35CCC"/>
    <w:rsid w:val="00B3617D"/>
    <w:rsid w:val="00B3630E"/>
    <w:rsid w:val="00B364E3"/>
    <w:rsid w:val="00B36BD2"/>
    <w:rsid w:val="00B37FA4"/>
    <w:rsid w:val="00B40314"/>
    <w:rsid w:val="00B40F5F"/>
    <w:rsid w:val="00B42035"/>
    <w:rsid w:val="00B434F1"/>
    <w:rsid w:val="00B45299"/>
    <w:rsid w:val="00B466C0"/>
    <w:rsid w:val="00B46C22"/>
    <w:rsid w:val="00B508E6"/>
    <w:rsid w:val="00B51DA1"/>
    <w:rsid w:val="00B5349E"/>
    <w:rsid w:val="00B534F3"/>
    <w:rsid w:val="00B55DF7"/>
    <w:rsid w:val="00B572E2"/>
    <w:rsid w:val="00B57D39"/>
    <w:rsid w:val="00B60E06"/>
    <w:rsid w:val="00B61E52"/>
    <w:rsid w:val="00B663B4"/>
    <w:rsid w:val="00B66A9A"/>
    <w:rsid w:val="00B6733F"/>
    <w:rsid w:val="00B67421"/>
    <w:rsid w:val="00B72CDE"/>
    <w:rsid w:val="00B72FA7"/>
    <w:rsid w:val="00B731FC"/>
    <w:rsid w:val="00B741F5"/>
    <w:rsid w:val="00B745DA"/>
    <w:rsid w:val="00B74A7C"/>
    <w:rsid w:val="00B7549E"/>
    <w:rsid w:val="00B759E8"/>
    <w:rsid w:val="00B76128"/>
    <w:rsid w:val="00B81544"/>
    <w:rsid w:val="00B81FF9"/>
    <w:rsid w:val="00B820CE"/>
    <w:rsid w:val="00B82439"/>
    <w:rsid w:val="00B83BF3"/>
    <w:rsid w:val="00B84CB7"/>
    <w:rsid w:val="00B84ECB"/>
    <w:rsid w:val="00B91860"/>
    <w:rsid w:val="00B9259B"/>
    <w:rsid w:val="00B93C82"/>
    <w:rsid w:val="00B941AE"/>
    <w:rsid w:val="00B945C1"/>
    <w:rsid w:val="00B95D4C"/>
    <w:rsid w:val="00B96336"/>
    <w:rsid w:val="00B971A8"/>
    <w:rsid w:val="00BA2538"/>
    <w:rsid w:val="00BA38C0"/>
    <w:rsid w:val="00BA6A89"/>
    <w:rsid w:val="00BB129D"/>
    <w:rsid w:val="00BB2C58"/>
    <w:rsid w:val="00BB433C"/>
    <w:rsid w:val="00BB721A"/>
    <w:rsid w:val="00BC0379"/>
    <w:rsid w:val="00BC22E6"/>
    <w:rsid w:val="00BC40FA"/>
    <w:rsid w:val="00BC47AB"/>
    <w:rsid w:val="00BC5EF8"/>
    <w:rsid w:val="00BC6563"/>
    <w:rsid w:val="00BC6737"/>
    <w:rsid w:val="00BC74F0"/>
    <w:rsid w:val="00BC7742"/>
    <w:rsid w:val="00BD004A"/>
    <w:rsid w:val="00BD130C"/>
    <w:rsid w:val="00BD27E3"/>
    <w:rsid w:val="00BD3423"/>
    <w:rsid w:val="00BD3EE3"/>
    <w:rsid w:val="00BD4B27"/>
    <w:rsid w:val="00BD7361"/>
    <w:rsid w:val="00BE0110"/>
    <w:rsid w:val="00BE257D"/>
    <w:rsid w:val="00BE2DD8"/>
    <w:rsid w:val="00BE39B5"/>
    <w:rsid w:val="00BE4DC1"/>
    <w:rsid w:val="00BE5355"/>
    <w:rsid w:val="00BE5B99"/>
    <w:rsid w:val="00BF2F58"/>
    <w:rsid w:val="00BF2F80"/>
    <w:rsid w:val="00BF3219"/>
    <w:rsid w:val="00BF3830"/>
    <w:rsid w:val="00BF407A"/>
    <w:rsid w:val="00C00451"/>
    <w:rsid w:val="00C009D8"/>
    <w:rsid w:val="00C01834"/>
    <w:rsid w:val="00C01F59"/>
    <w:rsid w:val="00C02C6F"/>
    <w:rsid w:val="00C036A1"/>
    <w:rsid w:val="00C05CB2"/>
    <w:rsid w:val="00C0602C"/>
    <w:rsid w:val="00C07310"/>
    <w:rsid w:val="00C0771A"/>
    <w:rsid w:val="00C10532"/>
    <w:rsid w:val="00C13284"/>
    <w:rsid w:val="00C14CDF"/>
    <w:rsid w:val="00C17121"/>
    <w:rsid w:val="00C174BE"/>
    <w:rsid w:val="00C225A3"/>
    <w:rsid w:val="00C243FB"/>
    <w:rsid w:val="00C24987"/>
    <w:rsid w:val="00C25AB7"/>
    <w:rsid w:val="00C26566"/>
    <w:rsid w:val="00C26AA7"/>
    <w:rsid w:val="00C2751E"/>
    <w:rsid w:val="00C30112"/>
    <w:rsid w:val="00C30CC4"/>
    <w:rsid w:val="00C3230E"/>
    <w:rsid w:val="00C32667"/>
    <w:rsid w:val="00C367E6"/>
    <w:rsid w:val="00C36E3C"/>
    <w:rsid w:val="00C37213"/>
    <w:rsid w:val="00C4062D"/>
    <w:rsid w:val="00C40D4E"/>
    <w:rsid w:val="00C41602"/>
    <w:rsid w:val="00C41A92"/>
    <w:rsid w:val="00C50076"/>
    <w:rsid w:val="00C51087"/>
    <w:rsid w:val="00C5319B"/>
    <w:rsid w:val="00C53747"/>
    <w:rsid w:val="00C53C39"/>
    <w:rsid w:val="00C54832"/>
    <w:rsid w:val="00C55EFA"/>
    <w:rsid w:val="00C56408"/>
    <w:rsid w:val="00C567CD"/>
    <w:rsid w:val="00C56BE0"/>
    <w:rsid w:val="00C579E5"/>
    <w:rsid w:val="00C609D0"/>
    <w:rsid w:val="00C61596"/>
    <w:rsid w:val="00C62D3D"/>
    <w:rsid w:val="00C62FDC"/>
    <w:rsid w:val="00C65A76"/>
    <w:rsid w:val="00C666C4"/>
    <w:rsid w:val="00C674D9"/>
    <w:rsid w:val="00C67C4E"/>
    <w:rsid w:val="00C7072C"/>
    <w:rsid w:val="00C70BAB"/>
    <w:rsid w:val="00C7121A"/>
    <w:rsid w:val="00C727E5"/>
    <w:rsid w:val="00C746A7"/>
    <w:rsid w:val="00C74FB5"/>
    <w:rsid w:val="00C75088"/>
    <w:rsid w:val="00C755FC"/>
    <w:rsid w:val="00C76147"/>
    <w:rsid w:val="00C767B8"/>
    <w:rsid w:val="00C77271"/>
    <w:rsid w:val="00C77D2B"/>
    <w:rsid w:val="00C80B2D"/>
    <w:rsid w:val="00C814F7"/>
    <w:rsid w:val="00C8153B"/>
    <w:rsid w:val="00C84080"/>
    <w:rsid w:val="00C84AEA"/>
    <w:rsid w:val="00C90774"/>
    <w:rsid w:val="00C91B0C"/>
    <w:rsid w:val="00C91CAE"/>
    <w:rsid w:val="00C933A8"/>
    <w:rsid w:val="00C96BBA"/>
    <w:rsid w:val="00CA03D5"/>
    <w:rsid w:val="00CA0E46"/>
    <w:rsid w:val="00CA1A0E"/>
    <w:rsid w:val="00CA1C33"/>
    <w:rsid w:val="00CA2199"/>
    <w:rsid w:val="00CA2A15"/>
    <w:rsid w:val="00CA2CF5"/>
    <w:rsid w:val="00CA2D4F"/>
    <w:rsid w:val="00CA5E5C"/>
    <w:rsid w:val="00CA69EE"/>
    <w:rsid w:val="00CA6C29"/>
    <w:rsid w:val="00CB0A56"/>
    <w:rsid w:val="00CB1046"/>
    <w:rsid w:val="00CB416B"/>
    <w:rsid w:val="00CB43B3"/>
    <w:rsid w:val="00CB48B2"/>
    <w:rsid w:val="00CB4ADB"/>
    <w:rsid w:val="00CB61B7"/>
    <w:rsid w:val="00CB722A"/>
    <w:rsid w:val="00CC0C3E"/>
    <w:rsid w:val="00CC2DCE"/>
    <w:rsid w:val="00CC3C73"/>
    <w:rsid w:val="00CC404A"/>
    <w:rsid w:val="00CC5020"/>
    <w:rsid w:val="00CC7C4C"/>
    <w:rsid w:val="00CD2D0F"/>
    <w:rsid w:val="00CD518C"/>
    <w:rsid w:val="00CD59E0"/>
    <w:rsid w:val="00CE3092"/>
    <w:rsid w:val="00CE3A53"/>
    <w:rsid w:val="00CE4A43"/>
    <w:rsid w:val="00CE75B7"/>
    <w:rsid w:val="00CF019B"/>
    <w:rsid w:val="00CF1C54"/>
    <w:rsid w:val="00CF4B03"/>
    <w:rsid w:val="00CF5743"/>
    <w:rsid w:val="00CF6DCA"/>
    <w:rsid w:val="00CF6F9C"/>
    <w:rsid w:val="00D006C9"/>
    <w:rsid w:val="00D048BA"/>
    <w:rsid w:val="00D05C5F"/>
    <w:rsid w:val="00D0624C"/>
    <w:rsid w:val="00D072D7"/>
    <w:rsid w:val="00D07A02"/>
    <w:rsid w:val="00D1004D"/>
    <w:rsid w:val="00D108FF"/>
    <w:rsid w:val="00D14360"/>
    <w:rsid w:val="00D16137"/>
    <w:rsid w:val="00D16908"/>
    <w:rsid w:val="00D17DCF"/>
    <w:rsid w:val="00D17ECF"/>
    <w:rsid w:val="00D20069"/>
    <w:rsid w:val="00D22A92"/>
    <w:rsid w:val="00D239BB"/>
    <w:rsid w:val="00D24DB6"/>
    <w:rsid w:val="00D25038"/>
    <w:rsid w:val="00D256C4"/>
    <w:rsid w:val="00D2687B"/>
    <w:rsid w:val="00D26A1C"/>
    <w:rsid w:val="00D27FC3"/>
    <w:rsid w:val="00D30737"/>
    <w:rsid w:val="00D31D44"/>
    <w:rsid w:val="00D34723"/>
    <w:rsid w:val="00D34726"/>
    <w:rsid w:val="00D3581B"/>
    <w:rsid w:val="00D366D4"/>
    <w:rsid w:val="00D42EA2"/>
    <w:rsid w:val="00D435E1"/>
    <w:rsid w:val="00D448CE"/>
    <w:rsid w:val="00D448FF"/>
    <w:rsid w:val="00D45670"/>
    <w:rsid w:val="00D50696"/>
    <w:rsid w:val="00D54809"/>
    <w:rsid w:val="00D54F43"/>
    <w:rsid w:val="00D552C2"/>
    <w:rsid w:val="00D55A95"/>
    <w:rsid w:val="00D566FF"/>
    <w:rsid w:val="00D56710"/>
    <w:rsid w:val="00D61989"/>
    <w:rsid w:val="00D62F3B"/>
    <w:rsid w:val="00D630BC"/>
    <w:rsid w:val="00D65AB8"/>
    <w:rsid w:val="00D7207A"/>
    <w:rsid w:val="00D72B0D"/>
    <w:rsid w:val="00D766AE"/>
    <w:rsid w:val="00D771C6"/>
    <w:rsid w:val="00D77290"/>
    <w:rsid w:val="00D77DB8"/>
    <w:rsid w:val="00D80F38"/>
    <w:rsid w:val="00D8189B"/>
    <w:rsid w:val="00D82F16"/>
    <w:rsid w:val="00D91586"/>
    <w:rsid w:val="00D91CF0"/>
    <w:rsid w:val="00D92E8C"/>
    <w:rsid w:val="00D9341F"/>
    <w:rsid w:val="00D95135"/>
    <w:rsid w:val="00D96F88"/>
    <w:rsid w:val="00D97D2C"/>
    <w:rsid w:val="00DA1668"/>
    <w:rsid w:val="00DA1F43"/>
    <w:rsid w:val="00DA2636"/>
    <w:rsid w:val="00DA289E"/>
    <w:rsid w:val="00DA2D90"/>
    <w:rsid w:val="00DA665B"/>
    <w:rsid w:val="00DA66B5"/>
    <w:rsid w:val="00DA6707"/>
    <w:rsid w:val="00DA670F"/>
    <w:rsid w:val="00DB025F"/>
    <w:rsid w:val="00DB0928"/>
    <w:rsid w:val="00DB43A3"/>
    <w:rsid w:val="00DB4E7D"/>
    <w:rsid w:val="00DC1792"/>
    <w:rsid w:val="00DC1AC3"/>
    <w:rsid w:val="00DC5FAE"/>
    <w:rsid w:val="00DC74F4"/>
    <w:rsid w:val="00DD2DB8"/>
    <w:rsid w:val="00DD35E9"/>
    <w:rsid w:val="00DD65F7"/>
    <w:rsid w:val="00DD7424"/>
    <w:rsid w:val="00DE06ED"/>
    <w:rsid w:val="00DE2D46"/>
    <w:rsid w:val="00DE2EEC"/>
    <w:rsid w:val="00DE4EA9"/>
    <w:rsid w:val="00DE6F24"/>
    <w:rsid w:val="00DE7054"/>
    <w:rsid w:val="00DE7A4E"/>
    <w:rsid w:val="00DF0739"/>
    <w:rsid w:val="00DF1C99"/>
    <w:rsid w:val="00DF1F23"/>
    <w:rsid w:val="00DF209A"/>
    <w:rsid w:val="00DF2EA5"/>
    <w:rsid w:val="00DF4633"/>
    <w:rsid w:val="00DF49E3"/>
    <w:rsid w:val="00DF4F83"/>
    <w:rsid w:val="00DF589C"/>
    <w:rsid w:val="00DF5994"/>
    <w:rsid w:val="00DF7C07"/>
    <w:rsid w:val="00E00185"/>
    <w:rsid w:val="00E037E4"/>
    <w:rsid w:val="00E04174"/>
    <w:rsid w:val="00E06BE7"/>
    <w:rsid w:val="00E1054A"/>
    <w:rsid w:val="00E10800"/>
    <w:rsid w:val="00E130F1"/>
    <w:rsid w:val="00E13FF7"/>
    <w:rsid w:val="00E1567A"/>
    <w:rsid w:val="00E15B7E"/>
    <w:rsid w:val="00E23D98"/>
    <w:rsid w:val="00E2437A"/>
    <w:rsid w:val="00E26BC2"/>
    <w:rsid w:val="00E26EF8"/>
    <w:rsid w:val="00E320A6"/>
    <w:rsid w:val="00E3219A"/>
    <w:rsid w:val="00E3322A"/>
    <w:rsid w:val="00E36168"/>
    <w:rsid w:val="00E3713C"/>
    <w:rsid w:val="00E414FB"/>
    <w:rsid w:val="00E4250C"/>
    <w:rsid w:val="00E43F05"/>
    <w:rsid w:val="00E459CA"/>
    <w:rsid w:val="00E46EBF"/>
    <w:rsid w:val="00E508E9"/>
    <w:rsid w:val="00E51F19"/>
    <w:rsid w:val="00E525AC"/>
    <w:rsid w:val="00E528BE"/>
    <w:rsid w:val="00E5309A"/>
    <w:rsid w:val="00E54E65"/>
    <w:rsid w:val="00E55A0E"/>
    <w:rsid w:val="00E6027D"/>
    <w:rsid w:val="00E61559"/>
    <w:rsid w:val="00E61BBF"/>
    <w:rsid w:val="00E632CD"/>
    <w:rsid w:val="00E63952"/>
    <w:rsid w:val="00E67AA4"/>
    <w:rsid w:val="00E702B0"/>
    <w:rsid w:val="00E70523"/>
    <w:rsid w:val="00E70AD6"/>
    <w:rsid w:val="00E726BF"/>
    <w:rsid w:val="00E7275D"/>
    <w:rsid w:val="00E72D85"/>
    <w:rsid w:val="00E75346"/>
    <w:rsid w:val="00E75A0E"/>
    <w:rsid w:val="00E760C0"/>
    <w:rsid w:val="00E76CB9"/>
    <w:rsid w:val="00E77369"/>
    <w:rsid w:val="00E809C4"/>
    <w:rsid w:val="00E86227"/>
    <w:rsid w:val="00E87BB0"/>
    <w:rsid w:val="00E87BCB"/>
    <w:rsid w:val="00E95327"/>
    <w:rsid w:val="00E969DE"/>
    <w:rsid w:val="00E9741D"/>
    <w:rsid w:val="00E979F6"/>
    <w:rsid w:val="00EA10DB"/>
    <w:rsid w:val="00EA11C3"/>
    <w:rsid w:val="00EA5A46"/>
    <w:rsid w:val="00EA6440"/>
    <w:rsid w:val="00EB3405"/>
    <w:rsid w:val="00EB6533"/>
    <w:rsid w:val="00EC2593"/>
    <w:rsid w:val="00EC2E11"/>
    <w:rsid w:val="00EC3E3F"/>
    <w:rsid w:val="00EC40E4"/>
    <w:rsid w:val="00EC4C1E"/>
    <w:rsid w:val="00EC680B"/>
    <w:rsid w:val="00EC7FEF"/>
    <w:rsid w:val="00ED377C"/>
    <w:rsid w:val="00ED636E"/>
    <w:rsid w:val="00EE1EA3"/>
    <w:rsid w:val="00EE380E"/>
    <w:rsid w:val="00EE3A52"/>
    <w:rsid w:val="00EE4185"/>
    <w:rsid w:val="00EE59D2"/>
    <w:rsid w:val="00EE62F6"/>
    <w:rsid w:val="00EE6590"/>
    <w:rsid w:val="00EE7C0B"/>
    <w:rsid w:val="00EF29BB"/>
    <w:rsid w:val="00EF31C5"/>
    <w:rsid w:val="00EF4190"/>
    <w:rsid w:val="00EF43D9"/>
    <w:rsid w:val="00EF60F3"/>
    <w:rsid w:val="00EF67B1"/>
    <w:rsid w:val="00EF684C"/>
    <w:rsid w:val="00F01C1A"/>
    <w:rsid w:val="00F0209D"/>
    <w:rsid w:val="00F02114"/>
    <w:rsid w:val="00F02246"/>
    <w:rsid w:val="00F03B9A"/>
    <w:rsid w:val="00F05183"/>
    <w:rsid w:val="00F05F6A"/>
    <w:rsid w:val="00F07725"/>
    <w:rsid w:val="00F10F90"/>
    <w:rsid w:val="00F141B6"/>
    <w:rsid w:val="00F1491C"/>
    <w:rsid w:val="00F15EFD"/>
    <w:rsid w:val="00F166DF"/>
    <w:rsid w:val="00F17F02"/>
    <w:rsid w:val="00F21919"/>
    <w:rsid w:val="00F22613"/>
    <w:rsid w:val="00F256A2"/>
    <w:rsid w:val="00F26332"/>
    <w:rsid w:val="00F266D4"/>
    <w:rsid w:val="00F2698D"/>
    <w:rsid w:val="00F26B67"/>
    <w:rsid w:val="00F26D65"/>
    <w:rsid w:val="00F30E61"/>
    <w:rsid w:val="00F32634"/>
    <w:rsid w:val="00F3393D"/>
    <w:rsid w:val="00F34181"/>
    <w:rsid w:val="00F34664"/>
    <w:rsid w:val="00F3480F"/>
    <w:rsid w:val="00F34A42"/>
    <w:rsid w:val="00F34E05"/>
    <w:rsid w:val="00F369DA"/>
    <w:rsid w:val="00F409C6"/>
    <w:rsid w:val="00F40C94"/>
    <w:rsid w:val="00F414A8"/>
    <w:rsid w:val="00F41EAD"/>
    <w:rsid w:val="00F41EDC"/>
    <w:rsid w:val="00F45648"/>
    <w:rsid w:val="00F47AD5"/>
    <w:rsid w:val="00F5089D"/>
    <w:rsid w:val="00F51CBF"/>
    <w:rsid w:val="00F525D0"/>
    <w:rsid w:val="00F54499"/>
    <w:rsid w:val="00F54643"/>
    <w:rsid w:val="00F54DC7"/>
    <w:rsid w:val="00F556CC"/>
    <w:rsid w:val="00F55810"/>
    <w:rsid w:val="00F562D4"/>
    <w:rsid w:val="00F563AC"/>
    <w:rsid w:val="00F5715F"/>
    <w:rsid w:val="00F579E1"/>
    <w:rsid w:val="00F57AC3"/>
    <w:rsid w:val="00F62A51"/>
    <w:rsid w:val="00F62E25"/>
    <w:rsid w:val="00F62FA2"/>
    <w:rsid w:val="00F63280"/>
    <w:rsid w:val="00F70341"/>
    <w:rsid w:val="00F71399"/>
    <w:rsid w:val="00F73576"/>
    <w:rsid w:val="00F7399C"/>
    <w:rsid w:val="00F75AAE"/>
    <w:rsid w:val="00F77616"/>
    <w:rsid w:val="00F81867"/>
    <w:rsid w:val="00F81EC0"/>
    <w:rsid w:val="00F84076"/>
    <w:rsid w:val="00F85AA8"/>
    <w:rsid w:val="00F865D0"/>
    <w:rsid w:val="00F877FB"/>
    <w:rsid w:val="00F87A49"/>
    <w:rsid w:val="00F905E1"/>
    <w:rsid w:val="00F90940"/>
    <w:rsid w:val="00F90B05"/>
    <w:rsid w:val="00F911FE"/>
    <w:rsid w:val="00F932A5"/>
    <w:rsid w:val="00F94452"/>
    <w:rsid w:val="00F953DD"/>
    <w:rsid w:val="00F96A3C"/>
    <w:rsid w:val="00FA1FE0"/>
    <w:rsid w:val="00FA505C"/>
    <w:rsid w:val="00FA59F5"/>
    <w:rsid w:val="00FA5D64"/>
    <w:rsid w:val="00FA78E5"/>
    <w:rsid w:val="00FA7A66"/>
    <w:rsid w:val="00FB00D2"/>
    <w:rsid w:val="00FB120D"/>
    <w:rsid w:val="00FB2126"/>
    <w:rsid w:val="00FB3B2F"/>
    <w:rsid w:val="00FB4468"/>
    <w:rsid w:val="00FB5202"/>
    <w:rsid w:val="00FB5A98"/>
    <w:rsid w:val="00FC0029"/>
    <w:rsid w:val="00FC057E"/>
    <w:rsid w:val="00FC099D"/>
    <w:rsid w:val="00FC1D77"/>
    <w:rsid w:val="00FC272B"/>
    <w:rsid w:val="00FC40C1"/>
    <w:rsid w:val="00FC5269"/>
    <w:rsid w:val="00FC5280"/>
    <w:rsid w:val="00FC5F96"/>
    <w:rsid w:val="00FC78B7"/>
    <w:rsid w:val="00FD5A72"/>
    <w:rsid w:val="00FD6805"/>
    <w:rsid w:val="00FD6D72"/>
    <w:rsid w:val="00FE1156"/>
    <w:rsid w:val="00FE17E3"/>
    <w:rsid w:val="00FE1ACF"/>
    <w:rsid w:val="00FE3214"/>
    <w:rsid w:val="00FE47B2"/>
    <w:rsid w:val="00FE5CB3"/>
    <w:rsid w:val="00FF0982"/>
    <w:rsid w:val="00FF0D8E"/>
    <w:rsid w:val="00FF28E6"/>
    <w:rsid w:val="00FF33E9"/>
    <w:rsid w:val="00FF3B77"/>
    <w:rsid w:val="00FF4106"/>
    <w:rsid w:val="00FF5603"/>
    <w:rsid w:val="00FF6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51356"/>
  <w15:chartTrackingRefBased/>
  <w15:docId w15:val="{F0263924-B9BF-4901-9F9A-F401E579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A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7A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E61"/>
    <w:pPr>
      <w:ind w:left="720"/>
      <w:contextualSpacing/>
    </w:pPr>
  </w:style>
  <w:style w:type="character" w:customStyle="1" w:styleId="Heading1Char">
    <w:name w:val="Heading 1 Char"/>
    <w:basedOn w:val="DefaultParagraphFont"/>
    <w:link w:val="Heading1"/>
    <w:uiPriority w:val="9"/>
    <w:rsid w:val="00FA7A6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A7A66"/>
    <w:pPr>
      <w:outlineLvl w:val="9"/>
    </w:pPr>
  </w:style>
  <w:style w:type="paragraph" w:styleId="TOC1">
    <w:name w:val="toc 1"/>
    <w:basedOn w:val="Normal"/>
    <w:next w:val="Normal"/>
    <w:autoRedefine/>
    <w:uiPriority w:val="39"/>
    <w:unhideWhenUsed/>
    <w:rsid w:val="00FA7A66"/>
    <w:pPr>
      <w:spacing w:after="100"/>
    </w:pPr>
  </w:style>
  <w:style w:type="character" w:styleId="Hyperlink">
    <w:name w:val="Hyperlink"/>
    <w:basedOn w:val="DefaultParagraphFont"/>
    <w:uiPriority w:val="99"/>
    <w:unhideWhenUsed/>
    <w:rsid w:val="00FA7A66"/>
    <w:rPr>
      <w:color w:val="0563C1" w:themeColor="hyperlink"/>
      <w:u w:val="single"/>
    </w:rPr>
  </w:style>
  <w:style w:type="character" w:customStyle="1" w:styleId="Heading2Char">
    <w:name w:val="Heading 2 Char"/>
    <w:basedOn w:val="DefaultParagraphFont"/>
    <w:link w:val="Heading2"/>
    <w:uiPriority w:val="9"/>
    <w:rsid w:val="00FA7A66"/>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B05856"/>
    <w:pPr>
      <w:spacing w:after="100"/>
      <w:ind w:left="220"/>
    </w:pPr>
  </w:style>
  <w:style w:type="table" w:styleId="TableGrid">
    <w:name w:val="Table Grid"/>
    <w:basedOn w:val="TableNormal"/>
    <w:uiPriority w:val="39"/>
    <w:rsid w:val="00187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F05F6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F05F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F05F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unhideWhenUsed/>
    <w:rsid w:val="00FC0029"/>
  </w:style>
  <w:style w:type="character" w:styleId="PlaceholderText">
    <w:name w:val="Placeholder Text"/>
    <w:basedOn w:val="DefaultParagraphFont"/>
    <w:uiPriority w:val="99"/>
    <w:semiHidden/>
    <w:rsid w:val="00F90B05"/>
    <w:rPr>
      <w:color w:val="808080"/>
    </w:rPr>
  </w:style>
  <w:style w:type="paragraph" w:styleId="Caption">
    <w:name w:val="caption"/>
    <w:basedOn w:val="Normal"/>
    <w:next w:val="Normal"/>
    <w:uiPriority w:val="35"/>
    <w:unhideWhenUsed/>
    <w:qFormat/>
    <w:rsid w:val="00F75AAE"/>
    <w:pPr>
      <w:spacing w:after="200" w:line="240" w:lineRule="auto"/>
    </w:pPr>
    <w:rPr>
      <w:i/>
      <w:iCs/>
      <w:color w:val="44546A" w:themeColor="text2"/>
      <w:sz w:val="18"/>
      <w:szCs w:val="18"/>
    </w:rPr>
  </w:style>
  <w:style w:type="paragraph" w:styleId="Header">
    <w:name w:val="header"/>
    <w:basedOn w:val="Normal"/>
    <w:link w:val="HeaderChar"/>
    <w:uiPriority w:val="99"/>
    <w:unhideWhenUsed/>
    <w:rsid w:val="000D0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166"/>
  </w:style>
  <w:style w:type="paragraph" w:styleId="Footer">
    <w:name w:val="footer"/>
    <w:basedOn w:val="Normal"/>
    <w:link w:val="FooterChar"/>
    <w:uiPriority w:val="99"/>
    <w:unhideWhenUsed/>
    <w:rsid w:val="000D0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166"/>
  </w:style>
  <w:style w:type="character" w:styleId="CommentReference">
    <w:name w:val="annotation reference"/>
    <w:basedOn w:val="DefaultParagraphFont"/>
    <w:uiPriority w:val="99"/>
    <w:semiHidden/>
    <w:unhideWhenUsed/>
    <w:rsid w:val="00AC1F37"/>
    <w:rPr>
      <w:sz w:val="16"/>
      <w:szCs w:val="16"/>
    </w:rPr>
  </w:style>
  <w:style w:type="paragraph" w:styleId="CommentText">
    <w:name w:val="annotation text"/>
    <w:basedOn w:val="Normal"/>
    <w:link w:val="CommentTextChar"/>
    <w:uiPriority w:val="99"/>
    <w:semiHidden/>
    <w:unhideWhenUsed/>
    <w:rsid w:val="00AC1F37"/>
    <w:pPr>
      <w:spacing w:line="240" w:lineRule="auto"/>
    </w:pPr>
    <w:rPr>
      <w:sz w:val="20"/>
      <w:szCs w:val="20"/>
    </w:rPr>
  </w:style>
  <w:style w:type="character" w:customStyle="1" w:styleId="CommentTextChar">
    <w:name w:val="Comment Text Char"/>
    <w:basedOn w:val="DefaultParagraphFont"/>
    <w:link w:val="CommentText"/>
    <w:uiPriority w:val="99"/>
    <w:semiHidden/>
    <w:rsid w:val="00AC1F37"/>
    <w:rPr>
      <w:sz w:val="20"/>
      <w:szCs w:val="20"/>
    </w:rPr>
  </w:style>
  <w:style w:type="paragraph" w:styleId="CommentSubject">
    <w:name w:val="annotation subject"/>
    <w:basedOn w:val="CommentText"/>
    <w:next w:val="CommentText"/>
    <w:link w:val="CommentSubjectChar"/>
    <w:uiPriority w:val="99"/>
    <w:semiHidden/>
    <w:unhideWhenUsed/>
    <w:rsid w:val="00AC1F37"/>
    <w:rPr>
      <w:b/>
      <w:bCs/>
    </w:rPr>
  </w:style>
  <w:style w:type="character" w:customStyle="1" w:styleId="CommentSubjectChar">
    <w:name w:val="Comment Subject Char"/>
    <w:basedOn w:val="CommentTextChar"/>
    <w:link w:val="CommentSubject"/>
    <w:uiPriority w:val="99"/>
    <w:semiHidden/>
    <w:rsid w:val="00AC1F37"/>
    <w:rPr>
      <w:b/>
      <w:bCs/>
      <w:sz w:val="20"/>
      <w:szCs w:val="20"/>
    </w:rPr>
  </w:style>
  <w:style w:type="table" w:styleId="PlainTable4">
    <w:name w:val="Plain Table 4"/>
    <w:basedOn w:val="TableNormal"/>
    <w:uiPriority w:val="44"/>
    <w:rsid w:val="003E739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67361">
      <w:bodyDiv w:val="1"/>
      <w:marLeft w:val="0"/>
      <w:marRight w:val="0"/>
      <w:marTop w:val="0"/>
      <w:marBottom w:val="0"/>
      <w:divBdr>
        <w:top w:val="none" w:sz="0" w:space="0" w:color="auto"/>
        <w:left w:val="none" w:sz="0" w:space="0" w:color="auto"/>
        <w:bottom w:val="none" w:sz="0" w:space="0" w:color="auto"/>
        <w:right w:val="none" w:sz="0" w:space="0" w:color="auto"/>
      </w:divBdr>
    </w:div>
    <w:div w:id="453790092">
      <w:bodyDiv w:val="1"/>
      <w:marLeft w:val="0"/>
      <w:marRight w:val="0"/>
      <w:marTop w:val="0"/>
      <w:marBottom w:val="0"/>
      <w:divBdr>
        <w:top w:val="none" w:sz="0" w:space="0" w:color="auto"/>
        <w:left w:val="none" w:sz="0" w:space="0" w:color="auto"/>
        <w:bottom w:val="none" w:sz="0" w:space="0" w:color="auto"/>
        <w:right w:val="none" w:sz="0" w:space="0" w:color="auto"/>
      </w:divBdr>
    </w:div>
    <w:div w:id="479931927">
      <w:bodyDiv w:val="1"/>
      <w:marLeft w:val="0"/>
      <w:marRight w:val="0"/>
      <w:marTop w:val="0"/>
      <w:marBottom w:val="0"/>
      <w:divBdr>
        <w:top w:val="none" w:sz="0" w:space="0" w:color="auto"/>
        <w:left w:val="none" w:sz="0" w:space="0" w:color="auto"/>
        <w:bottom w:val="none" w:sz="0" w:space="0" w:color="auto"/>
        <w:right w:val="none" w:sz="0" w:space="0" w:color="auto"/>
      </w:divBdr>
    </w:div>
    <w:div w:id="644552098">
      <w:bodyDiv w:val="1"/>
      <w:marLeft w:val="0"/>
      <w:marRight w:val="0"/>
      <w:marTop w:val="0"/>
      <w:marBottom w:val="0"/>
      <w:divBdr>
        <w:top w:val="none" w:sz="0" w:space="0" w:color="auto"/>
        <w:left w:val="none" w:sz="0" w:space="0" w:color="auto"/>
        <w:bottom w:val="none" w:sz="0" w:space="0" w:color="auto"/>
        <w:right w:val="none" w:sz="0" w:space="0" w:color="auto"/>
      </w:divBdr>
    </w:div>
    <w:div w:id="710809297">
      <w:bodyDiv w:val="1"/>
      <w:marLeft w:val="0"/>
      <w:marRight w:val="0"/>
      <w:marTop w:val="0"/>
      <w:marBottom w:val="0"/>
      <w:divBdr>
        <w:top w:val="none" w:sz="0" w:space="0" w:color="auto"/>
        <w:left w:val="none" w:sz="0" w:space="0" w:color="auto"/>
        <w:bottom w:val="none" w:sz="0" w:space="0" w:color="auto"/>
        <w:right w:val="none" w:sz="0" w:space="0" w:color="auto"/>
      </w:divBdr>
    </w:div>
    <w:div w:id="1336372774">
      <w:bodyDiv w:val="1"/>
      <w:marLeft w:val="0"/>
      <w:marRight w:val="0"/>
      <w:marTop w:val="0"/>
      <w:marBottom w:val="0"/>
      <w:divBdr>
        <w:top w:val="none" w:sz="0" w:space="0" w:color="auto"/>
        <w:left w:val="none" w:sz="0" w:space="0" w:color="auto"/>
        <w:bottom w:val="none" w:sz="0" w:space="0" w:color="auto"/>
        <w:right w:val="none" w:sz="0" w:space="0" w:color="auto"/>
      </w:divBdr>
    </w:div>
    <w:div w:id="1405295307">
      <w:bodyDiv w:val="1"/>
      <w:marLeft w:val="0"/>
      <w:marRight w:val="0"/>
      <w:marTop w:val="0"/>
      <w:marBottom w:val="0"/>
      <w:divBdr>
        <w:top w:val="none" w:sz="0" w:space="0" w:color="auto"/>
        <w:left w:val="none" w:sz="0" w:space="0" w:color="auto"/>
        <w:bottom w:val="none" w:sz="0" w:space="0" w:color="auto"/>
        <w:right w:val="none" w:sz="0" w:space="0" w:color="auto"/>
      </w:divBdr>
    </w:div>
    <w:div w:id="1409811657">
      <w:bodyDiv w:val="1"/>
      <w:marLeft w:val="0"/>
      <w:marRight w:val="0"/>
      <w:marTop w:val="0"/>
      <w:marBottom w:val="0"/>
      <w:divBdr>
        <w:top w:val="none" w:sz="0" w:space="0" w:color="auto"/>
        <w:left w:val="none" w:sz="0" w:space="0" w:color="auto"/>
        <w:bottom w:val="none" w:sz="0" w:space="0" w:color="auto"/>
        <w:right w:val="none" w:sz="0" w:space="0" w:color="auto"/>
      </w:divBdr>
    </w:div>
    <w:div w:id="1590504288">
      <w:bodyDiv w:val="1"/>
      <w:marLeft w:val="0"/>
      <w:marRight w:val="0"/>
      <w:marTop w:val="0"/>
      <w:marBottom w:val="0"/>
      <w:divBdr>
        <w:top w:val="none" w:sz="0" w:space="0" w:color="auto"/>
        <w:left w:val="none" w:sz="0" w:space="0" w:color="auto"/>
        <w:bottom w:val="none" w:sz="0" w:space="0" w:color="auto"/>
        <w:right w:val="none" w:sz="0" w:space="0" w:color="auto"/>
      </w:divBdr>
    </w:div>
    <w:div w:id="1699575599">
      <w:bodyDiv w:val="1"/>
      <w:marLeft w:val="0"/>
      <w:marRight w:val="0"/>
      <w:marTop w:val="0"/>
      <w:marBottom w:val="0"/>
      <w:divBdr>
        <w:top w:val="none" w:sz="0" w:space="0" w:color="auto"/>
        <w:left w:val="none" w:sz="0" w:space="0" w:color="auto"/>
        <w:bottom w:val="none" w:sz="0" w:space="0" w:color="auto"/>
        <w:right w:val="none" w:sz="0" w:space="0" w:color="auto"/>
      </w:divBdr>
    </w:div>
    <w:div w:id="1726634993">
      <w:bodyDiv w:val="1"/>
      <w:marLeft w:val="0"/>
      <w:marRight w:val="0"/>
      <w:marTop w:val="0"/>
      <w:marBottom w:val="0"/>
      <w:divBdr>
        <w:top w:val="none" w:sz="0" w:space="0" w:color="auto"/>
        <w:left w:val="none" w:sz="0" w:space="0" w:color="auto"/>
        <w:bottom w:val="none" w:sz="0" w:space="0" w:color="auto"/>
        <w:right w:val="none" w:sz="0" w:space="0" w:color="auto"/>
      </w:divBdr>
    </w:div>
    <w:div w:id="1759018634">
      <w:bodyDiv w:val="1"/>
      <w:marLeft w:val="0"/>
      <w:marRight w:val="0"/>
      <w:marTop w:val="0"/>
      <w:marBottom w:val="0"/>
      <w:divBdr>
        <w:top w:val="none" w:sz="0" w:space="0" w:color="auto"/>
        <w:left w:val="none" w:sz="0" w:space="0" w:color="auto"/>
        <w:bottom w:val="none" w:sz="0" w:space="0" w:color="auto"/>
        <w:right w:val="none" w:sz="0" w:space="0" w:color="auto"/>
      </w:divBdr>
    </w:div>
    <w:div w:id="1831366098">
      <w:bodyDiv w:val="1"/>
      <w:marLeft w:val="0"/>
      <w:marRight w:val="0"/>
      <w:marTop w:val="0"/>
      <w:marBottom w:val="0"/>
      <w:divBdr>
        <w:top w:val="none" w:sz="0" w:space="0" w:color="auto"/>
        <w:left w:val="none" w:sz="0" w:space="0" w:color="auto"/>
        <w:bottom w:val="none" w:sz="0" w:space="0" w:color="auto"/>
        <w:right w:val="none" w:sz="0" w:space="0" w:color="auto"/>
      </w:divBdr>
    </w:div>
    <w:div w:id="1880048885">
      <w:bodyDiv w:val="1"/>
      <w:marLeft w:val="0"/>
      <w:marRight w:val="0"/>
      <w:marTop w:val="0"/>
      <w:marBottom w:val="0"/>
      <w:divBdr>
        <w:top w:val="none" w:sz="0" w:space="0" w:color="auto"/>
        <w:left w:val="none" w:sz="0" w:space="0" w:color="auto"/>
        <w:bottom w:val="none" w:sz="0" w:space="0" w:color="auto"/>
        <w:right w:val="none" w:sz="0" w:space="0" w:color="auto"/>
      </w:divBdr>
    </w:div>
    <w:div w:id="207264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4.xml"/><Relationship Id="rId26" Type="http://schemas.openxmlformats.org/officeDocument/2006/relationships/chart" Target="charts/chart10.xml"/><Relationship Id="rId3" Type="http://schemas.openxmlformats.org/officeDocument/2006/relationships/settings" Target="settings.xml"/><Relationship Id="rId21" Type="http://schemas.openxmlformats.org/officeDocument/2006/relationships/chart" Target="charts/chart7.xm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hart" Target="charts/chart8.xml"/><Relationship Id="rId32" Type="http://schemas.openxmlformats.org/officeDocument/2006/relationships/chart" Target="charts/chart16.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9.png"/><Relationship Id="rId28" Type="http://schemas.openxmlformats.org/officeDocument/2006/relationships/chart" Target="charts/chart12.xml"/><Relationship Id="rId10" Type="http://schemas.openxmlformats.org/officeDocument/2006/relationships/image" Target="media/image3.png"/><Relationship Id="rId19" Type="http://schemas.openxmlformats.org/officeDocument/2006/relationships/chart" Target="charts/chart5.xml"/><Relationship Id="rId31" Type="http://schemas.openxmlformats.org/officeDocument/2006/relationships/chart" Target="charts/chart15.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8.png"/><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in\Downloads\Selenate%20Data%20(1)%2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ain\Downloads\Selenate%20Data%20(1)%2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ain\Downloads\Selenate%20Data%20(1)%20(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ain\Downloads\Selenate%20Data%20(1)%20(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5.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6.xlsx"/></Relationships>
</file>

<file path=word/charts/_rels/chart16.xml.rels><?xml version="1.0" encoding="UTF-8" standalone="yes"?>
<Relationships xmlns="http://schemas.openxmlformats.org/package/2006/relationships"><Relationship Id="rId3" Type="http://schemas.openxmlformats.org/officeDocument/2006/relationships/oleObject" Target="file:///C:\Users\Main\Downloads\Meissner%20Compiled%20ICPMS%20Data%2004-12-22.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oleObject" Target="file:///C:\Users\micha\Downloads\Selenate%20Data%20(1)%2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in\Downloads\Selenate%20Data%20(1)%20(7).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580336832895888"/>
          <c:y val="4.8807551509959607E-2"/>
          <c:w val="0.78798381452318467"/>
          <c:h val="0.83491937495589152"/>
        </c:manualLayout>
      </c:layout>
      <c:barChart>
        <c:barDir val="col"/>
        <c:grouping val="clustered"/>
        <c:varyColors val="0"/>
        <c:ser>
          <c:idx val="0"/>
          <c:order val="0"/>
          <c:tx>
            <c:v>Water</c:v>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Sheet1!$E$3:$E$4</c:f>
                <c:numCache>
                  <c:formatCode>General</c:formatCode>
                  <c:ptCount val="2"/>
                  <c:pt idx="0">
                    <c:v>0.19</c:v>
                  </c:pt>
                  <c:pt idx="1">
                    <c:v>3.16</c:v>
                  </c:pt>
                </c:numCache>
              </c:numRef>
            </c:plus>
            <c:minus>
              <c:numRef>
                <c:f>Sheet1!$E$3:$E$4</c:f>
                <c:numCache>
                  <c:formatCode>General</c:formatCode>
                  <c:ptCount val="2"/>
                  <c:pt idx="0">
                    <c:v>0.19</c:v>
                  </c:pt>
                  <c:pt idx="1">
                    <c:v>3.16</c:v>
                  </c:pt>
                </c:numCache>
              </c:numRef>
            </c:minus>
            <c:spPr>
              <a:noFill/>
              <a:ln w="9525" cap="flat" cmpd="sng" algn="ctr">
                <a:solidFill>
                  <a:schemeClr val="tx1"/>
                </a:solidFill>
                <a:round/>
              </a:ln>
              <a:effectLst/>
            </c:spPr>
          </c:errBars>
          <c:cat>
            <c:strRef>
              <c:f>Sheet1!$B$3:$B$4</c:f>
              <c:strCache>
                <c:ptCount val="2"/>
                <c:pt idx="0">
                  <c:v>Na</c:v>
                </c:pt>
                <c:pt idx="1">
                  <c:v>Cl</c:v>
                </c:pt>
              </c:strCache>
            </c:strRef>
          </c:cat>
          <c:val>
            <c:numRef>
              <c:f>Sheet1!$D$3:$D$4</c:f>
              <c:numCache>
                <c:formatCode>General</c:formatCode>
                <c:ptCount val="2"/>
                <c:pt idx="0">
                  <c:v>-381.54</c:v>
                </c:pt>
                <c:pt idx="1">
                  <c:v>-370.54</c:v>
                </c:pt>
              </c:numCache>
            </c:numRef>
          </c:val>
          <c:extLst>
            <c:ext xmlns:c16="http://schemas.microsoft.com/office/drawing/2014/chart" uri="{C3380CC4-5D6E-409C-BE32-E72D297353CC}">
              <c16:uniqueId val="{00000000-25B7-4A6B-B076-8ACA658D77AF}"/>
            </c:ext>
          </c:extLst>
        </c:ser>
        <c:ser>
          <c:idx val="1"/>
          <c:order val="1"/>
          <c:tx>
            <c:v>DA</c:v>
          </c:tx>
          <c:spPr>
            <a:solidFill>
              <a:srgbClr val="FFC000">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Sheet1!$B$3:$B$4</c:f>
              <c:strCache>
                <c:ptCount val="2"/>
                <c:pt idx="0">
                  <c:v>Na</c:v>
                </c:pt>
                <c:pt idx="1">
                  <c:v>Cl</c:v>
                </c:pt>
              </c:strCache>
            </c:strRef>
          </c:cat>
          <c:val>
            <c:numRef>
              <c:f>Sheet1!$C$3:$C$4</c:f>
              <c:numCache>
                <c:formatCode>General</c:formatCode>
                <c:ptCount val="2"/>
                <c:pt idx="0">
                  <c:v>-300</c:v>
                </c:pt>
                <c:pt idx="1">
                  <c:v>-270</c:v>
                </c:pt>
              </c:numCache>
            </c:numRef>
          </c:val>
          <c:extLst>
            <c:ext xmlns:c16="http://schemas.microsoft.com/office/drawing/2014/chart" uri="{C3380CC4-5D6E-409C-BE32-E72D297353CC}">
              <c16:uniqueId val="{00000001-25B7-4A6B-B076-8ACA658D77AF}"/>
            </c:ext>
          </c:extLst>
        </c:ser>
        <c:dLbls>
          <c:dLblPos val="outEnd"/>
          <c:showLegendKey val="0"/>
          <c:showVal val="1"/>
          <c:showCatName val="0"/>
          <c:showSerName val="0"/>
          <c:showPercent val="0"/>
          <c:showBubbleSize val="0"/>
        </c:dLbls>
        <c:gapWidth val="219"/>
        <c:overlap val="-27"/>
        <c:axId val="470853968"/>
        <c:axId val="470859872"/>
      </c:barChart>
      <c:catAx>
        <c:axId val="470853968"/>
        <c:scaling>
          <c:orientation val="minMax"/>
        </c:scaling>
        <c:delete val="1"/>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dirty="0">
                    <a:solidFill>
                      <a:schemeClr val="tx1"/>
                    </a:solidFill>
                  </a:rPr>
                  <a:t>Na</a:t>
                </a:r>
                <a:r>
                  <a:rPr lang="en-US" sz="1200" baseline="30000" dirty="0">
                    <a:solidFill>
                      <a:schemeClr val="tx1"/>
                    </a:solidFill>
                  </a:rPr>
                  <a:t>+</a:t>
                </a:r>
                <a:r>
                  <a:rPr lang="en-US" sz="1200" baseline="0" dirty="0">
                    <a:solidFill>
                      <a:schemeClr val="tx1"/>
                    </a:solidFill>
                  </a:rPr>
                  <a:t>                                                        Cl</a:t>
                </a:r>
                <a:r>
                  <a:rPr lang="en-US" sz="1200" baseline="30000" dirty="0">
                    <a:solidFill>
                      <a:schemeClr val="tx1"/>
                    </a:solidFill>
                  </a:rPr>
                  <a:t>-</a:t>
                </a:r>
                <a:endParaRPr lang="en-US" sz="1200" dirty="0">
                  <a:solidFill>
                    <a:schemeClr val="tx1"/>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crossAx val="470859872"/>
        <c:crosses val="autoZero"/>
        <c:auto val="1"/>
        <c:lblAlgn val="ctr"/>
        <c:lblOffset val="100"/>
        <c:noMultiLvlLbl val="0"/>
      </c:catAx>
      <c:valAx>
        <c:axId val="470859872"/>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dirty="0">
                    <a:solidFill>
                      <a:schemeClr val="tx1"/>
                    </a:solidFill>
                  </a:rPr>
                  <a:t>Free Energy (kJ/mol)</a:t>
                </a:r>
              </a:p>
            </c:rich>
          </c:tx>
          <c:layout>
            <c:manualLayout>
              <c:xMode val="edge"/>
              <c:yMode val="edge"/>
              <c:x val="0"/>
              <c:y val="0.1444964531605455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70853968"/>
        <c:crosses val="autoZero"/>
        <c:crossBetween val="between"/>
      </c:valAx>
      <c:spPr>
        <a:noFill/>
        <a:ln>
          <a:solidFill>
            <a:schemeClr val="tx1"/>
          </a:solidFill>
        </a:ln>
        <a:effectLst/>
      </c:spPr>
    </c:plotArea>
    <c:legend>
      <c:legendPos val="r"/>
      <c:layout>
        <c:manualLayout>
          <c:xMode val="edge"/>
          <c:yMode val="edge"/>
          <c:x val="0.46450694035360046"/>
          <c:y val="0.26749939490295538"/>
          <c:w val="0.13320554611420898"/>
          <c:h val="0.149751490254910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8937007874017"/>
          <c:y val="5.0925925925925923E-2"/>
          <c:w val="0.83155249343832016"/>
          <c:h val="0.74350320793234181"/>
        </c:manualLayout>
      </c:layout>
      <c:barChart>
        <c:barDir val="col"/>
        <c:grouping val="clustered"/>
        <c:varyColors val="0"/>
        <c:ser>
          <c:idx val="0"/>
          <c:order val="0"/>
          <c:tx>
            <c:v>Feed Salinity</c:v>
          </c:tx>
          <c:spPr>
            <a:solidFill>
              <a:schemeClr val="accent1"/>
            </a:solidFill>
            <a:ln>
              <a:noFill/>
            </a:ln>
            <a:effectLst/>
          </c:spPr>
          <c:invertIfNegative val="0"/>
          <c:dLbls>
            <c:delete val="1"/>
          </c:dLbls>
          <c:val>
            <c:numRef>
              <c:f>'Exp 2'!$V$18:$V$20</c:f>
              <c:numCache>
                <c:formatCode>General</c:formatCode>
                <c:ptCount val="3"/>
                <c:pt idx="0">
                  <c:v>1</c:v>
                </c:pt>
                <c:pt idx="1">
                  <c:v>1</c:v>
                </c:pt>
                <c:pt idx="2">
                  <c:v>1</c:v>
                </c:pt>
              </c:numCache>
            </c:numRef>
          </c:val>
          <c:extLst>
            <c:ext xmlns:c16="http://schemas.microsoft.com/office/drawing/2014/chart" uri="{C3380CC4-5D6E-409C-BE32-E72D297353CC}">
              <c16:uniqueId val="{00000000-AF6F-4C3A-A6AB-B1A482F7D6F9}"/>
            </c:ext>
          </c:extLst>
        </c:ser>
        <c:ser>
          <c:idx val="1"/>
          <c:order val="1"/>
          <c:tx>
            <c:v>Product Salinity</c:v>
          </c:tx>
          <c:spPr>
            <a:solidFill>
              <a:schemeClr val="accent2"/>
            </a:solidFill>
            <a:ln>
              <a:noFill/>
            </a:ln>
            <a:effectLst/>
          </c:spPr>
          <c:invertIfNegative val="0"/>
          <c:dLbls>
            <c:dLbl>
              <c:idx val="0"/>
              <c:layout>
                <c:manualLayout>
                  <c:x val="2.2222222222222171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6F-4C3A-A6AB-B1A482F7D6F9}"/>
                </c:ext>
              </c:extLst>
            </c:dLbl>
            <c:dLbl>
              <c:idx val="1"/>
              <c:layout>
                <c:manualLayout>
                  <c:x val="3.3333333333333229E-2"/>
                  <c:y val="-2.31481481481481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6F-4C3A-A6AB-B1A482F7D6F9}"/>
                </c:ext>
              </c:extLst>
            </c:dLbl>
            <c:dLbl>
              <c:idx val="2"/>
              <c:layout>
                <c:manualLayout>
                  <c:x val="2.2222222222222223E-2"/>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6F-4C3A-A6AB-B1A482F7D6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'Exp 2'!$X$31:$X$33</c:f>
                <c:numCache>
                  <c:formatCode>General</c:formatCode>
                  <c:ptCount val="3"/>
                  <c:pt idx="0">
                    <c:v>2.6273742747854097E-3</c:v>
                  </c:pt>
                  <c:pt idx="1">
                    <c:v>9.0935337396221855E-3</c:v>
                  </c:pt>
                  <c:pt idx="2">
                    <c:v>2.1131989439327543E-2</c:v>
                  </c:pt>
                </c:numCache>
              </c:numRef>
            </c:plus>
            <c:minus>
              <c:numRef>
                <c:f>'Exp 2'!$X$31:$X$33</c:f>
                <c:numCache>
                  <c:formatCode>General</c:formatCode>
                  <c:ptCount val="3"/>
                  <c:pt idx="0">
                    <c:v>2.6273742747854097E-3</c:v>
                  </c:pt>
                  <c:pt idx="1">
                    <c:v>9.0935337396221855E-3</c:v>
                  </c:pt>
                  <c:pt idx="2">
                    <c:v>2.1131989439327543E-2</c:v>
                  </c:pt>
                </c:numCache>
              </c:numRef>
            </c:minus>
            <c:spPr>
              <a:noFill/>
              <a:ln w="9525" cap="flat" cmpd="sng" algn="ctr">
                <a:solidFill>
                  <a:schemeClr val="tx1">
                    <a:lumMod val="65000"/>
                    <a:lumOff val="35000"/>
                  </a:schemeClr>
                </a:solidFill>
                <a:round/>
              </a:ln>
              <a:effectLst/>
            </c:spPr>
          </c:errBars>
          <c:val>
            <c:numRef>
              <c:f>'Exp 2'!$W$18:$W$20</c:f>
              <c:numCache>
                <c:formatCode>0.00E+00</c:formatCode>
                <c:ptCount val="3"/>
                <c:pt idx="0">
                  <c:v>1.7839354471667759E-2</c:v>
                </c:pt>
                <c:pt idx="1">
                  <c:v>1.8103515892133042E-2</c:v>
                </c:pt>
                <c:pt idx="2">
                  <c:v>1.4338628347896438E-2</c:v>
                </c:pt>
              </c:numCache>
            </c:numRef>
          </c:val>
          <c:extLst>
            <c:ext xmlns:c16="http://schemas.microsoft.com/office/drawing/2014/chart" uri="{C3380CC4-5D6E-409C-BE32-E72D297353CC}">
              <c16:uniqueId val="{00000004-AF6F-4C3A-A6AB-B1A482F7D6F9}"/>
            </c:ext>
          </c:extLst>
        </c:ser>
        <c:dLbls>
          <c:dLblPos val="outEnd"/>
          <c:showLegendKey val="0"/>
          <c:showVal val="1"/>
          <c:showCatName val="0"/>
          <c:showSerName val="0"/>
          <c:showPercent val="0"/>
          <c:showBubbleSize val="0"/>
        </c:dLbls>
        <c:gapWidth val="150"/>
        <c:axId val="908788000"/>
        <c:axId val="908788416"/>
      </c:barChart>
      <c:catAx>
        <c:axId val="908788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Cycle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8788416"/>
        <c:crosses val="autoZero"/>
        <c:auto val="1"/>
        <c:lblAlgn val="ctr"/>
        <c:lblOffset val="100"/>
        <c:noMultiLvlLbl val="0"/>
      </c:catAx>
      <c:valAx>
        <c:axId val="908788416"/>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NaCl</a:t>
                </a:r>
                <a:r>
                  <a:rPr lang="en-US" baseline="0">
                    <a:solidFill>
                      <a:schemeClr val="tx1"/>
                    </a:solidFill>
                  </a:rPr>
                  <a:t> (M)</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8788000"/>
        <c:crosses val="autoZero"/>
        <c:crossBetween val="between"/>
      </c:valAx>
      <c:spPr>
        <a:noFill/>
        <a:ln>
          <a:solidFill>
            <a:schemeClr val="tx1"/>
          </a:solidFill>
        </a:ln>
        <a:effectLst/>
      </c:spPr>
    </c:plotArea>
    <c:legend>
      <c:legendPos val="r"/>
      <c:layout>
        <c:manualLayout>
          <c:xMode val="edge"/>
          <c:yMode val="edge"/>
          <c:x val="0.26889741907261594"/>
          <c:y val="7.0022601341498986E-2"/>
          <c:w val="0.2033248031496063"/>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8937007874017"/>
          <c:y val="5.0925925925925923E-2"/>
          <c:w val="0.83155249343832016"/>
          <c:h val="0.74350320793234181"/>
        </c:manualLayout>
      </c:layout>
      <c:barChart>
        <c:barDir val="col"/>
        <c:grouping val="clustered"/>
        <c:varyColors val="0"/>
        <c:ser>
          <c:idx val="0"/>
          <c:order val="0"/>
          <c:tx>
            <c:v>Feed Salinity</c:v>
          </c:tx>
          <c:spPr>
            <a:solidFill>
              <a:schemeClr val="accent1"/>
            </a:solidFill>
            <a:ln>
              <a:noFill/>
            </a:ln>
            <a:effectLst/>
          </c:spPr>
          <c:invertIfNegative val="0"/>
          <c:dLbls>
            <c:delete val="1"/>
          </c:dLbls>
          <c:val>
            <c:numRef>
              <c:f>'Exp 1'!$V$17:$V$19</c:f>
              <c:numCache>
                <c:formatCode>General</c:formatCode>
                <c:ptCount val="3"/>
                <c:pt idx="0">
                  <c:v>1</c:v>
                </c:pt>
                <c:pt idx="1">
                  <c:v>1</c:v>
                </c:pt>
                <c:pt idx="2">
                  <c:v>1</c:v>
                </c:pt>
              </c:numCache>
            </c:numRef>
          </c:val>
          <c:extLst>
            <c:ext xmlns:c16="http://schemas.microsoft.com/office/drawing/2014/chart" uri="{C3380CC4-5D6E-409C-BE32-E72D297353CC}">
              <c16:uniqueId val="{00000000-CFEA-4E3E-8D52-9B359F65476E}"/>
            </c:ext>
          </c:extLst>
        </c:ser>
        <c:ser>
          <c:idx val="1"/>
          <c:order val="1"/>
          <c:tx>
            <c:v>Product Salinity</c:v>
          </c:tx>
          <c:spPr>
            <a:solidFill>
              <a:schemeClr val="accent2"/>
            </a:solidFill>
            <a:ln>
              <a:noFill/>
            </a:ln>
            <a:effectLst/>
          </c:spPr>
          <c:invertIfNegative val="0"/>
          <c:dLbls>
            <c:dLbl>
              <c:idx val="0"/>
              <c:layout>
                <c:manualLayout>
                  <c:x val="1.6666666666666666E-2"/>
                  <c:y val="-9.259259259259258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EA-4E3E-8D52-9B359F65476E}"/>
                </c:ext>
              </c:extLst>
            </c:dLbl>
            <c:dLbl>
              <c:idx val="1"/>
              <c:layout>
                <c:manualLayout>
                  <c:x val="3.611111111111110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EA-4E3E-8D52-9B359F65476E}"/>
                </c:ext>
              </c:extLst>
            </c:dLbl>
            <c:dLbl>
              <c:idx val="2"/>
              <c:layout>
                <c:manualLayout>
                  <c:x val="1.9444444444444344E-2"/>
                  <c:y val="-9.25925925925934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EA-4E3E-8D52-9B359F6547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'Exp 1'!$X$17:$X$19</c:f>
                <c:numCache>
                  <c:formatCode>General</c:formatCode>
                  <c:ptCount val="3"/>
                  <c:pt idx="0">
                    <c:v>3.2719573657277463E-2</c:v>
                  </c:pt>
                  <c:pt idx="1">
                    <c:v>9.2177800234449631E-3</c:v>
                  </c:pt>
                  <c:pt idx="2">
                    <c:v>1.4952885995865859E-2</c:v>
                  </c:pt>
                </c:numCache>
              </c:numRef>
            </c:plus>
            <c:minus>
              <c:numRef>
                <c:f>'Exp 1'!$X$17:$X$19</c:f>
                <c:numCache>
                  <c:formatCode>General</c:formatCode>
                  <c:ptCount val="3"/>
                  <c:pt idx="0">
                    <c:v>3.2719573657277463E-2</c:v>
                  </c:pt>
                  <c:pt idx="1">
                    <c:v>9.2177800234449631E-3</c:v>
                  </c:pt>
                  <c:pt idx="2">
                    <c:v>1.4952885995865859E-2</c:v>
                  </c:pt>
                </c:numCache>
              </c:numRef>
            </c:minus>
            <c:spPr>
              <a:noFill/>
              <a:ln w="9525" cap="flat" cmpd="sng" algn="ctr">
                <a:solidFill>
                  <a:schemeClr val="tx1">
                    <a:lumMod val="65000"/>
                    <a:lumOff val="35000"/>
                  </a:schemeClr>
                </a:solidFill>
                <a:round/>
              </a:ln>
              <a:effectLst/>
            </c:spPr>
          </c:errBars>
          <c:val>
            <c:numRef>
              <c:f>'Exp 1'!$W$17:$W$19</c:f>
              <c:numCache>
                <c:formatCode>0.00</c:formatCode>
                <c:ptCount val="3"/>
                <c:pt idx="0">
                  <c:v>0.12701899454978643</c:v>
                </c:pt>
                <c:pt idx="1">
                  <c:v>0.13776114993404387</c:v>
                </c:pt>
                <c:pt idx="2">
                  <c:v>0.16549302002472219</c:v>
                </c:pt>
              </c:numCache>
            </c:numRef>
          </c:val>
          <c:extLst>
            <c:ext xmlns:c16="http://schemas.microsoft.com/office/drawing/2014/chart" uri="{C3380CC4-5D6E-409C-BE32-E72D297353CC}">
              <c16:uniqueId val="{00000004-CFEA-4E3E-8D52-9B359F65476E}"/>
            </c:ext>
          </c:extLst>
        </c:ser>
        <c:dLbls>
          <c:dLblPos val="outEnd"/>
          <c:showLegendKey val="0"/>
          <c:showVal val="1"/>
          <c:showCatName val="0"/>
          <c:showSerName val="0"/>
          <c:showPercent val="0"/>
          <c:showBubbleSize val="0"/>
        </c:dLbls>
        <c:gapWidth val="150"/>
        <c:axId val="908788000"/>
        <c:axId val="908788416"/>
      </c:barChart>
      <c:catAx>
        <c:axId val="908788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Cycle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8788416"/>
        <c:crosses val="autoZero"/>
        <c:auto val="1"/>
        <c:lblAlgn val="ctr"/>
        <c:lblOffset val="100"/>
        <c:noMultiLvlLbl val="0"/>
      </c:catAx>
      <c:valAx>
        <c:axId val="908788416"/>
        <c:scaling>
          <c:orientation val="minMax"/>
          <c:max val="1.1000000000000001"/>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NaCl</a:t>
                </a:r>
                <a:r>
                  <a:rPr lang="en-US" baseline="0">
                    <a:solidFill>
                      <a:schemeClr val="tx1"/>
                    </a:solidFill>
                  </a:rPr>
                  <a:t> (M)</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8788000"/>
        <c:crosses val="autoZero"/>
        <c:crossBetween val="between"/>
      </c:valAx>
      <c:spPr>
        <a:noFill/>
        <a:ln>
          <a:solidFill>
            <a:schemeClr val="tx1"/>
          </a:solidFill>
        </a:ln>
        <a:effectLst/>
      </c:spPr>
    </c:plotArea>
    <c:legend>
      <c:legendPos val="r"/>
      <c:layout>
        <c:manualLayout>
          <c:xMode val="edge"/>
          <c:yMode val="edge"/>
          <c:x val="0.26889741907261594"/>
          <c:y val="7.0022601341498986E-2"/>
          <c:w val="0.2033248031496063"/>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8937007874017"/>
          <c:y val="5.0925925925925923E-2"/>
          <c:w val="0.83155249343832016"/>
          <c:h val="0.74350320793234181"/>
        </c:manualLayout>
      </c:layout>
      <c:barChart>
        <c:barDir val="col"/>
        <c:grouping val="clustered"/>
        <c:varyColors val="0"/>
        <c:ser>
          <c:idx val="0"/>
          <c:order val="0"/>
          <c:tx>
            <c:v>Feed Salinity</c:v>
          </c:tx>
          <c:spPr>
            <a:solidFill>
              <a:schemeClr val="accent1"/>
            </a:solidFill>
            <a:ln>
              <a:noFill/>
            </a:ln>
            <a:effectLst/>
          </c:spPr>
          <c:invertIfNegative val="0"/>
          <c:dLbls>
            <c:delete val="1"/>
          </c:dLbls>
          <c:val>
            <c:numRef>
              <c:f>'Exp 2'!$V$31:$V$33</c:f>
              <c:numCache>
                <c:formatCode>General</c:formatCode>
                <c:ptCount val="3"/>
                <c:pt idx="0">
                  <c:v>4</c:v>
                </c:pt>
                <c:pt idx="1">
                  <c:v>4</c:v>
                </c:pt>
                <c:pt idx="2">
                  <c:v>4</c:v>
                </c:pt>
              </c:numCache>
            </c:numRef>
          </c:val>
          <c:extLst>
            <c:ext xmlns:c16="http://schemas.microsoft.com/office/drawing/2014/chart" uri="{C3380CC4-5D6E-409C-BE32-E72D297353CC}">
              <c16:uniqueId val="{00000000-D7C4-4AF7-A8F1-D57E4265B289}"/>
            </c:ext>
          </c:extLst>
        </c:ser>
        <c:ser>
          <c:idx val="1"/>
          <c:order val="1"/>
          <c:tx>
            <c:v>Product Salinity</c:v>
          </c:tx>
          <c:spPr>
            <a:solidFill>
              <a:schemeClr val="accent2"/>
            </a:solidFill>
            <a:ln>
              <a:noFill/>
            </a:ln>
            <a:effectLst/>
          </c:spPr>
          <c:invertIfNegative val="0"/>
          <c:dLbls>
            <c:dLbl>
              <c:idx val="0"/>
              <c:layout>
                <c:manualLayout>
                  <c:x val="3.0555555555555555E-2"/>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C4-4AF7-A8F1-D57E4265B289}"/>
                </c:ext>
              </c:extLst>
            </c:dLbl>
            <c:dLbl>
              <c:idx val="1"/>
              <c:layout>
                <c:manualLayout>
                  <c:x val="2.2222222222222223E-2"/>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C4-4AF7-A8F1-D57E4265B289}"/>
                </c:ext>
              </c:extLst>
            </c:dLbl>
            <c:dLbl>
              <c:idx val="2"/>
              <c:layout>
                <c:manualLayout>
                  <c:x val="2.4999999999999897E-2"/>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C4-4AF7-A8F1-D57E4265B2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'Exp 2'!$X$31:$X$33</c:f>
                <c:numCache>
                  <c:formatCode>General</c:formatCode>
                  <c:ptCount val="3"/>
                  <c:pt idx="0">
                    <c:v>2.6273742747854097E-3</c:v>
                  </c:pt>
                  <c:pt idx="1">
                    <c:v>9.0935337396221855E-3</c:v>
                  </c:pt>
                  <c:pt idx="2">
                    <c:v>2.1131989439327543E-2</c:v>
                  </c:pt>
                </c:numCache>
              </c:numRef>
            </c:plus>
            <c:minus>
              <c:numRef>
                <c:f>'Exp 2'!$X$31:$X$33</c:f>
                <c:numCache>
                  <c:formatCode>General</c:formatCode>
                  <c:ptCount val="3"/>
                  <c:pt idx="0">
                    <c:v>2.6273742747854097E-3</c:v>
                  </c:pt>
                  <c:pt idx="1">
                    <c:v>9.0935337396221855E-3</c:v>
                  </c:pt>
                  <c:pt idx="2">
                    <c:v>2.1131989439327543E-2</c:v>
                  </c:pt>
                </c:numCache>
              </c:numRef>
            </c:minus>
            <c:spPr>
              <a:noFill/>
              <a:ln w="9525" cap="flat" cmpd="sng" algn="ctr">
                <a:solidFill>
                  <a:schemeClr val="tx1">
                    <a:lumMod val="65000"/>
                    <a:lumOff val="35000"/>
                  </a:schemeClr>
                </a:solidFill>
                <a:round/>
              </a:ln>
              <a:effectLst/>
            </c:spPr>
          </c:errBars>
          <c:val>
            <c:numRef>
              <c:f>'Exp 2'!$W$31:$W$33</c:f>
              <c:numCache>
                <c:formatCode>0.00E+00</c:formatCode>
                <c:ptCount val="3"/>
                <c:pt idx="0">
                  <c:v>4.3743640751481905E-2</c:v>
                </c:pt>
                <c:pt idx="1">
                  <c:v>2.8310494404633235E-2</c:v>
                </c:pt>
                <c:pt idx="2">
                  <c:v>4.854982417491991E-2</c:v>
                </c:pt>
              </c:numCache>
            </c:numRef>
          </c:val>
          <c:extLst>
            <c:ext xmlns:c16="http://schemas.microsoft.com/office/drawing/2014/chart" uri="{C3380CC4-5D6E-409C-BE32-E72D297353CC}">
              <c16:uniqueId val="{00000004-D7C4-4AF7-A8F1-D57E4265B289}"/>
            </c:ext>
          </c:extLst>
        </c:ser>
        <c:dLbls>
          <c:dLblPos val="outEnd"/>
          <c:showLegendKey val="0"/>
          <c:showVal val="1"/>
          <c:showCatName val="0"/>
          <c:showSerName val="0"/>
          <c:showPercent val="0"/>
          <c:showBubbleSize val="0"/>
        </c:dLbls>
        <c:gapWidth val="150"/>
        <c:axId val="908788000"/>
        <c:axId val="908788416"/>
      </c:barChart>
      <c:catAx>
        <c:axId val="908788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Cycle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8788416"/>
        <c:crosses val="autoZero"/>
        <c:auto val="1"/>
        <c:lblAlgn val="ctr"/>
        <c:lblOffset val="100"/>
        <c:noMultiLvlLbl val="0"/>
      </c:catAx>
      <c:valAx>
        <c:axId val="908788416"/>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NaCl</a:t>
                </a:r>
                <a:r>
                  <a:rPr lang="en-US" baseline="0">
                    <a:solidFill>
                      <a:schemeClr val="tx1"/>
                    </a:solidFill>
                  </a:rPr>
                  <a:t> (M)</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8788000"/>
        <c:crosses val="autoZero"/>
        <c:crossBetween val="between"/>
      </c:valAx>
      <c:spPr>
        <a:noFill/>
        <a:ln>
          <a:solidFill>
            <a:schemeClr val="tx1"/>
          </a:solidFill>
        </a:ln>
        <a:effectLst/>
      </c:spPr>
    </c:plotArea>
    <c:legend>
      <c:legendPos val="r"/>
      <c:layout>
        <c:manualLayout>
          <c:xMode val="edge"/>
          <c:yMode val="edge"/>
          <c:x val="0.26889741907261594"/>
          <c:y val="7.0022601341498986E-2"/>
          <c:w val="0.2033248031496063"/>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8937007874017"/>
          <c:y val="5.0925925925925923E-2"/>
          <c:w val="0.83155249343832016"/>
          <c:h val="0.74350320793234181"/>
        </c:manualLayout>
      </c:layout>
      <c:barChart>
        <c:barDir val="col"/>
        <c:grouping val="clustered"/>
        <c:varyColors val="0"/>
        <c:ser>
          <c:idx val="0"/>
          <c:order val="0"/>
          <c:tx>
            <c:v>Feed Salinity</c:v>
          </c:tx>
          <c:spPr>
            <a:solidFill>
              <a:schemeClr val="accent1"/>
            </a:solidFill>
            <a:ln>
              <a:noFill/>
            </a:ln>
            <a:effectLst/>
          </c:spPr>
          <c:invertIfNegative val="0"/>
          <c:dLbls>
            <c:delete val="1"/>
          </c:dLbls>
          <c:val>
            <c:numRef>
              <c:f>'Exp 1'!$V$29:$V$31</c:f>
              <c:numCache>
                <c:formatCode>General</c:formatCode>
                <c:ptCount val="3"/>
                <c:pt idx="0">
                  <c:v>4</c:v>
                </c:pt>
                <c:pt idx="1">
                  <c:v>4</c:v>
                </c:pt>
                <c:pt idx="2">
                  <c:v>4</c:v>
                </c:pt>
              </c:numCache>
            </c:numRef>
          </c:val>
          <c:extLst>
            <c:ext xmlns:c16="http://schemas.microsoft.com/office/drawing/2014/chart" uri="{C3380CC4-5D6E-409C-BE32-E72D297353CC}">
              <c16:uniqueId val="{00000000-FA6E-4DEB-BAB1-F6A11597F735}"/>
            </c:ext>
          </c:extLst>
        </c:ser>
        <c:ser>
          <c:idx val="1"/>
          <c:order val="1"/>
          <c:tx>
            <c:v>Product Salinity</c:v>
          </c:tx>
          <c:spPr>
            <a:solidFill>
              <a:schemeClr val="accent2"/>
            </a:solidFill>
            <a:ln>
              <a:noFill/>
            </a:ln>
            <a:effectLst/>
          </c:spPr>
          <c:invertIfNegative val="0"/>
          <c:dLbls>
            <c:dLbl>
              <c:idx val="0"/>
              <c:layout>
                <c:manualLayout>
                  <c:x val="8.3333333333333332E-3"/>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6E-4DEB-BAB1-F6A11597F73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'Exp 1'!$X$29:$X$31</c:f>
                <c:numCache>
                  <c:formatCode>General</c:formatCode>
                  <c:ptCount val="3"/>
                  <c:pt idx="0">
                    <c:v>0.23880515846359865</c:v>
                  </c:pt>
                  <c:pt idx="1">
                    <c:v>5.7043126774041795E-2</c:v>
                  </c:pt>
                  <c:pt idx="2">
                    <c:v>0.1629761757861386</c:v>
                  </c:pt>
                </c:numCache>
              </c:numRef>
            </c:plus>
            <c:minus>
              <c:numRef>
                <c:f>'Exp 1'!$X$29:$X$31</c:f>
                <c:numCache>
                  <c:formatCode>General</c:formatCode>
                  <c:ptCount val="3"/>
                  <c:pt idx="0">
                    <c:v>0.23880515846359865</c:v>
                  </c:pt>
                  <c:pt idx="1">
                    <c:v>5.7043126774041795E-2</c:v>
                  </c:pt>
                  <c:pt idx="2">
                    <c:v>0.1629761757861386</c:v>
                  </c:pt>
                </c:numCache>
              </c:numRef>
            </c:minus>
            <c:spPr>
              <a:noFill/>
              <a:ln w="9525" cap="flat" cmpd="sng" algn="ctr">
                <a:solidFill>
                  <a:schemeClr val="tx1">
                    <a:lumMod val="65000"/>
                    <a:lumOff val="35000"/>
                  </a:schemeClr>
                </a:solidFill>
                <a:round/>
              </a:ln>
              <a:effectLst/>
            </c:spPr>
          </c:errBars>
          <c:val>
            <c:numRef>
              <c:f>'Exp 1'!$W$29:$W$31</c:f>
              <c:numCache>
                <c:formatCode>0.00</c:formatCode>
                <c:ptCount val="3"/>
                <c:pt idx="0">
                  <c:v>0.18481110210311649</c:v>
                </c:pt>
                <c:pt idx="1">
                  <c:v>0.25609745420511792</c:v>
                </c:pt>
                <c:pt idx="2">
                  <c:v>0.30962301604391457</c:v>
                </c:pt>
              </c:numCache>
            </c:numRef>
          </c:val>
          <c:extLst>
            <c:ext xmlns:c16="http://schemas.microsoft.com/office/drawing/2014/chart" uri="{C3380CC4-5D6E-409C-BE32-E72D297353CC}">
              <c16:uniqueId val="{00000002-FA6E-4DEB-BAB1-F6A11597F735}"/>
            </c:ext>
          </c:extLst>
        </c:ser>
        <c:dLbls>
          <c:dLblPos val="outEnd"/>
          <c:showLegendKey val="0"/>
          <c:showVal val="1"/>
          <c:showCatName val="0"/>
          <c:showSerName val="0"/>
          <c:showPercent val="0"/>
          <c:showBubbleSize val="0"/>
        </c:dLbls>
        <c:gapWidth val="150"/>
        <c:axId val="908788000"/>
        <c:axId val="908788416"/>
      </c:barChart>
      <c:catAx>
        <c:axId val="908788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Cycle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8788416"/>
        <c:crosses val="autoZero"/>
        <c:auto val="1"/>
        <c:lblAlgn val="ctr"/>
        <c:lblOffset val="100"/>
        <c:noMultiLvlLbl val="0"/>
      </c:catAx>
      <c:valAx>
        <c:axId val="908788416"/>
        <c:scaling>
          <c:orientation val="minMax"/>
          <c:max val="4.0999999999999996"/>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NaCl</a:t>
                </a:r>
                <a:r>
                  <a:rPr lang="en-US" baseline="0">
                    <a:solidFill>
                      <a:schemeClr val="tx1"/>
                    </a:solidFill>
                  </a:rPr>
                  <a:t> (M)</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8788000"/>
        <c:crosses val="autoZero"/>
        <c:crossBetween val="between"/>
      </c:valAx>
      <c:spPr>
        <a:noFill/>
        <a:ln>
          <a:solidFill>
            <a:schemeClr val="tx1"/>
          </a:solidFill>
        </a:ln>
        <a:effectLst/>
      </c:spPr>
    </c:plotArea>
    <c:legend>
      <c:legendPos val="r"/>
      <c:layout>
        <c:manualLayout>
          <c:xMode val="edge"/>
          <c:yMode val="edge"/>
          <c:x val="0.26889741907261594"/>
          <c:y val="7.0022601341498986E-2"/>
          <c:w val="0.2033248031496063"/>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Ammonia DRC Se - Bkgrnd Calibration Curve</c:v>
          </c:tx>
          <c:spPr>
            <a:ln w="2540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intercept val="0"/>
            <c:dispRSqr val="1"/>
            <c:dispEq val="1"/>
            <c:trendlineLbl>
              <c:layout>
                <c:manualLayout>
                  <c:x val="-9.9092300962379698E-2"/>
                  <c:y val="2.449620880723242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rendlineLbl>
          </c:trendline>
          <c:xVal>
            <c:numRef>
              <c:f>'Calibration Curves'!$A$2:$A$6</c:f>
              <c:numCache>
                <c:formatCode>General</c:formatCode>
                <c:ptCount val="5"/>
                <c:pt idx="0">
                  <c:v>10</c:v>
                </c:pt>
                <c:pt idx="1">
                  <c:v>50</c:v>
                </c:pt>
                <c:pt idx="2">
                  <c:v>100</c:v>
                </c:pt>
                <c:pt idx="3">
                  <c:v>500</c:v>
                </c:pt>
                <c:pt idx="4">
                  <c:v>1000</c:v>
                </c:pt>
              </c:numCache>
            </c:numRef>
          </c:xVal>
          <c:yVal>
            <c:numRef>
              <c:f>'Calibration Curves'!$C$2:$C$6</c:f>
              <c:numCache>
                <c:formatCode>General</c:formatCode>
                <c:ptCount val="5"/>
                <c:pt idx="0">
                  <c:v>1232</c:v>
                </c:pt>
                <c:pt idx="1">
                  <c:v>7001</c:v>
                </c:pt>
                <c:pt idx="2">
                  <c:v>11933</c:v>
                </c:pt>
                <c:pt idx="3">
                  <c:v>59801</c:v>
                </c:pt>
                <c:pt idx="4">
                  <c:v>122486</c:v>
                </c:pt>
              </c:numCache>
            </c:numRef>
          </c:yVal>
          <c:smooth val="0"/>
          <c:extLst>
            <c:ext xmlns:c16="http://schemas.microsoft.com/office/drawing/2014/chart" uri="{C3380CC4-5D6E-409C-BE32-E72D297353CC}">
              <c16:uniqueId val="{00000001-94C4-4B9B-847D-237DFE5C9EF2}"/>
            </c:ext>
          </c:extLst>
        </c:ser>
        <c:dLbls>
          <c:showLegendKey val="0"/>
          <c:showVal val="0"/>
          <c:showCatName val="0"/>
          <c:showSerName val="0"/>
          <c:showPercent val="0"/>
          <c:showBubbleSize val="0"/>
        </c:dLbls>
        <c:axId val="1216267871"/>
        <c:axId val="1099917567"/>
      </c:scatterChart>
      <c:valAx>
        <c:axId val="12162678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[Se]</a:t>
                </a:r>
                <a:r>
                  <a:rPr lang="en-US" baseline="0">
                    <a:solidFill>
                      <a:schemeClr val="tx1"/>
                    </a:solidFill>
                  </a:rPr>
                  <a:t> (ppb)</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99917567"/>
        <c:crosses val="autoZero"/>
        <c:crossBetween val="midCat"/>
      </c:valAx>
      <c:valAx>
        <c:axId val="109991756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Se Signal (cps)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216267871"/>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Helium KED Se - Bkgrnd Calibration Curve</c:v>
          </c:tx>
          <c:spPr>
            <a:ln w="25400" cap="rnd">
              <a:noFill/>
              <a:round/>
            </a:ln>
            <a:effectLst/>
          </c:spPr>
          <c:marker>
            <c:symbol val="circle"/>
            <c:size val="5"/>
            <c:spPr>
              <a:solidFill>
                <a:schemeClr val="tx1"/>
              </a:solidFill>
              <a:ln w="9525">
                <a:solidFill>
                  <a:sysClr val="windowText" lastClr="000000"/>
                </a:solidFill>
              </a:ln>
              <a:effectLst/>
            </c:spPr>
          </c:marker>
          <c:trendline>
            <c:spPr>
              <a:ln w="19050" cap="rnd">
                <a:solidFill>
                  <a:schemeClr val="tx1"/>
                </a:solidFill>
                <a:prstDash val="sysDot"/>
              </a:ln>
              <a:effectLst/>
            </c:spPr>
            <c:trendlineType val="linear"/>
            <c:intercept val="0"/>
            <c:dispRSqr val="1"/>
            <c:dispEq val="1"/>
            <c:trendlineLbl>
              <c:layout>
                <c:manualLayout>
                  <c:x val="-0.29160091953780759"/>
                  <c:y val="0.150711111111111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rendlineLbl>
          </c:trendline>
          <c:xVal>
            <c:numRef>
              <c:f>'Calibration Curves'!$A$12:$A$16</c:f>
              <c:numCache>
                <c:formatCode>General</c:formatCode>
                <c:ptCount val="5"/>
                <c:pt idx="0">
                  <c:v>10</c:v>
                </c:pt>
                <c:pt idx="1">
                  <c:v>50</c:v>
                </c:pt>
                <c:pt idx="2">
                  <c:v>100</c:v>
                </c:pt>
                <c:pt idx="3">
                  <c:v>500</c:v>
                </c:pt>
                <c:pt idx="4">
                  <c:v>1000</c:v>
                </c:pt>
              </c:numCache>
            </c:numRef>
          </c:xVal>
          <c:yVal>
            <c:numRef>
              <c:f>'Calibration Curves'!$C$12:$C$16</c:f>
              <c:numCache>
                <c:formatCode>General</c:formatCode>
                <c:ptCount val="5"/>
                <c:pt idx="0">
                  <c:v>53.6</c:v>
                </c:pt>
                <c:pt idx="1">
                  <c:v>256.5</c:v>
                </c:pt>
                <c:pt idx="2">
                  <c:v>549.5</c:v>
                </c:pt>
                <c:pt idx="3">
                  <c:v>3070.5</c:v>
                </c:pt>
                <c:pt idx="4">
                  <c:v>6323.5</c:v>
                </c:pt>
              </c:numCache>
            </c:numRef>
          </c:yVal>
          <c:smooth val="0"/>
          <c:extLst>
            <c:ext xmlns:c16="http://schemas.microsoft.com/office/drawing/2014/chart" uri="{C3380CC4-5D6E-409C-BE32-E72D297353CC}">
              <c16:uniqueId val="{00000001-1FA5-4AB6-A238-8596C5F6C1CC}"/>
            </c:ext>
          </c:extLst>
        </c:ser>
        <c:dLbls>
          <c:showLegendKey val="0"/>
          <c:showVal val="0"/>
          <c:showCatName val="0"/>
          <c:showSerName val="0"/>
          <c:showPercent val="0"/>
          <c:showBubbleSize val="0"/>
        </c:dLbls>
        <c:axId val="1965240079"/>
        <c:axId val="1965248399"/>
      </c:scatterChart>
      <c:valAx>
        <c:axId val="19652400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[Se] (ppb)</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65248399"/>
        <c:crosses val="autoZero"/>
        <c:crossBetween val="midCat"/>
      </c:valAx>
      <c:valAx>
        <c:axId val="196524839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Se Signal (cps)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65240079"/>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13246500437445319"/>
                  <c:y val="5.555555555555555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rendlineLbl>
          </c:trendline>
          <c:xVal>
            <c:numRef>
              <c:f>'Cal Curves and Dilution Factors'!$A$2:$A$6</c:f>
              <c:numCache>
                <c:formatCode>General</c:formatCode>
                <c:ptCount val="5"/>
                <c:pt idx="0">
                  <c:v>10</c:v>
                </c:pt>
                <c:pt idx="1">
                  <c:v>50</c:v>
                </c:pt>
                <c:pt idx="2">
                  <c:v>100</c:v>
                </c:pt>
                <c:pt idx="3">
                  <c:v>500</c:v>
                </c:pt>
                <c:pt idx="4">
                  <c:v>1000</c:v>
                </c:pt>
              </c:numCache>
            </c:numRef>
          </c:xVal>
          <c:yVal>
            <c:numRef>
              <c:f>'Cal Curves and Dilution Factors'!$B$2:$B$6</c:f>
              <c:numCache>
                <c:formatCode>General</c:formatCode>
                <c:ptCount val="5"/>
                <c:pt idx="0">
                  <c:v>109.451661325687</c:v>
                </c:pt>
                <c:pt idx="1">
                  <c:v>403.95166132568698</c:v>
                </c:pt>
                <c:pt idx="2">
                  <c:v>764.15166132568709</c:v>
                </c:pt>
                <c:pt idx="3">
                  <c:v>3587.351661325687</c:v>
                </c:pt>
                <c:pt idx="4">
                  <c:v>7555.9516613256874</c:v>
                </c:pt>
              </c:numCache>
            </c:numRef>
          </c:yVal>
          <c:smooth val="0"/>
          <c:extLst>
            <c:ext xmlns:c16="http://schemas.microsoft.com/office/drawing/2014/chart" uri="{C3380CC4-5D6E-409C-BE32-E72D297353CC}">
              <c16:uniqueId val="{00000001-0B21-4058-9837-D42B54E7E5AC}"/>
            </c:ext>
          </c:extLst>
        </c:ser>
        <c:dLbls>
          <c:showLegendKey val="0"/>
          <c:showVal val="0"/>
          <c:showCatName val="0"/>
          <c:showSerName val="0"/>
          <c:showPercent val="0"/>
          <c:showBubbleSize val="0"/>
        </c:dLbls>
        <c:axId val="480156920"/>
        <c:axId val="480163480"/>
      </c:scatterChart>
      <c:valAx>
        <c:axId val="480156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[Se] (ppb)</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0163480"/>
        <c:crosses val="autoZero"/>
        <c:crossBetween val="midCat"/>
      </c:valAx>
      <c:valAx>
        <c:axId val="4801634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Se Signal (CPS)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0156920"/>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8937007874017"/>
          <c:y val="5.0925925925925923E-2"/>
          <c:w val="0.83155249343832016"/>
          <c:h val="0.74350320793234181"/>
        </c:manualLayout>
      </c:layout>
      <c:barChart>
        <c:barDir val="col"/>
        <c:grouping val="clustered"/>
        <c:varyColors val="0"/>
        <c:ser>
          <c:idx val="0"/>
          <c:order val="0"/>
          <c:tx>
            <c:v>Feed Salinity</c:v>
          </c:tx>
          <c:spPr>
            <a:solidFill>
              <a:srgbClr val="00B0F0"/>
            </a:solidFill>
            <a:ln>
              <a:noFill/>
            </a:ln>
            <a:effectLst/>
          </c:spPr>
          <c:invertIfNegative val="0"/>
          <c:dLbls>
            <c:delete val="1"/>
          </c:dLbls>
          <c:val>
            <c:numRef>
              <c:f>Extras!$I$5:$I$7</c:f>
              <c:numCache>
                <c:formatCode>General</c:formatCode>
                <c:ptCount val="3"/>
                <c:pt idx="0">
                  <c:v>0.6</c:v>
                </c:pt>
                <c:pt idx="1">
                  <c:v>0.6</c:v>
                </c:pt>
                <c:pt idx="2">
                  <c:v>0.6</c:v>
                </c:pt>
              </c:numCache>
            </c:numRef>
          </c:val>
          <c:extLst>
            <c:ext xmlns:c16="http://schemas.microsoft.com/office/drawing/2014/chart" uri="{C3380CC4-5D6E-409C-BE32-E72D297353CC}">
              <c16:uniqueId val="{00000000-CFA1-4BC8-BF61-5641912CAC85}"/>
            </c:ext>
          </c:extLst>
        </c:ser>
        <c:ser>
          <c:idx val="1"/>
          <c:order val="1"/>
          <c:tx>
            <c:v>DPA</c:v>
          </c:tx>
          <c:spPr>
            <a:solidFill>
              <a:srgbClr val="D773AF"/>
            </a:solidFill>
            <a:ln>
              <a:noFill/>
            </a:ln>
            <a:effectLst/>
          </c:spPr>
          <c:invertIfNegative val="0"/>
          <c:dLbls>
            <c:dLbl>
              <c:idx val="0"/>
              <c:layout>
                <c:manualLayout>
                  <c:x val="6.4412238325281803E-3"/>
                  <c:y val="-2.33491399656841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A1-4BC8-BF61-5641912CAC85}"/>
                </c:ext>
              </c:extLst>
            </c:dLbl>
            <c:dLbl>
              <c:idx val="1"/>
              <c:layout>
                <c:manualLayout>
                  <c:x val="4.8309178743960761E-3"/>
                  <c:y val="-1.75118549742630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A1-4BC8-BF61-5641912CAC85}"/>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Extras!$G$5:$G$7</c:f>
                <c:numCache>
                  <c:formatCode>General</c:formatCode>
                  <c:ptCount val="3"/>
                  <c:pt idx="0">
                    <c:v>2.0676170407986753E-2</c:v>
                  </c:pt>
                  <c:pt idx="1">
                    <c:v>1.7685054212753234E-2</c:v>
                  </c:pt>
                  <c:pt idx="2">
                    <c:v>1.7958494292223879E-2</c:v>
                  </c:pt>
                </c:numCache>
              </c:numRef>
            </c:plus>
            <c:minus>
              <c:numRef>
                <c:f>Extras!$G$5:$G$7</c:f>
                <c:numCache>
                  <c:formatCode>General</c:formatCode>
                  <c:ptCount val="3"/>
                  <c:pt idx="0">
                    <c:v>2.0676170407986753E-2</c:v>
                  </c:pt>
                  <c:pt idx="1">
                    <c:v>1.7685054212753234E-2</c:v>
                  </c:pt>
                  <c:pt idx="2">
                    <c:v>1.7958494292223879E-2</c:v>
                  </c:pt>
                </c:numCache>
              </c:numRef>
            </c:minus>
            <c:spPr>
              <a:noFill/>
              <a:ln w="9525" cap="flat" cmpd="sng" algn="ctr">
                <a:solidFill>
                  <a:schemeClr val="tx1">
                    <a:lumMod val="65000"/>
                    <a:lumOff val="35000"/>
                  </a:schemeClr>
                </a:solidFill>
                <a:round/>
              </a:ln>
              <a:effectLst/>
            </c:spPr>
          </c:errBars>
          <c:val>
            <c:numRef>
              <c:f>Extras!$F$5:$F$7</c:f>
              <c:numCache>
                <c:formatCode>0.00</c:formatCode>
                <c:ptCount val="3"/>
                <c:pt idx="0">
                  <c:v>0.13434073370735425</c:v>
                </c:pt>
                <c:pt idx="1">
                  <c:v>9.2962845468791244E-2</c:v>
                </c:pt>
                <c:pt idx="2">
                  <c:v>0.10791971830116769</c:v>
                </c:pt>
              </c:numCache>
            </c:numRef>
          </c:val>
          <c:extLst>
            <c:ext xmlns:c16="http://schemas.microsoft.com/office/drawing/2014/chart" uri="{C3380CC4-5D6E-409C-BE32-E72D297353CC}">
              <c16:uniqueId val="{00000003-CFA1-4BC8-BF61-5641912CAC85}"/>
            </c:ext>
          </c:extLst>
        </c:ser>
        <c:ser>
          <c:idx val="2"/>
          <c:order val="2"/>
          <c:tx>
            <c:v>DA</c:v>
          </c:tx>
          <c:spPr>
            <a:solidFill>
              <a:schemeClr val="accent4">
                <a:lumMod val="75000"/>
              </a:schemeClr>
            </a:solidFill>
            <a:ln>
              <a:noFill/>
            </a:ln>
            <a:effectLst/>
          </c:spPr>
          <c:invertIfNegative val="0"/>
          <c:dLbls>
            <c:dLbl>
              <c:idx val="0"/>
              <c:layout>
                <c:manualLayout>
                  <c:x val="2.0933977455716585E-2"/>
                  <c:y val="-2.918642495710514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A1-4BC8-BF61-5641912CAC85}"/>
                </c:ext>
              </c:extLst>
            </c:dLbl>
            <c:dLbl>
              <c:idx val="1"/>
              <c:layout>
                <c:manualLayout>
                  <c:x val="2.8985507246376812E-2"/>
                  <c:y val="-1.16745699828420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FA1-4BC8-BF61-5641912CAC85}"/>
                </c:ext>
              </c:extLst>
            </c:dLbl>
            <c:dLbl>
              <c:idx val="2"/>
              <c:layout>
                <c:manualLayout>
                  <c:x val="1.7713365539452495E-2"/>
                  <c:y val="-1.45932124785525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FA1-4BC8-BF61-5641912CAC85}"/>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Extras!$K$5:$K$7</c:f>
                <c:numCache>
                  <c:formatCode>General</c:formatCode>
                  <c:ptCount val="3"/>
                  <c:pt idx="0">
                    <c:v>2.9116656766837641E-3</c:v>
                  </c:pt>
                  <c:pt idx="1">
                    <c:v>2.515220705313063E-3</c:v>
                  </c:pt>
                  <c:pt idx="2">
                    <c:v>2.8818329975265088E-3</c:v>
                  </c:pt>
                </c:numCache>
              </c:numRef>
            </c:plus>
            <c:minus>
              <c:numRef>
                <c:f>Extras!$K$5:$K$7</c:f>
                <c:numCache>
                  <c:formatCode>General</c:formatCode>
                  <c:ptCount val="3"/>
                  <c:pt idx="0">
                    <c:v>2.9116656766837641E-3</c:v>
                  </c:pt>
                  <c:pt idx="1">
                    <c:v>2.515220705313063E-3</c:v>
                  </c:pt>
                  <c:pt idx="2">
                    <c:v>2.8818329975265088E-3</c:v>
                  </c:pt>
                </c:numCache>
              </c:numRef>
            </c:minus>
            <c:spPr>
              <a:noFill/>
              <a:ln w="9525" cap="flat" cmpd="sng" algn="ctr">
                <a:solidFill>
                  <a:schemeClr val="tx1"/>
                </a:solidFill>
                <a:round/>
              </a:ln>
              <a:effectLst/>
            </c:spPr>
          </c:errBars>
          <c:val>
            <c:numRef>
              <c:f>Extras!$J$5:$J$7</c:f>
              <c:numCache>
                <c:formatCode>0.000</c:formatCode>
                <c:ptCount val="3"/>
                <c:pt idx="0">
                  <c:v>1.0384999351192994E-2</c:v>
                </c:pt>
                <c:pt idx="1">
                  <c:v>9.5248420949571866E-3</c:v>
                </c:pt>
                <c:pt idx="2">
                  <c:v>5.18094550080417E-3</c:v>
                </c:pt>
              </c:numCache>
            </c:numRef>
          </c:val>
          <c:extLst>
            <c:ext xmlns:c16="http://schemas.microsoft.com/office/drawing/2014/chart" uri="{C3380CC4-5D6E-409C-BE32-E72D297353CC}">
              <c16:uniqueId val="{00000007-CFA1-4BC8-BF61-5641912CAC85}"/>
            </c:ext>
          </c:extLst>
        </c:ser>
        <c:dLbls>
          <c:dLblPos val="outEnd"/>
          <c:showLegendKey val="0"/>
          <c:showVal val="1"/>
          <c:showCatName val="0"/>
          <c:showSerName val="0"/>
          <c:showPercent val="0"/>
          <c:showBubbleSize val="0"/>
        </c:dLbls>
        <c:gapWidth val="150"/>
        <c:axId val="908788000"/>
        <c:axId val="908788416"/>
      </c:barChart>
      <c:catAx>
        <c:axId val="9087880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Cycle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908788416"/>
        <c:crosses val="autoZero"/>
        <c:auto val="1"/>
        <c:lblAlgn val="ctr"/>
        <c:lblOffset val="100"/>
        <c:noMultiLvlLbl val="0"/>
      </c:catAx>
      <c:valAx>
        <c:axId val="90878841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NaCl</a:t>
                </a:r>
                <a:r>
                  <a:rPr lang="en-US" sz="1200" baseline="0">
                    <a:solidFill>
                      <a:schemeClr val="tx1"/>
                    </a:solidFill>
                  </a:rPr>
                  <a:t> (M)</a:t>
                </a:r>
                <a:endParaRPr lang="en-US" sz="1200">
                  <a:solidFill>
                    <a:schemeClr val="tx1"/>
                  </a:solidFill>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908788000"/>
        <c:crosses val="autoZero"/>
        <c:crossBetween val="between"/>
      </c:valAx>
      <c:spPr>
        <a:noFill/>
        <a:ln>
          <a:solidFill>
            <a:schemeClr val="tx1"/>
          </a:solidFill>
        </a:ln>
        <a:effectLst/>
      </c:spPr>
    </c:plotArea>
    <c:legend>
      <c:legendPos val="r"/>
      <c:layout>
        <c:manualLayout>
          <c:xMode val="edge"/>
          <c:yMode val="edge"/>
          <c:x val="0.2544046305805977"/>
          <c:y val="8.7534454919383414E-2"/>
          <c:w val="0.27746674781594327"/>
          <c:h val="0.234376640419947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78937007874017"/>
          <c:y val="5.0925925925925923E-2"/>
          <c:w val="0.83155249343832016"/>
          <c:h val="0.74350320793234181"/>
        </c:manualLayout>
      </c:layout>
      <c:barChart>
        <c:barDir val="col"/>
        <c:grouping val="clustered"/>
        <c:varyColors val="0"/>
        <c:ser>
          <c:idx val="0"/>
          <c:order val="0"/>
          <c:tx>
            <c:v>DPA Salinity</c:v>
          </c:tx>
          <c:spPr>
            <a:solidFill>
              <a:srgbClr val="D773AF"/>
            </a:solidFill>
            <a:ln>
              <a:noFill/>
            </a:ln>
            <a:effectLst/>
          </c:spPr>
          <c:invertIfNegative val="0"/>
          <c:dLbls>
            <c:dLbl>
              <c:idx val="0"/>
              <c:layout>
                <c:manualLayout>
                  <c:x val="-2.5462668816039986E-17"/>
                  <c:y val="-4.16666666666667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F0-457C-910A-229ABF162688}"/>
                </c:ext>
              </c:extLst>
            </c:dLbl>
            <c:dLbl>
              <c:idx val="1"/>
              <c:layout>
                <c:manualLayout>
                  <c:x val="-1.0185067526415994E-16"/>
                  <c:y val="-5.55555555555556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F0-457C-910A-229ABF162688}"/>
                </c:ext>
              </c:extLst>
            </c:dLbl>
            <c:dLbl>
              <c:idx val="2"/>
              <c:layout>
                <c:manualLayout>
                  <c:x val="-5.277777777777788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4F0-457C-910A-229ABF1626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'Exp 1'!$N$42:$N$44</c:f>
                <c:numCache>
                  <c:formatCode>General</c:formatCode>
                  <c:ptCount val="3"/>
                  <c:pt idx="0">
                    <c:v>2.4391220500635021E-2</c:v>
                  </c:pt>
                  <c:pt idx="1">
                    <c:v>2.5305519887545837E-2</c:v>
                  </c:pt>
                  <c:pt idx="2">
                    <c:v>0.1570075059580954</c:v>
                  </c:pt>
                </c:numCache>
              </c:numRef>
            </c:plus>
            <c:minus>
              <c:numRef>
                <c:f>'Exp 1'!$N$42:$N$44</c:f>
                <c:numCache>
                  <c:formatCode>General</c:formatCode>
                  <c:ptCount val="3"/>
                  <c:pt idx="0">
                    <c:v>2.4391220500635021E-2</c:v>
                  </c:pt>
                  <c:pt idx="1">
                    <c:v>2.5305519887545837E-2</c:v>
                  </c:pt>
                  <c:pt idx="2">
                    <c:v>0.1570075059580954</c:v>
                  </c:pt>
                </c:numCache>
              </c:numRef>
            </c:minus>
            <c:spPr>
              <a:noFill/>
              <a:ln w="9525" cap="flat" cmpd="sng" algn="ctr">
                <a:solidFill>
                  <a:schemeClr val="tx1"/>
                </a:solidFill>
                <a:round/>
              </a:ln>
              <a:effectLst/>
            </c:spPr>
          </c:errBars>
          <c:cat>
            <c:strRef>
              <c:f>'Exp 1'!$J$42:$J$44</c:f>
              <c:strCache>
                <c:ptCount val="3"/>
                <c:pt idx="0">
                  <c:v>3.5 wt%</c:v>
                </c:pt>
                <c:pt idx="1">
                  <c:v>1.0 M</c:v>
                </c:pt>
                <c:pt idx="2">
                  <c:v>4.0 M</c:v>
                </c:pt>
              </c:strCache>
            </c:strRef>
          </c:cat>
          <c:val>
            <c:numRef>
              <c:f>'Exp 1'!$M$42:$M$44</c:f>
              <c:numCache>
                <c:formatCode>0.00</c:formatCode>
                <c:ptCount val="3"/>
                <c:pt idx="0">
                  <c:v>0.11174109915910441</c:v>
                </c:pt>
                <c:pt idx="1">
                  <c:v>0.1434243881695175</c:v>
                </c:pt>
                <c:pt idx="2">
                  <c:v>0.25017719078404965</c:v>
                </c:pt>
              </c:numCache>
            </c:numRef>
          </c:val>
          <c:extLst>
            <c:ext xmlns:c16="http://schemas.microsoft.com/office/drawing/2014/chart" uri="{C3380CC4-5D6E-409C-BE32-E72D297353CC}">
              <c16:uniqueId val="{00000003-14F0-457C-910A-229ABF162688}"/>
            </c:ext>
          </c:extLst>
        </c:ser>
        <c:ser>
          <c:idx val="1"/>
          <c:order val="1"/>
          <c:tx>
            <c:v>DA Salinity</c:v>
          </c:tx>
          <c:spPr>
            <a:solidFill>
              <a:srgbClr val="FFC000">
                <a:lumMod val="75000"/>
              </a:srgbClr>
            </a:solidFill>
            <a:ln>
              <a:noFill/>
            </a:ln>
            <a:effectLst/>
          </c:spPr>
          <c:invertIfNegative val="0"/>
          <c:dLbls>
            <c:dLbl>
              <c:idx val="0"/>
              <c:layout>
                <c:manualLayout>
                  <c:x val="2.7777777777777779E-3"/>
                  <c:y val="-3.24074074074074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F0-457C-910A-229ABF162688}"/>
                </c:ext>
              </c:extLst>
            </c:dLbl>
            <c:dLbl>
              <c:idx val="1"/>
              <c:layout>
                <c:manualLayout>
                  <c:x val="3.0555555555555454E-2"/>
                  <c:y val="-2.77777777777778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4F0-457C-910A-229ABF162688}"/>
                </c:ext>
              </c:extLst>
            </c:dLbl>
            <c:dLbl>
              <c:idx val="2"/>
              <c:layout>
                <c:manualLayout>
                  <c:x val="1.6666666666666566E-2"/>
                  <c:y val="-4.62962962962963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4F0-457C-910A-229ABF1626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'Exp 1'!$L$42:$L$44</c:f>
                <c:numCache>
                  <c:formatCode>General</c:formatCode>
                  <c:ptCount val="3"/>
                  <c:pt idx="0">
                    <c:v>3.2339557982783702E-3</c:v>
                  </c:pt>
                  <c:pt idx="1">
                    <c:v>1.0385990116249808E-2</c:v>
                  </c:pt>
                  <c:pt idx="2">
                    <c:v>1.464565602653662E-2</c:v>
                  </c:pt>
                </c:numCache>
              </c:numRef>
            </c:plus>
            <c:minus>
              <c:numRef>
                <c:f>'Exp 1'!$L$42:$L$44</c:f>
                <c:numCache>
                  <c:formatCode>General</c:formatCode>
                  <c:ptCount val="3"/>
                  <c:pt idx="0">
                    <c:v>3.2339557982783702E-3</c:v>
                  </c:pt>
                  <c:pt idx="1">
                    <c:v>1.0385990116249808E-2</c:v>
                  </c:pt>
                  <c:pt idx="2">
                    <c:v>1.464565602653662E-2</c:v>
                  </c:pt>
                </c:numCache>
              </c:numRef>
            </c:minus>
            <c:spPr>
              <a:noFill/>
              <a:ln w="9525" cap="flat" cmpd="sng" algn="ctr">
                <a:solidFill>
                  <a:schemeClr val="tx1"/>
                </a:solidFill>
                <a:round/>
              </a:ln>
              <a:effectLst/>
            </c:spPr>
          </c:errBars>
          <c:cat>
            <c:strRef>
              <c:f>'Exp 1'!$J$42:$J$44</c:f>
              <c:strCache>
                <c:ptCount val="3"/>
                <c:pt idx="0">
                  <c:v>3.5 wt%</c:v>
                </c:pt>
                <c:pt idx="1">
                  <c:v>1.0 M</c:v>
                </c:pt>
                <c:pt idx="2">
                  <c:v>4.0 M</c:v>
                </c:pt>
              </c:strCache>
            </c:strRef>
          </c:cat>
          <c:val>
            <c:numRef>
              <c:f>'Exp 1'!$K$42:$K$44</c:f>
              <c:numCache>
                <c:formatCode>0.000</c:formatCode>
                <c:ptCount val="3"/>
                <c:pt idx="0">
                  <c:v>8.761426917507361E-3</c:v>
                </c:pt>
                <c:pt idx="1">
                  <c:v>1.6592622530369833E-2</c:v>
                </c:pt>
                <c:pt idx="2">
                  <c:v>4.168767294855899E-2</c:v>
                </c:pt>
              </c:numCache>
            </c:numRef>
          </c:val>
          <c:extLst>
            <c:ext xmlns:c16="http://schemas.microsoft.com/office/drawing/2014/chart" uri="{C3380CC4-5D6E-409C-BE32-E72D297353CC}">
              <c16:uniqueId val="{00000007-14F0-457C-910A-229ABF162688}"/>
            </c:ext>
          </c:extLst>
        </c:ser>
        <c:dLbls>
          <c:dLblPos val="outEnd"/>
          <c:showLegendKey val="0"/>
          <c:showVal val="1"/>
          <c:showCatName val="0"/>
          <c:showSerName val="0"/>
          <c:showPercent val="0"/>
          <c:showBubbleSize val="0"/>
        </c:dLbls>
        <c:gapWidth val="150"/>
        <c:axId val="908788000"/>
        <c:axId val="908788416"/>
      </c:barChart>
      <c:catAx>
        <c:axId val="908788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Feed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8788416"/>
        <c:crosses val="autoZero"/>
        <c:auto val="1"/>
        <c:lblAlgn val="ctr"/>
        <c:lblOffset val="100"/>
        <c:noMultiLvlLbl val="0"/>
      </c:catAx>
      <c:valAx>
        <c:axId val="9087884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NaCl</a:t>
                </a:r>
                <a:r>
                  <a:rPr lang="en-US" baseline="0">
                    <a:solidFill>
                      <a:schemeClr val="tx1"/>
                    </a:solidFill>
                  </a:rPr>
                  <a:t> (M)</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8788000"/>
        <c:crosses val="autoZero"/>
        <c:crossBetween val="between"/>
      </c:valAx>
      <c:spPr>
        <a:noFill/>
        <a:ln>
          <a:solidFill>
            <a:schemeClr val="tx1"/>
          </a:solidFill>
        </a:ln>
        <a:effectLst/>
      </c:spPr>
    </c:plotArea>
    <c:legend>
      <c:legendPos val="r"/>
      <c:layout>
        <c:manualLayout>
          <c:xMode val="edge"/>
          <c:yMode val="edge"/>
          <c:x val="0.26056408573928264"/>
          <c:y val="0.14409667541557306"/>
          <c:w val="0.2033248031496063"/>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8937007874017"/>
          <c:y val="5.0925925925925923E-2"/>
          <c:w val="0.83155249343832016"/>
          <c:h val="0.74350320793234181"/>
        </c:manualLayout>
      </c:layout>
      <c:barChart>
        <c:barDir val="col"/>
        <c:grouping val="clustered"/>
        <c:varyColors val="0"/>
        <c:ser>
          <c:idx val="0"/>
          <c:order val="0"/>
          <c:tx>
            <c:v>DA</c:v>
          </c:tx>
          <c:spPr>
            <a:solidFill>
              <a:schemeClr val="accent4">
                <a:lumMod val="75000"/>
              </a:schemeClr>
            </a:solidFill>
            <a:ln>
              <a:noFill/>
            </a:ln>
            <a:effectLst/>
          </c:spPr>
          <c:invertIfNegative val="0"/>
          <c:dLbls>
            <c:dLbl>
              <c:idx val="0"/>
              <c:layout>
                <c:manualLayout>
                  <c:x val="0"/>
                  <c:y val="8.33333333333333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A1-48D2-94F4-82989AA0EEAB}"/>
                </c:ext>
              </c:extLst>
            </c:dLbl>
            <c:dLbl>
              <c:idx val="1"/>
              <c:layout>
                <c:manualLayout>
                  <c:x val="-1.0185067526415994E-16"/>
                  <c:y val="8.33333333333333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A1-48D2-94F4-82989AA0EEAB}"/>
                </c:ext>
              </c:extLst>
            </c:dLbl>
            <c:dLbl>
              <c:idx val="2"/>
              <c:layout>
                <c:manualLayout>
                  <c:x val="0"/>
                  <c:y val="6.0185185185185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A1-48D2-94F4-82989AA0EEAB}"/>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Extras!$G$40:$G$42</c:f>
                <c:numCache>
                  <c:formatCode>General</c:formatCode>
                  <c:ptCount val="3"/>
                  <c:pt idx="0">
                    <c:v>0.538992633046392</c:v>
                  </c:pt>
                  <c:pt idx="1">
                    <c:v>1.0385990116249826</c:v>
                  </c:pt>
                  <c:pt idx="2">
                    <c:v>0.36614140066341405</c:v>
                  </c:pt>
                </c:numCache>
              </c:numRef>
            </c:plus>
            <c:minus>
              <c:numRef>
                <c:f>Extras!$G$40:$G$42</c:f>
                <c:numCache>
                  <c:formatCode>General</c:formatCode>
                  <c:ptCount val="3"/>
                  <c:pt idx="0">
                    <c:v>0.538992633046392</c:v>
                  </c:pt>
                  <c:pt idx="1">
                    <c:v>1.0385990116249826</c:v>
                  </c:pt>
                  <c:pt idx="2">
                    <c:v>0.36614140066341405</c:v>
                  </c:pt>
                </c:numCache>
              </c:numRef>
            </c:minus>
            <c:spPr>
              <a:noFill/>
              <a:ln w="9525" cap="flat" cmpd="sng" algn="ctr">
                <a:solidFill>
                  <a:schemeClr val="tx1">
                    <a:lumMod val="65000"/>
                    <a:lumOff val="35000"/>
                  </a:schemeClr>
                </a:solidFill>
                <a:round/>
              </a:ln>
              <a:effectLst/>
            </c:spPr>
          </c:errBars>
          <c:cat>
            <c:strRef>
              <c:f>Extras!$E$40:$E$42</c:f>
              <c:strCache>
                <c:ptCount val="3"/>
                <c:pt idx="0">
                  <c:v>3.5 wt %</c:v>
                </c:pt>
                <c:pt idx="1">
                  <c:v>1.0 M</c:v>
                </c:pt>
                <c:pt idx="2">
                  <c:v>4.0 M</c:v>
                </c:pt>
              </c:strCache>
            </c:strRef>
          </c:cat>
          <c:val>
            <c:numRef>
              <c:f>Extras!$F$40:$F$42</c:f>
              <c:numCache>
                <c:formatCode>0.00</c:formatCode>
                <c:ptCount val="3"/>
                <c:pt idx="0">
                  <c:v>98.539762180415437</c:v>
                </c:pt>
                <c:pt idx="1">
                  <c:v>98.340737746963029</c:v>
                </c:pt>
                <c:pt idx="2">
                  <c:v>98.957808176286022</c:v>
                </c:pt>
              </c:numCache>
            </c:numRef>
          </c:val>
          <c:extLst>
            <c:ext xmlns:c16="http://schemas.microsoft.com/office/drawing/2014/chart" uri="{C3380CC4-5D6E-409C-BE32-E72D297353CC}">
              <c16:uniqueId val="{00000003-E3A1-48D2-94F4-82989AA0EEAB}"/>
            </c:ext>
          </c:extLst>
        </c:ser>
        <c:ser>
          <c:idx val="1"/>
          <c:order val="1"/>
          <c:tx>
            <c:v>DPA</c:v>
          </c:tx>
          <c:spPr>
            <a:solidFill>
              <a:srgbClr val="D773AF"/>
            </a:solidFill>
            <a:ln>
              <a:noFill/>
            </a:ln>
            <a:effectLst/>
          </c:spPr>
          <c:invertIfNegative val="0"/>
          <c:dLbls>
            <c:dLbl>
              <c:idx val="0"/>
              <c:layout>
                <c:manualLayout>
                  <c:x val="0"/>
                  <c:y val="-2.626778246139462E-2"/>
                </c:manualLayout>
              </c:layout>
              <c:tx>
                <c:rich>
                  <a:bodyPr/>
                  <a:lstStyle/>
                  <a:p>
                    <a:fld id="{1BBF3566-6C90-4EFC-A0A4-612D68736891}" type="VALUE">
                      <a:rPr lang="en-US" sz="120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3A1-48D2-94F4-82989AA0EEAB}"/>
                </c:ext>
              </c:extLst>
            </c:dLbl>
            <c:dLbl>
              <c:idx val="1"/>
              <c:layout>
                <c:manualLayout>
                  <c:x val="0"/>
                  <c:y val="-1.4593212478552588E-2"/>
                </c:manualLayout>
              </c:layout>
              <c:tx>
                <c:rich>
                  <a:bodyPr/>
                  <a:lstStyle/>
                  <a:p>
                    <a:fld id="{C2EF30B5-67CD-4E25-8830-A1A582B64078}" type="VALUE">
                      <a:rPr lang="en-US" sz="120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3A1-48D2-94F4-82989AA0EEAB}"/>
                </c:ext>
              </c:extLst>
            </c:dLbl>
            <c:dLbl>
              <c:idx val="2"/>
              <c:layout>
                <c:manualLayout>
                  <c:x val="0"/>
                  <c:y val="0.11574074074074076"/>
                </c:manualLayout>
              </c:layout>
              <c:tx>
                <c:rich>
                  <a:bodyPr/>
                  <a:lstStyle/>
                  <a:p>
                    <a:fld id="{ED3B1E55-DDA7-4760-BBE9-BED91F575390}" type="VALUE">
                      <a:rPr lang="en-US" sz="120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3A1-48D2-94F4-82989AA0EEAB}"/>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Extras!$J$40:$J$42</c:f>
                <c:numCache>
                  <c:formatCode>General</c:formatCode>
                  <c:ptCount val="3"/>
                  <c:pt idx="0">
                    <c:v>4.0652034167724977</c:v>
                  </c:pt>
                  <c:pt idx="1">
                    <c:v>2.5305519887545729</c:v>
                  </c:pt>
                  <c:pt idx="2">
                    <c:v>3.9251876489523863</c:v>
                  </c:pt>
                </c:numCache>
              </c:numRef>
            </c:plus>
            <c:minus>
              <c:numRef>
                <c:f>Extras!$J$40:$J$42</c:f>
                <c:numCache>
                  <c:formatCode>General</c:formatCode>
                  <c:ptCount val="3"/>
                  <c:pt idx="0">
                    <c:v>4.0652034167724977</c:v>
                  </c:pt>
                  <c:pt idx="1">
                    <c:v>2.5305519887545729</c:v>
                  </c:pt>
                  <c:pt idx="2">
                    <c:v>3.9251876489523863</c:v>
                  </c:pt>
                </c:numCache>
              </c:numRef>
            </c:minus>
            <c:spPr>
              <a:noFill/>
              <a:ln w="9525" cap="flat" cmpd="sng" algn="ctr">
                <a:solidFill>
                  <a:schemeClr val="tx1">
                    <a:lumMod val="65000"/>
                    <a:lumOff val="35000"/>
                  </a:schemeClr>
                </a:solidFill>
                <a:round/>
              </a:ln>
              <a:effectLst/>
            </c:spPr>
          </c:errBars>
          <c:cat>
            <c:strRef>
              <c:f>Extras!$E$40:$E$42</c:f>
              <c:strCache>
                <c:ptCount val="3"/>
                <c:pt idx="0">
                  <c:v>3.5 wt %</c:v>
                </c:pt>
                <c:pt idx="1">
                  <c:v>1.0 M</c:v>
                </c:pt>
                <c:pt idx="2">
                  <c:v>4.0 M</c:v>
                </c:pt>
              </c:strCache>
            </c:strRef>
          </c:cat>
          <c:val>
            <c:numRef>
              <c:f>Extras!$I$40:$I$42</c:f>
              <c:numCache>
                <c:formatCode>0.00</c:formatCode>
                <c:ptCount val="3"/>
                <c:pt idx="0">
                  <c:v>81.376483473482608</c:v>
                </c:pt>
                <c:pt idx="1">
                  <c:v>85.657561183048244</c:v>
                </c:pt>
                <c:pt idx="2">
                  <c:v>93.745570230398755</c:v>
                </c:pt>
              </c:numCache>
            </c:numRef>
          </c:val>
          <c:extLst>
            <c:ext xmlns:c16="http://schemas.microsoft.com/office/drawing/2014/chart" uri="{C3380CC4-5D6E-409C-BE32-E72D297353CC}">
              <c16:uniqueId val="{00000007-E3A1-48D2-94F4-82989AA0EEAB}"/>
            </c:ext>
          </c:extLst>
        </c:ser>
        <c:dLbls>
          <c:dLblPos val="outEnd"/>
          <c:showLegendKey val="0"/>
          <c:showVal val="1"/>
          <c:showCatName val="0"/>
          <c:showSerName val="0"/>
          <c:showPercent val="0"/>
          <c:showBubbleSize val="0"/>
        </c:dLbls>
        <c:gapWidth val="150"/>
        <c:axId val="908788000"/>
        <c:axId val="908788416"/>
      </c:barChart>
      <c:catAx>
        <c:axId val="9087880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Feed Concentration (NaCl)</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908788416"/>
        <c:crosses val="autoZero"/>
        <c:auto val="1"/>
        <c:lblAlgn val="ctr"/>
        <c:lblOffset val="100"/>
        <c:noMultiLvlLbl val="0"/>
      </c:catAx>
      <c:valAx>
        <c:axId val="908788416"/>
        <c:scaling>
          <c:orientation val="minMax"/>
          <c:max val="100"/>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Rejection (%)</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908788000"/>
        <c:crosses val="autoZero"/>
        <c:crossBetween val="between"/>
      </c:valAx>
      <c:spPr>
        <a:noFill/>
        <a:ln>
          <a:solidFill>
            <a:schemeClr val="tx1"/>
          </a:solidFill>
        </a:ln>
        <a:effectLst/>
      </c:spPr>
    </c:plotArea>
    <c:legend>
      <c:legendPos val="r"/>
      <c:layout>
        <c:manualLayout>
          <c:xMode val="edge"/>
          <c:yMode val="edge"/>
          <c:x val="0.36322111909924304"/>
          <c:y val="7.706755944953024E-2"/>
          <c:w val="8.4592288282805225E-2"/>
          <c:h val="0.234376640419947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8937007874017"/>
          <c:y val="5.0925925925925923E-2"/>
          <c:w val="0.83155249343832016"/>
          <c:h val="0.74350320793234181"/>
        </c:manualLayout>
      </c:layout>
      <c:barChart>
        <c:barDir val="col"/>
        <c:grouping val="clustered"/>
        <c:varyColors val="0"/>
        <c:ser>
          <c:idx val="0"/>
          <c:order val="0"/>
          <c:tx>
            <c:v>Feed Selenate</c:v>
          </c:tx>
          <c:spPr>
            <a:solidFill>
              <a:schemeClr val="accent1"/>
            </a:solidFill>
            <a:ln>
              <a:noFill/>
            </a:ln>
            <a:effectLst/>
          </c:spPr>
          <c:invertIfNegative val="0"/>
          <c:dLbls>
            <c:delete val="1"/>
          </c:dLbls>
          <c:val>
            <c:numRef>
              <c:f>'Extras 2'!$C$6:$C$8</c:f>
              <c:numCache>
                <c:formatCode>General</c:formatCode>
                <c:ptCount val="3"/>
                <c:pt idx="0">
                  <c:v>500</c:v>
                </c:pt>
                <c:pt idx="1">
                  <c:v>500</c:v>
                </c:pt>
                <c:pt idx="2">
                  <c:v>500</c:v>
                </c:pt>
              </c:numCache>
            </c:numRef>
          </c:val>
          <c:extLst>
            <c:ext xmlns:c16="http://schemas.microsoft.com/office/drawing/2014/chart" uri="{C3380CC4-5D6E-409C-BE32-E72D297353CC}">
              <c16:uniqueId val="{00000000-780F-4D9C-8C87-3958CD09DC9C}"/>
            </c:ext>
          </c:extLst>
        </c:ser>
        <c:ser>
          <c:idx val="1"/>
          <c:order val="1"/>
          <c:tx>
            <c:v>DPA</c:v>
          </c:tx>
          <c:spPr>
            <a:solidFill>
              <a:srgbClr val="D773AF"/>
            </a:solidFill>
            <a:ln>
              <a:noFill/>
            </a:ln>
            <a:effectLst/>
          </c:spPr>
          <c:invertIfNegative val="0"/>
          <c:dLbls>
            <c:dLbl>
              <c:idx val="0"/>
              <c:layout>
                <c:manualLayout>
                  <c:x val="1.0672358591248666E-2"/>
                  <c:y val="-3.557452863749555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0F-4D9C-8C87-3958CD09DC9C}"/>
                </c:ext>
              </c:extLst>
            </c:dLbl>
            <c:dLbl>
              <c:idx val="1"/>
              <c:layout>
                <c:manualLayout>
                  <c:x val="5.5496264674493062E-2"/>
                  <c:y val="-1.77872643187477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0F-4D9C-8C87-3958CD09DC9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'Extras 2'!$E$30:$E$31</c:f>
                <c:numCache>
                  <c:formatCode>General</c:formatCode>
                  <c:ptCount val="2"/>
                  <c:pt idx="0">
                    <c:v>19.900864580049703</c:v>
                  </c:pt>
                  <c:pt idx="1">
                    <c:v>82.966622157418172</c:v>
                  </c:pt>
                </c:numCache>
              </c:numRef>
            </c:plus>
            <c:minus>
              <c:numRef>
                <c:f>'Extras 2'!$E$30:$E$31</c:f>
                <c:numCache>
                  <c:formatCode>General</c:formatCode>
                  <c:ptCount val="2"/>
                  <c:pt idx="0">
                    <c:v>19.900864580049703</c:v>
                  </c:pt>
                  <c:pt idx="1">
                    <c:v>82.966622157418172</c:v>
                  </c:pt>
                </c:numCache>
              </c:numRef>
            </c:minus>
            <c:spPr>
              <a:noFill/>
              <a:ln w="9525" cap="flat" cmpd="sng" algn="ctr">
                <a:solidFill>
                  <a:schemeClr val="tx1">
                    <a:lumMod val="65000"/>
                    <a:lumOff val="35000"/>
                  </a:schemeClr>
                </a:solidFill>
                <a:round/>
              </a:ln>
              <a:effectLst/>
            </c:spPr>
          </c:errBars>
          <c:val>
            <c:numRef>
              <c:f>'Extras 2'!$D$30:$D$32</c:f>
              <c:numCache>
                <c:formatCode>0.00</c:formatCode>
                <c:ptCount val="3"/>
                <c:pt idx="0">
                  <c:v>375.01291142174836</c:v>
                </c:pt>
                <c:pt idx="1">
                  <c:v>567.50407970986396</c:v>
                </c:pt>
                <c:pt idx="2">
                  <c:v>624.58281355802774</c:v>
                </c:pt>
              </c:numCache>
            </c:numRef>
          </c:val>
          <c:extLst>
            <c:ext xmlns:c16="http://schemas.microsoft.com/office/drawing/2014/chart" uri="{C3380CC4-5D6E-409C-BE32-E72D297353CC}">
              <c16:uniqueId val="{00000001-780F-4D9C-8C87-3958CD09DC9C}"/>
            </c:ext>
          </c:extLst>
        </c:ser>
        <c:ser>
          <c:idx val="2"/>
          <c:order val="2"/>
          <c:tx>
            <c:v>DA</c:v>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'Extras 2'!$E$6:$E$8</c:f>
                <c:numCache>
                  <c:formatCode>General</c:formatCode>
                  <c:ptCount val="3"/>
                  <c:pt idx="0">
                    <c:v>18.197473587032579</c:v>
                  </c:pt>
                  <c:pt idx="1">
                    <c:v>18.830547109267808</c:v>
                  </c:pt>
                  <c:pt idx="2">
                    <c:v>0.6797176053157773</c:v>
                  </c:pt>
                </c:numCache>
              </c:numRef>
            </c:plus>
            <c:minus>
              <c:numRef>
                <c:f>'Extras 2'!$E$6:$E$8</c:f>
                <c:numCache>
                  <c:formatCode>General</c:formatCode>
                  <c:ptCount val="3"/>
                  <c:pt idx="0">
                    <c:v>18.197473587032579</c:v>
                  </c:pt>
                  <c:pt idx="1">
                    <c:v>18.830547109267808</c:v>
                  </c:pt>
                  <c:pt idx="2">
                    <c:v>0.6797176053157773</c:v>
                  </c:pt>
                </c:numCache>
              </c:numRef>
            </c:minus>
            <c:spPr>
              <a:noFill/>
              <a:ln w="9525" cap="flat" cmpd="sng" algn="ctr">
                <a:solidFill>
                  <a:schemeClr val="tx1"/>
                </a:solidFill>
                <a:round/>
              </a:ln>
              <a:effectLst/>
            </c:spPr>
          </c:errBars>
          <c:val>
            <c:numRef>
              <c:f>'Extras 2'!$D$6:$D$8</c:f>
              <c:numCache>
                <c:formatCode>0.00</c:formatCode>
                <c:ptCount val="3"/>
                <c:pt idx="0">
                  <c:v>12.495679742683235</c:v>
                </c:pt>
                <c:pt idx="1">
                  <c:v>17.918406732435148</c:v>
                </c:pt>
                <c:pt idx="2">
                  <c:v>0.49322352499942279</c:v>
                </c:pt>
              </c:numCache>
            </c:numRef>
          </c:val>
          <c:extLst>
            <c:ext xmlns:c16="http://schemas.microsoft.com/office/drawing/2014/chart" uri="{C3380CC4-5D6E-409C-BE32-E72D297353CC}">
              <c16:uniqueId val="{00000002-780F-4D9C-8C87-3958CD09DC9C}"/>
            </c:ext>
          </c:extLst>
        </c:ser>
        <c:dLbls>
          <c:dLblPos val="outEnd"/>
          <c:showLegendKey val="0"/>
          <c:showVal val="1"/>
          <c:showCatName val="0"/>
          <c:showSerName val="0"/>
          <c:showPercent val="0"/>
          <c:showBubbleSize val="0"/>
        </c:dLbls>
        <c:gapWidth val="150"/>
        <c:axId val="908788000"/>
        <c:axId val="908788416"/>
      </c:barChart>
      <c:catAx>
        <c:axId val="9087880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Cycle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908788416"/>
        <c:crosses val="autoZero"/>
        <c:auto val="1"/>
        <c:lblAlgn val="ctr"/>
        <c:lblOffset val="100"/>
        <c:noMultiLvlLbl val="0"/>
      </c:catAx>
      <c:valAx>
        <c:axId val="908788416"/>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Selenate (ppm)</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908788000"/>
        <c:crosses val="autoZero"/>
        <c:crossBetween val="between"/>
      </c:valAx>
      <c:spPr>
        <a:noFill/>
        <a:ln>
          <a:solidFill>
            <a:schemeClr val="tx1"/>
          </a:solidFill>
        </a:ln>
        <a:effectLst/>
      </c:spPr>
    </c:plotArea>
    <c:legend>
      <c:legendPos val="r"/>
      <c:layout>
        <c:manualLayout>
          <c:xMode val="edge"/>
          <c:yMode val="edge"/>
          <c:x val="0.26889741907261594"/>
          <c:y val="7.0022601341498986E-2"/>
          <c:w val="0.20267935024664072"/>
          <c:h val="0.234376640419947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8937007874017"/>
          <c:y val="5.0925925925925923E-2"/>
          <c:w val="0.83155249343832016"/>
          <c:h val="0.74350320793234181"/>
        </c:manualLayout>
      </c:layout>
      <c:barChart>
        <c:barDir val="col"/>
        <c:grouping val="clustered"/>
        <c:varyColors val="0"/>
        <c:ser>
          <c:idx val="0"/>
          <c:order val="0"/>
          <c:tx>
            <c:v>Feed Selenite</c:v>
          </c:tx>
          <c:spPr>
            <a:solidFill>
              <a:schemeClr val="accent1"/>
            </a:solidFill>
            <a:ln>
              <a:noFill/>
            </a:ln>
            <a:effectLst/>
          </c:spPr>
          <c:invertIfNegative val="0"/>
          <c:dLbls>
            <c:delete val="1"/>
          </c:dLbls>
          <c:val>
            <c:numRef>
              <c:f>'Extras 2'!$C$6:$C$8</c:f>
              <c:numCache>
                <c:formatCode>General</c:formatCode>
                <c:ptCount val="3"/>
                <c:pt idx="0">
                  <c:v>500</c:v>
                </c:pt>
                <c:pt idx="1">
                  <c:v>500</c:v>
                </c:pt>
                <c:pt idx="2">
                  <c:v>500</c:v>
                </c:pt>
              </c:numCache>
            </c:numRef>
          </c:val>
          <c:extLst>
            <c:ext xmlns:c16="http://schemas.microsoft.com/office/drawing/2014/chart" uri="{C3380CC4-5D6E-409C-BE32-E72D297353CC}">
              <c16:uniqueId val="{00000000-46B2-4C14-8F72-E856A78C0BBA}"/>
            </c:ext>
          </c:extLst>
        </c:ser>
        <c:ser>
          <c:idx val="1"/>
          <c:order val="1"/>
          <c:tx>
            <c:v>DPA</c:v>
          </c:tx>
          <c:spPr>
            <a:solidFill>
              <a:srgbClr val="D773AF"/>
            </a:solidFill>
            <a:ln>
              <a:noFill/>
            </a:ln>
            <a:effectLst/>
          </c:spPr>
          <c:invertIfNegative val="0"/>
          <c:dLbls>
            <c:dLbl>
              <c:idx val="0"/>
              <c:layout>
                <c:manualLayout>
                  <c:x val="5.6167153448663222E-2"/>
                  <c:y val="3.74461711290013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B2-4C14-8F72-E856A78C0BBA}"/>
                </c:ext>
              </c:extLst>
            </c:dLbl>
            <c:dLbl>
              <c:idx val="1"/>
              <c:layout>
                <c:manualLayout>
                  <c:x val="1.3888888888888788E-2"/>
                  <c:y val="-1.38888888888889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B2-4C14-8F72-E856A78C0BBA}"/>
                </c:ext>
              </c:extLst>
            </c:dLbl>
            <c:dLbl>
              <c:idx val="2"/>
              <c:layout>
                <c:manualLayout>
                  <c:x val="-3.8193664345090993E-2"/>
                  <c:y val="-7.4892342258004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6B2-4C14-8F72-E856A78C0BB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'Extras 2'!$E$42:$E$44</c:f>
                <c:numCache>
                  <c:formatCode>General</c:formatCode>
                  <c:ptCount val="3"/>
                  <c:pt idx="0">
                    <c:v>312.31257953802765</c:v>
                  </c:pt>
                  <c:pt idx="1">
                    <c:v>1.667856222483564</c:v>
                  </c:pt>
                  <c:pt idx="2">
                    <c:v>285.97924971717447</c:v>
                  </c:pt>
                </c:numCache>
              </c:numRef>
            </c:plus>
            <c:minus>
              <c:numRef>
                <c:f>'Extras 2'!$E$42:$E$44</c:f>
                <c:numCache>
                  <c:formatCode>General</c:formatCode>
                  <c:ptCount val="3"/>
                  <c:pt idx="0">
                    <c:v>312.31257953802765</c:v>
                  </c:pt>
                  <c:pt idx="1">
                    <c:v>1.667856222483564</c:v>
                  </c:pt>
                  <c:pt idx="2">
                    <c:v>285.97924971717447</c:v>
                  </c:pt>
                </c:numCache>
              </c:numRef>
            </c:minus>
            <c:spPr>
              <a:noFill/>
              <a:ln w="9525" cap="flat" cmpd="sng" algn="ctr">
                <a:solidFill>
                  <a:schemeClr val="tx1">
                    <a:lumMod val="65000"/>
                    <a:lumOff val="35000"/>
                  </a:schemeClr>
                </a:solidFill>
                <a:round/>
              </a:ln>
              <a:effectLst/>
            </c:spPr>
          </c:errBars>
          <c:val>
            <c:numRef>
              <c:f>'Extras 2'!$D$42:$D$44</c:f>
              <c:numCache>
                <c:formatCode>0.00</c:formatCode>
                <c:ptCount val="3"/>
                <c:pt idx="0">
                  <c:v>493.75665934998023</c:v>
                </c:pt>
                <c:pt idx="1">
                  <c:v>395.22274676603411</c:v>
                </c:pt>
                <c:pt idx="2">
                  <c:v>535.40563241012762</c:v>
                </c:pt>
              </c:numCache>
            </c:numRef>
          </c:val>
          <c:extLst>
            <c:ext xmlns:c16="http://schemas.microsoft.com/office/drawing/2014/chart" uri="{C3380CC4-5D6E-409C-BE32-E72D297353CC}">
              <c16:uniqueId val="{00000002-46B2-4C14-8F72-E856A78C0BBA}"/>
            </c:ext>
          </c:extLst>
        </c:ser>
        <c:ser>
          <c:idx val="2"/>
          <c:order val="2"/>
          <c:tx>
            <c:v>DA</c:v>
          </c:tx>
          <c:spPr>
            <a:solidFill>
              <a:schemeClr val="accent4">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'Extras 2'!$E$18:$E$20</c:f>
                <c:numCache>
                  <c:formatCode>General</c:formatCode>
                  <c:ptCount val="3"/>
                  <c:pt idx="0">
                    <c:v>0.16028323079998008</c:v>
                  </c:pt>
                  <c:pt idx="1">
                    <c:v>6.1310435449696481</c:v>
                  </c:pt>
                  <c:pt idx="2">
                    <c:v>2.2888773727646385</c:v>
                  </c:pt>
                </c:numCache>
              </c:numRef>
            </c:plus>
            <c:minus>
              <c:numRef>
                <c:f>'Extras 2'!$E$18:$E$20</c:f>
                <c:numCache>
                  <c:formatCode>General</c:formatCode>
                  <c:ptCount val="3"/>
                  <c:pt idx="0">
                    <c:v>0.16028323079998008</c:v>
                  </c:pt>
                  <c:pt idx="1">
                    <c:v>6.1310435449696481</c:v>
                  </c:pt>
                  <c:pt idx="2">
                    <c:v>2.2888773727646385</c:v>
                  </c:pt>
                </c:numCache>
              </c:numRef>
            </c:minus>
            <c:spPr>
              <a:noFill/>
              <a:ln w="9525" cap="flat" cmpd="sng" algn="ctr">
                <a:solidFill>
                  <a:schemeClr val="tx1"/>
                </a:solidFill>
                <a:round/>
              </a:ln>
              <a:effectLst/>
            </c:spPr>
          </c:errBars>
          <c:val>
            <c:numRef>
              <c:f>'Extras 2'!$D$18:$D$20</c:f>
              <c:numCache>
                <c:formatCode>0.00</c:formatCode>
                <c:ptCount val="3"/>
                <c:pt idx="0">
                  <c:v>2.7800411544981585</c:v>
                </c:pt>
                <c:pt idx="1">
                  <c:v>9.8889593031283702</c:v>
                </c:pt>
                <c:pt idx="2">
                  <c:v>5.9543991414414936</c:v>
                </c:pt>
              </c:numCache>
            </c:numRef>
          </c:val>
          <c:extLst>
            <c:ext xmlns:c16="http://schemas.microsoft.com/office/drawing/2014/chart" uri="{C3380CC4-5D6E-409C-BE32-E72D297353CC}">
              <c16:uniqueId val="{00000003-46B2-4C14-8F72-E856A78C0BBA}"/>
            </c:ext>
          </c:extLst>
        </c:ser>
        <c:dLbls>
          <c:dLblPos val="outEnd"/>
          <c:showLegendKey val="0"/>
          <c:showVal val="1"/>
          <c:showCatName val="0"/>
          <c:showSerName val="0"/>
          <c:showPercent val="0"/>
          <c:showBubbleSize val="0"/>
        </c:dLbls>
        <c:gapWidth val="150"/>
        <c:axId val="908788000"/>
        <c:axId val="908788416"/>
      </c:barChart>
      <c:catAx>
        <c:axId val="908788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Cycle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8788416"/>
        <c:crosses val="autoZero"/>
        <c:auto val="1"/>
        <c:lblAlgn val="ctr"/>
        <c:lblOffset val="100"/>
        <c:noMultiLvlLbl val="0"/>
      </c:catAx>
      <c:valAx>
        <c:axId val="908788416"/>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Selenite (ppm)</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908788000"/>
        <c:crosses val="autoZero"/>
        <c:crossBetween val="between"/>
      </c:valAx>
      <c:spPr>
        <a:noFill/>
        <a:ln>
          <a:solidFill>
            <a:schemeClr val="tx1"/>
          </a:solidFill>
        </a:ln>
        <a:effectLst/>
      </c:spPr>
    </c:plotArea>
    <c:legend>
      <c:legendPos val="r"/>
      <c:layout>
        <c:manualLayout>
          <c:xMode val="edge"/>
          <c:yMode val="edge"/>
          <c:x val="0.31607778133552222"/>
          <c:y val="8.5001039352387633E-2"/>
          <c:w val="0.20425048250680639"/>
          <c:h val="0.234376640419947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4">
                <a:lumMod val="75000"/>
              </a:schemeClr>
            </a:solidFill>
            <a:ln>
              <a:noFill/>
            </a:ln>
            <a:effectLst/>
          </c:spPr>
          <c:invertIfNegative val="0"/>
          <c:dPt>
            <c:idx val="2"/>
            <c:invertIfNegative val="0"/>
            <c:bubble3D val="0"/>
            <c:spPr>
              <a:solidFill>
                <a:srgbClr val="D773AF"/>
              </a:solidFill>
              <a:ln>
                <a:noFill/>
              </a:ln>
              <a:effectLst/>
            </c:spPr>
            <c:extLst>
              <c:ext xmlns:c16="http://schemas.microsoft.com/office/drawing/2014/chart" uri="{C3380CC4-5D6E-409C-BE32-E72D297353CC}">
                <c16:uniqueId val="{00000001-3DD1-4932-9B95-7B05A7D54479}"/>
              </c:ext>
            </c:extLst>
          </c:dPt>
          <c:dPt>
            <c:idx val="3"/>
            <c:invertIfNegative val="0"/>
            <c:bubble3D val="0"/>
            <c:spPr>
              <a:solidFill>
                <a:srgbClr val="D773AF"/>
              </a:solidFill>
              <a:ln>
                <a:noFill/>
              </a:ln>
              <a:effectLst/>
            </c:spPr>
            <c:extLst>
              <c:ext xmlns:c16="http://schemas.microsoft.com/office/drawing/2014/chart" uri="{C3380CC4-5D6E-409C-BE32-E72D297353CC}">
                <c16:uniqueId val="{00000003-3DD1-4932-9B95-7B05A7D54479}"/>
              </c:ext>
            </c:extLst>
          </c:dPt>
          <c:dLbls>
            <c:dLbl>
              <c:idx val="0"/>
              <c:layout>
                <c:manualLayout>
                  <c:x val="8.3333333333333329E-2"/>
                  <c:y val="0.1296296296296296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D1-4932-9B95-7B05A7D54479}"/>
                </c:ext>
              </c:extLst>
            </c:dLbl>
            <c:dLbl>
              <c:idx val="1"/>
              <c:layout>
                <c:manualLayout>
                  <c:x val="8.3333333333333329E-2"/>
                  <c:y val="0.1064814814814814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D1-4932-9B95-7B05A7D54479}"/>
                </c:ext>
              </c:extLst>
            </c:dLbl>
            <c:dLbl>
              <c:idx val="2"/>
              <c:layout>
                <c:manualLayout>
                  <c:x val="5.2777777777777674E-2"/>
                  <c:y val="-2.77777777777778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D1-4932-9B95-7B05A7D54479}"/>
                </c:ext>
              </c:extLst>
            </c:dLbl>
            <c:dLbl>
              <c:idx val="3"/>
              <c:layout>
                <c:manualLayout>
                  <c:x val="0.05"/>
                  <c:y val="-2.77777777777778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D1-4932-9B95-7B05A7D54479}"/>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'Exp 3'!$R$54:$R$57</c:f>
                <c:numCache>
                  <c:formatCode>General</c:formatCode>
                  <c:ptCount val="4"/>
                  <c:pt idx="0">
                    <c:v>2.8582294063782698</c:v>
                  </c:pt>
                  <c:pt idx="1">
                    <c:v>0.77136932703333738</c:v>
                  </c:pt>
                  <c:pt idx="2">
                    <c:v>22.663931968571411</c:v>
                  </c:pt>
                  <c:pt idx="3">
                    <c:v>46.370424474750706</c:v>
                  </c:pt>
                </c:numCache>
              </c:numRef>
            </c:plus>
            <c:minus>
              <c:numRef>
                <c:f>'Exp 3'!$R$54:$R$57</c:f>
                <c:numCache>
                  <c:formatCode>General</c:formatCode>
                  <c:ptCount val="4"/>
                  <c:pt idx="0">
                    <c:v>2.8582294063782698</c:v>
                  </c:pt>
                  <c:pt idx="1">
                    <c:v>0.77136932703333738</c:v>
                  </c:pt>
                  <c:pt idx="2">
                    <c:v>22.663931968571411</c:v>
                  </c:pt>
                  <c:pt idx="3">
                    <c:v>46.370424474750706</c:v>
                  </c:pt>
                </c:numCache>
              </c:numRef>
            </c:minus>
            <c:spPr>
              <a:noFill/>
              <a:ln w="9525" cap="flat" cmpd="sng" algn="ctr">
                <a:solidFill>
                  <a:schemeClr val="tx1"/>
                </a:solidFill>
                <a:round/>
              </a:ln>
              <a:effectLst/>
            </c:spPr>
          </c:errBars>
          <c:cat>
            <c:strRef>
              <c:f>'Exp 3'!$P$54:$P$57</c:f>
              <c:strCache>
                <c:ptCount val="4"/>
                <c:pt idx="0">
                  <c:v>Selenate in DA</c:v>
                </c:pt>
                <c:pt idx="1">
                  <c:v>Selenite in DA</c:v>
                </c:pt>
                <c:pt idx="2">
                  <c:v>Selenate in DPA</c:v>
                </c:pt>
                <c:pt idx="3">
                  <c:v>Selenite in DPA</c:v>
                </c:pt>
              </c:strCache>
            </c:strRef>
          </c:cat>
          <c:val>
            <c:numRef>
              <c:f>'Exp 3'!$Q$54:$Q$57</c:f>
              <c:numCache>
                <c:formatCode>0.00</c:formatCode>
                <c:ptCount val="4"/>
                <c:pt idx="0">
                  <c:v>98.129911918302042</c:v>
                </c:pt>
                <c:pt idx="1">
                  <c:v>98.838518474364093</c:v>
                </c:pt>
                <c:pt idx="2">
                  <c:v>4.1402475896912714</c:v>
                </c:pt>
                <c:pt idx="3">
                  <c:v>8.1845001491779996</c:v>
                </c:pt>
              </c:numCache>
            </c:numRef>
          </c:val>
          <c:extLst>
            <c:ext xmlns:c16="http://schemas.microsoft.com/office/drawing/2014/chart" uri="{C3380CC4-5D6E-409C-BE32-E72D297353CC}">
              <c16:uniqueId val="{00000006-3DD1-4932-9B95-7B05A7D54479}"/>
            </c:ext>
          </c:extLst>
        </c:ser>
        <c:dLbls>
          <c:dLblPos val="outEnd"/>
          <c:showLegendKey val="0"/>
          <c:showVal val="1"/>
          <c:showCatName val="0"/>
          <c:showSerName val="0"/>
          <c:showPercent val="0"/>
          <c:showBubbleSize val="0"/>
        </c:dLbls>
        <c:gapWidth val="219"/>
        <c:overlap val="-27"/>
        <c:axId val="481946784"/>
        <c:axId val="481949696"/>
      </c:barChart>
      <c:catAx>
        <c:axId val="4819467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dirty="0">
                    <a:solidFill>
                      <a:schemeClr val="tx1"/>
                    </a:solidFill>
                  </a:rPr>
                  <a:t>Trial</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81949696"/>
        <c:crosses val="autoZero"/>
        <c:auto val="1"/>
        <c:lblAlgn val="ctr"/>
        <c:lblOffset val="100"/>
        <c:noMultiLvlLbl val="0"/>
      </c:catAx>
      <c:valAx>
        <c:axId val="481949696"/>
        <c:scaling>
          <c:orientation val="minMax"/>
          <c:max val="100"/>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Solute</a:t>
                </a:r>
                <a:r>
                  <a:rPr lang="en-US" sz="1200" baseline="0">
                    <a:solidFill>
                      <a:schemeClr val="tx1"/>
                    </a:solidFill>
                  </a:rPr>
                  <a:t> Rejection %</a:t>
                </a:r>
                <a:endParaRPr lang="en-US" sz="1200">
                  <a:solidFill>
                    <a:schemeClr val="tx1"/>
                  </a:solidFill>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81946784"/>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78937007874017"/>
          <c:y val="5.0925925925925923E-2"/>
          <c:w val="0.83155249343832016"/>
          <c:h val="0.74350320793234181"/>
        </c:manualLayout>
      </c:layout>
      <c:barChart>
        <c:barDir val="col"/>
        <c:grouping val="clustered"/>
        <c:varyColors val="0"/>
        <c:ser>
          <c:idx val="0"/>
          <c:order val="0"/>
          <c:tx>
            <c:v>DA</c:v>
          </c:tx>
          <c:spPr>
            <a:solidFill>
              <a:srgbClr val="FFC000">
                <a:lumMod val="75000"/>
              </a:srgbClr>
            </a:solidFill>
            <a:ln>
              <a:noFill/>
            </a:ln>
            <a:effectLst/>
          </c:spPr>
          <c:invertIfNegative val="0"/>
          <c:dLbls>
            <c:dLbl>
              <c:idx val="0"/>
              <c:layout>
                <c:manualLayout>
                  <c:x val="-2.9521934859176797E-17"/>
                  <c:y val="-2.91864249571051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58-4CCB-A59C-1227F12C664A}"/>
                </c:ext>
              </c:extLst>
            </c:dLbl>
            <c:dLbl>
              <c:idx val="1"/>
              <c:layout>
                <c:manualLayout>
                  <c:x val="3.2206119162640902E-3"/>
                  <c:y val="-2.62677824613946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58-4CCB-A59C-1227F12C664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'Exp 4'!$Q$22:$Q$23</c:f>
                <c:numCache>
                  <c:formatCode>General</c:formatCode>
                  <c:ptCount val="2"/>
                  <c:pt idx="0">
                    <c:v>2.7948930653007662</c:v>
                  </c:pt>
                  <c:pt idx="1">
                    <c:v>1.1353936865613488</c:v>
                  </c:pt>
                </c:numCache>
              </c:numRef>
            </c:plus>
            <c:minus>
              <c:numRef>
                <c:f>'Exp 4'!$Q$22:$Q$23</c:f>
                <c:numCache>
                  <c:formatCode>General</c:formatCode>
                  <c:ptCount val="2"/>
                  <c:pt idx="0">
                    <c:v>2.7948930653007662</c:v>
                  </c:pt>
                  <c:pt idx="1">
                    <c:v>1.1353936865613488</c:v>
                  </c:pt>
                </c:numCache>
              </c:numRef>
            </c:minus>
            <c:spPr>
              <a:noFill/>
              <a:ln w="9525" cap="flat" cmpd="sng" algn="ctr">
                <a:solidFill>
                  <a:schemeClr val="tx1"/>
                </a:solidFill>
                <a:round/>
              </a:ln>
              <a:effectLst/>
            </c:spPr>
          </c:errBars>
          <c:cat>
            <c:strRef>
              <c:f>'Exp 4'!$O$22:$O$23</c:f>
              <c:strCache>
                <c:ptCount val="2"/>
                <c:pt idx="0">
                  <c:v>Selenate</c:v>
                </c:pt>
                <c:pt idx="1">
                  <c:v>NaCl</c:v>
                </c:pt>
              </c:strCache>
            </c:strRef>
          </c:cat>
          <c:val>
            <c:numRef>
              <c:f>'Exp 4'!$P$22:$P$23</c:f>
              <c:numCache>
                <c:formatCode>0.00</c:formatCode>
                <c:ptCount val="2"/>
                <c:pt idx="0">
                  <c:v>96.821432436681974</c:v>
                </c:pt>
                <c:pt idx="1">
                  <c:v>95.515642748509421</c:v>
                </c:pt>
              </c:numCache>
            </c:numRef>
          </c:val>
          <c:extLst>
            <c:ext xmlns:c16="http://schemas.microsoft.com/office/drawing/2014/chart" uri="{C3380CC4-5D6E-409C-BE32-E72D297353CC}">
              <c16:uniqueId val="{00000002-0758-4CCB-A59C-1227F12C664A}"/>
            </c:ext>
          </c:extLst>
        </c:ser>
        <c:ser>
          <c:idx val="1"/>
          <c:order val="1"/>
          <c:tx>
            <c:v>DPA</c:v>
          </c:tx>
          <c:spPr>
            <a:solidFill>
              <a:srgbClr val="D773AF"/>
            </a:solidFill>
            <a:ln>
              <a:noFill/>
            </a:ln>
            <a:effectLst/>
          </c:spPr>
          <c:invertIfNegative val="0"/>
          <c:dLbls>
            <c:dLbl>
              <c:idx val="0"/>
              <c:layout>
                <c:manualLayout>
                  <c:x val="-5.0925337632079971E-17"/>
                  <c:y val="-5.0925925925925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58-4CCB-A59C-1227F12C664A}"/>
                </c:ext>
              </c:extLst>
            </c:dLbl>
            <c:dLbl>
              <c:idx val="1"/>
              <c:layout>
                <c:manualLayout>
                  <c:x val="8.3333333333333332E-3"/>
                  <c:y val="-5.0925925925925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758-4CCB-A59C-1227F12C664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'Exp 4'!$S$22:$S$23</c:f>
                <c:numCache>
                  <c:formatCode>General</c:formatCode>
                  <c:ptCount val="2"/>
                  <c:pt idx="0">
                    <c:v>6.782600630717849</c:v>
                  </c:pt>
                  <c:pt idx="1">
                    <c:v>7.8142352375612862</c:v>
                  </c:pt>
                </c:numCache>
              </c:numRef>
            </c:plus>
            <c:minus>
              <c:numRef>
                <c:f>'Exp 4'!$S$22:$S$23</c:f>
                <c:numCache>
                  <c:formatCode>General</c:formatCode>
                  <c:ptCount val="2"/>
                  <c:pt idx="0">
                    <c:v>6.782600630717849</c:v>
                  </c:pt>
                  <c:pt idx="1">
                    <c:v>7.8142352375612862</c:v>
                  </c:pt>
                </c:numCache>
              </c:numRef>
            </c:minus>
            <c:spPr>
              <a:noFill/>
              <a:ln w="9525" cap="flat" cmpd="sng" algn="ctr">
                <a:solidFill>
                  <a:schemeClr val="tx1"/>
                </a:solidFill>
                <a:round/>
              </a:ln>
              <a:effectLst/>
            </c:spPr>
          </c:errBars>
          <c:cat>
            <c:strRef>
              <c:f>'Exp 4'!$O$22:$O$23</c:f>
              <c:strCache>
                <c:ptCount val="2"/>
                <c:pt idx="0">
                  <c:v>Selenate</c:v>
                </c:pt>
                <c:pt idx="1">
                  <c:v>NaCl</c:v>
                </c:pt>
              </c:strCache>
            </c:strRef>
          </c:cat>
          <c:val>
            <c:numRef>
              <c:f>'Exp 4'!$R$22:$R$23</c:f>
              <c:numCache>
                <c:formatCode>0.00</c:formatCode>
                <c:ptCount val="2"/>
                <c:pt idx="0">
                  <c:v>86.419616700523875</c:v>
                </c:pt>
                <c:pt idx="1">
                  <c:v>74.073963231083852</c:v>
                </c:pt>
              </c:numCache>
            </c:numRef>
          </c:val>
          <c:extLst>
            <c:ext xmlns:c16="http://schemas.microsoft.com/office/drawing/2014/chart" uri="{C3380CC4-5D6E-409C-BE32-E72D297353CC}">
              <c16:uniqueId val="{00000005-0758-4CCB-A59C-1227F12C664A}"/>
            </c:ext>
          </c:extLst>
        </c:ser>
        <c:dLbls>
          <c:dLblPos val="outEnd"/>
          <c:showLegendKey val="0"/>
          <c:showVal val="1"/>
          <c:showCatName val="0"/>
          <c:showSerName val="0"/>
          <c:showPercent val="0"/>
          <c:showBubbleSize val="0"/>
        </c:dLbls>
        <c:gapWidth val="150"/>
        <c:axId val="908788000"/>
        <c:axId val="908788416"/>
      </c:barChart>
      <c:catAx>
        <c:axId val="9087880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908788416"/>
        <c:crosses val="autoZero"/>
        <c:auto val="1"/>
        <c:lblAlgn val="ctr"/>
        <c:lblOffset val="100"/>
        <c:noMultiLvlLbl val="0"/>
      </c:catAx>
      <c:valAx>
        <c:axId val="908788416"/>
        <c:scaling>
          <c:orientation val="minMax"/>
          <c:min val="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a:solidFill>
                      <a:schemeClr val="tx1"/>
                    </a:solidFill>
                  </a:rPr>
                  <a:t>Solute Rejection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908788000"/>
        <c:crosses val="autoZero"/>
        <c:crossBetween val="between"/>
      </c:valAx>
      <c:spPr>
        <a:noFill/>
        <a:ln>
          <a:solidFill>
            <a:schemeClr val="tx1"/>
          </a:solidFill>
        </a:ln>
        <a:effectLst/>
      </c:spPr>
    </c:plotArea>
    <c:legend>
      <c:legendPos val="r"/>
      <c:layout>
        <c:manualLayout>
          <c:xMode val="edge"/>
          <c:yMode val="edge"/>
          <c:x val="0.49389741907261592"/>
          <c:y val="8.8541119860017503E-2"/>
          <c:w val="0.11310738331621591"/>
          <c:h val="0.2350543671854496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12270341207349"/>
          <c:y val="5.0925925925925923E-2"/>
          <c:w val="0.79765069991251081"/>
          <c:h val="0.69264654418197724"/>
        </c:manualLayout>
      </c:layout>
      <c:barChart>
        <c:barDir val="col"/>
        <c:grouping val="clustered"/>
        <c:varyColors val="0"/>
        <c:ser>
          <c:idx val="0"/>
          <c:order val="0"/>
          <c:tx>
            <c:v>DA</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'Exp 3'!$E$57:$E$62</c:f>
                <c:numCache>
                  <c:formatCode>General</c:formatCode>
                  <c:ptCount val="6"/>
                  <c:pt idx="0">
                    <c:v>4.3158338045586657E-2</c:v>
                  </c:pt>
                  <c:pt idx="1">
                    <c:v>3.858868933307328E-2</c:v>
                  </c:pt>
                  <c:pt idx="2">
                    <c:v>1.6493129882873454E-2</c:v>
                  </c:pt>
                  <c:pt idx="3">
                    <c:v>2.0638088920384899E-2</c:v>
                  </c:pt>
                  <c:pt idx="4">
                    <c:v>1.3750636348911282E-2</c:v>
                  </c:pt>
                  <c:pt idx="5">
                    <c:v>1.8867659405145405E-2</c:v>
                  </c:pt>
                </c:numCache>
              </c:numRef>
            </c:plus>
            <c:minus>
              <c:numRef>
                <c:f>'Exp 3'!$E$57:$E$62</c:f>
                <c:numCache>
                  <c:formatCode>General</c:formatCode>
                  <c:ptCount val="6"/>
                  <c:pt idx="0">
                    <c:v>4.3158338045586657E-2</c:v>
                  </c:pt>
                  <c:pt idx="1">
                    <c:v>3.858868933307328E-2</c:v>
                  </c:pt>
                  <c:pt idx="2">
                    <c:v>1.6493129882873454E-2</c:v>
                  </c:pt>
                  <c:pt idx="3">
                    <c:v>2.0638088920384899E-2</c:v>
                  </c:pt>
                  <c:pt idx="4">
                    <c:v>1.3750636348911282E-2</c:v>
                  </c:pt>
                  <c:pt idx="5">
                    <c:v>1.8867659405145405E-2</c:v>
                  </c:pt>
                </c:numCache>
              </c:numRef>
            </c:minus>
            <c:spPr>
              <a:noFill/>
              <a:ln w="9525" cap="flat" cmpd="sng" algn="ctr">
                <a:solidFill>
                  <a:schemeClr val="tx1"/>
                </a:solidFill>
                <a:round/>
              </a:ln>
              <a:effectLst/>
            </c:spPr>
          </c:errBars>
          <c:cat>
            <c:strRef>
              <c:f>'Exp 3'!$C$57:$C$62</c:f>
              <c:strCache>
                <c:ptCount val="6"/>
                <c:pt idx="0">
                  <c:v>500 ppm SeO3</c:v>
                </c:pt>
                <c:pt idx="1">
                  <c:v>500 ppm SeO4</c:v>
                </c:pt>
                <c:pt idx="2">
                  <c:v>Synthetic FGD</c:v>
                </c:pt>
                <c:pt idx="3">
                  <c:v>3.5 wt% NaCl</c:v>
                </c:pt>
                <c:pt idx="4">
                  <c:v>1.0 M NaCl</c:v>
                </c:pt>
                <c:pt idx="5">
                  <c:v>4.0 M NaCl</c:v>
                </c:pt>
              </c:strCache>
            </c:strRef>
          </c:cat>
          <c:val>
            <c:numRef>
              <c:f>'Exp 3'!$D$57:$D$62</c:f>
              <c:numCache>
                <c:formatCode>0.000</c:formatCode>
                <c:ptCount val="6"/>
                <c:pt idx="0">
                  <c:v>0.16157500000000002</c:v>
                </c:pt>
                <c:pt idx="1">
                  <c:v>7.8277777777777779E-2</c:v>
                </c:pt>
                <c:pt idx="2">
                  <c:v>4.0833333333333333E-2</c:v>
                </c:pt>
                <c:pt idx="3">
                  <c:v>4.5475000000000002E-2</c:v>
                </c:pt>
                <c:pt idx="4">
                  <c:v>4.5449999999999997E-2</c:v>
                </c:pt>
                <c:pt idx="5">
                  <c:v>3.7749999999999999E-2</c:v>
                </c:pt>
              </c:numCache>
            </c:numRef>
          </c:val>
          <c:extLst>
            <c:ext xmlns:c16="http://schemas.microsoft.com/office/drawing/2014/chart" uri="{C3380CC4-5D6E-409C-BE32-E72D297353CC}">
              <c16:uniqueId val="{00000000-892C-41FA-B9EE-8FA73C408BA7}"/>
            </c:ext>
          </c:extLst>
        </c:ser>
        <c:ser>
          <c:idx val="1"/>
          <c:order val="1"/>
          <c:tx>
            <c:v>DPA</c:v>
          </c:tx>
          <c:spPr>
            <a:solidFill>
              <a:schemeClr val="accent2"/>
            </a:solidFill>
            <a:ln>
              <a:noFill/>
            </a:ln>
            <a:effectLst/>
          </c:spPr>
          <c:invertIfNegative val="0"/>
          <c:dLbls>
            <c:dLbl>
              <c:idx val="0"/>
              <c:layout>
                <c:manualLayout>
                  <c:x val="6.1111111111111109E-2"/>
                  <c:y val="7.87037037037037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2C-41FA-B9EE-8FA73C408BA7}"/>
                </c:ext>
              </c:extLst>
            </c:dLbl>
            <c:dLbl>
              <c:idx val="1"/>
              <c:layout>
                <c:manualLayout>
                  <c:x val="4.1666666666666664E-2"/>
                  <c:y val="1.38888888888888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2C-41FA-B9EE-8FA73C408BA7}"/>
                </c:ext>
              </c:extLst>
            </c:dLbl>
            <c:dLbl>
              <c:idx val="3"/>
              <c:layout>
                <c:manualLayout>
                  <c:x val="0.05"/>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2C-41FA-B9EE-8FA73C408BA7}"/>
                </c:ext>
              </c:extLst>
            </c:dLbl>
            <c:dLbl>
              <c:idx val="4"/>
              <c:layout>
                <c:manualLayout>
                  <c:x val="5.833333333333333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92C-41FA-B9EE-8FA73C408BA7}"/>
                </c:ext>
              </c:extLst>
            </c:dLbl>
            <c:dLbl>
              <c:idx val="5"/>
              <c:layout>
                <c:manualLayout>
                  <c:x val="-4.1666666666666873E-2"/>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92C-41FA-B9EE-8FA73C408B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'Exp 3'!$G$57:$G$62</c:f>
                <c:numCache>
                  <c:formatCode>General</c:formatCode>
                  <c:ptCount val="6"/>
                  <c:pt idx="0">
                    <c:v>0.30589986015760823</c:v>
                  </c:pt>
                  <c:pt idx="1">
                    <c:v>0.42716141123701701</c:v>
                  </c:pt>
                  <c:pt idx="2">
                    <c:v>0.24241135149438292</c:v>
                  </c:pt>
                  <c:pt idx="3">
                    <c:v>0.14385338407945469</c:v>
                  </c:pt>
                  <c:pt idx="4">
                    <c:v>8.9630632474493752E-2</c:v>
                  </c:pt>
                  <c:pt idx="5">
                    <c:v>0.22375385351829302</c:v>
                  </c:pt>
                </c:numCache>
              </c:numRef>
            </c:plus>
            <c:minus>
              <c:numRef>
                <c:f>'Exp 3'!$G$57:$G$62</c:f>
                <c:numCache>
                  <c:formatCode>General</c:formatCode>
                  <c:ptCount val="6"/>
                  <c:pt idx="0">
                    <c:v>0.30589986015760823</c:v>
                  </c:pt>
                  <c:pt idx="1">
                    <c:v>0.42716141123701701</c:v>
                  </c:pt>
                  <c:pt idx="2">
                    <c:v>0.24241135149438292</c:v>
                  </c:pt>
                  <c:pt idx="3">
                    <c:v>0.14385338407945469</c:v>
                  </c:pt>
                  <c:pt idx="4">
                    <c:v>8.9630632474493752E-2</c:v>
                  </c:pt>
                  <c:pt idx="5">
                    <c:v>0.22375385351829302</c:v>
                  </c:pt>
                </c:numCache>
              </c:numRef>
            </c:minus>
            <c:spPr>
              <a:noFill/>
              <a:ln w="9525" cap="flat" cmpd="sng" algn="ctr">
                <a:solidFill>
                  <a:schemeClr val="tx1"/>
                </a:solidFill>
                <a:round/>
              </a:ln>
              <a:effectLst/>
            </c:spPr>
          </c:errBars>
          <c:cat>
            <c:strRef>
              <c:f>'Exp 3'!$C$57:$C$62</c:f>
              <c:strCache>
                <c:ptCount val="6"/>
                <c:pt idx="0">
                  <c:v>500 ppm SeO3</c:v>
                </c:pt>
                <c:pt idx="1">
                  <c:v>500 ppm SeO4</c:v>
                </c:pt>
                <c:pt idx="2">
                  <c:v>Synthetic FGD</c:v>
                </c:pt>
                <c:pt idx="3">
                  <c:v>3.5 wt% NaCl</c:v>
                </c:pt>
                <c:pt idx="4">
                  <c:v>1.0 M NaCl</c:v>
                </c:pt>
                <c:pt idx="5">
                  <c:v>4.0 M NaCl</c:v>
                </c:pt>
              </c:strCache>
            </c:strRef>
          </c:cat>
          <c:val>
            <c:numRef>
              <c:f>'Exp 3'!$F$57:$F$62</c:f>
              <c:numCache>
                <c:formatCode>0.00</c:formatCode>
                <c:ptCount val="6"/>
                <c:pt idx="0">
                  <c:v>1.530677777777778</c:v>
                </c:pt>
                <c:pt idx="1">
                  <c:v>1.3561375</c:v>
                </c:pt>
                <c:pt idx="2">
                  <c:v>0.97093333333333331</c:v>
                </c:pt>
                <c:pt idx="3">
                  <c:v>1.0000888888888888</c:v>
                </c:pt>
                <c:pt idx="4">
                  <c:v>0.90204444444444443</c:v>
                </c:pt>
                <c:pt idx="5">
                  <c:v>0.38168749999999996</c:v>
                </c:pt>
              </c:numCache>
            </c:numRef>
          </c:val>
          <c:extLst>
            <c:ext xmlns:c16="http://schemas.microsoft.com/office/drawing/2014/chart" uri="{C3380CC4-5D6E-409C-BE32-E72D297353CC}">
              <c16:uniqueId val="{00000006-892C-41FA-B9EE-8FA73C408BA7}"/>
            </c:ext>
          </c:extLst>
        </c:ser>
        <c:dLbls>
          <c:dLblPos val="outEnd"/>
          <c:showLegendKey val="0"/>
          <c:showVal val="1"/>
          <c:showCatName val="0"/>
          <c:showSerName val="0"/>
          <c:showPercent val="0"/>
          <c:showBubbleSize val="0"/>
        </c:dLbls>
        <c:gapWidth val="219"/>
        <c:overlap val="-27"/>
        <c:axId val="481946784"/>
        <c:axId val="481949696"/>
      </c:barChart>
      <c:catAx>
        <c:axId val="481946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Feed Solution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1949696"/>
        <c:crosses val="autoZero"/>
        <c:auto val="1"/>
        <c:lblAlgn val="ctr"/>
        <c:lblOffset val="100"/>
        <c:noMultiLvlLbl val="0"/>
      </c:catAx>
      <c:valAx>
        <c:axId val="481949696"/>
        <c:scaling>
          <c:orientation val="minMax"/>
          <c:max val="1.6"/>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Water Recovery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1946784"/>
        <c:crosses val="autoZero"/>
        <c:crossBetween val="between"/>
      </c:valAx>
      <c:spPr>
        <a:noFill/>
        <a:ln>
          <a:solidFill>
            <a:schemeClr val="tx1"/>
          </a:solidFill>
        </a:ln>
        <a:effectLst/>
      </c:spPr>
    </c:plotArea>
    <c:legend>
      <c:legendPos val="r"/>
      <c:layout>
        <c:manualLayout>
          <c:xMode val="edge"/>
          <c:yMode val="edge"/>
          <c:x val="0.82977340332458438"/>
          <c:y val="0.10705963837853603"/>
          <c:w val="8.6893263342082236E-2"/>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A87BA-76DF-4035-870C-BF8AF1BA6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59460</Words>
  <Characters>338923</Characters>
  <Application>Microsoft Office Word</Application>
  <DocSecurity>0</DocSecurity>
  <Lines>2824</Lines>
  <Paragraphs>795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Meissner, Michael S.</dc:creator>
  <cp:keywords/>
  <dc:description/>
  <cp:lastModifiedBy>Meissner, Michael S.</cp:lastModifiedBy>
  <cp:revision>2</cp:revision>
  <dcterms:created xsi:type="dcterms:W3CDTF">2022-05-04T23:14:00Z</dcterms:created>
  <dcterms:modified xsi:type="dcterms:W3CDTF">2022-05-04T23:14:00Z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zotero-version="6.0.6"&gt;&lt;session id="yxkCVFK6"/&gt;&lt;style id="http://www.zotero.org/styles/american-chemical-society"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