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8D020" w14:textId="77777777" w:rsidR="00D53BDA" w:rsidRPr="00D53BDA" w:rsidRDefault="00D53BDA" w:rsidP="00D53BDA">
      <w:pPr>
        <w:spacing w:line="480" w:lineRule="auto"/>
        <w:jc w:val="center"/>
        <w:rPr>
          <w:color w:val="000000" w:themeColor="text1"/>
        </w:rPr>
      </w:pPr>
      <w:r w:rsidRPr="00D53BDA">
        <w:rPr>
          <w:color w:val="000000" w:themeColor="text1"/>
        </w:rPr>
        <w:t>UNIVERSITY OF OKLAHOMA</w:t>
      </w:r>
    </w:p>
    <w:p w14:paraId="0D2DC104" w14:textId="0481CCC2" w:rsidR="00D53BDA" w:rsidRDefault="00D53BDA" w:rsidP="00D53BDA">
      <w:pPr>
        <w:spacing w:line="480" w:lineRule="auto"/>
        <w:jc w:val="center"/>
        <w:rPr>
          <w:color w:val="000000" w:themeColor="text1"/>
        </w:rPr>
      </w:pPr>
      <w:r w:rsidRPr="00D53BDA">
        <w:rPr>
          <w:color w:val="000000" w:themeColor="text1"/>
        </w:rPr>
        <w:t>GRADUATE COLLEGE</w:t>
      </w:r>
    </w:p>
    <w:p w14:paraId="15B86995" w14:textId="77777777" w:rsidR="00DB7FAE" w:rsidRPr="00E53644" w:rsidRDefault="00DB7FAE">
      <w:pPr>
        <w:rPr>
          <w:color w:val="000000" w:themeColor="text1"/>
          <w:lang w:eastAsia="ko-KR"/>
        </w:rPr>
      </w:pPr>
    </w:p>
    <w:p w14:paraId="2F52716C" w14:textId="77777777" w:rsidR="00DB7FAE" w:rsidRPr="00E53644" w:rsidRDefault="00DB7FAE">
      <w:pPr>
        <w:rPr>
          <w:color w:val="000000" w:themeColor="text1"/>
        </w:rPr>
      </w:pPr>
    </w:p>
    <w:p w14:paraId="08D61434" w14:textId="77777777" w:rsidR="00DB7FAE" w:rsidRPr="00E53644" w:rsidRDefault="00DB7FAE">
      <w:pPr>
        <w:rPr>
          <w:color w:val="000000" w:themeColor="text1"/>
        </w:rPr>
      </w:pPr>
    </w:p>
    <w:p w14:paraId="66849186" w14:textId="77777777" w:rsidR="00DB7FAE" w:rsidRPr="00E53644" w:rsidRDefault="00DB7FAE">
      <w:pPr>
        <w:rPr>
          <w:color w:val="000000" w:themeColor="text1"/>
        </w:rPr>
      </w:pPr>
    </w:p>
    <w:p w14:paraId="38D1CCEE" w14:textId="63AF9A01" w:rsidR="00680CFA" w:rsidRPr="00E53644" w:rsidRDefault="00680CFA">
      <w:pPr>
        <w:rPr>
          <w:color w:val="000000" w:themeColor="text1"/>
        </w:rPr>
      </w:pPr>
    </w:p>
    <w:p w14:paraId="62B40682" w14:textId="77777777" w:rsidR="00680CFA" w:rsidRPr="00E53644" w:rsidRDefault="00680CFA">
      <w:pPr>
        <w:rPr>
          <w:color w:val="000000" w:themeColor="text1"/>
        </w:rPr>
      </w:pPr>
    </w:p>
    <w:p w14:paraId="05B1CFF0" w14:textId="77777777" w:rsidR="00DB7FAE" w:rsidRPr="00E53644" w:rsidRDefault="00DB7FAE">
      <w:pPr>
        <w:rPr>
          <w:color w:val="000000" w:themeColor="text1"/>
        </w:rPr>
      </w:pPr>
    </w:p>
    <w:p w14:paraId="1182DC3E" w14:textId="77777777" w:rsidR="00DB7FAE" w:rsidRPr="00E53644" w:rsidRDefault="00DB7FAE">
      <w:pPr>
        <w:rPr>
          <w:color w:val="000000" w:themeColor="text1"/>
        </w:rPr>
      </w:pPr>
    </w:p>
    <w:p w14:paraId="6447F6E3" w14:textId="77777777" w:rsidR="00DB7FAE" w:rsidRPr="00E53644" w:rsidRDefault="00DB7FAE">
      <w:pPr>
        <w:rPr>
          <w:color w:val="000000" w:themeColor="text1"/>
        </w:rPr>
      </w:pPr>
    </w:p>
    <w:p w14:paraId="37D73D6E" w14:textId="26D18765" w:rsidR="00DB7FAE" w:rsidRPr="002A13E4" w:rsidRDefault="00D53BDA">
      <w:pPr>
        <w:spacing w:line="480" w:lineRule="auto"/>
        <w:jc w:val="center"/>
        <w:rPr>
          <w:color w:val="000000" w:themeColor="text1"/>
        </w:rPr>
      </w:pPr>
      <w:bookmarkStart w:id="0" w:name="_heading=h.gjdgxs" w:colFirst="0" w:colLast="0"/>
      <w:bookmarkEnd w:id="0"/>
      <w:r w:rsidRPr="002A13E4">
        <w:rPr>
          <w:color w:val="000000" w:themeColor="text1"/>
        </w:rPr>
        <w:t>“SORRY, IT WAS MY FAULT”: REPAIRING TRUST IN HUMAN-ROBOT INTERACTIONS</w:t>
      </w:r>
    </w:p>
    <w:p w14:paraId="34783161" w14:textId="37D52C21" w:rsidR="00D53BDA" w:rsidRDefault="00D53BDA" w:rsidP="00D53BDA">
      <w:pPr>
        <w:spacing w:after="160" w:line="259" w:lineRule="auto"/>
        <w:rPr>
          <w:color w:val="000000" w:themeColor="text1"/>
        </w:rPr>
      </w:pPr>
    </w:p>
    <w:p w14:paraId="080ACE6D" w14:textId="219DD64F" w:rsidR="00D53BDA" w:rsidRDefault="00D53BDA" w:rsidP="003A26FA">
      <w:pPr>
        <w:spacing w:after="160" w:line="259" w:lineRule="auto"/>
        <w:jc w:val="center"/>
        <w:rPr>
          <w:color w:val="000000" w:themeColor="text1"/>
        </w:rPr>
      </w:pPr>
    </w:p>
    <w:p w14:paraId="3F335CB5" w14:textId="30785496" w:rsidR="00D53BDA" w:rsidRDefault="00D53BDA" w:rsidP="003A26FA">
      <w:pPr>
        <w:spacing w:after="160" w:line="259" w:lineRule="auto"/>
        <w:jc w:val="center"/>
        <w:rPr>
          <w:color w:val="000000" w:themeColor="text1"/>
        </w:rPr>
      </w:pPr>
    </w:p>
    <w:p w14:paraId="1351C740" w14:textId="77777777" w:rsidR="00D53BDA" w:rsidRDefault="00D53BDA" w:rsidP="003A26FA">
      <w:pPr>
        <w:spacing w:after="160" w:line="259" w:lineRule="auto"/>
        <w:jc w:val="center"/>
        <w:rPr>
          <w:color w:val="000000" w:themeColor="text1"/>
        </w:rPr>
      </w:pPr>
    </w:p>
    <w:p w14:paraId="5500301F" w14:textId="0F93397E" w:rsidR="00D53BDA" w:rsidRDefault="00D53BDA" w:rsidP="003A26FA">
      <w:pPr>
        <w:spacing w:after="160" w:line="259" w:lineRule="auto"/>
        <w:jc w:val="center"/>
      </w:pPr>
      <w:r>
        <w:t>A THESIS SUBMITTED TO THE GRADUATE FACULTY</w:t>
      </w:r>
    </w:p>
    <w:p w14:paraId="75579737" w14:textId="2AE32FBB" w:rsidR="00D53BDA" w:rsidRDefault="00D53BDA" w:rsidP="00D53BDA">
      <w:pPr>
        <w:spacing w:after="160" w:line="259" w:lineRule="auto"/>
        <w:jc w:val="center"/>
      </w:pPr>
      <w:r>
        <w:t>in partial fulfillment of the requirements for the</w:t>
      </w:r>
    </w:p>
    <w:p w14:paraId="09344DF3" w14:textId="7F7B7B41" w:rsidR="00D53BDA" w:rsidRDefault="00D53BDA" w:rsidP="00D53BDA">
      <w:pPr>
        <w:spacing w:after="160" w:line="259" w:lineRule="auto"/>
        <w:jc w:val="center"/>
      </w:pPr>
      <w:r>
        <w:t xml:space="preserve">degree of </w:t>
      </w:r>
    </w:p>
    <w:p w14:paraId="4782D98A" w14:textId="77777777" w:rsidR="00D53BDA" w:rsidRDefault="00D53BDA" w:rsidP="00D53BDA">
      <w:pPr>
        <w:spacing w:after="160" w:line="259" w:lineRule="auto"/>
        <w:jc w:val="center"/>
      </w:pPr>
      <w:r>
        <w:t xml:space="preserve">MASTER OF ARTS </w:t>
      </w:r>
    </w:p>
    <w:p w14:paraId="1A104EF7" w14:textId="77777777" w:rsidR="00D53BDA" w:rsidRDefault="00D53BDA" w:rsidP="00D53BDA">
      <w:pPr>
        <w:spacing w:after="160" w:line="259" w:lineRule="auto"/>
        <w:jc w:val="center"/>
      </w:pPr>
    </w:p>
    <w:p w14:paraId="10442C56" w14:textId="77777777" w:rsidR="00D53BDA" w:rsidRDefault="00D53BDA" w:rsidP="00D53BDA">
      <w:pPr>
        <w:spacing w:after="160" w:line="259" w:lineRule="auto"/>
        <w:jc w:val="center"/>
      </w:pPr>
    </w:p>
    <w:p w14:paraId="2F4CDC69" w14:textId="77777777" w:rsidR="00D53BDA" w:rsidRDefault="00D53BDA" w:rsidP="00D53BDA">
      <w:pPr>
        <w:spacing w:after="160" w:line="259" w:lineRule="auto"/>
        <w:jc w:val="center"/>
      </w:pPr>
    </w:p>
    <w:p w14:paraId="382CB595" w14:textId="338449FF" w:rsidR="00D53BDA" w:rsidRDefault="00D53BDA" w:rsidP="00D53BDA">
      <w:pPr>
        <w:spacing w:after="160" w:line="259" w:lineRule="auto"/>
        <w:jc w:val="center"/>
      </w:pPr>
    </w:p>
    <w:p w14:paraId="75178E6E" w14:textId="23C00727" w:rsidR="00D53BDA" w:rsidRDefault="00D53BDA" w:rsidP="00D53BDA">
      <w:pPr>
        <w:spacing w:after="160" w:line="259" w:lineRule="auto"/>
        <w:jc w:val="center"/>
      </w:pPr>
    </w:p>
    <w:p w14:paraId="18DF19F1" w14:textId="41F303EC" w:rsidR="00D53BDA" w:rsidRDefault="00D53BDA" w:rsidP="00D53BDA">
      <w:pPr>
        <w:spacing w:after="160" w:line="259" w:lineRule="auto"/>
        <w:jc w:val="center"/>
      </w:pPr>
    </w:p>
    <w:p w14:paraId="22EA589E" w14:textId="77777777" w:rsidR="00D53BDA" w:rsidRDefault="00D53BDA" w:rsidP="00D53BDA">
      <w:pPr>
        <w:spacing w:after="160" w:line="259" w:lineRule="auto"/>
        <w:jc w:val="center"/>
      </w:pPr>
    </w:p>
    <w:p w14:paraId="1B3E7FE3" w14:textId="77777777" w:rsidR="00D53BDA" w:rsidRDefault="00D53BDA" w:rsidP="00D53BDA">
      <w:pPr>
        <w:spacing w:after="160" w:line="259" w:lineRule="auto"/>
        <w:jc w:val="center"/>
      </w:pPr>
      <w:r>
        <w:t>By XINYI ZHANG</w:t>
      </w:r>
    </w:p>
    <w:p w14:paraId="06A1228A" w14:textId="77777777" w:rsidR="00D53BDA" w:rsidRDefault="00D53BDA" w:rsidP="00D53BDA">
      <w:pPr>
        <w:spacing w:after="160" w:line="259" w:lineRule="auto"/>
        <w:jc w:val="center"/>
      </w:pPr>
      <w:r>
        <w:t>Norman, Oklahoma</w:t>
      </w:r>
    </w:p>
    <w:p w14:paraId="5169F044" w14:textId="77777777" w:rsidR="00F0489E" w:rsidRDefault="00D53BDA" w:rsidP="00764D82">
      <w:pPr>
        <w:spacing w:after="160" w:line="259" w:lineRule="auto"/>
        <w:jc w:val="center"/>
        <w:sectPr w:rsidR="00F0489E">
          <w:headerReference w:type="default" r:id="rId8"/>
          <w:headerReference w:type="first" r:id="rId9"/>
          <w:pgSz w:w="12240" w:h="15840"/>
          <w:pgMar w:top="1440" w:right="1440" w:bottom="1440" w:left="1440" w:header="720" w:footer="720" w:gutter="0"/>
          <w:pgNumType w:start="1"/>
          <w:cols w:space="720"/>
        </w:sectPr>
      </w:pPr>
      <w:r>
        <w:t>2021</w:t>
      </w:r>
    </w:p>
    <w:p w14:paraId="3120816D" w14:textId="309B5072" w:rsidR="00764D82" w:rsidRDefault="00764D82" w:rsidP="00764D82">
      <w:pPr>
        <w:spacing w:after="160" w:line="259" w:lineRule="auto"/>
        <w:jc w:val="center"/>
      </w:pPr>
    </w:p>
    <w:p w14:paraId="18E74836" w14:textId="77777777" w:rsidR="00764D82" w:rsidRDefault="00764D82" w:rsidP="00764D82">
      <w:pPr>
        <w:spacing w:after="160" w:line="259" w:lineRule="auto"/>
        <w:jc w:val="center"/>
      </w:pPr>
    </w:p>
    <w:p w14:paraId="0C6BBDCF" w14:textId="77777777" w:rsidR="00764D82" w:rsidRDefault="00764D82" w:rsidP="00764D82">
      <w:pPr>
        <w:spacing w:after="160" w:line="259" w:lineRule="auto"/>
        <w:jc w:val="center"/>
      </w:pPr>
    </w:p>
    <w:p w14:paraId="47396758" w14:textId="5FE49D07" w:rsidR="00764D82" w:rsidRPr="00764D82" w:rsidRDefault="00D53BDA" w:rsidP="00764D82">
      <w:pPr>
        <w:spacing w:after="160" w:line="259" w:lineRule="auto"/>
        <w:jc w:val="center"/>
        <w:rPr>
          <w:color w:val="000000" w:themeColor="text1"/>
        </w:rPr>
      </w:pPr>
      <w:r w:rsidRPr="002A13E4">
        <w:rPr>
          <w:color w:val="000000" w:themeColor="text1"/>
        </w:rPr>
        <w:t>“SORRY, IT WAS MY FAULT”: REPAIRING TRUST IN HUMAN-ROBOT INTERACTIONS</w:t>
      </w:r>
    </w:p>
    <w:p w14:paraId="32D3B203" w14:textId="5EC69AB0" w:rsidR="00764D82" w:rsidRDefault="00764D82" w:rsidP="00D53BDA">
      <w:pPr>
        <w:spacing w:after="160" w:line="259" w:lineRule="auto"/>
        <w:jc w:val="center"/>
      </w:pPr>
    </w:p>
    <w:p w14:paraId="0429305A" w14:textId="77777777" w:rsidR="00764D82" w:rsidRDefault="00764D82" w:rsidP="00D53BDA">
      <w:pPr>
        <w:spacing w:after="160" w:line="259" w:lineRule="auto"/>
        <w:jc w:val="center"/>
      </w:pPr>
    </w:p>
    <w:p w14:paraId="369CFE4A" w14:textId="77777777" w:rsidR="00764D82" w:rsidRDefault="00D53BDA" w:rsidP="00D53BDA">
      <w:pPr>
        <w:spacing w:after="160" w:line="259" w:lineRule="auto"/>
        <w:jc w:val="center"/>
      </w:pPr>
      <w:r>
        <w:t xml:space="preserve">A THESIS APPROVED FOR THE </w:t>
      </w:r>
    </w:p>
    <w:p w14:paraId="4CE068C9" w14:textId="6068FC1E" w:rsidR="00764D82" w:rsidRDefault="00764D82" w:rsidP="00D53BDA">
      <w:pPr>
        <w:spacing w:after="160" w:line="259" w:lineRule="auto"/>
        <w:jc w:val="center"/>
      </w:pPr>
      <w:r>
        <w:t>DEPARTMENT OF COMMUNICATION</w:t>
      </w:r>
    </w:p>
    <w:p w14:paraId="7F0BC1A1" w14:textId="1F638327" w:rsidR="00764D82" w:rsidRDefault="00764D82" w:rsidP="00D53BDA">
      <w:pPr>
        <w:spacing w:after="160" w:line="259" w:lineRule="auto"/>
        <w:jc w:val="center"/>
      </w:pPr>
    </w:p>
    <w:p w14:paraId="47AB26C4" w14:textId="0BFAFE81" w:rsidR="00764D82" w:rsidRDefault="00764D82" w:rsidP="00D53BDA">
      <w:pPr>
        <w:spacing w:after="160" w:line="259" w:lineRule="auto"/>
        <w:jc w:val="center"/>
      </w:pPr>
    </w:p>
    <w:p w14:paraId="37025169" w14:textId="6EFA0BF9" w:rsidR="00764D82" w:rsidRDefault="00764D82" w:rsidP="00D53BDA">
      <w:pPr>
        <w:spacing w:after="160" w:line="259" w:lineRule="auto"/>
        <w:jc w:val="center"/>
      </w:pPr>
    </w:p>
    <w:p w14:paraId="09AA3FB4" w14:textId="0A43A314" w:rsidR="00764D82" w:rsidRDefault="00764D82" w:rsidP="00D53BDA">
      <w:pPr>
        <w:spacing w:after="160" w:line="259" w:lineRule="auto"/>
        <w:jc w:val="center"/>
      </w:pPr>
    </w:p>
    <w:p w14:paraId="5FD3E35F" w14:textId="77777777" w:rsidR="00764D82" w:rsidRDefault="00764D82" w:rsidP="00D53BDA">
      <w:pPr>
        <w:spacing w:after="160" w:line="259" w:lineRule="auto"/>
        <w:jc w:val="center"/>
      </w:pPr>
    </w:p>
    <w:p w14:paraId="58D1F8D3" w14:textId="77777777" w:rsidR="00764D82" w:rsidRDefault="00764D82" w:rsidP="00D53BDA">
      <w:pPr>
        <w:spacing w:after="160" w:line="259" w:lineRule="auto"/>
        <w:jc w:val="center"/>
      </w:pPr>
    </w:p>
    <w:p w14:paraId="696694B3" w14:textId="27961B36" w:rsidR="00764D82" w:rsidRDefault="00D53BDA" w:rsidP="00D53BDA">
      <w:pPr>
        <w:spacing w:after="160" w:line="259" w:lineRule="auto"/>
        <w:jc w:val="center"/>
      </w:pPr>
      <w:r>
        <w:t xml:space="preserve"> BY THE COMMITTEE CONSISTING OF</w:t>
      </w:r>
    </w:p>
    <w:p w14:paraId="0EF6F6E1" w14:textId="25340166" w:rsidR="00764D82" w:rsidRDefault="00764D82" w:rsidP="00764D82">
      <w:pPr>
        <w:spacing w:after="160" w:line="259" w:lineRule="auto"/>
      </w:pPr>
    </w:p>
    <w:p w14:paraId="572659D4" w14:textId="7551078F" w:rsidR="00764D82" w:rsidRDefault="00764D82" w:rsidP="00764D82">
      <w:pPr>
        <w:spacing w:after="160" w:line="259" w:lineRule="auto"/>
      </w:pPr>
    </w:p>
    <w:p w14:paraId="409BE838" w14:textId="38287C25" w:rsidR="00764D82" w:rsidRDefault="00764D82" w:rsidP="00764D82">
      <w:pPr>
        <w:spacing w:after="160" w:line="259" w:lineRule="auto"/>
      </w:pPr>
    </w:p>
    <w:p w14:paraId="042F5C14" w14:textId="27EC2D6E" w:rsidR="00764D82" w:rsidRDefault="00764D82" w:rsidP="00764D82">
      <w:pPr>
        <w:spacing w:after="160" w:line="259" w:lineRule="auto"/>
      </w:pPr>
    </w:p>
    <w:p w14:paraId="42CBB9EC" w14:textId="1CA85A4B" w:rsidR="00764D82" w:rsidRDefault="00764D82" w:rsidP="00764D82">
      <w:pPr>
        <w:spacing w:after="160" w:line="259" w:lineRule="auto"/>
      </w:pPr>
    </w:p>
    <w:p w14:paraId="019CB4A2" w14:textId="73CA65F8" w:rsidR="00764D82" w:rsidRDefault="00764D82" w:rsidP="00764D82">
      <w:pPr>
        <w:spacing w:after="160" w:line="259" w:lineRule="auto"/>
      </w:pPr>
    </w:p>
    <w:p w14:paraId="36B6C100" w14:textId="1C16DD37" w:rsidR="00764D82" w:rsidRDefault="00764D82" w:rsidP="00764D82">
      <w:pPr>
        <w:spacing w:after="160" w:line="259" w:lineRule="auto"/>
      </w:pPr>
    </w:p>
    <w:p w14:paraId="72B9E073" w14:textId="77777777" w:rsidR="00764D82" w:rsidRDefault="00764D82" w:rsidP="00764D82">
      <w:pPr>
        <w:spacing w:after="160" w:line="259" w:lineRule="auto"/>
      </w:pPr>
    </w:p>
    <w:p w14:paraId="7BAC9C69" w14:textId="77777777" w:rsidR="00764D82" w:rsidRDefault="00764D82" w:rsidP="00D53BDA">
      <w:pPr>
        <w:spacing w:after="160" w:line="259" w:lineRule="auto"/>
        <w:jc w:val="center"/>
      </w:pPr>
    </w:p>
    <w:p w14:paraId="4715EA7E" w14:textId="0FBD3D49" w:rsidR="00764D82" w:rsidRDefault="00D53BDA" w:rsidP="00764D82">
      <w:pPr>
        <w:spacing w:after="160" w:line="259" w:lineRule="auto"/>
        <w:jc w:val="right"/>
      </w:pPr>
      <w:r>
        <w:t xml:space="preserve"> Dr. </w:t>
      </w:r>
      <w:r w:rsidR="00764D82">
        <w:t>Sun Kyong Lee</w:t>
      </w:r>
      <w:r>
        <w:t>, Chair</w:t>
      </w:r>
    </w:p>
    <w:p w14:paraId="3583C4AA" w14:textId="24BAA6FF" w:rsidR="00764D82" w:rsidRDefault="00D53BDA" w:rsidP="00764D82">
      <w:pPr>
        <w:spacing w:after="160" w:line="259" w:lineRule="auto"/>
        <w:jc w:val="right"/>
      </w:pPr>
      <w:r>
        <w:t xml:space="preserve">Dr. </w:t>
      </w:r>
      <w:r w:rsidR="00764D82">
        <w:t>Claude Miller</w:t>
      </w:r>
    </w:p>
    <w:p w14:paraId="12558448" w14:textId="77777777" w:rsidR="00F0489E" w:rsidRDefault="00D53BDA" w:rsidP="00764D82">
      <w:pPr>
        <w:spacing w:after="160" w:line="259" w:lineRule="auto"/>
        <w:jc w:val="right"/>
        <w:sectPr w:rsidR="00F0489E">
          <w:headerReference w:type="default" r:id="rId10"/>
          <w:pgSz w:w="12240" w:h="15840"/>
          <w:pgMar w:top="1440" w:right="1440" w:bottom="1440" w:left="1440" w:header="720" w:footer="720" w:gutter="0"/>
          <w:pgNumType w:start="1"/>
          <w:cols w:space="720"/>
        </w:sectPr>
      </w:pPr>
      <w:r>
        <w:t xml:space="preserve">Dr. </w:t>
      </w:r>
      <w:r w:rsidR="00764D82">
        <w:t>Amy Johnson</w:t>
      </w:r>
    </w:p>
    <w:p w14:paraId="009064F7" w14:textId="719F6D80" w:rsidR="00764D82" w:rsidRDefault="00764D82" w:rsidP="00764D82">
      <w:pPr>
        <w:spacing w:after="160" w:line="259" w:lineRule="auto"/>
        <w:jc w:val="center"/>
      </w:pPr>
    </w:p>
    <w:p w14:paraId="0C38A936" w14:textId="74C02AB2" w:rsidR="00F0489E" w:rsidRDefault="00F0489E" w:rsidP="00764D82">
      <w:pPr>
        <w:spacing w:after="160" w:line="259" w:lineRule="auto"/>
        <w:jc w:val="center"/>
      </w:pPr>
    </w:p>
    <w:p w14:paraId="0B32E3B5" w14:textId="77777777" w:rsidR="00F0489E" w:rsidRDefault="00F0489E" w:rsidP="00764D82">
      <w:pPr>
        <w:spacing w:after="160" w:line="259" w:lineRule="auto"/>
        <w:jc w:val="center"/>
      </w:pPr>
    </w:p>
    <w:p w14:paraId="0227FCF6" w14:textId="532012CD" w:rsidR="00764D82" w:rsidRDefault="00764D82" w:rsidP="00764D82">
      <w:pPr>
        <w:spacing w:after="160" w:line="259" w:lineRule="auto"/>
        <w:jc w:val="center"/>
      </w:pPr>
    </w:p>
    <w:p w14:paraId="107E2D7A" w14:textId="53A3541F" w:rsidR="00764D82" w:rsidRDefault="00764D82" w:rsidP="00764D82">
      <w:pPr>
        <w:spacing w:after="160" w:line="259" w:lineRule="auto"/>
        <w:jc w:val="center"/>
      </w:pPr>
    </w:p>
    <w:p w14:paraId="3BDF08F2" w14:textId="76670407" w:rsidR="00764D82" w:rsidRDefault="00764D82" w:rsidP="00764D82">
      <w:pPr>
        <w:spacing w:after="160" w:line="259" w:lineRule="auto"/>
        <w:jc w:val="center"/>
      </w:pPr>
    </w:p>
    <w:p w14:paraId="691271C2" w14:textId="03A30B01" w:rsidR="00764D82" w:rsidRDefault="00764D82" w:rsidP="00764D82">
      <w:pPr>
        <w:spacing w:after="160" w:line="259" w:lineRule="auto"/>
        <w:jc w:val="center"/>
      </w:pPr>
    </w:p>
    <w:p w14:paraId="20E9CB94" w14:textId="4433B8AB" w:rsidR="00764D82" w:rsidRDefault="00764D82" w:rsidP="00764D82">
      <w:pPr>
        <w:spacing w:after="160" w:line="259" w:lineRule="auto"/>
        <w:jc w:val="center"/>
      </w:pPr>
    </w:p>
    <w:p w14:paraId="0F40520A" w14:textId="3197FBE9" w:rsidR="00764D82" w:rsidRDefault="00764D82" w:rsidP="00764D82">
      <w:pPr>
        <w:spacing w:after="160" w:line="259" w:lineRule="auto"/>
        <w:jc w:val="center"/>
      </w:pPr>
    </w:p>
    <w:p w14:paraId="2EA7EEEA" w14:textId="7B85559B" w:rsidR="00764D82" w:rsidRDefault="00764D82" w:rsidP="00764D82">
      <w:pPr>
        <w:spacing w:after="160" w:line="259" w:lineRule="auto"/>
        <w:jc w:val="center"/>
      </w:pPr>
    </w:p>
    <w:p w14:paraId="453209E7" w14:textId="2BB2C0A8" w:rsidR="00764D82" w:rsidRDefault="00764D82" w:rsidP="00764D82">
      <w:pPr>
        <w:spacing w:after="160" w:line="259" w:lineRule="auto"/>
        <w:jc w:val="center"/>
      </w:pPr>
    </w:p>
    <w:p w14:paraId="0395A96D" w14:textId="1F917D83" w:rsidR="00764D82" w:rsidRDefault="00764D82" w:rsidP="00764D82">
      <w:pPr>
        <w:spacing w:after="160" w:line="259" w:lineRule="auto"/>
        <w:jc w:val="center"/>
      </w:pPr>
    </w:p>
    <w:p w14:paraId="2B88C5EF" w14:textId="391E3645" w:rsidR="00764D82" w:rsidRDefault="00764D82" w:rsidP="00764D82">
      <w:pPr>
        <w:spacing w:after="160" w:line="259" w:lineRule="auto"/>
        <w:jc w:val="center"/>
      </w:pPr>
    </w:p>
    <w:p w14:paraId="5714C3BD" w14:textId="52A61F39" w:rsidR="00764D82" w:rsidRDefault="00764D82" w:rsidP="00764D82">
      <w:pPr>
        <w:spacing w:after="160" w:line="259" w:lineRule="auto"/>
        <w:jc w:val="center"/>
      </w:pPr>
    </w:p>
    <w:p w14:paraId="4A08A752" w14:textId="4907D7EB" w:rsidR="00764D82" w:rsidRDefault="00764D82" w:rsidP="00764D82">
      <w:pPr>
        <w:spacing w:after="160" w:line="259" w:lineRule="auto"/>
        <w:jc w:val="center"/>
      </w:pPr>
    </w:p>
    <w:p w14:paraId="4CF33820" w14:textId="29BCF0BA" w:rsidR="00764D82" w:rsidRDefault="00764D82" w:rsidP="00764D82">
      <w:pPr>
        <w:spacing w:after="160" w:line="259" w:lineRule="auto"/>
        <w:jc w:val="center"/>
      </w:pPr>
    </w:p>
    <w:p w14:paraId="506BE5E3" w14:textId="565F18E5" w:rsidR="00764D82" w:rsidRDefault="00764D82" w:rsidP="00764D82">
      <w:pPr>
        <w:spacing w:after="160" w:line="259" w:lineRule="auto"/>
        <w:jc w:val="center"/>
      </w:pPr>
    </w:p>
    <w:p w14:paraId="194AE475" w14:textId="692B191E" w:rsidR="00764D82" w:rsidRDefault="00764D82" w:rsidP="00764D82">
      <w:pPr>
        <w:spacing w:after="160" w:line="259" w:lineRule="auto"/>
        <w:jc w:val="center"/>
      </w:pPr>
    </w:p>
    <w:p w14:paraId="356F9214" w14:textId="1443DE9D" w:rsidR="00764D82" w:rsidRDefault="00764D82" w:rsidP="00764D82">
      <w:pPr>
        <w:spacing w:after="160" w:line="259" w:lineRule="auto"/>
        <w:jc w:val="center"/>
      </w:pPr>
    </w:p>
    <w:p w14:paraId="0ABFDC3E" w14:textId="7D70FAA1" w:rsidR="00764D82" w:rsidRDefault="00764D82" w:rsidP="00764D82">
      <w:pPr>
        <w:spacing w:after="160" w:line="259" w:lineRule="auto"/>
        <w:jc w:val="center"/>
      </w:pPr>
    </w:p>
    <w:p w14:paraId="724BF6F5" w14:textId="674E1A99" w:rsidR="00764D82" w:rsidRDefault="00764D82" w:rsidP="00764D82">
      <w:pPr>
        <w:spacing w:after="160" w:line="259" w:lineRule="auto"/>
        <w:jc w:val="center"/>
      </w:pPr>
    </w:p>
    <w:p w14:paraId="3A5F5AB1" w14:textId="7726FC7C" w:rsidR="00764D82" w:rsidRDefault="00764D82" w:rsidP="00764D82">
      <w:pPr>
        <w:spacing w:after="160" w:line="259" w:lineRule="auto"/>
        <w:jc w:val="center"/>
      </w:pPr>
    </w:p>
    <w:p w14:paraId="2DB10620" w14:textId="7B44D4CF" w:rsidR="00764D82" w:rsidRDefault="00764D82" w:rsidP="00764D82">
      <w:pPr>
        <w:spacing w:after="160" w:line="259" w:lineRule="auto"/>
        <w:jc w:val="center"/>
      </w:pPr>
    </w:p>
    <w:p w14:paraId="1AA50B94" w14:textId="48B9E257" w:rsidR="00764D82" w:rsidRDefault="00764D82" w:rsidP="00764D82">
      <w:pPr>
        <w:spacing w:after="160" w:line="259" w:lineRule="auto"/>
        <w:jc w:val="center"/>
      </w:pPr>
    </w:p>
    <w:p w14:paraId="1E2CF894" w14:textId="3E48F87E" w:rsidR="00764D82" w:rsidRDefault="00764D82" w:rsidP="00764D82">
      <w:pPr>
        <w:spacing w:after="160" w:line="259" w:lineRule="auto"/>
        <w:jc w:val="center"/>
      </w:pPr>
    </w:p>
    <w:p w14:paraId="457167C9" w14:textId="77777777" w:rsidR="00764D82" w:rsidRDefault="00764D82" w:rsidP="00764D82">
      <w:pPr>
        <w:spacing w:after="160" w:line="259" w:lineRule="auto"/>
        <w:jc w:val="center"/>
      </w:pPr>
    </w:p>
    <w:p w14:paraId="0523FABD" w14:textId="48484E04" w:rsidR="00764D82" w:rsidRDefault="00764D82" w:rsidP="00764D82">
      <w:pPr>
        <w:spacing w:after="160" w:line="259" w:lineRule="auto"/>
        <w:jc w:val="center"/>
      </w:pPr>
      <w:r>
        <w:t>© Copyright by XINYI ZHANG 2021</w:t>
      </w:r>
    </w:p>
    <w:p w14:paraId="1FE9505A" w14:textId="4FA1AC7D" w:rsidR="00FB6FD0" w:rsidRDefault="00764D82" w:rsidP="00FB6FD0">
      <w:pPr>
        <w:spacing w:after="160" w:line="259" w:lineRule="auto"/>
        <w:jc w:val="center"/>
        <w:rPr>
          <w:color w:val="000000" w:themeColor="text1"/>
        </w:rPr>
        <w:sectPr w:rsidR="00FB6FD0">
          <w:headerReference w:type="default" r:id="rId11"/>
          <w:pgSz w:w="12240" w:h="15840"/>
          <w:pgMar w:top="1440" w:right="1440" w:bottom="1440" w:left="1440" w:header="720" w:footer="720" w:gutter="0"/>
          <w:pgNumType w:start="1"/>
          <w:cols w:space="720"/>
        </w:sectPr>
      </w:pPr>
      <w:r>
        <w:t>All Rights Reserve</w:t>
      </w:r>
      <w:r w:rsidR="00F0489E" w:rsidRPr="00F0489E">
        <w:rPr>
          <w:rFonts w:hint="eastAsia"/>
        </w:rPr>
        <w:t>d</w:t>
      </w:r>
    </w:p>
    <w:bookmarkStart w:id="1" w:name="_heading=h.30j0zll" w:colFirst="0" w:colLast="0" w:displacedByCustomXml="next"/>
    <w:bookmarkEnd w:id="1" w:displacedByCustomXml="next"/>
    <w:sdt>
      <w:sdtPr>
        <w:rPr>
          <w:rFonts w:ascii="Times New Roman" w:eastAsia="Times New Roman" w:hAnsi="Times New Roman" w:cs="Times New Roman"/>
          <w:color w:val="auto"/>
          <w:sz w:val="24"/>
          <w:szCs w:val="24"/>
          <w:lang w:eastAsia="zh-CN"/>
        </w:rPr>
        <w:id w:val="42955931"/>
        <w:docPartObj>
          <w:docPartGallery w:val="Table of Contents"/>
          <w:docPartUnique/>
        </w:docPartObj>
      </w:sdtPr>
      <w:sdtEndPr>
        <w:rPr>
          <w:b/>
          <w:bCs/>
          <w:noProof/>
        </w:rPr>
      </w:sdtEndPr>
      <w:sdtContent>
        <w:p w14:paraId="52F59099" w14:textId="0931A76F" w:rsidR="00D64CA4" w:rsidRDefault="00D64CA4" w:rsidP="00D64CA4">
          <w:pPr>
            <w:pStyle w:val="TOCHeading"/>
            <w:jc w:val="center"/>
            <w:rPr>
              <w:rFonts w:ascii="Times New Roman" w:hAnsi="Times New Roman" w:cs="Times New Roman"/>
              <w:b/>
              <w:bCs/>
              <w:color w:val="000000" w:themeColor="text1"/>
              <w:sz w:val="24"/>
              <w:szCs w:val="24"/>
            </w:rPr>
          </w:pPr>
          <w:r w:rsidRPr="00D64CA4">
            <w:rPr>
              <w:rFonts w:ascii="Times New Roman" w:hAnsi="Times New Roman" w:cs="Times New Roman"/>
              <w:b/>
              <w:bCs/>
              <w:color w:val="000000" w:themeColor="text1"/>
              <w:sz w:val="24"/>
              <w:szCs w:val="24"/>
            </w:rPr>
            <w:t>Contents</w:t>
          </w:r>
        </w:p>
        <w:p w14:paraId="50F106F2" w14:textId="77777777" w:rsidR="00D64CA4" w:rsidRPr="00D64CA4" w:rsidRDefault="00D64CA4" w:rsidP="00D64CA4">
          <w:pPr>
            <w:rPr>
              <w:lang w:eastAsia="en-US"/>
            </w:rPr>
          </w:pPr>
        </w:p>
        <w:p w14:paraId="229594C4" w14:textId="227802B2" w:rsidR="00F26570" w:rsidRDefault="00D64CA4">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3716020" w:history="1">
            <w:r w:rsidR="00F26570" w:rsidRPr="00306FD8">
              <w:rPr>
                <w:rStyle w:val="Hyperlink"/>
                <w:noProof/>
              </w:rPr>
              <w:t>Trust Violations and Repairs</w:t>
            </w:r>
            <w:r w:rsidR="00F26570">
              <w:rPr>
                <w:noProof/>
                <w:webHidden/>
              </w:rPr>
              <w:tab/>
            </w:r>
            <w:r w:rsidR="00F26570">
              <w:rPr>
                <w:noProof/>
                <w:webHidden/>
              </w:rPr>
              <w:fldChar w:fldCharType="begin"/>
            </w:r>
            <w:r w:rsidR="00F26570">
              <w:rPr>
                <w:noProof/>
                <w:webHidden/>
              </w:rPr>
              <w:instrText xml:space="preserve"> PAGEREF _Toc73716020 \h </w:instrText>
            </w:r>
            <w:r w:rsidR="00F26570">
              <w:rPr>
                <w:noProof/>
                <w:webHidden/>
              </w:rPr>
            </w:r>
            <w:r w:rsidR="00F26570">
              <w:rPr>
                <w:noProof/>
                <w:webHidden/>
              </w:rPr>
              <w:fldChar w:fldCharType="separate"/>
            </w:r>
            <w:r w:rsidR="00BD6E98">
              <w:rPr>
                <w:noProof/>
                <w:webHidden/>
              </w:rPr>
              <w:t>3</w:t>
            </w:r>
            <w:r w:rsidR="00F26570">
              <w:rPr>
                <w:noProof/>
                <w:webHidden/>
              </w:rPr>
              <w:fldChar w:fldCharType="end"/>
            </w:r>
          </w:hyperlink>
        </w:p>
        <w:p w14:paraId="5F78D9D3" w14:textId="55FDE7EB"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1" w:history="1">
            <w:r w:rsidRPr="00306FD8">
              <w:rPr>
                <w:rStyle w:val="Hyperlink"/>
                <w:noProof/>
              </w:rPr>
              <w:t>Human-to-Human Trust Repair</w:t>
            </w:r>
            <w:r>
              <w:rPr>
                <w:noProof/>
                <w:webHidden/>
              </w:rPr>
              <w:tab/>
            </w:r>
            <w:r>
              <w:rPr>
                <w:noProof/>
                <w:webHidden/>
              </w:rPr>
              <w:fldChar w:fldCharType="begin"/>
            </w:r>
            <w:r>
              <w:rPr>
                <w:noProof/>
                <w:webHidden/>
              </w:rPr>
              <w:instrText xml:space="preserve"> PAGEREF _Toc73716021 \h </w:instrText>
            </w:r>
            <w:r>
              <w:rPr>
                <w:noProof/>
                <w:webHidden/>
              </w:rPr>
            </w:r>
            <w:r>
              <w:rPr>
                <w:noProof/>
                <w:webHidden/>
              </w:rPr>
              <w:fldChar w:fldCharType="separate"/>
            </w:r>
            <w:r w:rsidR="00BD6E98">
              <w:rPr>
                <w:noProof/>
                <w:webHidden/>
              </w:rPr>
              <w:t>4</w:t>
            </w:r>
            <w:r>
              <w:rPr>
                <w:noProof/>
                <w:webHidden/>
              </w:rPr>
              <w:fldChar w:fldCharType="end"/>
            </w:r>
          </w:hyperlink>
        </w:p>
        <w:p w14:paraId="3A495D74" w14:textId="6DABE429"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2" w:history="1">
            <w:r w:rsidRPr="00306FD8">
              <w:rPr>
                <w:rStyle w:val="Hyperlink"/>
                <w:noProof/>
              </w:rPr>
              <w:t>Robot-to-Human Trust Repair</w:t>
            </w:r>
            <w:r>
              <w:rPr>
                <w:noProof/>
                <w:webHidden/>
              </w:rPr>
              <w:tab/>
            </w:r>
            <w:r>
              <w:rPr>
                <w:noProof/>
                <w:webHidden/>
              </w:rPr>
              <w:fldChar w:fldCharType="begin"/>
            </w:r>
            <w:r>
              <w:rPr>
                <w:noProof/>
                <w:webHidden/>
              </w:rPr>
              <w:instrText xml:space="preserve"> PAGEREF _Toc73716022 \h </w:instrText>
            </w:r>
            <w:r>
              <w:rPr>
                <w:noProof/>
                <w:webHidden/>
              </w:rPr>
            </w:r>
            <w:r>
              <w:rPr>
                <w:noProof/>
                <w:webHidden/>
              </w:rPr>
              <w:fldChar w:fldCharType="separate"/>
            </w:r>
            <w:r w:rsidR="00BD6E98">
              <w:rPr>
                <w:noProof/>
                <w:webHidden/>
              </w:rPr>
              <w:t>8</w:t>
            </w:r>
            <w:r>
              <w:rPr>
                <w:noProof/>
                <w:webHidden/>
              </w:rPr>
              <w:fldChar w:fldCharType="end"/>
            </w:r>
          </w:hyperlink>
        </w:p>
        <w:p w14:paraId="2B92F0E7" w14:textId="6404517C"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23" w:history="1">
            <w:r w:rsidRPr="00306FD8">
              <w:rPr>
                <w:rStyle w:val="Hyperlink"/>
                <w:noProof/>
              </w:rPr>
              <w:t>Uniqueness of HRI-Based Trust</w:t>
            </w:r>
            <w:r>
              <w:rPr>
                <w:noProof/>
                <w:webHidden/>
              </w:rPr>
              <w:tab/>
            </w:r>
            <w:r>
              <w:rPr>
                <w:noProof/>
                <w:webHidden/>
              </w:rPr>
              <w:fldChar w:fldCharType="begin"/>
            </w:r>
            <w:r>
              <w:rPr>
                <w:noProof/>
                <w:webHidden/>
              </w:rPr>
              <w:instrText xml:space="preserve"> PAGEREF _Toc73716023 \h </w:instrText>
            </w:r>
            <w:r>
              <w:rPr>
                <w:noProof/>
                <w:webHidden/>
              </w:rPr>
            </w:r>
            <w:r>
              <w:rPr>
                <w:noProof/>
                <w:webHidden/>
              </w:rPr>
              <w:fldChar w:fldCharType="separate"/>
            </w:r>
            <w:r w:rsidR="00BD6E98">
              <w:rPr>
                <w:noProof/>
                <w:webHidden/>
              </w:rPr>
              <w:t>11</w:t>
            </w:r>
            <w:r>
              <w:rPr>
                <w:noProof/>
                <w:webHidden/>
              </w:rPr>
              <w:fldChar w:fldCharType="end"/>
            </w:r>
          </w:hyperlink>
        </w:p>
        <w:p w14:paraId="3F308584" w14:textId="494EC068"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4" w:history="1">
            <w:r w:rsidRPr="00306FD8">
              <w:rPr>
                <w:rStyle w:val="Hyperlink"/>
                <w:noProof/>
              </w:rPr>
              <w:t>Perceptual Differences</w:t>
            </w:r>
            <w:r>
              <w:rPr>
                <w:noProof/>
                <w:webHidden/>
              </w:rPr>
              <w:tab/>
            </w:r>
            <w:r>
              <w:rPr>
                <w:noProof/>
                <w:webHidden/>
              </w:rPr>
              <w:fldChar w:fldCharType="begin"/>
            </w:r>
            <w:r>
              <w:rPr>
                <w:noProof/>
                <w:webHidden/>
              </w:rPr>
              <w:instrText xml:space="preserve"> PAGEREF _Toc73716024 \h </w:instrText>
            </w:r>
            <w:r>
              <w:rPr>
                <w:noProof/>
                <w:webHidden/>
              </w:rPr>
            </w:r>
            <w:r>
              <w:rPr>
                <w:noProof/>
                <w:webHidden/>
              </w:rPr>
              <w:fldChar w:fldCharType="separate"/>
            </w:r>
            <w:r w:rsidR="00BD6E98">
              <w:rPr>
                <w:noProof/>
                <w:webHidden/>
              </w:rPr>
              <w:t>11</w:t>
            </w:r>
            <w:r>
              <w:rPr>
                <w:noProof/>
                <w:webHidden/>
              </w:rPr>
              <w:fldChar w:fldCharType="end"/>
            </w:r>
          </w:hyperlink>
        </w:p>
        <w:p w14:paraId="437EEA40" w14:textId="224AD89F"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5" w:history="1">
            <w:r w:rsidRPr="00306FD8">
              <w:rPr>
                <w:rStyle w:val="Hyperlink"/>
                <w:noProof/>
              </w:rPr>
              <w:t>Robotic Failures</w:t>
            </w:r>
            <w:r>
              <w:rPr>
                <w:noProof/>
                <w:webHidden/>
              </w:rPr>
              <w:tab/>
            </w:r>
            <w:r>
              <w:rPr>
                <w:noProof/>
                <w:webHidden/>
              </w:rPr>
              <w:fldChar w:fldCharType="begin"/>
            </w:r>
            <w:r>
              <w:rPr>
                <w:noProof/>
                <w:webHidden/>
              </w:rPr>
              <w:instrText xml:space="preserve"> PAGEREF _Toc73716025 \h </w:instrText>
            </w:r>
            <w:r>
              <w:rPr>
                <w:noProof/>
                <w:webHidden/>
              </w:rPr>
            </w:r>
            <w:r>
              <w:rPr>
                <w:noProof/>
                <w:webHidden/>
              </w:rPr>
              <w:fldChar w:fldCharType="separate"/>
            </w:r>
            <w:r w:rsidR="00BD6E98">
              <w:rPr>
                <w:noProof/>
                <w:webHidden/>
              </w:rPr>
              <w:t>13</w:t>
            </w:r>
            <w:r>
              <w:rPr>
                <w:noProof/>
                <w:webHidden/>
              </w:rPr>
              <w:fldChar w:fldCharType="end"/>
            </w:r>
          </w:hyperlink>
        </w:p>
        <w:p w14:paraId="76ED7628" w14:textId="3CDC7396"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26" w:history="1">
            <w:r w:rsidRPr="00306FD8">
              <w:rPr>
                <w:rStyle w:val="Hyperlink"/>
                <w:noProof/>
              </w:rPr>
              <w:t>Blame Attributions in Trust Repair</w:t>
            </w:r>
            <w:r>
              <w:rPr>
                <w:noProof/>
                <w:webHidden/>
              </w:rPr>
              <w:tab/>
            </w:r>
            <w:r>
              <w:rPr>
                <w:noProof/>
                <w:webHidden/>
              </w:rPr>
              <w:fldChar w:fldCharType="begin"/>
            </w:r>
            <w:r>
              <w:rPr>
                <w:noProof/>
                <w:webHidden/>
              </w:rPr>
              <w:instrText xml:space="preserve"> PAGEREF _Toc73716026 \h </w:instrText>
            </w:r>
            <w:r>
              <w:rPr>
                <w:noProof/>
                <w:webHidden/>
              </w:rPr>
            </w:r>
            <w:r>
              <w:rPr>
                <w:noProof/>
                <w:webHidden/>
              </w:rPr>
              <w:fldChar w:fldCharType="separate"/>
            </w:r>
            <w:r w:rsidR="00BD6E98">
              <w:rPr>
                <w:noProof/>
                <w:webHidden/>
              </w:rPr>
              <w:t>21</w:t>
            </w:r>
            <w:r>
              <w:rPr>
                <w:noProof/>
                <w:webHidden/>
              </w:rPr>
              <w:fldChar w:fldCharType="end"/>
            </w:r>
          </w:hyperlink>
        </w:p>
        <w:p w14:paraId="0EDAE5BA" w14:textId="0CAF1A31"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7" w:history="1">
            <w:r w:rsidRPr="00306FD8">
              <w:rPr>
                <w:rStyle w:val="Hyperlink"/>
                <w:noProof/>
              </w:rPr>
              <w:t>Trust Repair as Attribution Manipulation</w:t>
            </w:r>
            <w:r>
              <w:rPr>
                <w:noProof/>
                <w:webHidden/>
              </w:rPr>
              <w:tab/>
            </w:r>
            <w:r>
              <w:rPr>
                <w:noProof/>
                <w:webHidden/>
              </w:rPr>
              <w:fldChar w:fldCharType="begin"/>
            </w:r>
            <w:r>
              <w:rPr>
                <w:noProof/>
                <w:webHidden/>
              </w:rPr>
              <w:instrText xml:space="preserve"> PAGEREF _Toc73716027 \h </w:instrText>
            </w:r>
            <w:r>
              <w:rPr>
                <w:noProof/>
                <w:webHidden/>
              </w:rPr>
            </w:r>
            <w:r>
              <w:rPr>
                <w:noProof/>
                <w:webHidden/>
              </w:rPr>
              <w:fldChar w:fldCharType="separate"/>
            </w:r>
            <w:r w:rsidR="00BD6E98">
              <w:rPr>
                <w:noProof/>
                <w:webHidden/>
              </w:rPr>
              <w:t>21</w:t>
            </w:r>
            <w:r>
              <w:rPr>
                <w:noProof/>
                <w:webHidden/>
              </w:rPr>
              <w:fldChar w:fldCharType="end"/>
            </w:r>
          </w:hyperlink>
        </w:p>
        <w:p w14:paraId="7EABDA85" w14:textId="0DCE5189"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8" w:history="1">
            <w:r w:rsidRPr="00306FD8">
              <w:rPr>
                <w:rStyle w:val="Hyperlink"/>
                <w:noProof/>
              </w:rPr>
              <w:t>Apology with Internal and External Attributions</w:t>
            </w:r>
            <w:r>
              <w:rPr>
                <w:noProof/>
                <w:webHidden/>
              </w:rPr>
              <w:tab/>
            </w:r>
            <w:r>
              <w:rPr>
                <w:noProof/>
                <w:webHidden/>
              </w:rPr>
              <w:fldChar w:fldCharType="begin"/>
            </w:r>
            <w:r>
              <w:rPr>
                <w:noProof/>
                <w:webHidden/>
              </w:rPr>
              <w:instrText xml:space="preserve"> PAGEREF _Toc73716028 \h </w:instrText>
            </w:r>
            <w:r>
              <w:rPr>
                <w:noProof/>
                <w:webHidden/>
              </w:rPr>
            </w:r>
            <w:r>
              <w:rPr>
                <w:noProof/>
                <w:webHidden/>
              </w:rPr>
              <w:fldChar w:fldCharType="separate"/>
            </w:r>
            <w:r w:rsidR="00BD6E98">
              <w:rPr>
                <w:noProof/>
                <w:webHidden/>
              </w:rPr>
              <w:t>24</w:t>
            </w:r>
            <w:r>
              <w:rPr>
                <w:noProof/>
                <w:webHidden/>
              </w:rPr>
              <w:fldChar w:fldCharType="end"/>
            </w:r>
          </w:hyperlink>
        </w:p>
        <w:p w14:paraId="21EB2B3C" w14:textId="7E1F7A43"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29" w:history="1">
            <w:r w:rsidRPr="00306FD8">
              <w:rPr>
                <w:rStyle w:val="Hyperlink"/>
                <w:noProof/>
              </w:rPr>
              <w:t>Implicit Theories of Moral Responsibility</w:t>
            </w:r>
            <w:r>
              <w:rPr>
                <w:noProof/>
                <w:webHidden/>
              </w:rPr>
              <w:tab/>
            </w:r>
            <w:r>
              <w:rPr>
                <w:noProof/>
                <w:webHidden/>
              </w:rPr>
              <w:fldChar w:fldCharType="begin"/>
            </w:r>
            <w:r>
              <w:rPr>
                <w:noProof/>
                <w:webHidden/>
              </w:rPr>
              <w:instrText xml:space="preserve"> PAGEREF _Toc73716029 \h </w:instrText>
            </w:r>
            <w:r>
              <w:rPr>
                <w:noProof/>
                <w:webHidden/>
              </w:rPr>
            </w:r>
            <w:r>
              <w:rPr>
                <w:noProof/>
                <w:webHidden/>
              </w:rPr>
              <w:fldChar w:fldCharType="separate"/>
            </w:r>
            <w:r w:rsidR="00BD6E98">
              <w:rPr>
                <w:noProof/>
                <w:webHidden/>
              </w:rPr>
              <w:t>25</w:t>
            </w:r>
            <w:r>
              <w:rPr>
                <w:noProof/>
                <w:webHidden/>
              </w:rPr>
              <w:fldChar w:fldCharType="end"/>
            </w:r>
          </w:hyperlink>
        </w:p>
        <w:p w14:paraId="55E66DA5" w14:textId="24A03675"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30" w:history="1">
            <w:r w:rsidRPr="00306FD8">
              <w:rPr>
                <w:rStyle w:val="Hyperlink"/>
                <w:noProof/>
              </w:rPr>
              <w:t>Method</w:t>
            </w:r>
            <w:r>
              <w:rPr>
                <w:noProof/>
                <w:webHidden/>
              </w:rPr>
              <w:tab/>
            </w:r>
            <w:r>
              <w:rPr>
                <w:noProof/>
                <w:webHidden/>
              </w:rPr>
              <w:fldChar w:fldCharType="begin"/>
            </w:r>
            <w:r>
              <w:rPr>
                <w:noProof/>
                <w:webHidden/>
              </w:rPr>
              <w:instrText xml:space="preserve"> PAGEREF _Toc73716030 \h </w:instrText>
            </w:r>
            <w:r>
              <w:rPr>
                <w:noProof/>
                <w:webHidden/>
              </w:rPr>
            </w:r>
            <w:r>
              <w:rPr>
                <w:noProof/>
                <w:webHidden/>
              </w:rPr>
              <w:fldChar w:fldCharType="separate"/>
            </w:r>
            <w:r w:rsidR="00BD6E98">
              <w:rPr>
                <w:noProof/>
                <w:webHidden/>
              </w:rPr>
              <w:t>26</w:t>
            </w:r>
            <w:r>
              <w:rPr>
                <w:noProof/>
                <w:webHidden/>
              </w:rPr>
              <w:fldChar w:fldCharType="end"/>
            </w:r>
          </w:hyperlink>
        </w:p>
        <w:p w14:paraId="04092C69" w14:textId="4705536E"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1" w:history="1">
            <w:r w:rsidRPr="00306FD8">
              <w:rPr>
                <w:rStyle w:val="Hyperlink"/>
                <w:noProof/>
              </w:rPr>
              <w:t>Participants</w:t>
            </w:r>
            <w:r>
              <w:rPr>
                <w:noProof/>
                <w:webHidden/>
              </w:rPr>
              <w:tab/>
            </w:r>
            <w:r>
              <w:rPr>
                <w:noProof/>
                <w:webHidden/>
              </w:rPr>
              <w:fldChar w:fldCharType="begin"/>
            </w:r>
            <w:r>
              <w:rPr>
                <w:noProof/>
                <w:webHidden/>
              </w:rPr>
              <w:instrText xml:space="preserve"> PAGEREF _Toc73716031 \h </w:instrText>
            </w:r>
            <w:r>
              <w:rPr>
                <w:noProof/>
                <w:webHidden/>
              </w:rPr>
            </w:r>
            <w:r>
              <w:rPr>
                <w:noProof/>
                <w:webHidden/>
              </w:rPr>
              <w:fldChar w:fldCharType="separate"/>
            </w:r>
            <w:r w:rsidR="00BD6E98">
              <w:rPr>
                <w:noProof/>
                <w:webHidden/>
              </w:rPr>
              <w:t>26</w:t>
            </w:r>
            <w:r>
              <w:rPr>
                <w:noProof/>
                <w:webHidden/>
              </w:rPr>
              <w:fldChar w:fldCharType="end"/>
            </w:r>
          </w:hyperlink>
        </w:p>
        <w:p w14:paraId="6EF966F9" w14:textId="6FE35F40"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2" w:history="1">
            <w:r w:rsidRPr="00306FD8">
              <w:rPr>
                <w:rStyle w:val="Hyperlink"/>
                <w:noProof/>
              </w:rPr>
              <w:t>Procedure</w:t>
            </w:r>
            <w:r>
              <w:rPr>
                <w:noProof/>
                <w:webHidden/>
              </w:rPr>
              <w:tab/>
            </w:r>
            <w:r>
              <w:rPr>
                <w:noProof/>
                <w:webHidden/>
              </w:rPr>
              <w:fldChar w:fldCharType="begin"/>
            </w:r>
            <w:r>
              <w:rPr>
                <w:noProof/>
                <w:webHidden/>
              </w:rPr>
              <w:instrText xml:space="preserve"> PAGEREF _Toc73716032 \h </w:instrText>
            </w:r>
            <w:r>
              <w:rPr>
                <w:noProof/>
                <w:webHidden/>
              </w:rPr>
            </w:r>
            <w:r>
              <w:rPr>
                <w:noProof/>
                <w:webHidden/>
              </w:rPr>
              <w:fldChar w:fldCharType="separate"/>
            </w:r>
            <w:r w:rsidR="00BD6E98">
              <w:rPr>
                <w:noProof/>
                <w:webHidden/>
              </w:rPr>
              <w:t>27</w:t>
            </w:r>
            <w:r>
              <w:rPr>
                <w:noProof/>
                <w:webHidden/>
              </w:rPr>
              <w:fldChar w:fldCharType="end"/>
            </w:r>
          </w:hyperlink>
        </w:p>
        <w:p w14:paraId="70F04C73" w14:textId="644047A4"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3" w:history="1">
            <w:r w:rsidRPr="00306FD8">
              <w:rPr>
                <w:rStyle w:val="Hyperlink"/>
                <w:noProof/>
              </w:rPr>
              <w:t>Measures</w:t>
            </w:r>
            <w:r>
              <w:rPr>
                <w:noProof/>
                <w:webHidden/>
              </w:rPr>
              <w:tab/>
            </w:r>
            <w:r>
              <w:rPr>
                <w:noProof/>
                <w:webHidden/>
              </w:rPr>
              <w:fldChar w:fldCharType="begin"/>
            </w:r>
            <w:r>
              <w:rPr>
                <w:noProof/>
                <w:webHidden/>
              </w:rPr>
              <w:instrText xml:space="preserve"> PAGEREF _Toc73716033 \h </w:instrText>
            </w:r>
            <w:r>
              <w:rPr>
                <w:noProof/>
                <w:webHidden/>
              </w:rPr>
            </w:r>
            <w:r>
              <w:rPr>
                <w:noProof/>
                <w:webHidden/>
              </w:rPr>
              <w:fldChar w:fldCharType="separate"/>
            </w:r>
            <w:r w:rsidR="00BD6E98">
              <w:rPr>
                <w:noProof/>
                <w:webHidden/>
              </w:rPr>
              <w:t>29</w:t>
            </w:r>
            <w:r>
              <w:rPr>
                <w:noProof/>
                <w:webHidden/>
              </w:rPr>
              <w:fldChar w:fldCharType="end"/>
            </w:r>
          </w:hyperlink>
        </w:p>
        <w:p w14:paraId="4DB1CA7E" w14:textId="2E132C7A"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34" w:history="1">
            <w:r w:rsidRPr="00306FD8">
              <w:rPr>
                <w:rStyle w:val="Hyperlink"/>
                <w:noProof/>
              </w:rPr>
              <w:t>Results</w:t>
            </w:r>
            <w:r>
              <w:rPr>
                <w:noProof/>
                <w:webHidden/>
              </w:rPr>
              <w:tab/>
            </w:r>
            <w:r>
              <w:rPr>
                <w:noProof/>
                <w:webHidden/>
              </w:rPr>
              <w:fldChar w:fldCharType="begin"/>
            </w:r>
            <w:r>
              <w:rPr>
                <w:noProof/>
                <w:webHidden/>
              </w:rPr>
              <w:instrText xml:space="preserve"> PAGEREF _Toc73716034 \h </w:instrText>
            </w:r>
            <w:r>
              <w:rPr>
                <w:noProof/>
                <w:webHidden/>
              </w:rPr>
            </w:r>
            <w:r>
              <w:rPr>
                <w:noProof/>
                <w:webHidden/>
              </w:rPr>
              <w:fldChar w:fldCharType="separate"/>
            </w:r>
            <w:r w:rsidR="00BD6E98">
              <w:rPr>
                <w:noProof/>
                <w:webHidden/>
              </w:rPr>
              <w:t>33</w:t>
            </w:r>
            <w:r>
              <w:rPr>
                <w:noProof/>
                <w:webHidden/>
              </w:rPr>
              <w:fldChar w:fldCharType="end"/>
            </w:r>
          </w:hyperlink>
        </w:p>
        <w:p w14:paraId="38B22136" w14:textId="3AE1349F"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5" w:history="1">
            <w:r w:rsidRPr="00306FD8">
              <w:rPr>
                <w:rStyle w:val="Hyperlink"/>
                <w:noProof/>
              </w:rPr>
              <w:t>Results of H1, RQ1, and RQ2</w:t>
            </w:r>
            <w:r>
              <w:rPr>
                <w:noProof/>
                <w:webHidden/>
              </w:rPr>
              <w:tab/>
            </w:r>
            <w:r>
              <w:rPr>
                <w:noProof/>
                <w:webHidden/>
              </w:rPr>
              <w:fldChar w:fldCharType="begin"/>
            </w:r>
            <w:r>
              <w:rPr>
                <w:noProof/>
                <w:webHidden/>
              </w:rPr>
              <w:instrText xml:space="preserve"> PAGEREF _Toc73716035 \h </w:instrText>
            </w:r>
            <w:r>
              <w:rPr>
                <w:noProof/>
                <w:webHidden/>
              </w:rPr>
            </w:r>
            <w:r>
              <w:rPr>
                <w:noProof/>
                <w:webHidden/>
              </w:rPr>
              <w:fldChar w:fldCharType="separate"/>
            </w:r>
            <w:r w:rsidR="00BD6E98">
              <w:rPr>
                <w:noProof/>
                <w:webHidden/>
              </w:rPr>
              <w:t>34</w:t>
            </w:r>
            <w:r>
              <w:rPr>
                <w:noProof/>
                <w:webHidden/>
              </w:rPr>
              <w:fldChar w:fldCharType="end"/>
            </w:r>
          </w:hyperlink>
        </w:p>
        <w:p w14:paraId="24B0DB80" w14:textId="332C94B0"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6" w:history="1">
            <w:r w:rsidRPr="00306FD8">
              <w:rPr>
                <w:rStyle w:val="Hyperlink"/>
                <w:noProof/>
              </w:rPr>
              <w:t>Results of H2, H3, and H4</w:t>
            </w:r>
            <w:r>
              <w:rPr>
                <w:noProof/>
                <w:webHidden/>
              </w:rPr>
              <w:tab/>
            </w:r>
            <w:r>
              <w:rPr>
                <w:noProof/>
                <w:webHidden/>
              </w:rPr>
              <w:fldChar w:fldCharType="begin"/>
            </w:r>
            <w:r>
              <w:rPr>
                <w:noProof/>
                <w:webHidden/>
              </w:rPr>
              <w:instrText xml:space="preserve"> PAGEREF _Toc73716036 \h </w:instrText>
            </w:r>
            <w:r>
              <w:rPr>
                <w:noProof/>
                <w:webHidden/>
              </w:rPr>
            </w:r>
            <w:r>
              <w:rPr>
                <w:noProof/>
                <w:webHidden/>
              </w:rPr>
              <w:fldChar w:fldCharType="separate"/>
            </w:r>
            <w:r w:rsidR="00BD6E98">
              <w:rPr>
                <w:noProof/>
                <w:webHidden/>
              </w:rPr>
              <w:t>40</w:t>
            </w:r>
            <w:r>
              <w:rPr>
                <w:noProof/>
                <w:webHidden/>
              </w:rPr>
              <w:fldChar w:fldCharType="end"/>
            </w:r>
          </w:hyperlink>
        </w:p>
        <w:p w14:paraId="2FE190E6" w14:textId="4C7B201B"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7" w:history="1">
            <w:r w:rsidRPr="00306FD8">
              <w:rPr>
                <w:rStyle w:val="Hyperlink"/>
                <w:noProof/>
              </w:rPr>
              <w:t>Results from H5 to H7</w:t>
            </w:r>
            <w:r>
              <w:rPr>
                <w:noProof/>
                <w:webHidden/>
              </w:rPr>
              <w:tab/>
            </w:r>
            <w:r>
              <w:rPr>
                <w:noProof/>
                <w:webHidden/>
              </w:rPr>
              <w:fldChar w:fldCharType="begin"/>
            </w:r>
            <w:r>
              <w:rPr>
                <w:noProof/>
                <w:webHidden/>
              </w:rPr>
              <w:instrText xml:space="preserve"> PAGEREF _Toc73716037 \h </w:instrText>
            </w:r>
            <w:r>
              <w:rPr>
                <w:noProof/>
                <w:webHidden/>
              </w:rPr>
            </w:r>
            <w:r>
              <w:rPr>
                <w:noProof/>
                <w:webHidden/>
              </w:rPr>
              <w:fldChar w:fldCharType="separate"/>
            </w:r>
            <w:r w:rsidR="00BD6E98">
              <w:rPr>
                <w:noProof/>
                <w:webHidden/>
              </w:rPr>
              <w:t>42</w:t>
            </w:r>
            <w:r>
              <w:rPr>
                <w:noProof/>
                <w:webHidden/>
              </w:rPr>
              <w:fldChar w:fldCharType="end"/>
            </w:r>
          </w:hyperlink>
        </w:p>
        <w:p w14:paraId="7B808165" w14:textId="44EC4A7A" w:rsidR="00F26570" w:rsidRDefault="00F26570">
          <w:pPr>
            <w:pStyle w:val="TOC2"/>
            <w:tabs>
              <w:tab w:val="right" w:leader="dot" w:pos="9350"/>
            </w:tabs>
            <w:rPr>
              <w:rFonts w:asciiTheme="minorHAnsi" w:eastAsiaTheme="minorEastAsia" w:hAnsiTheme="minorHAnsi" w:cstheme="minorBidi"/>
              <w:noProof/>
              <w:sz w:val="22"/>
              <w:szCs w:val="22"/>
            </w:rPr>
          </w:pPr>
          <w:hyperlink w:anchor="_Toc73716038" w:history="1">
            <w:r w:rsidRPr="00306FD8">
              <w:rPr>
                <w:rStyle w:val="Hyperlink"/>
                <w:noProof/>
              </w:rPr>
              <w:t>Results of RQ3</w:t>
            </w:r>
            <w:r>
              <w:rPr>
                <w:noProof/>
                <w:webHidden/>
              </w:rPr>
              <w:tab/>
            </w:r>
            <w:r>
              <w:rPr>
                <w:noProof/>
                <w:webHidden/>
              </w:rPr>
              <w:fldChar w:fldCharType="begin"/>
            </w:r>
            <w:r>
              <w:rPr>
                <w:noProof/>
                <w:webHidden/>
              </w:rPr>
              <w:instrText xml:space="preserve"> PAGEREF _Toc73716038 \h </w:instrText>
            </w:r>
            <w:r>
              <w:rPr>
                <w:noProof/>
                <w:webHidden/>
              </w:rPr>
            </w:r>
            <w:r>
              <w:rPr>
                <w:noProof/>
                <w:webHidden/>
              </w:rPr>
              <w:fldChar w:fldCharType="separate"/>
            </w:r>
            <w:r w:rsidR="00BD6E98">
              <w:rPr>
                <w:noProof/>
                <w:webHidden/>
              </w:rPr>
              <w:t>45</w:t>
            </w:r>
            <w:r>
              <w:rPr>
                <w:noProof/>
                <w:webHidden/>
              </w:rPr>
              <w:fldChar w:fldCharType="end"/>
            </w:r>
          </w:hyperlink>
        </w:p>
        <w:p w14:paraId="0BF10897" w14:textId="5BD85C15"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39" w:history="1">
            <w:r w:rsidRPr="00306FD8">
              <w:rPr>
                <w:rStyle w:val="Hyperlink"/>
                <w:noProof/>
              </w:rPr>
              <w:t>Discussion</w:t>
            </w:r>
            <w:r>
              <w:rPr>
                <w:noProof/>
                <w:webHidden/>
              </w:rPr>
              <w:tab/>
            </w:r>
            <w:r>
              <w:rPr>
                <w:noProof/>
                <w:webHidden/>
              </w:rPr>
              <w:fldChar w:fldCharType="begin"/>
            </w:r>
            <w:r>
              <w:rPr>
                <w:noProof/>
                <w:webHidden/>
              </w:rPr>
              <w:instrText xml:space="preserve"> PAGEREF _Toc73716039 \h </w:instrText>
            </w:r>
            <w:r>
              <w:rPr>
                <w:noProof/>
                <w:webHidden/>
              </w:rPr>
            </w:r>
            <w:r>
              <w:rPr>
                <w:noProof/>
                <w:webHidden/>
              </w:rPr>
              <w:fldChar w:fldCharType="separate"/>
            </w:r>
            <w:r w:rsidR="00BD6E98">
              <w:rPr>
                <w:noProof/>
                <w:webHidden/>
              </w:rPr>
              <w:t>45</w:t>
            </w:r>
            <w:r>
              <w:rPr>
                <w:noProof/>
                <w:webHidden/>
              </w:rPr>
              <w:fldChar w:fldCharType="end"/>
            </w:r>
          </w:hyperlink>
        </w:p>
        <w:p w14:paraId="38E336F0" w14:textId="4C556F1C"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40" w:history="1">
            <w:r w:rsidRPr="00306FD8">
              <w:rPr>
                <w:rStyle w:val="Hyperlink"/>
                <w:noProof/>
              </w:rPr>
              <w:t>Theoretical and Practical Implications</w:t>
            </w:r>
            <w:r>
              <w:rPr>
                <w:noProof/>
                <w:webHidden/>
              </w:rPr>
              <w:tab/>
            </w:r>
            <w:r>
              <w:rPr>
                <w:noProof/>
                <w:webHidden/>
              </w:rPr>
              <w:fldChar w:fldCharType="begin"/>
            </w:r>
            <w:r>
              <w:rPr>
                <w:noProof/>
                <w:webHidden/>
              </w:rPr>
              <w:instrText xml:space="preserve"> PAGEREF _Toc73716040 \h </w:instrText>
            </w:r>
            <w:r>
              <w:rPr>
                <w:noProof/>
                <w:webHidden/>
              </w:rPr>
            </w:r>
            <w:r>
              <w:rPr>
                <w:noProof/>
                <w:webHidden/>
              </w:rPr>
              <w:fldChar w:fldCharType="separate"/>
            </w:r>
            <w:r w:rsidR="00BD6E98">
              <w:rPr>
                <w:noProof/>
                <w:webHidden/>
              </w:rPr>
              <w:t>51</w:t>
            </w:r>
            <w:r>
              <w:rPr>
                <w:noProof/>
                <w:webHidden/>
              </w:rPr>
              <w:fldChar w:fldCharType="end"/>
            </w:r>
          </w:hyperlink>
        </w:p>
        <w:p w14:paraId="7FBF63DC" w14:textId="4D13307C"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41" w:history="1">
            <w:r w:rsidRPr="00306FD8">
              <w:rPr>
                <w:rStyle w:val="Hyperlink"/>
                <w:noProof/>
              </w:rPr>
              <w:t>Limitations</w:t>
            </w:r>
            <w:r>
              <w:rPr>
                <w:noProof/>
                <w:webHidden/>
              </w:rPr>
              <w:tab/>
            </w:r>
            <w:r>
              <w:rPr>
                <w:noProof/>
                <w:webHidden/>
              </w:rPr>
              <w:fldChar w:fldCharType="begin"/>
            </w:r>
            <w:r>
              <w:rPr>
                <w:noProof/>
                <w:webHidden/>
              </w:rPr>
              <w:instrText xml:space="preserve"> PAGEREF _Toc73716041 \h </w:instrText>
            </w:r>
            <w:r>
              <w:rPr>
                <w:noProof/>
                <w:webHidden/>
              </w:rPr>
            </w:r>
            <w:r>
              <w:rPr>
                <w:noProof/>
                <w:webHidden/>
              </w:rPr>
              <w:fldChar w:fldCharType="separate"/>
            </w:r>
            <w:r w:rsidR="00BD6E98">
              <w:rPr>
                <w:noProof/>
                <w:webHidden/>
              </w:rPr>
              <w:t>52</w:t>
            </w:r>
            <w:r>
              <w:rPr>
                <w:noProof/>
                <w:webHidden/>
              </w:rPr>
              <w:fldChar w:fldCharType="end"/>
            </w:r>
          </w:hyperlink>
        </w:p>
        <w:p w14:paraId="6C66E47B" w14:textId="1C6ED329"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42" w:history="1">
            <w:r w:rsidRPr="00306FD8">
              <w:rPr>
                <w:rStyle w:val="Hyperlink"/>
                <w:noProof/>
              </w:rPr>
              <w:t>Directions for Future Research</w:t>
            </w:r>
            <w:r>
              <w:rPr>
                <w:noProof/>
                <w:webHidden/>
              </w:rPr>
              <w:tab/>
            </w:r>
            <w:r>
              <w:rPr>
                <w:noProof/>
                <w:webHidden/>
              </w:rPr>
              <w:fldChar w:fldCharType="begin"/>
            </w:r>
            <w:r>
              <w:rPr>
                <w:noProof/>
                <w:webHidden/>
              </w:rPr>
              <w:instrText xml:space="preserve"> PAGEREF _Toc73716042 \h </w:instrText>
            </w:r>
            <w:r>
              <w:rPr>
                <w:noProof/>
                <w:webHidden/>
              </w:rPr>
            </w:r>
            <w:r>
              <w:rPr>
                <w:noProof/>
                <w:webHidden/>
              </w:rPr>
              <w:fldChar w:fldCharType="separate"/>
            </w:r>
            <w:r w:rsidR="00BD6E98">
              <w:rPr>
                <w:noProof/>
                <w:webHidden/>
              </w:rPr>
              <w:t>53</w:t>
            </w:r>
            <w:r>
              <w:rPr>
                <w:noProof/>
                <w:webHidden/>
              </w:rPr>
              <w:fldChar w:fldCharType="end"/>
            </w:r>
          </w:hyperlink>
        </w:p>
        <w:p w14:paraId="425842BC" w14:textId="4F6F29F1" w:rsidR="00F26570" w:rsidRDefault="00F26570">
          <w:pPr>
            <w:pStyle w:val="TOC1"/>
            <w:tabs>
              <w:tab w:val="right" w:leader="dot" w:pos="9350"/>
            </w:tabs>
            <w:rPr>
              <w:rFonts w:asciiTheme="minorHAnsi" w:eastAsiaTheme="minorEastAsia" w:hAnsiTheme="minorHAnsi" w:cstheme="minorBidi"/>
              <w:noProof/>
              <w:sz w:val="22"/>
              <w:szCs w:val="22"/>
            </w:rPr>
          </w:pPr>
          <w:hyperlink w:anchor="_Toc73716043" w:history="1">
            <w:r w:rsidRPr="00306FD8">
              <w:rPr>
                <w:rStyle w:val="Hyperlink"/>
                <w:bCs/>
                <w:noProof/>
              </w:rPr>
              <w:t>Reference</w:t>
            </w:r>
            <w:r>
              <w:rPr>
                <w:noProof/>
                <w:webHidden/>
              </w:rPr>
              <w:tab/>
            </w:r>
            <w:r>
              <w:rPr>
                <w:noProof/>
                <w:webHidden/>
              </w:rPr>
              <w:fldChar w:fldCharType="begin"/>
            </w:r>
            <w:r>
              <w:rPr>
                <w:noProof/>
                <w:webHidden/>
              </w:rPr>
              <w:instrText xml:space="preserve"> PAGEREF _Toc73716043 \h </w:instrText>
            </w:r>
            <w:r>
              <w:rPr>
                <w:noProof/>
                <w:webHidden/>
              </w:rPr>
            </w:r>
            <w:r>
              <w:rPr>
                <w:noProof/>
                <w:webHidden/>
              </w:rPr>
              <w:fldChar w:fldCharType="separate"/>
            </w:r>
            <w:r w:rsidR="00BD6E98">
              <w:rPr>
                <w:noProof/>
                <w:webHidden/>
              </w:rPr>
              <w:t>54</w:t>
            </w:r>
            <w:r>
              <w:rPr>
                <w:noProof/>
                <w:webHidden/>
              </w:rPr>
              <w:fldChar w:fldCharType="end"/>
            </w:r>
          </w:hyperlink>
        </w:p>
        <w:p w14:paraId="31B91493" w14:textId="4F051078" w:rsidR="00D64CA4" w:rsidRDefault="00D64CA4">
          <w:r>
            <w:rPr>
              <w:b/>
              <w:bCs/>
              <w:noProof/>
            </w:rPr>
            <w:fldChar w:fldCharType="end"/>
          </w:r>
        </w:p>
      </w:sdtContent>
    </w:sdt>
    <w:p w14:paraId="0592B5E8" w14:textId="1DA0A3D2" w:rsidR="00FB6FD0" w:rsidRDefault="00FB6FD0" w:rsidP="00B73374">
      <w:pPr>
        <w:spacing w:after="160" w:line="259" w:lineRule="auto"/>
        <w:jc w:val="center"/>
        <w:rPr>
          <w:color w:val="000000" w:themeColor="text1"/>
        </w:rPr>
        <w:sectPr w:rsidR="00FB6FD0">
          <w:headerReference w:type="default" r:id="rId12"/>
          <w:pgSz w:w="12240" w:h="15840"/>
          <w:pgMar w:top="1440" w:right="1440" w:bottom="1440" w:left="1440" w:header="720" w:footer="720" w:gutter="0"/>
          <w:pgNumType w:start="1"/>
          <w:cols w:space="720"/>
        </w:sectPr>
      </w:pPr>
      <w:r>
        <w:rPr>
          <w:color w:val="000000" w:themeColor="text1"/>
        </w:rPr>
        <w:br w:type="page"/>
      </w:r>
    </w:p>
    <w:p w14:paraId="6904519F" w14:textId="5AF94717" w:rsidR="00FB6FD0" w:rsidRPr="00F26570" w:rsidRDefault="00FB6FD0" w:rsidP="00F26570">
      <w:pPr>
        <w:spacing w:line="480" w:lineRule="auto"/>
        <w:jc w:val="center"/>
        <w:rPr>
          <w:b/>
          <w:bCs/>
        </w:rPr>
      </w:pPr>
      <w:r w:rsidRPr="00F26570">
        <w:rPr>
          <w:b/>
          <w:bCs/>
        </w:rPr>
        <w:lastRenderedPageBreak/>
        <w:t>Abstract</w:t>
      </w:r>
    </w:p>
    <w:p w14:paraId="65BC2D68" w14:textId="6D3D769E" w:rsidR="00FB6FD0" w:rsidRPr="0050614B" w:rsidRDefault="00FB6FD0" w:rsidP="0050614B">
      <w:pPr>
        <w:spacing w:line="480" w:lineRule="auto"/>
        <w:rPr>
          <w:color w:val="000000" w:themeColor="text1"/>
        </w:rPr>
      </w:pPr>
      <w:r>
        <w:t xml:space="preserve">Robots have been playing an increasingly important role in human life, but their performance is yet far from perfection. Based on extant literature in interpersonal, organizational, and human-machine communication, the current study develops a three-fold categorization of technical failures (i.e., logic, semantic, and syntax failures) commonly observed in human-robot interactions from the interactants’ end, investigating it together with four trust repair strategies: internal-attribution apology, external-attribution apology, denial, and no repair. The 743 observations conducted through an online experiment reveals there exist some nuances in participants’ perceived division between competence- and integrity-based trust violations, given the ontological differences between humans and machines. </w:t>
      </w:r>
      <w:r w:rsidR="0050614B" w:rsidRPr="002A13E4">
        <w:rPr>
          <w:color w:val="000000" w:themeColor="text1"/>
        </w:rPr>
        <w:t>The findings also suggest prior propositions about trust repair from the perspective of attribution theory only explain part of the variance, in addition to some significant main effects of failure types and repair methods on HRI-based trust.</w:t>
      </w:r>
    </w:p>
    <w:p w14:paraId="48A53268" w14:textId="77777777" w:rsidR="0050614B" w:rsidRDefault="00FB6FD0" w:rsidP="00FB6FD0">
      <w:pPr>
        <w:spacing w:line="480" w:lineRule="auto"/>
        <w:ind w:firstLine="720"/>
        <w:sectPr w:rsidR="0050614B">
          <w:headerReference w:type="default" r:id="rId13"/>
          <w:pgSz w:w="12240" w:h="15840"/>
          <w:pgMar w:top="1440" w:right="1440" w:bottom="1440" w:left="1440" w:header="720" w:footer="720" w:gutter="0"/>
          <w:pgNumType w:start="1"/>
          <w:cols w:space="720"/>
        </w:sectPr>
      </w:pPr>
      <w:r w:rsidRPr="002D2648">
        <w:rPr>
          <w:i/>
          <w:iCs/>
        </w:rPr>
        <w:t>Keywords</w:t>
      </w:r>
      <w:r>
        <w:t>: human-robot interactions, technical failures, trust repair, blame attribution</w:t>
      </w:r>
    </w:p>
    <w:p w14:paraId="07C011E6" w14:textId="14B6D5A9" w:rsidR="00DB7FAE" w:rsidRPr="002A13E4" w:rsidRDefault="00F147F7" w:rsidP="00FB6FD0">
      <w:pPr>
        <w:spacing w:line="480" w:lineRule="auto"/>
        <w:jc w:val="center"/>
        <w:rPr>
          <w:color w:val="000000" w:themeColor="text1"/>
        </w:rPr>
      </w:pPr>
      <w:r w:rsidRPr="002A13E4">
        <w:rPr>
          <w:color w:val="000000" w:themeColor="text1"/>
        </w:rPr>
        <w:lastRenderedPageBreak/>
        <w:t>“Sorry, It Was My Fault”: Repairing Trust in Human-Robot Interactions</w:t>
      </w:r>
    </w:p>
    <w:p w14:paraId="6E7B47FE" w14:textId="77777777" w:rsidR="00DB7FAE" w:rsidRPr="002A13E4" w:rsidRDefault="00F147F7">
      <w:pPr>
        <w:spacing w:line="480" w:lineRule="auto"/>
        <w:ind w:firstLine="720"/>
        <w:rPr>
          <w:color w:val="000000" w:themeColor="text1"/>
        </w:rPr>
      </w:pPr>
      <w:r w:rsidRPr="002A13E4">
        <w:rPr>
          <w:color w:val="000000" w:themeColor="text1"/>
        </w:rPr>
        <w:t xml:space="preserve">As technology becomes more deeply involved in human life, the relationships between humans and technology have grown more interdependent (Guzman &amp; Lewis, 2020). Consequently, trust is no longer a socio-psychological concept only applicable to interpersonal dynamics. Akin to trust developed through human-to-human communication, trust toward technology also reflects trustors’ evaluations of trustees’ abilities and helpfulness in achieving expected goals. Since trust is closely associated with interaction outcomes and usage decisions (Sanders et al., 2019)—misgauged levels of trust in technology might lead to misuse, disuse, and abuse of technological systems, while accurately calibrated trust can assist human-machine collaborations (Parasuraman &amp; Riley, 1997)—trust evolved in human-machine communication (HMC), including human-automation interactions, human-agent interactions, human-computer interactions, and human-robot interactions (HRI), has attracted significant scholarly interest. </w:t>
      </w:r>
    </w:p>
    <w:p w14:paraId="0A85D842" w14:textId="38CC7BD9" w:rsidR="00DB7FAE" w:rsidRPr="002A13E4" w:rsidRDefault="00F147F7">
      <w:pPr>
        <w:spacing w:line="480" w:lineRule="auto"/>
        <w:ind w:firstLine="720"/>
        <w:rPr>
          <w:color w:val="000000" w:themeColor="text1"/>
        </w:rPr>
      </w:pPr>
      <w:r w:rsidRPr="002A13E4">
        <w:rPr>
          <w:color w:val="000000" w:themeColor="text1"/>
        </w:rPr>
        <w:t>The present study specifically focuses on trust in robotics, which presents a relatively novel scope in the discipline compared to trust research in automation (Schaefer, 2013; Baker et al., 2018). Following Lee and See (2004), the current study defines trust as “the attitude that an agent will help achieve an individual’s goals in a situation characterized by uncertainty and vulnerability” (p. 54). Distinct from interpersonal trust, trust in robots is characterized by unique expectations with a heavy emphasis on system performance (</w:t>
      </w:r>
      <w:r w:rsidR="00BA3284" w:rsidRPr="002A13E4">
        <w:rPr>
          <w:color w:val="000000" w:themeColor="text1"/>
        </w:rPr>
        <w:t>Baker et al., 2018</w:t>
      </w:r>
      <w:r w:rsidR="00BA3284">
        <w:rPr>
          <w:color w:val="000000" w:themeColor="text1"/>
        </w:rPr>
        <w:t xml:space="preserve">; </w:t>
      </w:r>
      <w:r w:rsidRPr="002A13E4">
        <w:rPr>
          <w:color w:val="000000" w:themeColor="text1"/>
        </w:rPr>
        <w:t xml:space="preserve">Hancock et al., 2011) and situational risks and uncertainty (Schaefer, 2013). Previous studies have revealed that performance is the central predictor of human trust in robots (Hancock et al., 2011). Existing robotic performance, however, can hardly reach perfection since numerous errors can occur in human-robot interactions, such as failing to provide responses, mistaking voice commands, identifying physical surroundings inaccurately, and producing incorrect output, leading to </w:t>
      </w:r>
      <w:r w:rsidRPr="002A13E4">
        <w:rPr>
          <w:color w:val="000000" w:themeColor="text1"/>
        </w:rPr>
        <w:lastRenderedPageBreak/>
        <w:t xml:space="preserve">decline of trust (Desai et al., 2012; Desai et al., 2013; Salem et al., 2015). Given these issues, it becomes particularly important for roboticists to enhance robots’ capabilities for detecting performance failures and repairing human users’ trust </w:t>
      </w:r>
      <w:proofErr w:type="gramStart"/>
      <w:r w:rsidRPr="002A13E4">
        <w:rPr>
          <w:color w:val="000000" w:themeColor="text1"/>
        </w:rPr>
        <w:t>in order to</w:t>
      </w:r>
      <w:proofErr w:type="gramEnd"/>
      <w:r w:rsidRPr="002A13E4">
        <w:rPr>
          <w:color w:val="000000" w:themeColor="text1"/>
        </w:rPr>
        <w:t xml:space="preserve"> facilitate effective human-robot interactions (Brooks, 2017; </w:t>
      </w:r>
      <w:proofErr w:type="spellStart"/>
      <w:r w:rsidRPr="002A13E4">
        <w:rPr>
          <w:color w:val="000000" w:themeColor="text1"/>
        </w:rPr>
        <w:t>Sebo</w:t>
      </w:r>
      <w:proofErr w:type="spellEnd"/>
      <w:r w:rsidRPr="002A13E4">
        <w:rPr>
          <w:color w:val="000000" w:themeColor="text1"/>
        </w:rPr>
        <w:t xml:space="preserve"> et al., 2019).  </w:t>
      </w:r>
    </w:p>
    <w:p w14:paraId="4BC60E8E" w14:textId="4CEE3B73" w:rsidR="00DB7FAE" w:rsidRPr="002A13E4" w:rsidRDefault="00F147F7">
      <w:pPr>
        <w:spacing w:line="480" w:lineRule="auto"/>
        <w:ind w:firstLine="720"/>
        <w:rPr>
          <w:color w:val="000000" w:themeColor="text1"/>
        </w:rPr>
      </w:pPr>
      <w:r w:rsidRPr="002A13E4">
        <w:rPr>
          <w:color w:val="000000" w:themeColor="text1"/>
        </w:rPr>
        <w:t>Humans employ various strategies to rehabilitate interpersonal trust, including apologizing, denying, promising, emphasizing, and explaining, and these strategies could potentially be transplanted to the HRI context (de Visser et al., 2018). Essentially, these strategies repair trust</w:t>
      </w:r>
      <w:r w:rsidRPr="002A13E4">
        <w:rPr>
          <w:i/>
          <w:color w:val="000000" w:themeColor="text1"/>
        </w:rPr>
        <w:t xml:space="preserve"> </w:t>
      </w:r>
      <w:r w:rsidRPr="002A13E4">
        <w:rPr>
          <w:color w:val="000000" w:themeColor="text1"/>
        </w:rPr>
        <w:t xml:space="preserve">by redirecting attributions of blame (Tomlinson &amp; Myer, 2009) and mitigating negative influences of expectancy violations (Lee et al., 2010). In organizational literature, Kim et al. (2004) identified two types of trust violations, competence- and integrity-based violations (details discussed below), and investigated appropriateness of two repair methods, </w:t>
      </w:r>
      <w:proofErr w:type="gramStart"/>
      <w:r w:rsidRPr="002A13E4">
        <w:rPr>
          <w:color w:val="000000" w:themeColor="text1"/>
        </w:rPr>
        <w:t>apology</w:t>
      </w:r>
      <w:proofErr w:type="gramEnd"/>
      <w:r w:rsidRPr="002A13E4">
        <w:rPr>
          <w:color w:val="000000" w:themeColor="text1"/>
        </w:rPr>
        <w:t xml:space="preserve"> and denial, respectively under each condition. The study identified apology as the optimum response for competence-based violations whereas denial is more effective with integrity-based violations, and </w:t>
      </w:r>
      <w:proofErr w:type="spellStart"/>
      <w:r w:rsidRPr="002A13E4">
        <w:rPr>
          <w:color w:val="000000" w:themeColor="text1"/>
        </w:rPr>
        <w:t>Sebo</w:t>
      </w:r>
      <w:proofErr w:type="spellEnd"/>
      <w:r w:rsidRPr="002A13E4">
        <w:rPr>
          <w:color w:val="000000" w:themeColor="text1"/>
        </w:rPr>
        <w:t xml:space="preserve"> et al.’s (2019) study also confirmed this finding in HRI. Yet due to ontological differences between humans and robots, this study questioned whether interactants will perceive robotic errors in the same way as they perceive human errors, since robots are thought of as mindless beings with less agency (</w:t>
      </w:r>
      <w:r w:rsidR="00810946" w:rsidRPr="002A13E4">
        <w:rPr>
          <w:color w:val="000000" w:themeColor="text1"/>
        </w:rPr>
        <w:t>Banks, 2019</w:t>
      </w:r>
      <w:r w:rsidR="00810946">
        <w:rPr>
          <w:color w:val="000000" w:themeColor="text1"/>
        </w:rPr>
        <w:t xml:space="preserve">; </w:t>
      </w:r>
      <w:r w:rsidRPr="002A13E4">
        <w:rPr>
          <w:color w:val="000000" w:themeColor="text1"/>
        </w:rPr>
        <w:t xml:space="preserve">Gray et al., 2012). </w:t>
      </w:r>
    </w:p>
    <w:p w14:paraId="0829285E" w14:textId="77777777" w:rsidR="00DB7FAE" w:rsidRPr="002A13E4" w:rsidRDefault="00F147F7">
      <w:pPr>
        <w:spacing w:line="480" w:lineRule="auto"/>
        <w:ind w:firstLine="720"/>
        <w:rPr>
          <w:color w:val="000000" w:themeColor="text1"/>
        </w:rPr>
      </w:pPr>
      <w:r w:rsidRPr="002A13E4">
        <w:rPr>
          <w:color w:val="000000" w:themeColor="text1"/>
        </w:rPr>
        <w:t xml:space="preserve">The current study identified three types of technical failures resulting from basic system errors (i.e., logic, semantic and syntax errors; McCall &amp; </w:t>
      </w:r>
      <w:proofErr w:type="spellStart"/>
      <w:r w:rsidRPr="002A13E4">
        <w:rPr>
          <w:color w:val="000000" w:themeColor="text1"/>
        </w:rPr>
        <w:t>Kölling</w:t>
      </w:r>
      <w:proofErr w:type="spellEnd"/>
      <w:r w:rsidRPr="002A13E4">
        <w:rPr>
          <w:color w:val="000000" w:themeColor="text1"/>
        </w:rPr>
        <w:t xml:space="preserve">, 2014) after revising the human-automation trust repair framework proposed by </w:t>
      </w:r>
      <w:proofErr w:type="spellStart"/>
      <w:r w:rsidRPr="002A13E4">
        <w:rPr>
          <w:color w:val="000000" w:themeColor="text1"/>
        </w:rPr>
        <w:t>Marinaccio</w:t>
      </w:r>
      <w:proofErr w:type="spellEnd"/>
      <w:r w:rsidRPr="002A13E4">
        <w:rPr>
          <w:color w:val="000000" w:themeColor="text1"/>
        </w:rPr>
        <w:t xml:space="preserve"> et al. (2015). Next, the present study explored effectiveness of three trust recovery tactics, apology with internal or external attributions and denial, taking no repair as a reference point, and investigated the potential interaction between failure types and research methods.</w:t>
      </w:r>
    </w:p>
    <w:p w14:paraId="2DFE5C44" w14:textId="77777777" w:rsidR="00DB7FAE" w:rsidRPr="002A13E4" w:rsidRDefault="00F147F7">
      <w:pPr>
        <w:pStyle w:val="Heading1"/>
        <w:spacing w:before="0" w:line="480" w:lineRule="auto"/>
        <w:rPr>
          <w:color w:val="000000" w:themeColor="text1"/>
        </w:rPr>
      </w:pPr>
      <w:bookmarkStart w:id="2" w:name="_Toc73716020"/>
      <w:r w:rsidRPr="002A13E4">
        <w:rPr>
          <w:color w:val="000000" w:themeColor="text1"/>
        </w:rPr>
        <w:lastRenderedPageBreak/>
        <w:t>Trust Violations and Repairs</w:t>
      </w:r>
      <w:bookmarkEnd w:id="2"/>
    </w:p>
    <w:p w14:paraId="12266670" w14:textId="77777777" w:rsidR="00DB7FAE" w:rsidRPr="002A13E4" w:rsidRDefault="00F147F7">
      <w:pPr>
        <w:spacing w:line="480" w:lineRule="auto"/>
        <w:rPr>
          <w:color w:val="000000" w:themeColor="text1"/>
        </w:rPr>
      </w:pPr>
      <w:r w:rsidRPr="002A13E4">
        <w:rPr>
          <w:b/>
          <w:color w:val="000000" w:themeColor="text1"/>
        </w:rPr>
        <w:tab/>
      </w:r>
      <w:r w:rsidRPr="002A13E4">
        <w:rPr>
          <w:color w:val="000000" w:themeColor="text1"/>
        </w:rPr>
        <w:t>Although trust formation has conventionally been understood as a long-term process, studies have disclosed that trust can also develop within a short period of time in temporary groups (Meyerson et al., 1996; Robert et al., 2009). As a critical factor for development and maintenance of social and professional relationships (</w:t>
      </w:r>
      <w:proofErr w:type="spellStart"/>
      <w:r w:rsidRPr="002A13E4">
        <w:rPr>
          <w:color w:val="000000" w:themeColor="text1"/>
        </w:rPr>
        <w:t>Haesevoets</w:t>
      </w:r>
      <w:proofErr w:type="spellEnd"/>
      <w:r w:rsidRPr="002A13E4">
        <w:rPr>
          <w:color w:val="000000" w:themeColor="text1"/>
        </w:rPr>
        <w:t xml:space="preserve"> et al., 2015), trust has long been a topic of intense research across various disciplines (Lewicki &amp; </w:t>
      </w:r>
      <w:proofErr w:type="spellStart"/>
      <w:r w:rsidRPr="002A13E4">
        <w:rPr>
          <w:color w:val="000000" w:themeColor="text1"/>
        </w:rPr>
        <w:t>Brinsfield</w:t>
      </w:r>
      <w:proofErr w:type="spellEnd"/>
      <w:r w:rsidRPr="002A13E4">
        <w:rPr>
          <w:color w:val="000000" w:themeColor="text1"/>
        </w:rPr>
        <w:t xml:space="preserve">, 2017): by 2013, there had been over 300 documented definitions of trust (Schaefer, 2013). These definitions have conceptualized trust as beliefs, attitudes, intensions, and behaviors, and such a variety of views can be eventually reconciled since attitude is the elemental base of all other dimensions of trust (Lee &amp; See, 2004). According to the classic model presented by Mayer et al. (1995), this perceptual construct is essentially a function of three characteristics of trustees: ability (i.e., “that group of skills, competencies, and characteristics that enable the party to have influences within some specific domain”, p.717), benevolence (i.e., “the extent to which a trustee is believed to want to do good for the trustor”, p.718), and integrity (“the trustor’s perception that the trustee adheres to a set of principles that the trustor finds acceptable”, p.719). </w:t>
      </w:r>
    </w:p>
    <w:p w14:paraId="66347FF9" w14:textId="1AABB725" w:rsidR="00DB7FAE" w:rsidRPr="002A13E4" w:rsidRDefault="00F147F7">
      <w:pPr>
        <w:spacing w:line="480" w:lineRule="auto"/>
        <w:ind w:firstLine="720"/>
        <w:rPr>
          <w:color w:val="000000" w:themeColor="text1"/>
        </w:rPr>
      </w:pPr>
      <w:r w:rsidRPr="002A13E4">
        <w:rPr>
          <w:color w:val="000000" w:themeColor="text1"/>
        </w:rPr>
        <w:t xml:space="preserve">Even though humans and machines are much different entities, some parallels exist between trust fostered in human-to-human communication and trust bred in HMC. For example, many factors contributing to interpersonal trust also influence technology-based trust, such as culture, age, personality for dispositional trust, task difficulty and mood for situational trust, and performance reliability, predictability, error timing, and trustees’ characteristics for learned trust (Hoff &amp; Bashir, 2015). Such similarities mirror the foundational vision of media equation theory and computers-as-social-actor (CASA) paradigm which explain social norms of the human world </w:t>
      </w:r>
      <w:r w:rsidRPr="002A13E4">
        <w:rPr>
          <w:color w:val="000000" w:themeColor="text1"/>
        </w:rPr>
        <w:lastRenderedPageBreak/>
        <w:t>would be equally applicable in human-to-machine interactions despite ontological differences (</w:t>
      </w:r>
      <w:r w:rsidR="00810946" w:rsidRPr="002A13E4">
        <w:rPr>
          <w:color w:val="000000" w:themeColor="text1"/>
        </w:rPr>
        <w:t>Nass &amp; Moon, 2000</w:t>
      </w:r>
      <w:r w:rsidR="00810946">
        <w:rPr>
          <w:color w:val="000000" w:themeColor="text1"/>
        </w:rPr>
        <w:t xml:space="preserve">; </w:t>
      </w:r>
      <w:r w:rsidRPr="002A13E4">
        <w:rPr>
          <w:color w:val="000000" w:themeColor="text1"/>
        </w:rPr>
        <w:t xml:space="preserve">Reeves &amp; Nass, 1996). </w:t>
      </w:r>
    </w:p>
    <w:p w14:paraId="071E5086" w14:textId="77777777" w:rsidR="00DB7FAE" w:rsidRPr="002A13E4" w:rsidRDefault="00F147F7">
      <w:pPr>
        <w:spacing w:line="480" w:lineRule="auto"/>
        <w:ind w:firstLine="720"/>
        <w:rPr>
          <w:color w:val="000000" w:themeColor="text1"/>
        </w:rPr>
      </w:pPr>
      <w:r w:rsidRPr="002A13E4">
        <w:rPr>
          <w:color w:val="000000" w:themeColor="text1"/>
        </w:rPr>
        <w:t>Development and maintenance of trust is inevitably accompanied by risks of trust violations. Ubiquitous in daily interactions, trust violations can be defined as “unmet expectations concerning another’s behavior, or when the person does not act consistent with one’s values” (</w:t>
      </w:r>
      <w:proofErr w:type="spellStart"/>
      <w:r w:rsidRPr="002A13E4">
        <w:rPr>
          <w:color w:val="000000" w:themeColor="text1"/>
        </w:rPr>
        <w:t>Bies</w:t>
      </w:r>
      <w:proofErr w:type="spellEnd"/>
      <w:r w:rsidRPr="002A13E4">
        <w:rPr>
          <w:color w:val="000000" w:themeColor="text1"/>
        </w:rPr>
        <w:t xml:space="preserve"> &amp; Tripp, p. 248); these violations can vitiate trust, thus resulting in social and economic loss (Rao &amp; Lee, 2007). In response to perceived transgressions, trustees can take attempts to obtain forgiveness (Tomlinson et al., 2004) and restore positive expectations while minimizing negative ones (Kramer &amp; Lewicki, 2010). In contrast to the abundance of trust literature, heretofore research on repair strategies has been a late bloomer, given the common existence of trust violations and subsequent needs for trust repair, though it has gained increased attention in recent years (Dirks et al., 2009). In the field of HMC, trust repair research is still a fledgling subject that seeks theoretical support from interpersonal and organizational trust literature.</w:t>
      </w:r>
    </w:p>
    <w:p w14:paraId="3103C8B9" w14:textId="77777777" w:rsidR="00DB7FAE" w:rsidRPr="002A13E4" w:rsidRDefault="00F147F7">
      <w:pPr>
        <w:pStyle w:val="Heading2"/>
        <w:spacing w:before="0" w:line="480" w:lineRule="auto"/>
        <w:rPr>
          <w:color w:val="000000" w:themeColor="text1"/>
        </w:rPr>
      </w:pPr>
      <w:bookmarkStart w:id="3" w:name="_Toc73716021"/>
      <w:r w:rsidRPr="002A13E4">
        <w:rPr>
          <w:color w:val="000000" w:themeColor="text1"/>
        </w:rPr>
        <w:t>Human-to-Human Trust Repair</w:t>
      </w:r>
      <w:bookmarkEnd w:id="3"/>
    </w:p>
    <w:p w14:paraId="793822D7" w14:textId="25A540A5" w:rsidR="00DB7FAE" w:rsidRPr="002A13E4" w:rsidRDefault="00F147F7">
      <w:pPr>
        <w:spacing w:line="480" w:lineRule="auto"/>
        <w:ind w:firstLine="720"/>
        <w:rPr>
          <w:color w:val="000000" w:themeColor="text1"/>
        </w:rPr>
      </w:pPr>
      <w:r w:rsidRPr="002A13E4">
        <w:rPr>
          <w:color w:val="000000" w:themeColor="text1"/>
        </w:rPr>
        <w:t>The current line of trust repair studies in HMC is mainly inspired by a burgeoning line of trust repair research in the field of organizational communication. A series of studies (</w:t>
      </w:r>
      <w:r w:rsidR="00810946" w:rsidRPr="002A13E4">
        <w:rPr>
          <w:color w:val="000000" w:themeColor="text1"/>
        </w:rPr>
        <w:t>Ferrin et al., 2007</w:t>
      </w:r>
      <w:r w:rsidR="00810946">
        <w:rPr>
          <w:color w:val="000000" w:themeColor="text1"/>
        </w:rPr>
        <w:t xml:space="preserve">; </w:t>
      </w:r>
      <w:r w:rsidRPr="002A13E4">
        <w:rPr>
          <w:color w:val="000000" w:themeColor="text1"/>
        </w:rPr>
        <w:t>Kim et al., 2004</w:t>
      </w:r>
      <w:r w:rsidR="00810946">
        <w:rPr>
          <w:color w:val="000000" w:themeColor="text1"/>
        </w:rPr>
        <w:t xml:space="preserve">; </w:t>
      </w:r>
      <w:r w:rsidRPr="002A13E4">
        <w:rPr>
          <w:color w:val="000000" w:themeColor="text1"/>
        </w:rPr>
        <w:t xml:space="preserve">2006; 2013) related to trust repair were initially conducted under a scenario of job interviews, where participants were positioned as a manager looking for a tax accountant and watching the videotapes of a job candidate who performed either competence- or integrity-based violations and attempted to repair trust with different strategies. Apology (i.e., a response in which trustee accepts responsibility, expresses repentance, and stresses the intent to avoid similar violations in the future) and denial (i.e., a response in which the trustee rejects </w:t>
      </w:r>
      <w:r w:rsidRPr="002A13E4">
        <w:rPr>
          <w:color w:val="000000" w:themeColor="text1"/>
        </w:rPr>
        <w:lastRenderedPageBreak/>
        <w:t>responsibility and expresses no repentance) have been two trust repair methods of primary scholarly interest, and researchers previously obtained mixed findings about their effects (Kim et al., 2004): while some researchers believed that apology repairs trustors’ faith more successfully by increasing positivity in perceived intentions and motives, others contended that avoiding the blame would be more effective given the seriousness of accusation (</w:t>
      </w:r>
      <w:r w:rsidR="00810946" w:rsidRPr="002A13E4">
        <w:rPr>
          <w:color w:val="000000" w:themeColor="text1"/>
        </w:rPr>
        <w:t>Ferrin et al., 2007</w:t>
      </w:r>
      <w:r w:rsidR="00810946">
        <w:rPr>
          <w:color w:val="000000" w:themeColor="text1"/>
        </w:rPr>
        <w:t xml:space="preserve">; </w:t>
      </w:r>
      <w:r w:rsidRPr="002A13E4">
        <w:rPr>
          <w:color w:val="000000" w:themeColor="text1"/>
        </w:rPr>
        <w:t>Kim et al., 2006</w:t>
      </w:r>
      <w:r w:rsidR="00810946">
        <w:rPr>
          <w:color w:val="000000" w:themeColor="text1"/>
        </w:rPr>
        <w:t xml:space="preserve">; </w:t>
      </w:r>
      <w:proofErr w:type="spellStart"/>
      <w:r w:rsidR="00810946" w:rsidRPr="002A13E4">
        <w:rPr>
          <w:color w:val="000000" w:themeColor="text1"/>
        </w:rPr>
        <w:t>Takaku</w:t>
      </w:r>
      <w:proofErr w:type="spellEnd"/>
      <w:r w:rsidR="00810946" w:rsidRPr="002A13E4">
        <w:rPr>
          <w:color w:val="000000" w:themeColor="text1"/>
        </w:rPr>
        <w:t>, 2001</w:t>
      </w:r>
      <w:r w:rsidRPr="002A13E4">
        <w:rPr>
          <w:color w:val="000000" w:themeColor="text1"/>
        </w:rPr>
        <w:t xml:space="preserve">). To reconcile the inconsistencies in prior findings, Kim et al. (2004) introduced two types of violations from a diagnostic perspective: competence-based violations and integrity-based violations. </w:t>
      </w:r>
    </w:p>
    <w:p w14:paraId="799D96CD" w14:textId="77777777" w:rsidR="00DB7FAE" w:rsidRPr="002A13E4" w:rsidRDefault="00F147F7">
      <w:pPr>
        <w:spacing w:line="480" w:lineRule="auto"/>
        <w:ind w:firstLine="720"/>
        <w:rPr>
          <w:color w:val="000000" w:themeColor="text1"/>
        </w:rPr>
      </w:pPr>
      <w:r w:rsidRPr="002A13E4">
        <w:rPr>
          <w:color w:val="000000" w:themeColor="text1"/>
        </w:rPr>
        <w:t>This two-fold taxonomy of trust violations developed by Kim et al. (2004) rests on the recognition that competence and integrity are two critical determinants of trust. The fundamental differences between two types of violations root in hierarchically restrictive schemas (Reeder &amp; Brewer, 1979). Trustors’ evaluations of two types of trust violations follow distinct processes because skill (i.e., competency) and honesty (i.e., integrity) invoke different attribution patterns: competence and performance can be tested, but integrity and morality cannot be easily quantified. In addition, violations of integrity are judged more harshly than the ones against competence because they endanger trustors’ comprehensive evaluations of trustees as human beings (</w:t>
      </w:r>
      <w:proofErr w:type="spellStart"/>
      <w:r w:rsidRPr="002A13E4">
        <w:rPr>
          <w:color w:val="000000" w:themeColor="text1"/>
        </w:rPr>
        <w:t>Sitkin</w:t>
      </w:r>
      <w:proofErr w:type="spellEnd"/>
      <w:r w:rsidRPr="002A13E4">
        <w:rPr>
          <w:color w:val="000000" w:themeColor="text1"/>
        </w:rPr>
        <w:t xml:space="preserve"> &amp; Roth, 1993). Since a single good performance is more likely to be regarded a reliable sign of innate competence while one terrible performance might be interpreted as an anomaly caused by situational factors, positive information outweighs negative one for competence-based violations. By contrast, negative information overshadows positive one for integrity-based violations because one honest behavior is not considered to be a dependable indicator of honesty whereas a single dishonest behavior is deemed to be an indicator of dishonesty (Kim et al., 2004). Therefore, the remedies for competence-based violations should </w:t>
      </w:r>
      <w:r w:rsidRPr="002A13E4">
        <w:rPr>
          <w:color w:val="000000" w:themeColor="text1"/>
        </w:rPr>
        <w:lastRenderedPageBreak/>
        <w:t xml:space="preserve">focus on maximizing positivity while the remedies for integrity-based violations should focus on minimizing negativity. </w:t>
      </w:r>
    </w:p>
    <w:p w14:paraId="2DAF2AB0" w14:textId="77777777" w:rsidR="00DB7FAE" w:rsidRPr="002A13E4" w:rsidRDefault="00F147F7">
      <w:pPr>
        <w:spacing w:line="480" w:lineRule="auto"/>
        <w:ind w:firstLine="720"/>
        <w:rPr>
          <w:color w:val="000000" w:themeColor="text1"/>
        </w:rPr>
      </w:pPr>
      <w:r w:rsidRPr="002A13E4">
        <w:rPr>
          <w:color w:val="000000" w:themeColor="text1"/>
        </w:rPr>
        <w:t xml:space="preserve">Consequently, Kim et al. (2004) assume that apology is more effective with competence-based violations than denial, since trustors pay more attention to positivity (i.e., expressed repentance and the intent to avoid such violations in the future) brought by acknowledgement of such violations rather than negativity (i.e., accepted culpability); in contrast, denial is more potent succor for integrity-based violations, because avoiding negativity (i.e., accepted culpability) regarding such violations would be more effective than generating positivity (i.e., expressed repentance and the intent of redemption). Through their initial studies, Kim et al. (2004) measured trust with two subconstructs, trusting beliefs (i.e., the trustor’s perceived competence and integrity of the trustee) and intentions (i.e., the trustor’s tendency to rely on the trustee in vulnerability), and identified significant interactions between the two violation types and the two repair methods; they also found both repair methods, especially denial, would backfire when the truth was inconsistent with the claims. </w:t>
      </w:r>
    </w:p>
    <w:p w14:paraId="3405714A" w14:textId="786849ED" w:rsidR="00DB7FAE" w:rsidRPr="002A13E4" w:rsidRDefault="00F147F7">
      <w:pPr>
        <w:spacing w:line="480" w:lineRule="auto"/>
        <w:ind w:firstLine="720"/>
        <w:rPr>
          <w:color w:val="000000" w:themeColor="text1"/>
        </w:rPr>
      </w:pPr>
      <w:bookmarkStart w:id="4" w:name="_heading=h.1fob9te" w:colFirst="0" w:colLast="0"/>
      <w:bookmarkEnd w:id="4"/>
      <w:r w:rsidRPr="002A13E4">
        <w:rPr>
          <w:color w:val="000000" w:themeColor="text1"/>
        </w:rPr>
        <w:t xml:space="preserve">Subsequent studies conducted by Kim and his team mostly substantiated their preliminary findings. Later Kim et al. (2006) incorporated attribution theory into their experimental designs and concluded that apologies with internal attributions produced better outcomes than ones with external attributions for competence-based violations, but the findings were flipped for integrity-based violations. The researchers interpreted those findings to mean that integrity-based violations are so deleterious that any mitigating response, no matter how untenable, will serve as a relief. Ferrin et al. (2007) noted that reticence (i.e., a response in which the trustee claims he or she cannot or will not confirm or deny the responsibility) would be less effective than optimal responses for both violation types in light of the psychological fact that an </w:t>
      </w:r>
      <w:r w:rsidRPr="002A13E4">
        <w:rPr>
          <w:color w:val="000000" w:themeColor="text1"/>
        </w:rPr>
        <w:lastRenderedPageBreak/>
        <w:t>untested accusation can still dispose people to believe it, verifying hypotheses with two scenarios (i.e., job interviews for a tax accountant and interrogations of an executive officer). Kim et al. (2013) investigated the process of trust recovery in the social context and again observed the same interactions, with group dynamics intervening individual judgment. In the recent decade, trust repair research has proliferated in the field of organizational communication (</w:t>
      </w:r>
      <w:r w:rsidR="00810946" w:rsidRPr="002A13E4">
        <w:rPr>
          <w:color w:val="000000" w:themeColor="text1"/>
        </w:rPr>
        <w:t>Bachmann et al., 2015;</w:t>
      </w:r>
      <w:r w:rsidR="00810946">
        <w:rPr>
          <w:color w:val="000000" w:themeColor="text1"/>
        </w:rPr>
        <w:t xml:space="preserve"> </w:t>
      </w:r>
      <w:proofErr w:type="spellStart"/>
      <w:r w:rsidR="00810946" w:rsidRPr="002A13E4">
        <w:rPr>
          <w:color w:val="000000" w:themeColor="text1"/>
        </w:rPr>
        <w:t>Eberl</w:t>
      </w:r>
      <w:proofErr w:type="spellEnd"/>
      <w:r w:rsidR="00810946">
        <w:rPr>
          <w:color w:val="000000" w:themeColor="text1"/>
        </w:rPr>
        <w:t xml:space="preserve"> et al.</w:t>
      </w:r>
      <w:r w:rsidR="00810946" w:rsidRPr="002A13E4">
        <w:rPr>
          <w:color w:val="000000" w:themeColor="text1"/>
        </w:rPr>
        <w:t xml:space="preserve">, 2015; </w:t>
      </w:r>
      <w:proofErr w:type="spellStart"/>
      <w:r w:rsidR="00810946" w:rsidRPr="002A13E4">
        <w:rPr>
          <w:color w:val="000000" w:themeColor="text1"/>
        </w:rPr>
        <w:t>Fuoli</w:t>
      </w:r>
      <w:proofErr w:type="spellEnd"/>
      <w:r w:rsidR="00810946" w:rsidRPr="002A13E4">
        <w:rPr>
          <w:color w:val="000000" w:themeColor="text1"/>
        </w:rPr>
        <w:t xml:space="preserve"> et al., 2017</w:t>
      </w:r>
      <w:r w:rsidR="00810946">
        <w:rPr>
          <w:color w:val="000000" w:themeColor="text1"/>
        </w:rPr>
        <w:t xml:space="preserve">; </w:t>
      </w:r>
      <w:r w:rsidRPr="002A13E4">
        <w:rPr>
          <w:color w:val="000000" w:themeColor="text1"/>
        </w:rPr>
        <w:t>Gillespie &amp; Dietz, 2009; Janowicz-</w:t>
      </w:r>
      <w:proofErr w:type="spellStart"/>
      <w:r w:rsidRPr="002A13E4">
        <w:rPr>
          <w:color w:val="000000" w:themeColor="text1"/>
        </w:rPr>
        <w:t>Panjaitan</w:t>
      </w:r>
      <w:proofErr w:type="spellEnd"/>
      <w:r w:rsidRPr="002A13E4">
        <w:rPr>
          <w:color w:val="000000" w:themeColor="text1"/>
        </w:rPr>
        <w:t xml:space="preserve"> &amp; Krishnan, 2009; </w:t>
      </w:r>
      <w:proofErr w:type="spellStart"/>
      <w:r w:rsidRPr="002A13E4">
        <w:rPr>
          <w:color w:val="000000" w:themeColor="text1"/>
        </w:rPr>
        <w:t>Poppo</w:t>
      </w:r>
      <w:proofErr w:type="spellEnd"/>
      <w:r w:rsidRPr="002A13E4">
        <w:rPr>
          <w:color w:val="000000" w:themeColor="text1"/>
        </w:rPr>
        <w:t xml:space="preserve"> &amp; </w:t>
      </w:r>
      <w:proofErr w:type="spellStart"/>
      <w:r w:rsidRPr="002A13E4">
        <w:rPr>
          <w:color w:val="000000" w:themeColor="text1"/>
        </w:rPr>
        <w:t>Schepker</w:t>
      </w:r>
      <w:proofErr w:type="spellEnd"/>
      <w:r w:rsidRPr="002A13E4">
        <w:rPr>
          <w:color w:val="000000" w:themeColor="text1"/>
        </w:rPr>
        <w:t xml:space="preserve">, 2010), exploring the issue on multiple organizational levels. </w:t>
      </w:r>
    </w:p>
    <w:p w14:paraId="4FD7E512" w14:textId="77777777" w:rsidR="00DB7FAE" w:rsidRPr="002A13E4" w:rsidRDefault="00F147F7">
      <w:pPr>
        <w:spacing w:line="480" w:lineRule="auto"/>
        <w:ind w:firstLine="720"/>
        <w:rPr>
          <w:color w:val="000000" w:themeColor="text1"/>
        </w:rPr>
      </w:pPr>
      <w:r w:rsidRPr="002A13E4">
        <w:rPr>
          <w:color w:val="000000" w:themeColor="text1"/>
        </w:rPr>
        <w:t>Notable support Kim et al.’s (2004) model has received notwithstanding, a few studies have indicated otherwise: the study results observed by Utz et al. (2009) indicated that a plain apology was considered more believable than a denial for both competence- and integrity-based violations for eBay buyers. Bansal et al. (2015) argued that apology was superior to denial for every type of trust violation (i.e., ability, benevolence, integrity) in a scenario of privacy breach, and denial even performed worse than no-response under certain conditions. Such counterevidence denotes the model established by Kim et al. (2004) might not be equally applicable under certain contexts due to differences in participants’ trust patterns since the mechanisms underlying apology and denial are highly complex.</w:t>
      </w:r>
    </w:p>
    <w:p w14:paraId="287BBE6E" w14:textId="63B31316" w:rsidR="00DB7FAE" w:rsidRPr="002A13E4" w:rsidRDefault="00F147F7">
      <w:pPr>
        <w:spacing w:line="480" w:lineRule="auto"/>
        <w:ind w:firstLine="720"/>
        <w:rPr>
          <w:color w:val="000000" w:themeColor="text1"/>
        </w:rPr>
      </w:pPr>
      <w:bookmarkStart w:id="5" w:name="_heading=h.3znysh7" w:colFirst="0" w:colLast="0"/>
      <w:bookmarkEnd w:id="5"/>
      <w:r w:rsidRPr="002A13E4">
        <w:rPr>
          <w:color w:val="000000" w:themeColor="text1"/>
        </w:rPr>
        <w:t xml:space="preserve">According to Lewicki and </w:t>
      </w:r>
      <w:proofErr w:type="spellStart"/>
      <w:r w:rsidRPr="002A13E4">
        <w:rPr>
          <w:color w:val="000000" w:themeColor="text1"/>
        </w:rPr>
        <w:t>Brinsfield</w:t>
      </w:r>
      <w:proofErr w:type="spellEnd"/>
      <w:r w:rsidRPr="002A13E4">
        <w:rPr>
          <w:color w:val="000000" w:themeColor="text1"/>
        </w:rPr>
        <w:t xml:space="preserve"> (2017), apology, denial, and other alternative methods, including giving verbal accounts, excuses, or explanations and providing tangible compensations, belong to short-term repair strategies, as opposed to long-term ones (e.g., making structural arrangements, reframing violations). Apart from the interactions depicted by Kim et al. (2004), organizational and interpersonal communication scholars have also explored other key elements affecting reconciliation between trustors and trustees. Prior studies have highlighted timing, severity, and frequency of violations (Lewicki &amp; </w:t>
      </w:r>
      <w:proofErr w:type="spellStart"/>
      <w:r w:rsidRPr="002A13E4">
        <w:rPr>
          <w:color w:val="000000" w:themeColor="text1"/>
        </w:rPr>
        <w:t>Brinsfield</w:t>
      </w:r>
      <w:proofErr w:type="spellEnd"/>
      <w:r w:rsidRPr="002A13E4">
        <w:rPr>
          <w:color w:val="000000" w:themeColor="text1"/>
        </w:rPr>
        <w:t xml:space="preserve">, 2017), dispositional trust </w:t>
      </w:r>
      <w:r w:rsidRPr="002A13E4">
        <w:rPr>
          <w:color w:val="000000" w:themeColor="text1"/>
        </w:rPr>
        <w:lastRenderedPageBreak/>
        <w:t>(</w:t>
      </w:r>
      <w:r w:rsidR="00982B0A" w:rsidRPr="002A13E4">
        <w:rPr>
          <w:color w:val="000000" w:themeColor="text1"/>
        </w:rPr>
        <w:t>Colquitt et al., 2007</w:t>
      </w:r>
      <w:r w:rsidR="00982B0A">
        <w:rPr>
          <w:color w:val="000000" w:themeColor="text1"/>
        </w:rPr>
        <w:t xml:space="preserve">; </w:t>
      </w:r>
      <w:r w:rsidRPr="002A13E4">
        <w:rPr>
          <w:color w:val="000000" w:themeColor="text1"/>
        </w:rPr>
        <w:t>Kramer, 1999), relationship characteristics (e.g., relative status; Aquino et al., 2001; past relationships and probability of future violations; Tomlinson et al., 2004) to be influential factors in trust repair. Repair tactics such as intensity, perceived sincerity, and multi-dimensionality (i.e., display of regret, explanations, acknowledgement of accountability, offer of future repair, and entreaty for forgiveness) of apology (Lewicki &amp; Tomlinson 2003</w:t>
      </w:r>
      <w:r w:rsidR="00810946">
        <w:rPr>
          <w:color w:val="000000" w:themeColor="text1"/>
        </w:rPr>
        <w:t xml:space="preserve">; </w:t>
      </w:r>
      <w:r w:rsidRPr="002A13E4">
        <w:rPr>
          <w:color w:val="000000" w:themeColor="text1"/>
        </w:rPr>
        <w:t xml:space="preserve">Lewicki &amp; </w:t>
      </w:r>
      <w:proofErr w:type="spellStart"/>
      <w:r w:rsidRPr="002A13E4">
        <w:rPr>
          <w:color w:val="000000" w:themeColor="text1"/>
        </w:rPr>
        <w:t>Brinsfield</w:t>
      </w:r>
      <w:proofErr w:type="spellEnd"/>
      <w:r w:rsidRPr="002A13E4">
        <w:rPr>
          <w:color w:val="000000" w:themeColor="text1"/>
        </w:rPr>
        <w:t>, 2017</w:t>
      </w:r>
      <w:r w:rsidR="00810946" w:rsidRPr="002A13E4">
        <w:rPr>
          <w:color w:val="000000" w:themeColor="text1"/>
        </w:rPr>
        <w:t>; Tomlinson et al., 2004</w:t>
      </w:r>
      <w:r w:rsidRPr="002A13E4">
        <w:rPr>
          <w:color w:val="000000" w:themeColor="text1"/>
        </w:rPr>
        <w:t>), as well as timeliness of act, are variables associated with effectiveness of trust repair attempts. Trustees’ characteristics also matter, including personal traits, such as likeability (Bradfield &amp; Aquino, 1999) and gender (</w:t>
      </w:r>
      <w:proofErr w:type="spellStart"/>
      <w:r w:rsidRPr="002A13E4">
        <w:rPr>
          <w:color w:val="000000" w:themeColor="text1"/>
        </w:rPr>
        <w:t>Walfisch</w:t>
      </w:r>
      <w:proofErr w:type="spellEnd"/>
      <w:r w:rsidRPr="002A13E4">
        <w:rPr>
          <w:color w:val="000000" w:themeColor="text1"/>
        </w:rPr>
        <w:t xml:space="preserve"> et al., 2013), and organizational features such as pre-crisis reputations (</w:t>
      </w:r>
      <w:proofErr w:type="spellStart"/>
      <w:r w:rsidR="00810946" w:rsidRPr="002A13E4">
        <w:rPr>
          <w:color w:val="000000" w:themeColor="text1"/>
        </w:rPr>
        <w:t>Beldad</w:t>
      </w:r>
      <w:proofErr w:type="spellEnd"/>
      <w:r w:rsidR="00810946" w:rsidRPr="002A13E4">
        <w:rPr>
          <w:color w:val="000000" w:themeColor="text1"/>
        </w:rPr>
        <w:t xml:space="preserve"> et al., 2018</w:t>
      </w:r>
      <w:r w:rsidR="00810946">
        <w:rPr>
          <w:color w:val="000000" w:themeColor="text1"/>
        </w:rPr>
        <w:t xml:space="preserve">; </w:t>
      </w:r>
      <w:r w:rsidRPr="002A13E4">
        <w:rPr>
          <w:color w:val="000000" w:themeColor="text1"/>
        </w:rPr>
        <w:t xml:space="preserve">Lewicki &amp; Tomlinson, 2003). To summarize, trust repair is a highly complex practice because of the multifaceted nature of trust and contextual variance, and this complexity invites further theoretical and empirical exploration.   </w:t>
      </w:r>
    </w:p>
    <w:p w14:paraId="2E45421A" w14:textId="77777777" w:rsidR="00DB7FAE" w:rsidRPr="002A13E4" w:rsidRDefault="00F147F7">
      <w:pPr>
        <w:pStyle w:val="Heading2"/>
        <w:spacing w:before="0" w:line="480" w:lineRule="auto"/>
        <w:rPr>
          <w:color w:val="000000" w:themeColor="text1"/>
        </w:rPr>
      </w:pPr>
      <w:bookmarkStart w:id="6" w:name="_Toc73716022"/>
      <w:r w:rsidRPr="002A13E4">
        <w:rPr>
          <w:color w:val="000000" w:themeColor="text1"/>
        </w:rPr>
        <w:t>Robot-to-Human Trust Repair</w:t>
      </w:r>
      <w:bookmarkEnd w:id="6"/>
    </w:p>
    <w:p w14:paraId="3205A581" w14:textId="77777777" w:rsidR="00DB7FAE" w:rsidRPr="002A13E4" w:rsidRDefault="00F147F7">
      <w:pPr>
        <w:spacing w:line="480" w:lineRule="auto"/>
        <w:ind w:firstLine="720"/>
        <w:rPr>
          <w:color w:val="000000" w:themeColor="text1"/>
        </w:rPr>
      </w:pPr>
      <w:r w:rsidRPr="002A13E4">
        <w:rPr>
          <w:b/>
          <w:color w:val="000000" w:themeColor="text1"/>
        </w:rPr>
        <w:t xml:space="preserve"> </w:t>
      </w:r>
      <w:r w:rsidRPr="002A13E4">
        <w:rPr>
          <w:color w:val="000000" w:themeColor="text1"/>
        </w:rPr>
        <w:t xml:space="preserve">Research focusing on trust promotion in HMC is copious, but research into trust in robotic systems is a relatively new emphasis (Baker et al., 2018). Particularly, existing trust literature in HMC mainly sheds light on technical designs (e.g., visual anthropomorphism, machine politeness) that increase baseline trust levels and hence benefit trust resilience (de Visser et al., 2016; Quinn, 2018). Previous research in other areas of HMC can be regarded as a useful starting point for studying HRI-based trust because of the similarities shared amongst technological systems, although robots may possess more advanced capabilities as autonomous entities than conventional automations and virtual agents (de Visser et al., 2018). Interpersonal and organizational communication literature also provides some valuable references based on similarities in trust nurtured by the two types of interactions (i.e., human-to-human and HRI). </w:t>
      </w:r>
    </w:p>
    <w:p w14:paraId="1DAB1956" w14:textId="77777777" w:rsidR="00DB7FAE" w:rsidRPr="002A13E4" w:rsidRDefault="00F147F7">
      <w:pPr>
        <w:spacing w:line="480" w:lineRule="auto"/>
        <w:ind w:firstLine="720"/>
        <w:rPr>
          <w:color w:val="000000" w:themeColor="text1"/>
        </w:rPr>
      </w:pPr>
      <w:r w:rsidRPr="002A13E4">
        <w:rPr>
          <w:color w:val="000000" w:themeColor="text1"/>
        </w:rPr>
        <w:lastRenderedPageBreak/>
        <w:t xml:space="preserve">In the context of HRI, factors affecting trust development can be roughly classified into human-related (ability-based factors and characteristics), robot-related (performance- and attribute-based factors), and environment-related factors (tasking and team collaboration) according to Hancock and his colleagues (2011). </w:t>
      </w:r>
      <w:proofErr w:type="gramStart"/>
      <w:r w:rsidRPr="002A13E4">
        <w:rPr>
          <w:color w:val="000000" w:themeColor="text1"/>
        </w:rPr>
        <w:t>Similar to</w:t>
      </w:r>
      <w:proofErr w:type="gramEnd"/>
      <w:r w:rsidRPr="002A13E4">
        <w:rPr>
          <w:color w:val="000000" w:themeColor="text1"/>
        </w:rPr>
        <w:t xml:space="preserve"> trust loss in human-to-human communication, trust violations also happen in HRI when robots fail to meet humans’ expectations or display mismatched principles and goals (de Visser et al., 2017). Since few, if any, robots attain perfection in their designs (Honig &amp; </w:t>
      </w:r>
      <w:proofErr w:type="spellStart"/>
      <w:r w:rsidRPr="002A13E4">
        <w:rPr>
          <w:color w:val="000000" w:themeColor="text1"/>
        </w:rPr>
        <w:t>Oron</w:t>
      </w:r>
      <w:proofErr w:type="spellEnd"/>
      <w:r w:rsidRPr="002A13E4">
        <w:rPr>
          <w:color w:val="000000" w:themeColor="text1"/>
        </w:rPr>
        <w:t xml:space="preserve">-Gilad, 2018), and since performance-based factors turn out to be the central determinant in human evaluations of robotics (Hancock et al., 2011), humans’ trust in robots is constantly challenged by robotic failures. </w:t>
      </w:r>
    </w:p>
    <w:p w14:paraId="47F7B90E" w14:textId="77777777" w:rsidR="00DB7FAE" w:rsidRPr="002A13E4" w:rsidRDefault="00F147F7">
      <w:pPr>
        <w:spacing w:line="480" w:lineRule="auto"/>
        <w:ind w:firstLine="720"/>
        <w:rPr>
          <w:color w:val="000000" w:themeColor="text1"/>
        </w:rPr>
      </w:pPr>
      <w:r w:rsidRPr="002A13E4">
        <w:rPr>
          <w:color w:val="000000" w:themeColor="text1"/>
        </w:rPr>
        <w:t>Numerous studies indicate that human-to-machine trust declines after machines violate humans’ expectations, which is often caused by system failures (</w:t>
      </w:r>
      <w:proofErr w:type="spellStart"/>
      <w:r w:rsidRPr="002A13E4">
        <w:rPr>
          <w:color w:val="000000" w:themeColor="text1"/>
        </w:rPr>
        <w:t>Corritore</w:t>
      </w:r>
      <w:proofErr w:type="spellEnd"/>
      <w:r w:rsidRPr="002A13E4">
        <w:rPr>
          <w:color w:val="000000" w:themeColor="text1"/>
        </w:rPr>
        <w:t xml:space="preserve"> et al., 2003; Desai et al., 2012; 2013; Salem et al., 2015; Sanchez et al., 2014; Vries et al., 2003). Scholars have previously scrutinized the effects of time-, magnitude-, and outcome-based error variation on trust assessment: for instance, </w:t>
      </w:r>
      <w:proofErr w:type="spellStart"/>
      <w:r w:rsidRPr="002A13E4">
        <w:rPr>
          <w:color w:val="000000" w:themeColor="text1"/>
        </w:rPr>
        <w:t>Madhavan</w:t>
      </w:r>
      <w:proofErr w:type="spellEnd"/>
      <w:r w:rsidRPr="002A13E4">
        <w:rPr>
          <w:color w:val="000000" w:themeColor="text1"/>
        </w:rPr>
        <w:t xml:space="preserve"> et al. (2006) found that violations are considered more negatively when tasks are perceived to be easy; Desai et al. (2013) disclosed that reliability drops in the earlier stages of interactions are more harmful than the ones occurring later and predicted that trust inertia (i.e., delayed trust recalibration) also exists in HMC given the discrepancy between real-time and overall trust measures; Rossi et al. (2017) postulated that severity in negative consequences brought by violations determines the magnitude of trust regression. </w:t>
      </w:r>
    </w:p>
    <w:p w14:paraId="05832C80" w14:textId="08F0727C" w:rsidR="00DB7FAE" w:rsidRPr="002A13E4" w:rsidRDefault="00F147F7">
      <w:pPr>
        <w:spacing w:line="480" w:lineRule="auto"/>
        <w:ind w:firstLine="720"/>
        <w:rPr>
          <w:color w:val="000000" w:themeColor="text1"/>
        </w:rPr>
      </w:pPr>
      <w:r w:rsidRPr="002A13E4">
        <w:rPr>
          <w:color w:val="000000" w:themeColor="text1"/>
        </w:rPr>
        <w:t xml:space="preserve">In response to the prejudicial effects of robotic failures, prior research indicates that robots can initiate trust repair just as humans can. Repair attempts from autonomous systems can also bolster perceived sociability and humanness, further promoting trust resilience (de Visser et </w:t>
      </w:r>
      <w:r w:rsidRPr="002A13E4">
        <w:rPr>
          <w:color w:val="000000" w:themeColor="text1"/>
        </w:rPr>
        <w:lastRenderedPageBreak/>
        <w:t xml:space="preserve">al., 2012; 2016; 2018). Such attempts at trust repair may remain effective even when machines’ reliability does not really improve (de Visser, 2012), so trust repair is not only effective but is also efficient as far as technology designs are concerned, since machines cannot easily make progress in performance. For trust repair in HMC, previous findings from this line of research mostly adhere to the ones drawn from human-to-human interactions, encompassing various repair strategies, such as ignoring (Correia et al., 2018), blaming (Groom et al., 2010; </w:t>
      </w:r>
      <w:proofErr w:type="spellStart"/>
      <w:r w:rsidRPr="002A13E4">
        <w:rPr>
          <w:color w:val="000000" w:themeColor="text1"/>
        </w:rPr>
        <w:t>Kaniarasu</w:t>
      </w:r>
      <w:proofErr w:type="spellEnd"/>
      <w:r w:rsidRPr="002A13E4">
        <w:rPr>
          <w:color w:val="000000" w:themeColor="text1"/>
        </w:rPr>
        <w:t xml:space="preserve"> &amp; Steinfeld, 2014), apologizing (</w:t>
      </w:r>
      <w:r w:rsidR="00810946" w:rsidRPr="002A13E4">
        <w:rPr>
          <w:color w:val="000000" w:themeColor="text1"/>
        </w:rPr>
        <w:t xml:space="preserve">de Visser et al., 2016; </w:t>
      </w:r>
      <w:r w:rsidRPr="002A13E4">
        <w:rPr>
          <w:color w:val="000000" w:themeColor="text1"/>
        </w:rPr>
        <w:t xml:space="preserve">Lee et al., 2010; </w:t>
      </w:r>
      <w:r w:rsidR="00810946" w:rsidRPr="002A13E4">
        <w:rPr>
          <w:color w:val="000000" w:themeColor="text1"/>
        </w:rPr>
        <w:t xml:space="preserve">Quinn, 2018; </w:t>
      </w:r>
      <w:r w:rsidRPr="002A13E4">
        <w:rPr>
          <w:color w:val="000000" w:themeColor="text1"/>
        </w:rPr>
        <w:t xml:space="preserve">Robinette et al., 2015; </w:t>
      </w:r>
      <w:proofErr w:type="spellStart"/>
      <w:r w:rsidR="00810946" w:rsidRPr="002A13E4">
        <w:rPr>
          <w:color w:val="000000" w:themeColor="text1"/>
        </w:rPr>
        <w:t>Sebo</w:t>
      </w:r>
      <w:proofErr w:type="spellEnd"/>
      <w:r w:rsidR="00810946" w:rsidRPr="002A13E4">
        <w:rPr>
          <w:color w:val="000000" w:themeColor="text1"/>
        </w:rPr>
        <w:t xml:space="preserve"> et al., 2019</w:t>
      </w:r>
      <w:r w:rsidR="00810946">
        <w:rPr>
          <w:color w:val="000000" w:themeColor="text1"/>
        </w:rPr>
        <w:t xml:space="preserve">; </w:t>
      </w:r>
      <w:r w:rsidR="00810946" w:rsidRPr="002A13E4">
        <w:rPr>
          <w:color w:val="000000" w:themeColor="text1"/>
        </w:rPr>
        <w:t>Tzeng, 2004</w:t>
      </w:r>
      <w:r w:rsidR="00810946">
        <w:rPr>
          <w:color w:val="000000" w:themeColor="text1"/>
        </w:rPr>
        <w:t xml:space="preserve">; </w:t>
      </w:r>
      <w:r w:rsidRPr="002A13E4">
        <w:rPr>
          <w:color w:val="000000" w:themeColor="text1"/>
        </w:rPr>
        <w:t xml:space="preserve">Wagner, 2016), denying (Quinn, 2018; </w:t>
      </w:r>
      <w:proofErr w:type="spellStart"/>
      <w:r w:rsidRPr="002A13E4">
        <w:rPr>
          <w:color w:val="000000" w:themeColor="text1"/>
        </w:rPr>
        <w:t>Sebo</w:t>
      </w:r>
      <w:proofErr w:type="spellEnd"/>
      <w:r w:rsidRPr="002A13E4">
        <w:rPr>
          <w:color w:val="000000" w:themeColor="text1"/>
        </w:rPr>
        <w:t xml:space="preserve"> et al., 2019), promising (Robinette et al., 2015; Wagner, 2016), justifying (Correia et al., 2018), engaging in social dialogues (Lucas et al., 2018), giving palpable compensations (Lee et al., 2010), offering options (Lee et al., 2010) and providing additional information (Robinette et al., 2015) or support (Brooks, 2017). </w:t>
      </w:r>
    </w:p>
    <w:p w14:paraId="144ED8E2" w14:textId="42477986" w:rsidR="00DB7FAE" w:rsidRPr="002A13E4" w:rsidRDefault="00F147F7">
      <w:pPr>
        <w:spacing w:line="480" w:lineRule="auto"/>
        <w:ind w:firstLine="720"/>
        <w:rPr>
          <w:color w:val="000000" w:themeColor="text1"/>
        </w:rPr>
      </w:pPr>
      <w:bookmarkStart w:id="7" w:name="_heading=h.2et92p0" w:colFirst="0" w:colLast="0"/>
      <w:bookmarkEnd w:id="7"/>
      <w:r w:rsidRPr="002A13E4">
        <w:rPr>
          <w:color w:val="000000" w:themeColor="text1"/>
        </w:rPr>
        <w:t>In general, these studies espouse the perspective that it is better to take repair actions than not, but the investigation has been relatively fragmented (de Visser et al., 2020). With respect to comparison of specific repair strategies, Lee et al. (2010) found that expressions of remorse and promises were more powerful than offers of options after a breakdown in robotic service, with individuals’ orientations (relational or utilitarian) determining which strategy was optimal. Wagner (2016) observed that promising for the future was a better booster for human trust in the robot than was apologizing for the past in an emergency excavation task. Besides, researchers have also noted human (e.g., operator attention, age) and contextual factors (e.g., task risks, task difficulty, system reputations, system expertise) significantly influence repair outcomes in this process (Brooks, 2017</w:t>
      </w:r>
      <w:r w:rsidR="007736D7">
        <w:rPr>
          <w:color w:val="000000" w:themeColor="text1"/>
        </w:rPr>
        <w:t xml:space="preserve">; </w:t>
      </w:r>
      <w:r w:rsidR="007736D7" w:rsidRPr="002A13E4">
        <w:rPr>
          <w:color w:val="000000" w:themeColor="text1"/>
        </w:rPr>
        <w:t>Schaefer et al., 2012</w:t>
      </w:r>
      <w:r w:rsidRPr="002A13E4">
        <w:rPr>
          <w:color w:val="000000" w:themeColor="text1"/>
        </w:rPr>
        <w:t xml:space="preserve">) </w:t>
      </w:r>
    </w:p>
    <w:p w14:paraId="2FE31A4A" w14:textId="77777777" w:rsidR="00DB7FAE" w:rsidRPr="002A13E4" w:rsidRDefault="00F147F7">
      <w:pPr>
        <w:spacing w:line="480" w:lineRule="auto"/>
        <w:ind w:firstLine="720"/>
        <w:rPr>
          <w:color w:val="000000" w:themeColor="text1"/>
        </w:rPr>
      </w:pPr>
      <w:r w:rsidRPr="002A13E4">
        <w:rPr>
          <w:color w:val="000000" w:themeColor="text1"/>
        </w:rPr>
        <w:lastRenderedPageBreak/>
        <w:t xml:space="preserve">Most importantly, there have been two studies that examine Kim et al.’s (2004) framework: Quinn (2018) found that although apology was more effective as a repair method for competence-based violations than for integrity-based violations, repair outcomes of denial did not differ for two types of violations; </w:t>
      </w:r>
      <w:proofErr w:type="spellStart"/>
      <w:r w:rsidRPr="002A13E4">
        <w:rPr>
          <w:color w:val="000000" w:themeColor="text1"/>
        </w:rPr>
        <w:t>Sebo</w:t>
      </w:r>
      <w:proofErr w:type="spellEnd"/>
      <w:r w:rsidRPr="002A13E4">
        <w:rPr>
          <w:color w:val="000000" w:themeColor="text1"/>
        </w:rPr>
        <w:t xml:space="preserve"> et al. (2019) substantiated the interactions asserted by Kim et al. (2004) with a competitive shooting game in which a robot broke its initial promise and framed the behavior to be either competence- or integrity-based, and the researchers noted that human players were more inclined to retaliate under the condition of integrity-based violations and denial. These findings verify the connections between trust violations and repair methods derived from human-to-human communication, further supporting the symmetry between human-to-human and human-to-robot trust, although the fundamental differences between humans and robots have not been subjected to rigorous consideration.</w:t>
      </w:r>
    </w:p>
    <w:p w14:paraId="36744799" w14:textId="77777777" w:rsidR="00DB7FAE" w:rsidRPr="002A13E4" w:rsidRDefault="00F147F7">
      <w:pPr>
        <w:pStyle w:val="Heading1"/>
        <w:spacing w:before="0" w:line="480" w:lineRule="auto"/>
        <w:rPr>
          <w:color w:val="000000" w:themeColor="text1"/>
        </w:rPr>
      </w:pPr>
      <w:bookmarkStart w:id="8" w:name="_Toc73716023"/>
      <w:r w:rsidRPr="002A13E4">
        <w:rPr>
          <w:color w:val="000000" w:themeColor="text1"/>
        </w:rPr>
        <w:t>Uniqueness of HRI-Based Trust</w:t>
      </w:r>
      <w:bookmarkEnd w:id="8"/>
    </w:p>
    <w:p w14:paraId="25EB93B2" w14:textId="77777777" w:rsidR="00DB7FAE" w:rsidRPr="002A13E4" w:rsidRDefault="00F147F7">
      <w:pPr>
        <w:pStyle w:val="Heading2"/>
        <w:spacing w:before="0" w:line="480" w:lineRule="auto"/>
        <w:rPr>
          <w:color w:val="000000" w:themeColor="text1"/>
        </w:rPr>
      </w:pPr>
      <w:bookmarkStart w:id="9" w:name="_Toc73716024"/>
      <w:r w:rsidRPr="002A13E4">
        <w:rPr>
          <w:color w:val="000000" w:themeColor="text1"/>
        </w:rPr>
        <w:t>Perceptual Differences</w:t>
      </w:r>
      <w:bookmarkEnd w:id="9"/>
    </w:p>
    <w:p w14:paraId="598DE8B5" w14:textId="43F91E48" w:rsidR="00DB7FAE" w:rsidRPr="002A13E4" w:rsidRDefault="00F147F7">
      <w:pPr>
        <w:spacing w:line="480" w:lineRule="auto"/>
        <w:ind w:firstLine="720"/>
        <w:rPr>
          <w:color w:val="000000" w:themeColor="text1"/>
        </w:rPr>
      </w:pPr>
      <w:r w:rsidRPr="002A13E4">
        <w:rPr>
          <w:color w:val="000000" w:themeColor="text1"/>
        </w:rPr>
        <w:t xml:space="preserve"> Existing research on trust repair for HMC is deeply rooted in interpersonal and organizational communication literature and has exhibited commonality bridging the two fields. Nevertheless, a few studies have unveiled some key differences between interpersonal trust and HMC-based trust. Humans seem to possess different levels of dispositional trust toward humans and machines, allocating more initial trust to the latter owing to higher perceived authority resulting from bias toward automation (</w:t>
      </w:r>
      <w:r w:rsidR="00810946" w:rsidRPr="002A13E4">
        <w:rPr>
          <w:color w:val="000000" w:themeColor="text1"/>
        </w:rPr>
        <w:t>de Visser, 2016</w:t>
      </w:r>
      <w:r w:rsidR="00810946">
        <w:rPr>
          <w:color w:val="000000" w:themeColor="text1"/>
        </w:rPr>
        <w:t xml:space="preserve">; </w:t>
      </w:r>
      <w:proofErr w:type="spellStart"/>
      <w:r w:rsidRPr="002A13E4">
        <w:rPr>
          <w:color w:val="000000" w:themeColor="text1"/>
        </w:rPr>
        <w:t>Dzindolet</w:t>
      </w:r>
      <w:proofErr w:type="spellEnd"/>
      <w:r w:rsidRPr="002A13E4">
        <w:rPr>
          <w:color w:val="000000" w:themeColor="text1"/>
        </w:rPr>
        <w:t xml:space="preserve"> et al., 2003; Parasuraman &amp; </w:t>
      </w:r>
      <w:proofErr w:type="spellStart"/>
      <w:r w:rsidRPr="002A13E4">
        <w:rPr>
          <w:color w:val="000000" w:themeColor="text1"/>
        </w:rPr>
        <w:t>Manzey</w:t>
      </w:r>
      <w:proofErr w:type="spellEnd"/>
      <w:r w:rsidRPr="002A13E4">
        <w:rPr>
          <w:color w:val="000000" w:themeColor="text1"/>
        </w:rPr>
        <w:t xml:space="preserve">, 2010). For example, </w:t>
      </w:r>
      <w:proofErr w:type="spellStart"/>
      <w:r w:rsidRPr="002A13E4">
        <w:rPr>
          <w:color w:val="000000" w:themeColor="text1"/>
        </w:rPr>
        <w:t>Madhavan</w:t>
      </w:r>
      <w:proofErr w:type="spellEnd"/>
      <w:r w:rsidRPr="002A13E4">
        <w:rPr>
          <w:color w:val="000000" w:themeColor="text1"/>
        </w:rPr>
        <w:t xml:space="preserve"> and </w:t>
      </w:r>
      <w:proofErr w:type="spellStart"/>
      <w:r w:rsidRPr="002A13E4">
        <w:rPr>
          <w:color w:val="000000" w:themeColor="text1"/>
        </w:rPr>
        <w:t>Wiegmann</w:t>
      </w:r>
      <w:proofErr w:type="spellEnd"/>
      <w:r w:rsidRPr="002A13E4">
        <w:rPr>
          <w:color w:val="000000" w:themeColor="text1"/>
        </w:rPr>
        <w:t xml:space="preserve"> (2005) noticed that participants reached more agreement with an automation advisor than with a human even when both were labeled “novice.” As a corollary, people might overreact to system failures due to interruptions of perfect automation schema (</w:t>
      </w:r>
      <w:proofErr w:type="spellStart"/>
      <w:r w:rsidRPr="002A13E4">
        <w:rPr>
          <w:color w:val="000000" w:themeColor="text1"/>
        </w:rPr>
        <w:t>Dzindolet</w:t>
      </w:r>
      <w:proofErr w:type="spellEnd"/>
      <w:r w:rsidRPr="002A13E4">
        <w:rPr>
          <w:color w:val="000000" w:themeColor="text1"/>
        </w:rPr>
        <w:t xml:space="preserve"> et al., 2002): in the same study, for instance, </w:t>
      </w:r>
      <w:proofErr w:type="spellStart"/>
      <w:r w:rsidRPr="002A13E4">
        <w:rPr>
          <w:color w:val="000000" w:themeColor="text1"/>
        </w:rPr>
        <w:t>Madhavan</w:t>
      </w:r>
      <w:proofErr w:type="spellEnd"/>
      <w:r w:rsidRPr="002A13E4">
        <w:rPr>
          <w:color w:val="000000" w:themeColor="text1"/>
        </w:rPr>
        <w:t xml:space="preserve"> and </w:t>
      </w:r>
      <w:proofErr w:type="spellStart"/>
      <w:r w:rsidRPr="002A13E4">
        <w:rPr>
          <w:color w:val="000000" w:themeColor="text1"/>
        </w:rPr>
        <w:lastRenderedPageBreak/>
        <w:t>Wiegmann</w:t>
      </w:r>
      <w:proofErr w:type="spellEnd"/>
      <w:r w:rsidRPr="002A13E4">
        <w:rPr>
          <w:color w:val="000000" w:themeColor="text1"/>
        </w:rPr>
        <w:t xml:space="preserve"> (2005) also found that participants were more likely to notice</w:t>
      </w:r>
      <w:r w:rsidR="000172C8" w:rsidRPr="002A13E4">
        <w:rPr>
          <w:color w:val="000000" w:themeColor="text1"/>
        </w:rPr>
        <w:t xml:space="preserve"> those</w:t>
      </w:r>
      <w:r w:rsidRPr="002A13E4">
        <w:rPr>
          <w:color w:val="000000" w:themeColor="text1"/>
        </w:rPr>
        <w:t xml:space="preserve"> errors generated by the system than </w:t>
      </w:r>
      <w:r w:rsidR="000172C8" w:rsidRPr="002A13E4">
        <w:rPr>
          <w:color w:val="000000" w:themeColor="text1"/>
        </w:rPr>
        <w:t>the ones</w:t>
      </w:r>
      <w:r w:rsidR="00627DF4" w:rsidRPr="002A13E4">
        <w:rPr>
          <w:color w:val="000000" w:themeColor="text1"/>
        </w:rPr>
        <w:t xml:space="preserve"> </w:t>
      </w:r>
      <w:r w:rsidRPr="002A13E4">
        <w:rPr>
          <w:color w:val="000000" w:themeColor="text1"/>
        </w:rPr>
        <w:t xml:space="preserve">by humans. Therefore, trust in machines can be harder to reestablish once violated than interpersonal trust (Hoffman et al., 2013) because machine failures can potentially lead to greater negative expectancy violations. </w:t>
      </w:r>
    </w:p>
    <w:p w14:paraId="342547D0" w14:textId="6F6550E8" w:rsidR="00DB7FAE" w:rsidRPr="002A13E4" w:rsidRDefault="00F147F7">
      <w:pPr>
        <w:spacing w:line="480" w:lineRule="auto"/>
        <w:ind w:firstLine="720"/>
        <w:rPr>
          <w:color w:val="000000" w:themeColor="text1"/>
        </w:rPr>
      </w:pPr>
      <w:r w:rsidRPr="002A13E4">
        <w:rPr>
          <w:color w:val="000000" w:themeColor="text1"/>
        </w:rPr>
        <w:t>Conceptual differences between humans and technologies also add to perceptual inequivalence toward trust violations and their repairs. First and foremost, the belief that machines are more fixed and less changeable than humans will potentially impair the effects of trust repair, because humans may hold the opinion that a</w:t>
      </w:r>
      <w:r w:rsidR="000172C8" w:rsidRPr="002A13E4">
        <w:rPr>
          <w:color w:val="000000" w:themeColor="text1"/>
        </w:rPr>
        <w:t xml:space="preserve">n oral </w:t>
      </w:r>
      <w:r w:rsidRPr="002A13E4">
        <w:rPr>
          <w:color w:val="000000" w:themeColor="text1"/>
        </w:rPr>
        <w:t>repair is not likely to be followed by an actual improvement in performance (de Visser et al., 2018). Particularly, they may perceive trust repair efforts from machines to be less sincere because repair is predefined by algorithms (de Visser et al., 2018), especially when repair attempts appear uniform across different kinds of situations. Second, humans also perceive morality in machines differently because machines do not have human minds, which means they cannot accumulate sensational experiences as humans do (Banks, 2019</w:t>
      </w:r>
      <w:r w:rsidR="007736D7">
        <w:rPr>
          <w:color w:val="000000" w:themeColor="text1"/>
        </w:rPr>
        <w:t xml:space="preserve">; </w:t>
      </w:r>
      <w:r w:rsidR="007736D7" w:rsidRPr="002A13E4">
        <w:rPr>
          <w:color w:val="000000" w:themeColor="text1"/>
        </w:rPr>
        <w:t>Gray et al., 2012</w:t>
      </w:r>
      <w:r w:rsidRPr="002A13E4">
        <w:rPr>
          <w:color w:val="000000" w:themeColor="text1"/>
        </w:rPr>
        <w:t xml:space="preserve">); thus, human judgments of machines related to moral principles (i.e., integrity and benevolence) may differ from human judgments of other humans. </w:t>
      </w:r>
    </w:p>
    <w:p w14:paraId="1540CB29" w14:textId="1CDDD22A" w:rsidR="00DB7FAE" w:rsidRPr="002A13E4" w:rsidRDefault="00F147F7">
      <w:pPr>
        <w:spacing w:line="480" w:lineRule="auto"/>
        <w:ind w:firstLine="720"/>
        <w:rPr>
          <w:color w:val="000000" w:themeColor="text1"/>
        </w:rPr>
      </w:pPr>
      <w:r w:rsidRPr="002A13E4">
        <w:rPr>
          <w:color w:val="000000" w:themeColor="text1"/>
        </w:rPr>
        <w:t xml:space="preserve">Additionally, machines are also perceived to possess less agency and are viewed as less legitimate of making moral decisions (Gray et al., 2007; 2012; </w:t>
      </w:r>
      <w:proofErr w:type="spellStart"/>
      <w:r w:rsidRPr="002A13E4">
        <w:rPr>
          <w:color w:val="000000" w:themeColor="text1"/>
        </w:rPr>
        <w:t>Malle</w:t>
      </w:r>
      <w:proofErr w:type="spellEnd"/>
      <w:r w:rsidRPr="002A13E4">
        <w:rPr>
          <w:color w:val="000000" w:themeColor="text1"/>
        </w:rPr>
        <w:t xml:space="preserve"> et al., 2016). As posited by Parasuraman and Riley (1997), users of automation may feel they are building trust with designers other than automations during interactions, so it is also probable that humans perceive morality-related violations differently and make different violation attributions during HRI. </w:t>
      </w:r>
      <w:proofErr w:type="spellStart"/>
      <w:r w:rsidRPr="002A13E4">
        <w:rPr>
          <w:color w:val="000000" w:themeColor="text1"/>
        </w:rPr>
        <w:t>Sebo</w:t>
      </w:r>
      <w:proofErr w:type="spellEnd"/>
      <w:r w:rsidRPr="002A13E4">
        <w:rPr>
          <w:color w:val="000000" w:themeColor="text1"/>
        </w:rPr>
        <w:t xml:space="preserve"> et al. (2019) manipulated their robot to explicitly articulate the reasons (e.g., “Oh no! I hit the wrong button” and “Yes! You’re immobilized”) of trust violations </w:t>
      </w:r>
      <w:r w:rsidR="007736D7" w:rsidRPr="002A13E4">
        <w:rPr>
          <w:color w:val="000000" w:themeColor="text1"/>
        </w:rPr>
        <w:t>to</w:t>
      </w:r>
      <w:r w:rsidRPr="002A13E4">
        <w:rPr>
          <w:color w:val="000000" w:themeColor="text1"/>
        </w:rPr>
        <w:t xml:space="preserve"> ensure that interactants </w:t>
      </w:r>
      <w:r w:rsidRPr="002A13E4">
        <w:rPr>
          <w:color w:val="000000" w:themeColor="text1"/>
        </w:rPr>
        <w:lastRenderedPageBreak/>
        <w:t>perceived them as certain kind of violations. Since, however, machines do not always frame the intensions behind violations so clearly in real life, it remains unclear whether interactants in HMC perceive competence- or integrity-based violations in the same manner as they do in interpersonal communication. Therefore, applying the rules from human-to-human trust repair straight to robot-to-human trust repair may elude some crucial insights concerning these interactions.</w:t>
      </w:r>
    </w:p>
    <w:p w14:paraId="71BE9A24" w14:textId="77777777" w:rsidR="00DB7FAE" w:rsidRPr="002A13E4" w:rsidRDefault="00F147F7">
      <w:pPr>
        <w:pStyle w:val="Heading2"/>
        <w:spacing w:before="0" w:line="480" w:lineRule="auto"/>
        <w:rPr>
          <w:color w:val="000000" w:themeColor="text1"/>
        </w:rPr>
      </w:pPr>
      <w:bookmarkStart w:id="10" w:name="_Toc73716025"/>
      <w:r w:rsidRPr="002A13E4">
        <w:rPr>
          <w:color w:val="000000" w:themeColor="text1"/>
        </w:rPr>
        <w:t>Robotic Failures</w:t>
      </w:r>
      <w:bookmarkEnd w:id="10"/>
    </w:p>
    <w:p w14:paraId="382C4466" w14:textId="77777777" w:rsidR="00DB7FAE" w:rsidRPr="002A13E4" w:rsidRDefault="00F147F7">
      <w:pPr>
        <w:spacing w:line="480" w:lineRule="auto"/>
        <w:ind w:firstLine="720"/>
        <w:rPr>
          <w:color w:val="000000" w:themeColor="text1"/>
        </w:rPr>
      </w:pPr>
      <w:r w:rsidRPr="002A13E4">
        <w:rPr>
          <w:color w:val="000000" w:themeColor="text1"/>
        </w:rPr>
        <w:t>“Failures” and “errors” are often used interchangeably in HMC research together with “faults”. In the present study, they are approached as overlapping but distinctive terms. First, the term “failures” refers to “a degraded state of ability which causes the behavior or service being performed by the system to deviate from the ideal, normal, or correct functionality” (</w:t>
      </w:r>
      <w:hyperlink r:id="rId14">
        <w:r w:rsidRPr="002A13E4">
          <w:rPr>
            <w:color w:val="000000" w:themeColor="text1"/>
          </w:rPr>
          <w:t>Brooks, 2017</w:t>
        </w:r>
      </w:hyperlink>
      <w:r w:rsidRPr="002A13E4">
        <w:rPr>
          <w:color w:val="000000" w:themeColor="text1"/>
        </w:rPr>
        <w:t xml:space="preserve">, p.9), emphasizing violations of interactants’ subjective expectations. Second, the word “errors” is a more technical term, encompassing “system states (electrical, logical, or mechanical) that can lead to a failure” (Honig &amp; </w:t>
      </w:r>
      <w:proofErr w:type="spellStart"/>
      <w:r w:rsidRPr="002A13E4">
        <w:rPr>
          <w:color w:val="000000" w:themeColor="text1"/>
        </w:rPr>
        <w:t>Oron</w:t>
      </w:r>
      <w:proofErr w:type="spellEnd"/>
      <w:r w:rsidRPr="002A13E4">
        <w:rPr>
          <w:color w:val="000000" w:themeColor="text1"/>
        </w:rPr>
        <w:t xml:space="preserve">-Gilad, 2018). Third, the term, “faults,” is defined as lower-order sources of errors (Honig &amp; </w:t>
      </w:r>
      <w:proofErr w:type="spellStart"/>
      <w:r w:rsidRPr="002A13E4">
        <w:rPr>
          <w:color w:val="000000" w:themeColor="text1"/>
        </w:rPr>
        <w:t>Oron</w:t>
      </w:r>
      <w:proofErr w:type="spellEnd"/>
      <w:r w:rsidRPr="002A13E4">
        <w:rPr>
          <w:color w:val="000000" w:themeColor="text1"/>
        </w:rPr>
        <w:t>-Gilad, 2018). Errors might cause failures, if noticed and perceived by human users as failures, but failures do not necessarily result from errors—misperceptions and incompatible designer principles can also engender failures. Failures can be both competence- and integrity-based, generated unintentionally because of system errors or intentionally because of gaps between designer and user goals. Starting from the division made by Kim et al. (2004), failures caused by system errors are apparently competence-based from the robotic end, and they are caused by unintended system inability preventing robots from producing correct output and executing human commands accurately.</w:t>
      </w:r>
    </w:p>
    <w:p w14:paraId="1548D77F" w14:textId="77777777" w:rsidR="00DB7FAE" w:rsidRPr="002A13E4" w:rsidRDefault="00F147F7">
      <w:pPr>
        <w:spacing w:line="480" w:lineRule="auto"/>
        <w:rPr>
          <w:i/>
          <w:color w:val="000000" w:themeColor="text1"/>
        </w:rPr>
      </w:pPr>
      <w:r w:rsidRPr="002A13E4">
        <w:rPr>
          <w:b/>
          <w:i/>
          <w:color w:val="000000" w:themeColor="text1"/>
        </w:rPr>
        <w:t>Taxonomies of Failures</w:t>
      </w:r>
    </w:p>
    <w:p w14:paraId="267FDFD5" w14:textId="77777777" w:rsidR="00DB7FAE" w:rsidRPr="002A13E4" w:rsidRDefault="00F147F7">
      <w:pPr>
        <w:spacing w:line="480" w:lineRule="auto"/>
        <w:ind w:firstLine="720"/>
        <w:rPr>
          <w:color w:val="000000" w:themeColor="text1"/>
        </w:rPr>
      </w:pPr>
      <w:r w:rsidRPr="002A13E4">
        <w:rPr>
          <w:color w:val="000000" w:themeColor="text1"/>
        </w:rPr>
        <w:lastRenderedPageBreak/>
        <w:t>Previously, numerous failure typologies were constructed to explain errors emerging in HMC introduced by humans, robots, and the environment. Based on the locus of faults,  they were categorized into (1) physical, human-made, design and interaction faults (</w:t>
      </w:r>
      <w:proofErr w:type="spellStart"/>
      <w:r w:rsidRPr="002A13E4">
        <w:rPr>
          <w:color w:val="000000" w:themeColor="text1"/>
        </w:rPr>
        <w:t>Laprie</w:t>
      </w:r>
      <w:proofErr w:type="spellEnd"/>
      <w:r w:rsidRPr="002A13E4">
        <w:rPr>
          <w:color w:val="000000" w:themeColor="text1"/>
        </w:rPr>
        <w:t>, 1985), (2) information acquisition, information analysis, decision/action selection, and action implementation (Parasuraman et al., 2000), (3) interaction, algorithms/methods, software design/implementation, and hardware failures (Carlson &amp; Murphy, 2005), (4) interactions, algorithms, software, and hardware faults (</w:t>
      </w:r>
      <w:proofErr w:type="spellStart"/>
      <w:r w:rsidRPr="002A13E4">
        <w:rPr>
          <w:color w:val="000000" w:themeColor="text1"/>
        </w:rPr>
        <w:t>Steinbauer</w:t>
      </w:r>
      <w:proofErr w:type="spellEnd"/>
      <w:r w:rsidRPr="002A13E4">
        <w:rPr>
          <w:color w:val="000000" w:themeColor="text1"/>
        </w:rPr>
        <w:t xml:space="preserve">, 2012) and (5) communication failures and processing failures (Brooks, 2017). Based on situations of expectation violations, Giuliani et al. (2015) distinguished failures by technical failures and social norm violations. Based on mechanisms of errors, </w:t>
      </w:r>
      <w:proofErr w:type="spellStart"/>
      <w:r w:rsidRPr="002A13E4">
        <w:rPr>
          <w:color w:val="000000" w:themeColor="text1"/>
        </w:rPr>
        <w:t>Skitka</w:t>
      </w:r>
      <w:proofErr w:type="spellEnd"/>
      <w:r w:rsidRPr="002A13E4">
        <w:rPr>
          <w:color w:val="000000" w:themeColor="text1"/>
        </w:rPr>
        <w:t xml:space="preserve"> et al. (2000) emphasized omission and commission errors. Based on combinations of failures, Ferrell (1994) organized robotic failures into individual, concurrent, and accumulative failures. Based on severity of aftereffect, they were classified into (1) benign failures and catastrophic failures (</w:t>
      </w:r>
      <w:proofErr w:type="spellStart"/>
      <w:r w:rsidRPr="002A13E4">
        <w:rPr>
          <w:color w:val="000000" w:themeColor="text1"/>
        </w:rPr>
        <w:t>Laprie</w:t>
      </w:r>
      <w:proofErr w:type="spellEnd"/>
      <w:r w:rsidRPr="002A13E4">
        <w:rPr>
          <w:color w:val="000000" w:themeColor="text1"/>
        </w:rPr>
        <w:t xml:space="preserve">, 1995), (2) non-critical, repairable/compensable, and terminal failures (Carlson &amp; Murphy, 2005). Based on recoverability of failures, they could be divided into anticipated, exceptional, and unrecoverable errors (Ross et al., 2004); and based on cross-contextual applicability, they were identified as high, medium, and low relevancy failures (Honig &amp; </w:t>
      </w:r>
      <w:proofErr w:type="spellStart"/>
      <w:r w:rsidRPr="002A13E4">
        <w:rPr>
          <w:color w:val="000000" w:themeColor="text1"/>
        </w:rPr>
        <w:t>Oron</w:t>
      </w:r>
      <w:proofErr w:type="spellEnd"/>
      <w:r w:rsidRPr="002A13E4">
        <w:rPr>
          <w:color w:val="000000" w:themeColor="text1"/>
        </w:rPr>
        <w:t xml:space="preserve">-Gilad, 2018). </w:t>
      </w:r>
    </w:p>
    <w:p w14:paraId="12BAA6CE" w14:textId="77777777" w:rsidR="00DB7FAE" w:rsidRPr="002A13E4" w:rsidRDefault="00F147F7">
      <w:pPr>
        <w:spacing w:line="480" w:lineRule="auto"/>
        <w:ind w:firstLine="720"/>
        <w:rPr>
          <w:color w:val="000000" w:themeColor="text1"/>
        </w:rPr>
      </w:pPr>
      <w:r w:rsidRPr="002A13E4">
        <w:rPr>
          <w:color w:val="000000" w:themeColor="text1"/>
        </w:rPr>
        <w:t xml:space="preserve">Despite the appreciable amount of efforts devoted to taxonomy constructions, these categorizations were rarely integrated into error-focused experimental designs, especially for applied research. For example, Kohn et al. (2018) experimented with six common failures of self-driving cars (e.g., crashes, wrong U-turns, delayed starts) </w:t>
      </w:r>
      <w:proofErr w:type="gramStart"/>
      <w:r w:rsidRPr="002A13E4">
        <w:rPr>
          <w:color w:val="000000" w:themeColor="text1"/>
        </w:rPr>
        <w:t>on the basis of</w:t>
      </w:r>
      <w:proofErr w:type="gramEnd"/>
      <w:r w:rsidRPr="002A13E4">
        <w:rPr>
          <w:color w:val="000000" w:themeColor="text1"/>
        </w:rPr>
        <w:t xml:space="preserve"> existing empirical findings. The advantage of employing individual errors originating from usage and practice lies in the instant applicability of such results to relevant systems, but the disadvantages are also </w:t>
      </w:r>
      <w:r w:rsidRPr="002A13E4">
        <w:rPr>
          <w:color w:val="000000" w:themeColor="text1"/>
        </w:rPr>
        <w:lastRenderedPageBreak/>
        <w:t xml:space="preserve">conspicuous: the underlying mechanisms causing such differences remain obscure given the limited depth of data interpretation, and the findings cannot be easily applied to other contexts because of the medium or low relevancy. </w:t>
      </w:r>
    </w:p>
    <w:p w14:paraId="1D9DD7B3" w14:textId="67623234" w:rsidR="00DB7FAE" w:rsidRPr="002A13E4" w:rsidRDefault="00F147F7">
      <w:pPr>
        <w:spacing w:line="480" w:lineRule="auto"/>
        <w:ind w:firstLine="720"/>
        <w:rPr>
          <w:color w:val="000000" w:themeColor="text1"/>
        </w:rPr>
      </w:pPr>
      <w:r w:rsidRPr="002A13E4">
        <w:rPr>
          <w:color w:val="000000" w:themeColor="text1"/>
        </w:rPr>
        <w:t xml:space="preserve">Though scant, accessible literature that compares theoretically justified error or failure types has shown that they most likely have distinct influences over trust. The error types attracting the greatest amount of scholarly attention so far are commission and omission errors, and this line of research since the early 2000s has mainly scrutinized the effects of false-alarms and misses in automation systems (e.g., </w:t>
      </w:r>
      <w:proofErr w:type="spellStart"/>
      <w:r w:rsidR="007736D7" w:rsidRPr="002A13E4">
        <w:rPr>
          <w:color w:val="000000" w:themeColor="text1"/>
        </w:rPr>
        <w:t>Chancey</w:t>
      </w:r>
      <w:proofErr w:type="spellEnd"/>
      <w:r w:rsidR="007736D7" w:rsidRPr="002A13E4">
        <w:rPr>
          <w:color w:val="000000" w:themeColor="text1"/>
        </w:rPr>
        <w:t xml:space="preserve"> et al., 2015</w:t>
      </w:r>
      <w:r w:rsidR="007736D7">
        <w:rPr>
          <w:color w:val="000000" w:themeColor="text1"/>
        </w:rPr>
        <w:t xml:space="preserve">; </w:t>
      </w:r>
      <w:r w:rsidR="007736D7" w:rsidRPr="002A13E4">
        <w:rPr>
          <w:color w:val="000000" w:themeColor="text1"/>
        </w:rPr>
        <w:t xml:space="preserve">Davenport &amp; Bustamante, 2010; Dixon, 2007; </w:t>
      </w:r>
      <w:r w:rsidRPr="002A13E4">
        <w:rPr>
          <w:color w:val="000000" w:themeColor="text1"/>
        </w:rPr>
        <w:t xml:space="preserve">Dixon &amp; </w:t>
      </w:r>
      <w:proofErr w:type="spellStart"/>
      <w:r w:rsidRPr="002A13E4">
        <w:rPr>
          <w:color w:val="000000" w:themeColor="text1"/>
        </w:rPr>
        <w:t>Wickens</w:t>
      </w:r>
      <w:proofErr w:type="spellEnd"/>
      <w:r w:rsidRPr="002A13E4">
        <w:rPr>
          <w:color w:val="000000" w:themeColor="text1"/>
        </w:rPr>
        <w:t>, 2003</w:t>
      </w:r>
      <w:r w:rsidR="00810946">
        <w:rPr>
          <w:color w:val="000000" w:themeColor="text1"/>
        </w:rPr>
        <w:t>;</w:t>
      </w:r>
      <w:r w:rsidRPr="002A13E4">
        <w:rPr>
          <w:color w:val="000000" w:themeColor="text1"/>
        </w:rPr>
        <w:t xml:space="preserve"> 2004;</w:t>
      </w:r>
      <w:r w:rsidR="00810946">
        <w:rPr>
          <w:color w:val="000000" w:themeColor="text1"/>
        </w:rPr>
        <w:t xml:space="preserve"> </w:t>
      </w:r>
      <w:r w:rsidR="007736D7" w:rsidRPr="002A13E4">
        <w:rPr>
          <w:color w:val="000000" w:themeColor="text1"/>
        </w:rPr>
        <w:t>2006; Geels-</w:t>
      </w:r>
      <w:proofErr w:type="spellStart"/>
      <w:r w:rsidR="007736D7" w:rsidRPr="002A13E4">
        <w:rPr>
          <w:color w:val="000000" w:themeColor="text1"/>
        </w:rPr>
        <w:t>Blairet</w:t>
      </w:r>
      <w:proofErr w:type="spellEnd"/>
      <w:r w:rsidR="007736D7" w:rsidRPr="002A13E4">
        <w:rPr>
          <w:color w:val="000000" w:themeColor="text1"/>
        </w:rPr>
        <w:t xml:space="preserve"> al., 2013; </w:t>
      </w:r>
      <w:r w:rsidRPr="002A13E4">
        <w:rPr>
          <w:color w:val="000000" w:themeColor="text1"/>
        </w:rPr>
        <w:t xml:space="preserve">Johnson et al., 2004; Levinthal &amp; </w:t>
      </w:r>
      <w:proofErr w:type="spellStart"/>
      <w:r w:rsidRPr="002A13E4">
        <w:rPr>
          <w:color w:val="000000" w:themeColor="text1"/>
        </w:rPr>
        <w:t>Wickens</w:t>
      </w:r>
      <w:proofErr w:type="spellEnd"/>
      <w:r w:rsidRPr="002A13E4">
        <w:rPr>
          <w:color w:val="000000" w:themeColor="text1"/>
        </w:rPr>
        <w:t xml:space="preserve">, 2006; </w:t>
      </w:r>
      <w:proofErr w:type="spellStart"/>
      <w:r w:rsidRPr="002A13E4">
        <w:rPr>
          <w:color w:val="000000" w:themeColor="text1"/>
        </w:rPr>
        <w:t>Madhavan</w:t>
      </w:r>
      <w:proofErr w:type="spellEnd"/>
      <w:r w:rsidRPr="002A13E4">
        <w:rPr>
          <w:color w:val="000000" w:themeColor="text1"/>
        </w:rPr>
        <w:t xml:space="preserve"> et al., 2006; </w:t>
      </w:r>
      <w:r w:rsidR="007736D7" w:rsidRPr="002A13E4">
        <w:rPr>
          <w:color w:val="000000" w:themeColor="text1"/>
        </w:rPr>
        <w:t xml:space="preserve">Rice, 2009; </w:t>
      </w:r>
      <w:proofErr w:type="spellStart"/>
      <w:r w:rsidR="007736D7" w:rsidRPr="002A13E4">
        <w:rPr>
          <w:color w:val="000000" w:themeColor="text1"/>
        </w:rPr>
        <w:t>Rovira</w:t>
      </w:r>
      <w:proofErr w:type="spellEnd"/>
      <w:r w:rsidR="007736D7" w:rsidRPr="002A13E4">
        <w:rPr>
          <w:color w:val="000000" w:themeColor="text1"/>
        </w:rPr>
        <w:t xml:space="preserve"> &amp; Parasuraman, 2010</w:t>
      </w:r>
      <w:r w:rsidR="007736D7">
        <w:rPr>
          <w:color w:val="000000" w:themeColor="text1"/>
        </w:rPr>
        <w:t xml:space="preserve">; </w:t>
      </w:r>
      <w:r w:rsidRPr="002A13E4">
        <w:rPr>
          <w:color w:val="000000" w:themeColor="text1"/>
        </w:rPr>
        <w:t xml:space="preserve">Sanchez, 2006; </w:t>
      </w:r>
      <w:r w:rsidR="007736D7" w:rsidRPr="002A13E4">
        <w:rPr>
          <w:color w:val="000000" w:themeColor="text1"/>
        </w:rPr>
        <w:t>Sanchez et al., 2004</w:t>
      </w:r>
      <w:r w:rsidRPr="002A13E4">
        <w:rPr>
          <w:color w:val="000000" w:themeColor="text1"/>
        </w:rPr>
        <w:t xml:space="preserve">). These experiments led to mixed findings: some indicated misses had more negative valence (e.g., </w:t>
      </w:r>
      <w:r w:rsidR="007736D7" w:rsidRPr="002A13E4">
        <w:rPr>
          <w:color w:val="000000" w:themeColor="text1"/>
        </w:rPr>
        <w:t>Davenport &amp; Bustamante, 2010</w:t>
      </w:r>
      <w:r w:rsidR="007736D7">
        <w:rPr>
          <w:color w:val="000000" w:themeColor="text1"/>
        </w:rPr>
        <w:t xml:space="preserve">; </w:t>
      </w:r>
      <w:r w:rsidRPr="002A13E4">
        <w:rPr>
          <w:color w:val="000000" w:themeColor="text1"/>
        </w:rPr>
        <w:t xml:space="preserve">Dixon &amp; </w:t>
      </w:r>
      <w:proofErr w:type="spellStart"/>
      <w:r w:rsidRPr="002A13E4">
        <w:rPr>
          <w:color w:val="000000" w:themeColor="text1"/>
        </w:rPr>
        <w:t>Wickens</w:t>
      </w:r>
      <w:proofErr w:type="spellEnd"/>
      <w:r w:rsidRPr="002A13E4">
        <w:rPr>
          <w:color w:val="000000" w:themeColor="text1"/>
        </w:rPr>
        <w:t xml:space="preserve">, 2003; Sanchez, 2006), but others suggested false alarms were worse (e.g., Johnson et al., 2004), with some viewing both as equally destructive (e.g., </w:t>
      </w:r>
      <w:proofErr w:type="spellStart"/>
      <w:r w:rsidRPr="002A13E4">
        <w:rPr>
          <w:color w:val="000000" w:themeColor="text1"/>
        </w:rPr>
        <w:t>Madhavan</w:t>
      </w:r>
      <w:proofErr w:type="spellEnd"/>
      <w:r w:rsidRPr="002A13E4">
        <w:rPr>
          <w:color w:val="000000" w:themeColor="text1"/>
        </w:rPr>
        <w:t xml:space="preserve"> et al., 2006; </w:t>
      </w:r>
      <w:proofErr w:type="spellStart"/>
      <w:r w:rsidRPr="002A13E4">
        <w:rPr>
          <w:color w:val="000000" w:themeColor="text1"/>
        </w:rPr>
        <w:t>Rovira</w:t>
      </w:r>
      <w:proofErr w:type="spellEnd"/>
      <w:r w:rsidRPr="002A13E4">
        <w:rPr>
          <w:color w:val="000000" w:themeColor="text1"/>
        </w:rPr>
        <w:t xml:space="preserve"> &amp; Parasuraman, 2010). Primarily, researchers differentiated two the types of errors based on their relationships with two dimensions of trust behavior, </w:t>
      </w:r>
      <w:proofErr w:type="gramStart"/>
      <w:r w:rsidRPr="002A13E4">
        <w:rPr>
          <w:color w:val="000000" w:themeColor="text1"/>
        </w:rPr>
        <w:t>compliance</w:t>
      </w:r>
      <w:proofErr w:type="gramEnd"/>
      <w:r w:rsidRPr="002A13E4">
        <w:rPr>
          <w:color w:val="000000" w:themeColor="text1"/>
        </w:rPr>
        <w:t xml:space="preserve"> and reliance, with minor references to workload, salience of errors, and outcome values (Sanchez, 2006). </w:t>
      </w:r>
    </w:p>
    <w:p w14:paraId="4B689D9B" w14:textId="77777777" w:rsidR="00DB7FAE" w:rsidRPr="002A13E4" w:rsidRDefault="00F147F7">
      <w:pPr>
        <w:spacing w:line="480" w:lineRule="auto"/>
        <w:ind w:firstLine="720"/>
        <w:rPr>
          <w:color w:val="000000" w:themeColor="text1"/>
        </w:rPr>
      </w:pPr>
      <w:r w:rsidRPr="002A13E4">
        <w:rPr>
          <w:color w:val="000000" w:themeColor="text1"/>
        </w:rPr>
        <w:t xml:space="preserve">To merge the gap in literature, Hoff and Bashir (2015) commented that the contradictions in previous finding might have been caused by different consequences of errors across systems—a false alarm of a carbon monoxide detector might simply be an annoyance, yet a miss could lead to casualties—meaning that future research looking into error types must cautiously control predicted outcomes caused by different kinds of errors. Apart from errors of commission and omission, </w:t>
      </w:r>
      <w:proofErr w:type="spellStart"/>
      <w:r w:rsidRPr="002A13E4">
        <w:rPr>
          <w:color w:val="000000" w:themeColor="text1"/>
        </w:rPr>
        <w:t>Flook</w:t>
      </w:r>
      <w:proofErr w:type="spellEnd"/>
      <w:r w:rsidRPr="002A13E4">
        <w:rPr>
          <w:color w:val="000000" w:themeColor="text1"/>
        </w:rPr>
        <w:t xml:space="preserve"> et al. (2019) investigated technical and decision-level failures in HRI, and their </w:t>
      </w:r>
      <w:r w:rsidRPr="002A13E4">
        <w:rPr>
          <w:color w:val="000000" w:themeColor="text1"/>
        </w:rPr>
        <w:lastRenderedPageBreak/>
        <w:t xml:space="preserve">findings showed that two failure types had similar effects, refuting the hypothesis that socio-level failures dampen participants’ trust more seriously because technical failures are considered to be easier to amend while recognition of social signals is perceived to be a higher-rank capability. Overall, the connection between existing failure typologies and empirical research has been tenuous, and future research needs to explore failure effects with more refined theoretical considerations. </w:t>
      </w:r>
    </w:p>
    <w:p w14:paraId="07732A44" w14:textId="656118B8" w:rsidR="00DB7FAE" w:rsidRPr="002A13E4" w:rsidRDefault="00F147F7">
      <w:pPr>
        <w:spacing w:line="480" w:lineRule="auto"/>
        <w:rPr>
          <w:b/>
          <w:i/>
          <w:color w:val="000000" w:themeColor="text1"/>
        </w:rPr>
      </w:pPr>
      <w:r w:rsidRPr="002A13E4">
        <w:rPr>
          <w:b/>
          <w:i/>
          <w:color w:val="000000" w:themeColor="text1"/>
        </w:rPr>
        <w:t xml:space="preserve">Trust Repair Based on Failure </w:t>
      </w:r>
      <w:r w:rsidR="003B2DC1" w:rsidRPr="002A13E4">
        <w:rPr>
          <w:b/>
          <w:i/>
          <w:color w:val="000000" w:themeColor="text1"/>
        </w:rPr>
        <w:t>T</w:t>
      </w:r>
      <w:r w:rsidRPr="002A13E4">
        <w:rPr>
          <w:b/>
          <w:i/>
          <w:color w:val="000000" w:themeColor="text1"/>
        </w:rPr>
        <w:t>ypes</w:t>
      </w:r>
    </w:p>
    <w:p w14:paraId="682915D8" w14:textId="1FB1CF3E" w:rsidR="00DB7FAE" w:rsidRPr="002A13E4" w:rsidRDefault="00F147F7">
      <w:pPr>
        <w:spacing w:line="480" w:lineRule="auto"/>
        <w:ind w:firstLine="720"/>
        <w:rPr>
          <w:color w:val="000000" w:themeColor="text1"/>
        </w:rPr>
      </w:pPr>
      <w:r w:rsidRPr="002A13E4">
        <w:rPr>
          <w:color w:val="000000" w:themeColor="text1"/>
        </w:rPr>
        <w:t xml:space="preserve">Trust repair research related to different violation types is relatively a new topic in HMC, and there is a noteworthy HAI framework formulated by </w:t>
      </w:r>
      <w:proofErr w:type="spellStart"/>
      <w:r w:rsidRPr="002A13E4">
        <w:rPr>
          <w:color w:val="000000" w:themeColor="text1"/>
        </w:rPr>
        <w:t>Marinaccio</w:t>
      </w:r>
      <w:proofErr w:type="spellEnd"/>
      <w:r w:rsidRPr="002A13E4">
        <w:rPr>
          <w:color w:val="000000" w:themeColor="text1"/>
        </w:rPr>
        <w:t xml:space="preserve"> et al. (2015). This framework connects the </w:t>
      </w:r>
      <w:proofErr w:type="gramStart"/>
      <w:r w:rsidRPr="002A13E4">
        <w:rPr>
          <w:color w:val="000000" w:themeColor="text1"/>
        </w:rPr>
        <w:t>aforementioned discoveries</w:t>
      </w:r>
      <w:proofErr w:type="gramEnd"/>
      <w:r w:rsidRPr="002A13E4">
        <w:rPr>
          <w:color w:val="000000" w:themeColor="text1"/>
        </w:rPr>
        <w:t xml:space="preserve"> from organizational trust literature (Kim et al., 2004; 2013) and human error typology from Reason (1990), surmising that the same interactions between two violation types and two repair methods also manifest themselves in human-automation relationships. In Reason’s classification (1990), error was utilized as a generic term (i.e., “all occasions in which a sequence of planned mental or physical activities fail to achieve its intended outcomes,” p.9), synonymous with “failures” in the present study. Thus, “violations” (i.e., intentional commission of an error), a type of failures that results from intended errors as a form of integrity-based violations (</w:t>
      </w:r>
      <w:proofErr w:type="spellStart"/>
      <w:r w:rsidRPr="002A13E4">
        <w:rPr>
          <w:color w:val="000000" w:themeColor="text1"/>
        </w:rPr>
        <w:t>Marinaccio</w:t>
      </w:r>
      <w:proofErr w:type="spellEnd"/>
      <w:r w:rsidRPr="002A13E4">
        <w:rPr>
          <w:color w:val="000000" w:themeColor="text1"/>
        </w:rPr>
        <w:t xml:space="preserve"> et al., 2015), do not count as “errors” </w:t>
      </w:r>
      <w:r w:rsidR="000172C8" w:rsidRPr="002A13E4">
        <w:rPr>
          <w:color w:val="000000" w:themeColor="text1"/>
        </w:rPr>
        <w:t xml:space="preserve">in the present study </w:t>
      </w:r>
      <w:r w:rsidRPr="002A13E4">
        <w:rPr>
          <w:color w:val="000000" w:themeColor="text1"/>
        </w:rPr>
        <w:t xml:space="preserve">based on the given definition. “Mistakes”, on the other hand, allude to decision-level failures aggregating prior errors and appropriateness of entire system designs, which are not elevated to the same level as the other two sorts of technical errors, “slips” and “lapses”, so it is determined that leaving out mistakes in the experimental design of this study would be reasonable. Table 1 below includes the relationships </w:t>
      </w:r>
      <w:proofErr w:type="spellStart"/>
      <w:r w:rsidRPr="002A13E4">
        <w:rPr>
          <w:color w:val="000000" w:themeColor="text1"/>
        </w:rPr>
        <w:t>Marinaccio</w:t>
      </w:r>
      <w:proofErr w:type="spellEnd"/>
      <w:r w:rsidRPr="002A13E4">
        <w:rPr>
          <w:color w:val="000000" w:themeColor="text1"/>
        </w:rPr>
        <w:t xml:space="preserve"> et al. (2015) drew between slips, lapses, </w:t>
      </w:r>
      <w:r w:rsidR="007736D7" w:rsidRPr="002A13E4">
        <w:rPr>
          <w:color w:val="000000" w:themeColor="text1"/>
        </w:rPr>
        <w:t>mistakes,</w:t>
      </w:r>
      <w:r w:rsidRPr="002A13E4">
        <w:rPr>
          <w:color w:val="000000" w:themeColor="text1"/>
        </w:rPr>
        <w:t xml:space="preserve"> and violations defined by Reason (1990) and trust repair </w:t>
      </w:r>
      <w:r w:rsidRPr="002A13E4">
        <w:rPr>
          <w:color w:val="000000" w:themeColor="text1"/>
        </w:rPr>
        <w:lastRenderedPageBreak/>
        <w:t xml:space="preserve">typology delineated by Kim et al. (2013). Quinn (2018) and </w:t>
      </w:r>
      <w:proofErr w:type="spellStart"/>
      <w:r w:rsidRPr="002A13E4">
        <w:rPr>
          <w:color w:val="000000" w:themeColor="text1"/>
        </w:rPr>
        <w:t>Sebo</w:t>
      </w:r>
      <w:proofErr w:type="spellEnd"/>
      <w:r w:rsidRPr="002A13E4">
        <w:rPr>
          <w:color w:val="000000" w:themeColor="text1"/>
        </w:rPr>
        <w:t xml:space="preserve"> et al. (2019) have observed partial and full support to the interactions between violation types and effective repair, suggesting </w:t>
      </w:r>
      <w:r w:rsidR="003A26FA" w:rsidRPr="002A13E4">
        <w:rPr>
          <w:color w:val="000000" w:themeColor="text1"/>
        </w:rPr>
        <w:t xml:space="preserve">the findings about trust repair in human-to-human communication remain </w:t>
      </w:r>
      <w:r w:rsidRPr="002A13E4">
        <w:rPr>
          <w:color w:val="000000" w:themeColor="text1"/>
        </w:rPr>
        <w:t>instructive</w:t>
      </w:r>
      <w:r w:rsidR="003A26FA" w:rsidRPr="002A13E4">
        <w:rPr>
          <w:color w:val="000000" w:themeColor="text1"/>
        </w:rPr>
        <w:t xml:space="preserve"> in HMC</w:t>
      </w:r>
      <w:r w:rsidRPr="002A13E4">
        <w:rPr>
          <w:color w:val="000000" w:themeColor="text1"/>
        </w:rPr>
        <w:t xml:space="preserve">. </w:t>
      </w:r>
    </w:p>
    <w:p w14:paraId="0B37E094" w14:textId="50E7397C" w:rsidR="00DB7FAE" w:rsidRDefault="00F147F7">
      <w:pPr>
        <w:rPr>
          <w:b/>
          <w:color w:val="000000" w:themeColor="text1"/>
        </w:rPr>
      </w:pPr>
      <w:r w:rsidRPr="002A13E4">
        <w:rPr>
          <w:b/>
          <w:color w:val="000000" w:themeColor="text1"/>
        </w:rPr>
        <w:t xml:space="preserve">Table 1 </w:t>
      </w:r>
    </w:p>
    <w:p w14:paraId="51952AC7" w14:textId="77777777" w:rsidR="007736D7" w:rsidRPr="002A13E4" w:rsidRDefault="007736D7">
      <w:pPr>
        <w:rPr>
          <w:b/>
          <w:color w:val="000000" w:themeColor="text1"/>
        </w:rPr>
      </w:pPr>
    </w:p>
    <w:p w14:paraId="79AF50D3" w14:textId="6297013D" w:rsidR="00DB7FAE" w:rsidRDefault="00F147F7">
      <w:pPr>
        <w:rPr>
          <w:i/>
          <w:color w:val="000000" w:themeColor="text1"/>
        </w:rPr>
      </w:pPr>
      <w:r w:rsidRPr="002A13E4">
        <w:rPr>
          <w:i/>
          <w:color w:val="000000" w:themeColor="text1"/>
        </w:rPr>
        <w:t xml:space="preserve">Trust Repair Framework Proposed by </w:t>
      </w:r>
      <w:proofErr w:type="spellStart"/>
      <w:r w:rsidRPr="002A13E4">
        <w:rPr>
          <w:i/>
          <w:color w:val="000000" w:themeColor="text1"/>
        </w:rPr>
        <w:t>Marinaccio</w:t>
      </w:r>
      <w:proofErr w:type="spellEnd"/>
      <w:r w:rsidRPr="002A13E4">
        <w:rPr>
          <w:i/>
          <w:color w:val="000000" w:themeColor="text1"/>
        </w:rPr>
        <w:t xml:space="preserve"> et al. (2015)</w:t>
      </w:r>
    </w:p>
    <w:p w14:paraId="56175F0B" w14:textId="77777777" w:rsidR="007736D7" w:rsidRPr="002A13E4" w:rsidRDefault="007736D7">
      <w:pPr>
        <w:rPr>
          <w:i/>
          <w:color w:val="000000" w:themeColor="text1"/>
        </w:rPr>
      </w:pPr>
    </w:p>
    <w:tbl>
      <w:tblPr>
        <w:tblStyle w:val="a"/>
        <w:tblW w:w="854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2135"/>
        <w:gridCol w:w="2135"/>
        <w:gridCol w:w="2135"/>
        <w:gridCol w:w="2135"/>
      </w:tblGrid>
      <w:tr w:rsidR="00DB7FAE" w:rsidRPr="002A13E4" w14:paraId="49CDA2E0" w14:textId="77777777">
        <w:trPr>
          <w:trHeight w:val="695"/>
        </w:trPr>
        <w:tc>
          <w:tcPr>
            <w:tcW w:w="2135" w:type="dxa"/>
            <w:tcBorders>
              <w:bottom w:val="single" w:sz="4" w:space="0" w:color="000000"/>
            </w:tcBorders>
          </w:tcPr>
          <w:p w14:paraId="55BC9E4B" w14:textId="77777777" w:rsidR="00DB7FAE" w:rsidRPr="002A13E4" w:rsidRDefault="00F147F7">
            <w:pPr>
              <w:jc w:val="center"/>
              <w:rPr>
                <w:color w:val="000000" w:themeColor="text1"/>
              </w:rPr>
            </w:pPr>
            <w:r w:rsidRPr="002A13E4">
              <w:rPr>
                <w:color w:val="000000" w:themeColor="text1"/>
              </w:rPr>
              <w:t>Error Type</w:t>
            </w:r>
          </w:p>
          <w:p w14:paraId="401195F6" w14:textId="77777777" w:rsidR="00DB7FAE" w:rsidRPr="002A13E4" w:rsidRDefault="00F147F7">
            <w:pPr>
              <w:jc w:val="center"/>
              <w:rPr>
                <w:color w:val="000000" w:themeColor="text1"/>
              </w:rPr>
            </w:pPr>
            <w:r w:rsidRPr="002A13E4">
              <w:rPr>
                <w:color w:val="000000" w:themeColor="text1"/>
              </w:rPr>
              <w:t>(Reason, 1990)</w:t>
            </w:r>
          </w:p>
        </w:tc>
        <w:tc>
          <w:tcPr>
            <w:tcW w:w="2135" w:type="dxa"/>
            <w:tcBorders>
              <w:bottom w:val="single" w:sz="4" w:space="0" w:color="000000"/>
            </w:tcBorders>
          </w:tcPr>
          <w:p w14:paraId="7DB2DBB9" w14:textId="77777777" w:rsidR="00DB7FAE" w:rsidRPr="002A13E4" w:rsidRDefault="00F147F7">
            <w:pPr>
              <w:jc w:val="center"/>
              <w:rPr>
                <w:color w:val="000000" w:themeColor="text1"/>
              </w:rPr>
            </w:pPr>
            <w:r w:rsidRPr="002A13E4">
              <w:rPr>
                <w:color w:val="000000" w:themeColor="text1"/>
              </w:rPr>
              <w:t>Examples</w:t>
            </w:r>
          </w:p>
        </w:tc>
        <w:tc>
          <w:tcPr>
            <w:tcW w:w="2135" w:type="dxa"/>
            <w:tcBorders>
              <w:bottom w:val="single" w:sz="4" w:space="0" w:color="000000"/>
            </w:tcBorders>
          </w:tcPr>
          <w:p w14:paraId="51A454D9" w14:textId="77777777" w:rsidR="00DB7FAE" w:rsidRPr="002A13E4" w:rsidRDefault="00F147F7">
            <w:pPr>
              <w:jc w:val="center"/>
              <w:rPr>
                <w:color w:val="000000" w:themeColor="text1"/>
              </w:rPr>
            </w:pPr>
            <w:r w:rsidRPr="002A13E4">
              <w:rPr>
                <w:color w:val="000000" w:themeColor="text1"/>
              </w:rPr>
              <w:t>Violation Types</w:t>
            </w:r>
          </w:p>
          <w:p w14:paraId="2857E06D" w14:textId="77777777" w:rsidR="00DB7FAE" w:rsidRPr="002A13E4" w:rsidRDefault="00F147F7">
            <w:pPr>
              <w:jc w:val="center"/>
              <w:rPr>
                <w:color w:val="000000" w:themeColor="text1"/>
              </w:rPr>
            </w:pPr>
            <w:r w:rsidRPr="002A13E4">
              <w:rPr>
                <w:color w:val="000000" w:themeColor="text1"/>
              </w:rPr>
              <w:t>(Kim et al., 2013)</w:t>
            </w:r>
          </w:p>
        </w:tc>
        <w:tc>
          <w:tcPr>
            <w:tcW w:w="2135" w:type="dxa"/>
            <w:tcBorders>
              <w:bottom w:val="single" w:sz="4" w:space="0" w:color="000000"/>
            </w:tcBorders>
          </w:tcPr>
          <w:p w14:paraId="4E497609" w14:textId="77777777" w:rsidR="00DB7FAE" w:rsidRPr="002A13E4" w:rsidRDefault="00F147F7">
            <w:pPr>
              <w:jc w:val="center"/>
              <w:rPr>
                <w:color w:val="000000" w:themeColor="text1"/>
              </w:rPr>
            </w:pPr>
            <w:r w:rsidRPr="002A13E4">
              <w:rPr>
                <w:color w:val="000000" w:themeColor="text1"/>
              </w:rPr>
              <w:t>Effective Repair</w:t>
            </w:r>
          </w:p>
          <w:p w14:paraId="73421933" w14:textId="77777777" w:rsidR="00DB7FAE" w:rsidRPr="002A13E4" w:rsidRDefault="00F147F7">
            <w:pPr>
              <w:jc w:val="center"/>
              <w:rPr>
                <w:color w:val="000000" w:themeColor="text1"/>
              </w:rPr>
            </w:pPr>
            <w:r w:rsidRPr="002A13E4">
              <w:rPr>
                <w:color w:val="000000" w:themeColor="text1"/>
              </w:rPr>
              <w:t>(Kim et al., 2013)</w:t>
            </w:r>
          </w:p>
        </w:tc>
      </w:tr>
      <w:tr w:rsidR="00DB7FAE" w:rsidRPr="002A13E4" w14:paraId="25491E30" w14:textId="77777777">
        <w:trPr>
          <w:trHeight w:val="1383"/>
        </w:trPr>
        <w:tc>
          <w:tcPr>
            <w:tcW w:w="2135" w:type="dxa"/>
            <w:tcBorders>
              <w:top w:val="single" w:sz="4" w:space="0" w:color="000000"/>
              <w:bottom w:val="nil"/>
            </w:tcBorders>
          </w:tcPr>
          <w:p w14:paraId="70EE5432" w14:textId="77777777" w:rsidR="00DB7FAE" w:rsidRPr="002A13E4" w:rsidRDefault="00F147F7">
            <w:pPr>
              <w:rPr>
                <w:color w:val="000000" w:themeColor="text1"/>
              </w:rPr>
            </w:pPr>
            <w:r w:rsidRPr="002A13E4">
              <w:rPr>
                <w:color w:val="000000" w:themeColor="text1"/>
              </w:rPr>
              <w:t>Slips – Errors of commission – when an intended action is wrongly executed</w:t>
            </w:r>
          </w:p>
        </w:tc>
        <w:tc>
          <w:tcPr>
            <w:tcW w:w="2135" w:type="dxa"/>
            <w:tcBorders>
              <w:top w:val="single" w:sz="4" w:space="0" w:color="000000"/>
              <w:bottom w:val="nil"/>
            </w:tcBorders>
          </w:tcPr>
          <w:p w14:paraId="022106CB" w14:textId="77777777" w:rsidR="00DB7FAE" w:rsidRPr="002A13E4" w:rsidRDefault="00F147F7">
            <w:pPr>
              <w:rPr>
                <w:color w:val="000000" w:themeColor="text1"/>
              </w:rPr>
            </w:pPr>
            <w:r w:rsidRPr="002A13E4">
              <w:rPr>
                <w:color w:val="000000" w:themeColor="text1"/>
              </w:rPr>
              <w:t>Flipping the wrong switch on an IV pump</w:t>
            </w:r>
          </w:p>
        </w:tc>
        <w:tc>
          <w:tcPr>
            <w:tcW w:w="2135" w:type="dxa"/>
            <w:tcBorders>
              <w:top w:val="single" w:sz="4" w:space="0" w:color="000000"/>
              <w:bottom w:val="nil"/>
            </w:tcBorders>
          </w:tcPr>
          <w:p w14:paraId="480E3A57" w14:textId="77777777" w:rsidR="00DB7FAE" w:rsidRPr="002A13E4" w:rsidRDefault="00F147F7">
            <w:pPr>
              <w:rPr>
                <w:color w:val="000000" w:themeColor="text1"/>
              </w:rPr>
            </w:pPr>
            <w:r w:rsidRPr="002A13E4">
              <w:rPr>
                <w:color w:val="000000" w:themeColor="text1"/>
              </w:rPr>
              <w:t>Integrity-based</w:t>
            </w:r>
          </w:p>
        </w:tc>
        <w:tc>
          <w:tcPr>
            <w:tcW w:w="2135" w:type="dxa"/>
            <w:tcBorders>
              <w:top w:val="single" w:sz="4" w:space="0" w:color="000000"/>
              <w:bottom w:val="nil"/>
            </w:tcBorders>
          </w:tcPr>
          <w:p w14:paraId="64E0F5F8" w14:textId="77777777" w:rsidR="00DB7FAE" w:rsidRPr="002A13E4" w:rsidRDefault="00F147F7">
            <w:pPr>
              <w:rPr>
                <w:color w:val="000000" w:themeColor="text1"/>
              </w:rPr>
            </w:pPr>
            <w:r w:rsidRPr="002A13E4">
              <w:rPr>
                <w:color w:val="000000" w:themeColor="text1"/>
              </w:rPr>
              <w:t>Denial</w:t>
            </w:r>
          </w:p>
        </w:tc>
      </w:tr>
      <w:tr w:rsidR="00DB7FAE" w:rsidRPr="002A13E4" w14:paraId="5B5E59D9" w14:textId="77777777">
        <w:trPr>
          <w:trHeight w:val="1391"/>
        </w:trPr>
        <w:tc>
          <w:tcPr>
            <w:tcW w:w="2135" w:type="dxa"/>
            <w:tcBorders>
              <w:top w:val="nil"/>
            </w:tcBorders>
          </w:tcPr>
          <w:p w14:paraId="0117CAEB" w14:textId="77777777" w:rsidR="00DB7FAE" w:rsidRPr="002A13E4" w:rsidRDefault="00F147F7">
            <w:pPr>
              <w:rPr>
                <w:color w:val="000000" w:themeColor="text1"/>
              </w:rPr>
            </w:pPr>
            <w:r w:rsidRPr="002A13E4">
              <w:rPr>
                <w:color w:val="000000" w:themeColor="text1"/>
              </w:rPr>
              <w:t>Lapses – Errors of omission – resulting in failure to carry out the action</w:t>
            </w:r>
          </w:p>
        </w:tc>
        <w:tc>
          <w:tcPr>
            <w:tcW w:w="2135" w:type="dxa"/>
            <w:tcBorders>
              <w:top w:val="nil"/>
            </w:tcBorders>
          </w:tcPr>
          <w:p w14:paraId="08D044AF" w14:textId="77777777" w:rsidR="00DB7FAE" w:rsidRPr="002A13E4" w:rsidRDefault="00F147F7">
            <w:pPr>
              <w:rPr>
                <w:color w:val="000000" w:themeColor="text1"/>
              </w:rPr>
            </w:pPr>
            <w:r w:rsidRPr="002A13E4">
              <w:rPr>
                <w:color w:val="000000" w:themeColor="text1"/>
              </w:rPr>
              <w:t>Forgetting to administer medication</w:t>
            </w:r>
          </w:p>
        </w:tc>
        <w:tc>
          <w:tcPr>
            <w:tcW w:w="2135" w:type="dxa"/>
            <w:tcBorders>
              <w:top w:val="nil"/>
            </w:tcBorders>
          </w:tcPr>
          <w:p w14:paraId="38E7A09A" w14:textId="77777777" w:rsidR="00DB7FAE" w:rsidRPr="002A13E4" w:rsidRDefault="00F147F7">
            <w:pPr>
              <w:rPr>
                <w:color w:val="000000" w:themeColor="text1"/>
              </w:rPr>
            </w:pPr>
            <w:r w:rsidRPr="002A13E4">
              <w:rPr>
                <w:color w:val="000000" w:themeColor="text1"/>
              </w:rPr>
              <w:t>Competence-based if due to memory failure, integrity-based if due to attention failure</w:t>
            </w:r>
          </w:p>
        </w:tc>
        <w:tc>
          <w:tcPr>
            <w:tcW w:w="2135" w:type="dxa"/>
            <w:tcBorders>
              <w:top w:val="nil"/>
            </w:tcBorders>
          </w:tcPr>
          <w:p w14:paraId="29090DAC" w14:textId="77777777" w:rsidR="00DB7FAE" w:rsidRPr="002A13E4" w:rsidRDefault="00F147F7">
            <w:pPr>
              <w:rPr>
                <w:color w:val="000000" w:themeColor="text1"/>
              </w:rPr>
            </w:pPr>
            <w:r w:rsidRPr="002A13E4">
              <w:rPr>
                <w:color w:val="000000" w:themeColor="text1"/>
              </w:rPr>
              <w:t>Context-dependent</w:t>
            </w:r>
          </w:p>
        </w:tc>
      </w:tr>
      <w:tr w:rsidR="00DB7FAE" w:rsidRPr="002A13E4" w14:paraId="01838646" w14:textId="77777777">
        <w:trPr>
          <w:trHeight w:val="922"/>
        </w:trPr>
        <w:tc>
          <w:tcPr>
            <w:tcW w:w="2135" w:type="dxa"/>
            <w:tcBorders>
              <w:top w:val="nil"/>
              <w:bottom w:val="nil"/>
            </w:tcBorders>
          </w:tcPr>
          <w:p w14:paraId="4DA9B5EB" w14:textId="77777777" w:rsidR="00DB7FAE" w:rsidRPr="002A13E4" w:rsidRDefault="00F147F7">
            <w:pPr>
              <w:rPr>
                <w:color w:val="000000" w:themeColor="text1"/>
              </w:rPr>
            </w:pPr>
            <w:r w:rsidRPr="002A13E4">
              <w:rPr>
                <w:color w:val="000000" w:themeColor="text1"/>
              </w:rPr>
              <w:t>Mistakes – Errors of planning or judgment</w:t>
            </w:r>
          </w:p>
        </w:tc>
        <w:tc>
          <w:tcPr>
            <w:tcW w:w="2135" w:type="dxa"/>
            <w:tcBorders>
              <w:top w:val="nil"/>
              <w:bottom w:val="nil"/>
            </w:tcBorders>
          </w:tcPr>
          <w:p w14:paraId="02B4DB48" w14:textId="77777777" w:rsidR="00DB7FAE" w:rsidRPr="002A13E4" w:rsidRDefault="00F147F7">
            <w:pPr>
              <w:rPr>
                <w:color w:val="000000" w:themeColor="text1"/>
              </w:rPr>
            </w:pPr>
            <w:r w:rsidRPr="002A13E4">
              <w:rPr>
                <w:color w:val="000000" w:themeColor="text1"/>
              </w:rPr>
              <w:t>Prescribing an incorrect dosage</w:t>
            </w:r>
          </w:p>
        </w:tc>
        <w:tc>
          <w:tcPr>
            <w:tcW w:w="2135" w:type="dxa"/>
            <w:tcBorders>
              <w:top w:val="nil"/>
              <w:bottom w:val="nil"/>
            </w:tcBorders>
          </w:tcPr>
          <w:p w14:paraId="6F4D03A3" w14:textId="77777777" w:rsidR="00DB7FAE" w:rsidRPr="002A13E4" w:rsidRDefault="00F147F7">
            <w:pPr>
              <w:rPr>
                <w:color w:val="000000" w:themeColor="text1"/>
              </w:rPr>
            </w:pPr>
            <w:r w:rsidRPr="002A13E4">
              <w:rPr>
                <w:color w:val="000000" w:themeColor="text1"/>
              </w:rPr>
              <w:t>Competence-based</w:t>
            </w:r>
          </w:p>
        </w:tc>
        <w:tc>
          <w:tcPr>
            <w:tcW w:w="2135" w:type="dxa"/>
            <w:tcBorders>
              <w:top w:val="nil"/>
              <w:bottom w:val="nil"/>
            </w:tcBorders>
          </w:tcPr>
          <w:p w14:paraId="7891840B" w14:textId="77777777" w:rsidR="00DB7FAE" w:rsidRPr="002A13E4" w:rsidRDefault="00F147F7">
            <w:pPr>
              <w:rPr>
                <w:color w:val="000000" w:themeColor="text1"/>
              </w:rPr>
            </w:pPr>
            <w:r w:rsidRPr="002A13E4">
              <w:rPr>
                <w:color w:val="000000" w:themeColor="text1"/>
              </w:rPr>
              <w:t>Apology</w:t>
            </w:r>
          </w:p>
        </w:tc>
      </w:tr>
      <w:tr w:rsidR="00DB7FAE" w:rsidRPr="002A13E4" w14:paraId="16B0FAB2" w14:textId="77777777">
        <w:trPr>
          <w:trHeight w:val="1156"/>
        </w:trPr>
        <w:tc>
          <w:tcPr>
            <w:tcW w:w="2135" w:type="dxa"/>
            <w:tcBorders>
              <w:top w:val="nil"/>
              <w:bottom w:val="single" w:sz="4" w:space="0" w:color="000000"/>
            </w:tcBorders>
          </w:tcPr>
          <w:p w14:paraId="2DC2CAAD" w14:textId="77777777" w:rsidR="00DB7FAE" w:rsidRPr="002A13E4" w:rsidRDefault="00F147F7">
            <w:pPr>
              <w:rPr>
                <w:color w:val="000000" w:themeColor="text1"/>
              </w:rPr>
            </w:pPr>
            <w:r w:rsidRPr="002A13E4">
              <w:rPr>
                <w:color w:val="000000" w:themeColor="text1"/>
              </w:rPr>
              <w:t>Violations – Intentional commission of an error</w:t>
            </w:r>
          </w:p>
        </w:tc>
        <w:tc>
          <w:tcPr>
            <w:tcW w:w="2135" w:type="dxa"/>
            <w:tcBorders>
              <w:top w:val="nil"/>
              <w:bottom w:val="single" w:sz="4" w:space="0" w:color="000000"/>
            </w:tcBorders>
          </w:tcPr>
          <w:p w14:paraId="24E61EE0" w14:textId="77777777" w:rsidR="00DB7FAE" w:rsidRPr="002A13E4" w:rsidRDefault="00F147F7">
            <w:pPr>
              <w:rPr>
                <w:color w:val="000000" w:themeColor="text1"/>
              </w:rPr>
            </w:pPr>
            <w:r w:rsidRPr="002A13E4">
              <w:rPr>
                <w:color w:val="000000" w:themeColor="text1"/>
              </w:rPr>
              <w:t>Prescribing an inappropriate medication because of sponsor loyalty</w:t>
            </w:r>
          </w:p>
        </w:tc>
        <w:tc>
          <w:tcPr>
            <w:tcW w:w="2135" w:type="dxa"/>
            <w:tcBorders>
              <w:top w:val="nil"/>
              <w:bottom w:val="single" w:sz="4" w:space="0" w:color="000000"/>
            </w:tcBorders>
          </w:tcPr>
          <w:p w14:paraId="2B3B360E" w14:textId="77777777" w:rsidR="00DB7FAE" w:rsidRPr="002A13E4" w:rsidRDefault="00F147F7">
            <w:pPr>
              <w:rPr>
                <w:color w:val="000000" w:themeColor="text1"/>
              </w:rPr>
            </w:pPr>
            <w:r w:rsidRPr="002A13E4">
              <w:rPr>
                <w:color w:val="000000" w:themeColor="text1"/>
              </w:rPr>
              <w:t>Integrity-based</w:t>
            </w:r>
          </w:p>
        </w:tc>
        <w:tc>
          <w:tcPr>
            <w:tcW w:w="2135" w:type="dxa"/>
            <w:tcBorders>
              <w:top w:val="nil"/>
              <w:bottom w:val="single" w:sz="4" w:space="0" w:color="000000"/>
            </w:tcBorders>
          </w:tcPr>
          <w:p w14:paraId="19957B89" w14:textId="77777777" w:rsidR="00DB7FAE" w:rsidRPr="002A13E4" w:rsidRDefault="00F147F7">
            <w:pPr>
              <w:rPr>
                <w:color w:val="000000" w:themeColor="text1"/>
              </w:rPr>
            </w:pPr>
            <w:r w:rsidRPr="002A13E4">
              <w:rPr>
                <w:color w:val="000000" w:themeColor="text1"/>
              </w:rPr>
              <w:t>Denial</w:t>
            </w:r>
          </w:p>
        </w:tc>
      </w:tr>
    </w:tbl>
    <w:p w14:paraId="1E8E382D" w14:textId="028232BE" w:rsidR="00DB7FAE" w:rsidRPr="002A13E4" w:rsidRDefault="00F147F7">
      <w:pPr>
        <w:spacing w:before="200" w:line="480" w:lineRule="auto"/>
        <w:ind w:firstLine="720"/>
        <w:rPr>
          <w:color w:val="000000" w:themeColor="text1"/>
        </w:rPr>
      </w:pPr>
      <w:r w:rsidRPr="002A13E4">
        <w:rPr>
          <w:b/>
          <w:color w:val="000000" w:themeColor="text1"/>
        </w:rPr>
        <w:t>Three categories of technical failures.</w:t>
      </w:r>
      <w:r w:rsidRPr="002A13E4">
        <w:rPr>
          <w:color w:val="000000" w:themeColor="text1"/>
        </w:rPr>
        <w:t xml:space="preserve"> Reason’s (1990) identification of errors largely relies on recognition of the stage in which errors occur, and this process-centered view might not fully reflect interactants’ subjective perceptions of failures. Departing from three origins of failures, planning, storage, and execution, Reason (1990) deemed slips and lapses to be execution-based and/or storage-based deficiencies and mistakes to be planning-based deficiencies. But untrained users do not necessarily probe into the mechanisms underlying error occurrence since symptoms and sources of system failures are often hard to comprehend even for </w:t>
      </w:r>
      <w:r w:rsidRPr="002A13E4">
        <w:rPr>
          <w:color w:val="000000" w:themeColor="text1"/>
        </w:rPr>
        <w:lastRenderedPageBreak/>
        <w:t xml:space="preserve">experts in the field (Honig &amp; </w:t>
      </w:r>
      <w:proofErr w:type="spellStart"/>
      <w:r w:rsidRPr="002A13E4">
        <w:rPr>
          <w:color w:val="000000" w:themeColor="text1"/>
        </w:rPr>
        <w:t>Oron</w:t>
      </w:r>
      <w:proofErr w:type="spellEnd"/>
      <w:r w:rsidRPr="002A13E4">
        <w:rPr>
          <w:color w:val="000000" w:themeColor="text1"/>
        </w:rPr>
        <w:t>-Gilad, 2018); instead, they make judgments about qualities of wrongness predominantly based on available output. Are responses successfully delivered? Are they correct? If they are incorrect, in which way are they wrong? What or who do they think should take the blame then? Lacking professional knowledge, interactants probably do not consider whether failures are caused by memory lapse</w:t>
      </w:r>
      <w:r w:rsidR="000172C8" w:rsidRPr="002A13E4">
        <w:rPr>
          <w:color w:val="000000" w:themeColor="text1"/>
        </w:rPr>
        <w:t>s</w:t>
      </w:r>
      <w:r w:rsidRPr="002A13E4">
        <w:rPr>
          <w:color w:val="000000" w:themeColor="text1"/>
        </w:rPr>
        <w:t xml:space="preserve"> or attention failure</w:t>
      </w:r>
      <w:r w:rsidR="000172C8" w:rsidRPr="002A13E4">
        <w:rPr>
          <w:color w:val="000000" w:themeColor="text1"/>
        </w:rPr>
        <w:t>s</w:t>
      </w:r>
      <w:r w:rsidRPr="002A13E4">
        <w:rPr>
          <w:color w:val="000000" w:themeColor="text1"/>
        </w:rPr>
        <w:t xml:space="preserve"> when coming across errors of omissions, for example. As discussed above, human errors and robotic errors are probably perceived differently because of ontological differences, so the demarcation between competence- and integrity-based violations based on interpersonal principles might not be exactly the same for HRI—flipping the wrong switch and delivering an incorrect dosage might be both considered </w:t>
      </w:r>
      <w:r w:rsidR="000172C8" w:rsidRPr="002A13E4">
        <w:rPr>
          <w:color w:val="000000" w:themeColor="text1"/>
        </w:rPr>
        <w:t>incompetent,</w:t>
      </w:r>
      <w:r w:rsidRPr="002A13E4">
        <w:rPr>
          <w:color w:val="000000" w:themeColor="text1"/>
        </w:rPr>
        <w:t xml:space="preserve"> though </w:t>
      </w:r>
      <w:proofErr w:type="spellStart"/>
      <w:r w:rsidRPr="002A13E4">
        <w:rPr>
          <w:color w:val="000000" w:themeColor="text1"/>
        </w:rPr>
        <w:t>Marinaccio</w:t>
      </w:r>
      <w:proofErr w:type="spellEnd"/>
      <w:r w:rsidRPr="002A13E4">
        <w:rPr>
          <w:color w:val="000000" w:themeColor="text1"/>
        </w:rPr>
        <w:t xml:space="preserve"> et al. (2015) attributed them to </w:t>
      </w:r>
      <w:r w:rsidR="000172C8" w:rsidRPr="002A13E4">
        <w:rPr>
          <w:color w:val="000000" w:themeColor="text1"/>
        </w:rPr>
        <w:t xml:space="preserve">different types of trust violations based on </w:t>
      </w:r>
      <w:r w:rsidRPr="002A13E4">
        <w:rPr>
          <w:color w:val="000000" w:themeColor="text1"/>
        </w:rPr>
        <w:t xml:space="preserve">different causes. </w:t>
      </w:r>
    </w:p>
    <w:p w14:paraId="510DC657" w14:textId="77777777" w:rsidR="00DB7FAE" w:rsidRPr="002A13E4" w:rsidRDefault="00F147F7">
      <w:pPr>
        <w:spacing w:line="480" w:lineRule="auto"/>
        <w:ind w:firstLine="720"/>
        <w:rPr>
          <w:color w:val="000000" w:themeColor="text1"/>
        </w:rPr>
      </w:pPr>
      <w:r w:rsidRPr="002A13E4">
        <w:rPr>
          <w:color w:val="000000" w:themeColor="text1"/>
        </w:rPr>
        <w:t xml:space="preserve">The same concern pertains to other extant failure taxonomies surrounding locus of faults that from the eye of human users, precise origins of errors caused by their robotic counterparts are little known. To resolve such conflicts and overcome shortcomings, basic error types (i.e., logic, sematic, syntax errors) in computer science (McCall &amp; </w:t>
      </w:r>
      <w:proofErr w:type="spellStart"/>
      <w:r w:rsidRPr="002A13E4">
        <w:rPr>
          <w:color w:val="000000" w:themeColor="text1"/>
        </w:rPr>
        <w:t>Kölling</w:t>
      </w:r>
      <w:proofErr w:type="spellEnd"/>
      <w:r w:rsidRPr="002A13E4">
        <w:rPr>
          <w:color w:val="000000" w:themeColor="text1"/>
        </w:rPr>
        <w:t xml:space="preserve">, 2014) can be adopted for developing an execution-centered failure categorization and investigating technical failures in some more details (Table 2). Take, for instance, a hypothetical task in which a robot is instructed to build a toy tower. Logic errors are termed as errors causing machines to produce relevant but incorrect output, which covers a part of slips, such as retrieving four building blocks when asked to bring three; sematic errors refer to errors yielding completely irrelevant output inappropriate in the given context, which blankets all non-logic slips, such as singing a song when required to pick up a stick; syntax errors are essentially errors of omission, in which cases machines fail to run programs, such as giving no responses to human commands. The three categories of errors </w:t>
      </w:r>
      <w:r w:rsidRPr="002A13E4">
        <w:rPr>
          <w:color w:val="000000" w:themeColor="text1"/>
        </w:rPr>
        <w:lastRenderedPageBreak/>
        <w:t xml:space="preserve">will lead to three types of failures when interactants heed flawed robotic output, so they are labeled according to their error origins as logic failures, semantic failures, and syntax failures. </w:t>
      </w:r>
    </w:p>
    <w:p w14:paraId="187ECB57" w14:textId="00C02B6F" w:rsidR="00DB7FAE" w:rsidRPr="002A13E4" w:rsidRDefault="00F147F7">
      <w:pPr>
        <w:spacing w:line="480" w:lineRule="auto"/>
        <w:ind w:firstLine="720"/>
        <w:rPr>
          <w:color w:val="000000" w:themeColor="text1"/>
        </w:rPr>
      </w:pPr>
      <w:r w:rsidRPr="002A13E4">
        <w:rPr>
          <w:color w:val="000000" w:themeColor="text1"/>
        </w:rPr>
        <w:t>Such failures are common in HRI. For instance, two types of failures naturally occurred in Pino et al.’s (2020) study when a NAO robot served as a trainer for cognitively impaired elderly—their NAO sometimes incorrectly evaluated participants responses and demonstrated logic failures (e.g., judging “10” to be the right answer for “what is answer to 5+8?”) and syntax failures (e.g., not responding to instructions); command recognition errors also frequently happen to robotics (</w:t>
      </w:r>
      <w:proofErr w:type="spellStart"/>
      <w:r w:rsidRPr="002A13E4">
        <w:rPr>
          <w:color w:val="000000" w:themeColor="text1"/>
        </w:rPr>
        <w:t>Iio</w:t>
      </w:r>
      <w:proofErr w:type="spellEnd"/>
      <w:r w:rsidRPr="002A13E4">
        <w:rPr>
          <w:color w:val="000000" w:themeColor="text1"/>
        </w:rPr>
        <w:t xml:space="preserve"> et al., 2020), which might lead to semantic failures (e.g., misunderstanding commands and exercising irrelevant action). From vending machines and printers to personal digital assistant</w:t>
      </w:r>
      <w:r w:rsidR="000172C8" w:rsidRPr="002A13E4">
        <w:rPr>
          <w:color w:val="000000" w:themeColor="text1"/>
        </w:rPr>
        <w:t>s</w:t>
      </w:r>
      <w:r w:rsidRPr="002A13E4">
        <w:rPr>
          <w:color w:val="000000" w:themeColor="text1"/>
        </w:rPr>
        <w:t xml:space="preserve"> and chatbot</w:t>
      </w:r>
      <w:r w:rsidR="000172C8" w:rsidRPr="002A13E4">
        <w:rPr>
          <w:color w:val="000000" w:themeColor="text1"/>
        </w:rPr>
        <w:t>s</w:t>
      </w:r>
      <w:r w:rsidRPr="002A13E4">
        <w:rPr>
          <w:color w:val="000000" w:themeColor="text1"/>
        </w:rPr>
        <w:t>, this outcome-centered typology transcends the technic divisions of hardware and software and is applicable to most existing machines, including automations and virtual systems.</w:t>
      </w:r>
    </w:p>
    <w:p w14:paraId="534B8E96" w14:textId="77777777" w:rsidR="00DB7FAE" w:rsidRPr="002A13E4" w:rsidRDefault="00F147F7">
      <w:pPr>
        <w:rPr>
          <w:b/>
          <w:color w:val="000000" w:themeColor="text1"/>
        </w:rPr>
      </w:pPr>
      <w:r w:rsidRPr="002A13E4">
        <w:rPr>
          <w:b/>
          <w:color w:val="000000" w:themeColor="text1"/>
        </w:rPr>
        <w:t>Table 2</w:t>
      </w:r>
    </w:p>
    <w:p w14:paraId="14AA035C" w14:textId="77777777" w:rsidR="00DB7FAE" w:rsidRPr="002A13E4" w:rsidRDefault="00F147F7">
      <w:pPr>
        <w:rPr>
          <w:color w:val="000000" w:themeColor="text1"/>
        </w:rPr>
      </w:pPr>
      <w:r w:rsidRPr="002A13E4">
        <w:rPr>
          <w:i/>
          <w:color w:val="000000" w:themeColor="text1"/>
        </w:rPr>
        <w:t>Trust Repair Framework for Technical Errors Only</w:t>
      </w:r>
    </w:p>
    <w:tbl>
      <w:tblPr>
        <w:tblStyle w:val="a0"/>
        <w:tblW w:w="8804"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2201"/>
        <w:gridCol w:w="2201"/>
        <w:gridCol w:w="2201"/>
        <w:gridCol w:w="2201"/>
      </w:tblGrid>
      <w:tr w:rsidR="00DB7FAE" w:rsidRPr="002A13E4" w14:paraId="31243DB2" w14:textId="77777777">
        <w:trPr>
          <w:trHeight w:val="542"/>
        </w:trPr>
        <w:tc>
          <w:tcPr>
            <w:tcW w:w="2201" w:type="dxa"/>
            <w:tcBorders>
              <w:bottom w:val="single" w:sz="4" w:space="0" w:color="000000"/>
            </w:tcBorders>
          </w:tcPr>
          <w:p w14:paraId="594FA55B" w14:textId="77777777" w:rsidR="00DB7FAE" w:rsidRPr="002A13E4" w:rsidRDefault="00F147F7">
            <w:pPr>
              <w:jc w:val="center"/>
              <w:rPr>
                <w:color w:val="000000" w:themeColor="text1"/>
              </w:rPr>
            </w:pPr>
            <w:r w:rsidRPr="002A13E4">
              <w:rPr>
                <w:color w:val="000000" w:themeColor="text1"/>
              </w:rPr>
              <w:t>Failure Types</w:t>
            </w:r>
          </w:p>
        </w:tc>
        <w:tc>
          <w:tcPr>
            <w:tcW w:w="2201" w:type="dxa"/>
            <w:tcBorders>
              <w:bottom w:val="single" w:sz="4" w:space="0" w:color="000000"/>
            </w:tcBorders>
          </w:tcPr>
          <w:p w14:paraId="5F877218" w14:textId="77777777" w:rsidR="00DB7FAE" w:rsidRPr="002A13E4" w:rsidRDefault="00F147F7">
            <w:pPr>
              <w:jc w:val="center"/>
              <w:rPr>
                <w:color w:val="000000" w:themeColor="text1"/>
              </w:rPr>
            </w:pPr>
            <w:r w:rsidRPr="002A13E4">
              <w:rPr>
                <w:color w:val="000000" w:themeColor="text1"/>
              </w:rPr>
              <w:t>Examples</w:t>
            </w:r>
          </w:p>
        </w:tc>
        <w:tc>
          <w:tcPr>
            <w:tcW w:w="2201" w:type="dxa"/>
            <w:tcBorders>
              <w:bottom w:val="single" w:sz="4" w:space="0" w:color="000000"/>
            </w:tcBorders>
          </w:tcPr>
          <w:p w14:paraId="6A30DAFB" w14:textId="77777777" w:rsidR="00DB7FAE" w:rsidRPr="002A13E4" w:rsidRDefault="00F147F7">
            <w:pPr>
              <w:jc w:val="center"/>
              <w:rPr>
                <w:color w:val="000000" w:themeColor="text1"/>
              </w:rPr>
            </w:pPr>
            <w:r w:rsidRPr="002A13E4">
              <w:rPr>
                <w:color w:val="000000" w:themeColor="text1"/>
              </w:rPr>
              <w:t>Violation Types</w:t>
            </w:r>
          </w:p>
          <w:p w14:paraId="6F4DCE56" w14:textId="77777777" w:rsidR="00DB7FAE" w:rsidRPr="002A13E4" w:rsidRDefault="00F147F7">
            <w:pPr>
              <w:jc w:val="center"/>
              <w:rPr>
                <w:color w:val="000000" w:themeColor="text1"/>
              </w:rPr>
            </w:pPr>
            <w:r w:rsidRPr="002A13E4">
              <w:rPr>
                <w:color w:val="000000" w:themeColor="text1"/>
              </w:rPr>
              <w:t>(Kim et al., 2013)</w:t>
            </w:r>
          </w:p>
        </w:tc>
        <w:tc>
          <w:tcPr>
            <w:tcW w:w="2201" w:type="dxa"/>
            <w:tcBorders>
              <w:bottom w:val="single" w:sz="4" w:space="0" w:color="000000"/>
            </w:tcBorders>
          </w:tcPr>
          <w:p w14:paraId="16F19C73" w14:textId="77777777" w:rsidR="00DB7FAE" w:rsidRPr="002A13E4" w:rsidRDefault="00F147F7">
            <w:pPr>
              <w:jc w:val="center"/>
              <w:rPr>
                <w:color w:val="000000" w:themeColor="text1"/>
              </w:rPr>
            </w:pPr>
            <w:r w:rsidRPr="002A13E4">
              <w:rPr>
                <w:color w:val="000000" w:themeColor="text1"/>
              </w:rPr>
              <w:t>Effective Repair</w:t>
            </w:r>
          </w:p>
          <w:p w14:paraId="4E0BAE22" w14:textId="77777777" w:rsidR="00DB7FAE" w:rsidRPr="002A13E4" w:rsidRDefault="00F147F7">
            <w:pPr>
              <w:jc w:val="center"/>
              <w:rPr>
                <w:color w:val="000000" w:themeColor="text1"/>
              </w:rPr>
            </w:pPr>
            <w:r w:rsidRPr="002A13E4">
              <w:rPr>
                <w:color w:val="000000" w:themeColor="text1"/>
              </w:rPr>
              <w:t>(Kim et al., 2013)</w:t>
            </w:r>
          </w:p>
        </w:tc>
      </w:tr>
      <w:tr w:rsidR="00DB7FAE" w:rsidRPr="002A13E4" w14:paraId="564C2884" w14:textId="77777777">
        <w:trPr>
          <w:trHeight w:val="1079"/>
        </w:trPr>
        <w:tc>
          <w:tcPr>
            <w:tcW w:w="2201" w:type="dxa"/>
            <w:tcBorders>
              <w:top w:val="single" w:sz="4" w:space="0" w:color="000000"/>
              <w:bottom w:val="nil"/>
            </w:tcBorders>
          </w:tcPr>
          <w:p w14:paraId="565FAC5B" w14:textId="77777777" w:rsidR="00DB7FAE" w:rsidRPr="002A13E4" w:rsidRDefault="00F147F7">
            <w:pPr>
              <w:rPr>
                <w:color w:val="000000" w:themeColor="text1"/>
              </w:rPr>
            </w:pPr>
            <w:r w:rsidRPr="002A13E4">
              <w:rPr>
                <w:color w:val="000000" w:themeColor="text1"/>
              </w:rPr>
              <w:t>Logic failures – resulting in relevant but wrong action</w:t>
            </w:r>
          </w:p>
        </w:tc>
        <w:tc>
          <w:tcPr>
            <w:tcW w:w="2201" w:type="dxa"/>
            <w:tcBorders>
              <w:top w:val="single" w:sz="4" w:space="0" w:color="000000"/>
              <w:bottom w:val="nil"/>
            </w:tcBorders>
          </w:tcPr>
          <w:p w14:paraId="2F63FEF8" w14:textId="77777777" w:rsidR="00DB7FAE" w:rsidRPr="002A13E4" w:rsidRDefault="00F147F7">
            <w:pPr>
              <w:rPr>
                <w:color w:val="000000" w:themeColor="text1"/>
              </w:rPr>
            </w:pPr>
            <w:r w:rsidRPr="002A13E4">
              <w:rPr>
                <w:color w:val="000000" w:themeColor="text1"/>
              </w:rPr>
              <w:t>Flipping the wrong switch on an IV pump</w:t>
            </w:r>
          </w:p>
        </w:tc>
        <w:tc>
          <w:tcPr>
            <w:tcW w:w="2201" w:type="dxa"/>
            <w:tcBorders>
              <w:top w:val="single" w:sz="4" w:space="0" w:color="000000"/>
              <w:bottom w:val="nil"/>
            </w:tcBorders>
          </w:tcPr>
          <w:p w14:paraId="2A3936C1" w14:textId="77777777" w:rsidR="00DB7FAE" w:rsidRPr="002A13E4" w:rsidRDefault="00F147F7">
            <w:pPr>
              <w:rPr>
                <w:color w:val="000000" w:themeColor="text1"/>
              </w:rPr>
            </w:pPr>
            <w:r w:rsidRPr="002A13E4">
              <w:rPr>
                <w:color w:val="000000" w:themeColor="text1"/>
              </w:rPr>
              <w:t>Competence-based</w:t>
            </w:r>
          </w:p>
        </w:tc>
        <w:tc>
          <w:tcPr>
            <w:tcW w:w="2201" w:type="dxa"/>
            <w:tcBorders>
              <w:top w:val="single" w:sz="4" w:space="0" w:color="000000"/>
              <w:bottom w:val="nil"/>
            </w:tcBorders>
          </w:tcPr>
          <w:p w14:paraId="6FF6489A" w14:textId="77777777" w:rsidR="00DB7FAE" w:rsidRPr="002A13E4" w:rsidRDefault="00F147F7">
            <w:pPr>
              <w:rPr>
                <w:color w:val="000000" w:themeColor="text1"/>
              </w:rPr>
            </w:pPr>
            <w:r w:rsidRPr="002A13E4">
              <w:rPr>
                <w:color w:val="000000" w:themeColor="text1"/>
              </w:rPr>
              <w:t>Apology</w:t>
            </w:r>
          </w:p>
        </w:tc>
      </w:tr>
      <w:tr w:rsidR="00DB7FAE" w:rsidRPr="002A13E4" w14:paraId="63112222" w14:textId="77777777">
        <w:trPr>
          <w:trHeight w:val="1085"/>
        </w:trPr>
        <w:tc>
          <w:tcPr>
            <w:tcW w:w="2201" w:type="dxa"/>
            <w:tcBorders>
              <w:top w:val="nil"/>
              <w:bottom w:val="nil"/>
            </w:tcBorders>
          </w:tcPr>
          <w:p w14:paraId="42BB316F" w14:textId="77777777" w:rsidR="00DB7FAE" w:rsidRPr="002A13E4" w:rsidRDefault="00F147F7">
            <w:pPr>
              <w:rPr>
                <w:color w:val="000000" w:themeColor="text1"/>
              </w:rPr>
            </w:pPr>
            <w:r w:rsidRPr="002A13E4">
              <w:rPr>
                <w:color w:val="000000" w:themeColor="text1"/>
              </w:rPr>
              <w:t>Semantic failures – resulting in irrelevant or meaningless action</w:t>
            </w:r>
          </w:p>
          <w:p w14:paraId="2264553B" w14:textId="77777777" w:rsidR="00DB7FAE" w:rsidRPr="002A13E4" w:rsidRDefault="00DB7FAE">
            <w:pPr>
              <w:rPr>
                <w:color w:val="000000" w:themeColor="text1"/>
              </w:rPr>
            </w:pPr>
          </w:p>
        </w:tc>
        <w:tc>
          <w:tcPr>
            <w:tcW w:w="2201" w:type="dxa"/>
            <w:tcBorders>
              <w:top w:val="nil"/>
              <w:bottom w:val="nil"/>
            </w:tcBorders>
          </w:tcPr>
          <w:p w14:paraId="7E266D1B" w14:textId="77777777" w:rsidR="00DB7FAE" w:rsidRPr="002A13E4" w:rsidRDefault="00F147F7">
            <w:pPr>
              <w:rPr>
                <w:color w:val="000000" w:themeColor="text1"/>
              </w:rPr>
            </w:pPr>
            <w:r w:rsidRPr="002A13E4">
              <w:rPr>
                <w:color w:val="000000" w:themeColor="text1"/>
              </w:rPr>
              <w:t>Reduce dosage on record when asked to print out a prescription</w:t>
            </w:r>
          </w:p>
        </w:tc>
        <w:tc>
          <w:tcPr>
            <w:tcW w:w="2201" w:type="dxa"/>
            <w:tcBorders>
              <w:top w:val="nil"/>
              <w:bottom w:val="nil"/>
            </w:tcBorders>
          </w:tcPr>
          <w:p w14:paraId="23349940" w14:textId="77777777" w:rsidR="00DB7FAE" w:rsidRPr="002A13E4" w:rsidRDefault="00F147F7">
            <w:pPr>
              <w:rPr>
                <w:color w:val="000000" w:themeColor="text1"/>
              </w:rPr>
            </w:pPr>
            <w:r w:rsidRPr="002A13E4">
              <w:rPr>
                <w:color w:val="000000" w:themeColor="text1"/>
              </w:rPr>
              <w:t xml:space="preserve">Competence-based </w:t>
            </w:r>
          </w:p>
        </w:tc>
        <w:tc>
          <w:tcPr>
            <w:tcW w:w="2201" w:type="dxa"/>
            <w:tcBorders>
              <w:top w:val="nil"/>
              <w:bottom w:val="nil"/>
            </w:tcBorders>
          </w:tcPr>
          <w:p w14:paraId="33E7EA37" w14:textId="77777777" w:rsidR="00DB7FAE" w:rsidRPr="002A13E4" w:rsidRDefault="00F147F7">
            <w:pPr>
              <w:rPr>
                <w:color w:val="000000" w:themeColor="text1"/>
              </w:rPr>
            </w:pPr>
            <w:r w:rsidRPr="002A13E4">
              <w:rPr>
                <w:color w:val="000000" w:themeColor="text1"/>
              </w:rPr>
              <w:t>Apology</w:t>
            </w:r>
          </w:p>
        </w:tc>
      </w:tr>
      <w:tr w:rsidR="00DB7FAE" w:rsidRPr="002A13E4" w14:paraId="663CF6E7" w14:textId="77777777">
        <w:trPr>
          <w:trHeight w:val="719"/>
        </w:trPr>
        <w:tc>
          <w:tcPr>
            <w:tcW w:w="2201" w:type="dxa"/>
            <w:tcBorders>
              <w:top w:val="nil"/>
              <w:bottom w:val="single" w:sz="4" w:space="0" w:color="000000"/>
            </w:tcBorders>
          </w:tcPr>
          <w:p w14:paraId="2357709C" w14:textId="77777777" w:rsidR="00DB7FAE" w:rsidRPr="002A13E4" w:rsidRDefault="00F147F7">
            <w:pPr>
              <w:rPr>
                <w:color w:val="000000" w:themeColor="text1"/>
              </w:rPr>
            </w:pPr>
            <w:r w:rsidRPr="002A13E4">
              <w:rPr>
                <w:color w:val="000000" w:themeColor="text1"/>
              </w:rPr>
              <w:t>Syntax failures – resulting in failures to carry out the action</w:t>
            </w:r>
          </w:p>
        </w:tc>
        <w:tc>
          <w:tcPr>
            <w:tcW w:w="2201" w:type="dxa"/>
            <w:tcBorders>
              <w:top w:val="nil"/>
              <w:bottom w:val="single" w:sz="4" w:space="0" w:color="000000"/>
            </w:tcBorders>
          </w:tcPr>
          <w:p w14:paraId="6C87C69E" w14:textId="77777777" w:rsidR="00DB7FAE" w:rsidRPr="002A13E4" w:rsidRDefault="00F147F7">
            <w:pPr>
              <w:rPr>
                <w:color w:val="000000" w:themeColor="text1"/>
              </w:rPr>
            </w:pPr>
            <w:r w:rsidRPr="002A13E4">
              <w:rPr>
                <w:color w:val="000000" w:themeColor="text1"/>
              </w:rPr>
              <w:t>Forgetting to administer medication</w:t>
            </w:r>
          </w:p>
        </w:tc>
        <w:tc>
          <w:tcPr>
            <w:tcW w:w="2201" w:type="dxa"/>
            <w:tcBorders>
              <w:top w:val="nil"/>
              <w:bottom w:val="single" w:sz="4" w:space="0" w:color="000000"/>
            </w:tcBorders>
          </w:tcPr>
          <w:p w14:paraId="2FDB9336" w14:textId="77777777" w:rsidR="00DB7FAE" w:rsidRPr="002A13E4" w:rsidRDefault="00F147F7">
            <w:pPr>
              <w:rPr>
                <w:color w:val="000000" w:themeColor="text1"/>
              </w:rPr>
            </w:pPr>
            <w:r w:rsidRPr="002A13E4">
              <w:rPr>
                <w:color w:val="000000" w:themeColor="text1"/>
              </w:rPr>
              <w:t>Competence-based</w:t>
            </w:r>
          </w:p>
        </w:tc>
        <w:tc>
          <w:tcPr>
            <w:tcW w:w="2201" w:type="dxa"/>
            <w:tcBorders>
              <w:top w:val="nil"/>
              <w:bottom w:val="single" w:sz="4" w:space="0" w:color="000000"/>
            </w:tcBorders>
          </w:tcPr>
          <w:p w14:paraId="15AB432E" w14:textId="77777777" w:rsidR="00DB7FAE" w:rsidRPr="002A13E4" w:rsidRDefault="00F147F7">
            <w:pPr>
              <w:rPr>
                <w:color w:val="000000" w:themeColor="text1"/>
              </w:rPr>
            </w:pPr>
            <w:r w:rsidRPr="002A13E4">
              <w:rPr>
                <w:color w:val="000000" w:themeColor="text1"/>
              </w:rPr>
              <w:t>Apology</w:t>
            </w:r>
          </w:p>
        </w:tc>
      </w:tr>
    </w:tbl>
    <w:p w14:paraId="4BD8E8CA" w14:textId="77777777" w:rsidR="00DB7FAE" w:rsidRPr="002A13E4" w:rsidRDefault="00F147F7">
      <w:pPr>
        <w:spacing w:before="160" w:line="480" w:lineRule="auto"/>
        <w:ind w:firstLine="720"/>
        <w:rPr>
          <w:strike/>
          <w:color w:val="000000" w:themeColor="text1"/>
        </w:rPr>
      </w:pPr>
      <w:r w:rsidRPr="002A13E4">
        <w:rPr>
          <w:color w:val="000000" w:themeColor="text1"/>
        </w:rPr>
        <w:t xml:space="preserve">The approach to violation types in this study is fundamentally different from </w:t>
      </w:r>
      <w:proofErr w:type="spellStart"/>
      <w:r w:rsidRPr="002A13E4">
        <w:rPr>
          <w:color w:val="000000" w:themeColor="text1"/>
        </w:rPr>
        <w:t>Sebo</w:t>
      </w:r>
      <w:proofErr w:type="spellEnd"/>
      <w:r w:rsidRPr="002A13E4">
        <w:rPr>
          <w:color w:val="000000" w:themeColor="text1"/>
        </w:rPr>
        <w:t xml:space="preserve"> et al.’s (2019) in that failures are not famed as competence- or integrity-based. Since humans less frequently make moral-related attributions to machines, it is deducted that these failures would </w:t>
      </w:r>
      <w:r w:rsidRPr="002A13E4">
        <w:rPr>
          <w:color w:val="000000" w:themeColor="text1"/>
        </w:rPr>
        <w:lastRenderedPageBreak/>
        <w:t xml:space="preserve">all be subjectively conceptualized as competence-based violations instead of integrity-based violations. This speculation is different from </w:t>
      </w:r>
      <w:proofErr w:type="spellStart"/>
      <w:r w:rsidRPr="002A13E4">
        <w:rPr>
          <w:color w:val="000000" w:themeColor="text1"/>
        </w:rPr>
        <w:t>Marinaccio</w:t>
      </w:r>
      <w:proofErr w:type="spellEnd"/>
      <w:r w:rsidRPr="002A13E4">
        <w:rPr>
          <w:color w:val="000000" w:themeColor="text1"/>
        </w:rPr>
        <w:t xml:space="preserve"> et al.’s (2015) propositions that humans would perceive the robotic motivations behind slips, including both logic and semantic failures, to be integrity-based, as they do in interpersonal communication. Quinn (2018) and </w:t>
      </w:r>
      <w:proofErr w:type="spellStart"/>
      <w:r w:rsidRPr="002A13E4">
        <w:rPr>
          <w:color w:val="000000" w:themeColor="text1"/>
        </w:rPr>
        <w:t>Sebo</w:t>
      </w:r>
      <w:proofErr w:type="spellEnd"/>
      <w:r w:rsidRPr="002A13E4">
        <w:rPr>
          <w:color w:val="000000" w:themeColor="text1"/>
        </w:rPr>
        <w:t xml:space="preserve"> et al. (2019) have verified in HMC that apology with internal attribution rather than denial repairs trust more effectively for competence-based violations, and vice versa for integrity-based violations. If participants take all three failure types as competence-based violations, their trust would be better recovered with apology with internal attribution than denial.</w:t>
      </w:r>
    </w:p>
    <w:p w14:paraId="5B67644C" w14:textId="77777777" w:rsidR="00DB7FAE" w:rsidRPr="002A13E4" w:rsidRDefault="00F147F7">
      <w:pPr>
        <w:spacing w:line="480" w:lineRule="auto"/>
        <w:ind w:left="720"/>
        <w:rPr>
          <w:color w:val="000000" w:themeColor="text1"/>
        </w:rPr>
      </w:pPr>
      <w:r w:rsidRPr="002A13E4">
        <w:rPr>
          <w:b/>
          <w:color w:val="000000" w:themeColor="text1"/>
        </w:rPr>
        <w:t>H1.</w:t>
      </w:r>
      <w:r w:rsidRPr="002A13E4">
        <w:rPr>
          <w:color w:val="000000" w:themeColor="text1"/>
        </w:rPr>
        <w:t xml:space="preserve"> After failure occurrence, participants’ trust in the robot will be repaired more successfully when it repairs trust with internal-attribution apology rather than denial for (a) logic, (b) semantic, and (c) syntax failures.</w:t>
      </w:r>
    </w:p>
    <w:p w14:paraId="287FAC6D" w14:textId="03DD598E" w:rsidR="00DB7FAE" w:rsidRPr="002A13E4" w:rsidRDefault="00F147F7">
      <w:pPr>
        <w:spacing w:line="480" w:lineRule="auto"/>
        <w:ind w:firstLine="720"/>
        <w:rPr>
          <w:color w:val="000000" w:themeColor="text1"/>
        </w:rPr>
      </w:pPr>
      <w:r w:rsidRPr="002A13E4">
        <w:rPr>
          <w:color w:val="000000" w:themeColor="text1"/>
        </w:rPr>
        <w:t xml:space="preserve">Semantic failures may appear more objectionable to humans than logic failures because in semantic errors robots fail to interpret input at the very beginning, while robots appear to understand interactants’ input to some degree in logic errors. So even though both failures are competence-based, outcomes of semantic errors may be viewed more severely and negatively affect evaluations of the robots. </w:t>
      </w:r>
      <w:r w:rsidR="000172C8" w:rsidRPr="002A13E4">
        <w:rPr>
          <w:color w:val="000000" w:themeColor="text1"/>
        </w:rPr>
        <w:t xml:space="preserve">But for logic errors, they may appear harder to detect and therefore elicit more negativity than semantic failures. </w:t>
      </w:r>
      <w:r w:rsidRPr="002A13E4">
        <w:rPr>
          <w:color w:val="000000" w:themeColor="text1"/>
        </w:rPr>
        <w:t xml:space="preserve">Meanwhile, there also exists the possibility that humans are prone to believe failures are caused by human errors when robots give completely meaningless output, which makes logic failures more negative than semantic failures. Nevertheless, more empirical support to this deduction is needed. Considering prior studies also presented mixed findings regarding miss- and false-prone errors, which are essentially semantic and logic failures, it is hard to predict the magnitude of violations of </w:t>
      </w:r>
      <w:r w:rsidRPr="002A13E4">
        <w:rPr>
          <w:color w:val="000000" w:themeColor="text1"/>
        </w:rPr>
        <w:lastRenderedPageBreak/>
        <w:t>different failure category. To explore the nature of these violations, the following research questions were scrutinized:</w:t>
      </w:r>
    </w:p>
    <w:p w14:paraId="45068BE4" w14:textId="0E092E38" w:rsidR="00DB7FAE" w:rsidRPr="002A13E4" w:rsidRDefault="00F147F7">
      <w:pPr>
        <w:spacing w:before="160" w:line="480" w:lineRule="auto"/>
        <w:ind w:left="720"/>
        <w:rPr>
          <w:strike/>
          <w:color w:val="000000" w:themeColor="text1"/>
        </w:rPr>
      </w:pPr>
      <w:r w:rsidRPr="002A13E4">
        <w:rPr>
          <w:b/>
          <w:color w:val="000000" w:themeColor="text1"/>
        </w:rPr>
        <w:t>RQ1.</w:t>
      </w:r>
      <w:r w:rsidRPr="002A13E4">
        <w:rPr>
          <w:color w:val="000000" w:themeColor="text1"/>
        </w:rPr>
        <w:t xml:space="preserve"> How will different types of failures affect (a) perceived competence, (b) perceived integrity, (c) competence-based </w:t>
      </w:r>
      <w:r w:rsidR="00F40A32" w:rsidRPr="002A13E4">
        <w:rPr>
          <w:color w:val="000000" w:themeColor="text1"/>
        </w:rPr>
        <w:t>post-interaction</w:t>
      </w:r>
      <w:r w:rsidRPr="002A13E4">
        <w:rPr>
          <w:color w:val="000000" w:themeColor="text1"/>
        </w:rPr>
        <w:t xml:space="preserve"> trust, (d) integrity-based </w:t>
      </w:r>
      <w:r w:rsidR="00F40A32" w:rsidRPr="002A13E4">
        <w:rPr>
          <w:color w:val="000000" w:themeColor="text1"/>
        </w:rPr>
        <w:t>post-interaction</w:t>
      </w:r>
      <w:r w:rsidRPr="002A13E4">
        <w:rPr>
          <w:color w:val="000000" w:themeColor="text1"/>
        </w:rPr>
        <w:t xml:space="preserve"> trust, and (e) perceived severity of violations, when no trust repair is implemented?</w:t>
      </w:r>
    </w:p>
    <w:p w14:paraId="27318FCF" w14:textId="32003C3D" w:rsidR="00DB7FAE" w:rsidRPr="002A13E4" w:rsidRDefault="00F147F7">
      <w:pPr>
        <w:spacing w:line="480" w:lineRule="auto"/>
        <w:ind w:left="720"/>
        <w:rPr>
          <w:color w:val="000000" w:themeColor="text1"/>
        </w:rPr>
      </w:pPr>
      <w:bookmarkStart w:id="11" w:name="bookmark=id.3dy6vkm" w:colFirst="0" w:colLast="0"/>
      <w:bookmarkStart w:id="12" w:name="bookmark=id.tyjcwt" w:colFirst="0" w:colLast="0"/>
      <w:bookmarkEnd w:id="11"/>
      <w:bookmarkEnd w:id="12"/>
      <w:r w:rsidRPr="002A13E4">
        <w:rPr>
          <w:b/>
          <w:color w:val="000000" w:themeColor="text1"/>
        </w:rPr>
        <w:t>RQ2.</w:t>
      </w:r>
      <w:r w:rsidRPr="002A13E4">
        <w:rPr>
          <w:color w:val="000000" w:themeColor="text1"/>
        </w:rPr>
        <w:t xml:space="preserve"> Which type of failures will exert the strongest negative effects over participants’ </w:t>
      </w:r>
      <w:r w:rsidR="00F40A32" w:rsidRPr="002A13E4">
        <w:rPr>
          <w:color w:val="000000" w:themeColor="text1"/>
        </w:rPr>
        <w:t>post-interaction</w:t>
      </w:r>
      <w:r w:rsidRPr="002A13E4">
        <w:rPr>
          <w:color w:val="000000" w:themeColor="text1"/>
        </w:rPr>
        <w:t xml:space="preserve"> trust in robot, regardless of repair methods?</w:t>
      </w:r>
    </w:p>
    <w:p w14:paraId="3366B3D8" w14:textId="77777777" w:rsidR="00DB7FAE" w:rsidRPr="002A13E4" w:rsidRDefault="00F147F7">
      <w:pPr>
        <w:pStyle w:val="Heading1"/>
        <w:spacing w:before="0" w:line="480" w:lineRule="auto"/>
        <w:rPr>
          <w:color w:val="000000" w:themeColor="text1"/>
        </w:rPr>
      </w:pPr>
      <w:bookmarkStart w:id="13" w:name="_Toc73716026"/>
      <w:r w:rsidRPr="002A13E4">
        <w:rPr>
          <w:color w:val="000000" w:themeColor="text1"/>
        </w:rPr>
        <w:t>Blame Attributions in Trust Repair</w:t>
      </w:r>
      <w:bookmarkEnd w:id="13"/>
    </w:p>
    <w:p w14:paraId="060E2F6D" w14:textId="77777777" w:rsidR="00DB7FAE" w:rsidRPr="002A13E4" w:rsidRDefault="00F147F7">
      <w:pPr>
        <w:pStyle w:val="Heading2"/>
        <w:spacing w:before="0" w:line="480" w:lineRule="auto"/>
        <w:rPr>
          <w:color w:val="000000" w:themeColor="text1"/>
        </w:rPr>
      </w:pPr>
      <w:bookmarkStart w:id="14" w:name="_Toc73716027"/>
      <w:r w:rsidRPr="002A13E4">
        <w:rPr>
          <w:color w:val="000000" w:themeColor="text1"/>
        </w:rPr>
        <w:t>Trust Repair as Attribution Manipulation</w:t>
      </w:r>
      <w:bookmarkEnd w:id="14"/>
    </w:p>
    <w:p w14:paraId="693E26C9" w14:textId="792871FF" w:rsidR="00DB7FAE" w:rsidRPr="002A13E4" w:rsidRDefault="00F147F7">
      <w:pPr>
        <w:spacing w:line="480" w:lineRule="auto"/>
        <w:ind w:firstLine="720"/>
        <w:rPr>
          <w:color w:val="000000" w:themeColor="text1"/>
        </w:rPr>
      </w:pPr>
      <w:r w:rsidRPr="002A13E4">
        <w:rPr>
          <w:color w:val="000000" w:themeColor="text1"/>
        </w:rPr>
        <w:t xml:space="preserve">Attribution theory is one of the most salient theoretical perspectives in trust repair research (Lewicki &amp; </w:t>
      </w:r>
      <w:proofErr w:type="spellStart"/>
      <w:r w:rsidRPr="002A13E4">
        <w:rPr>
          <w:color w:val="000000" w:themeColor="text1"/>
        </w:rPr>
        <w:t>Brinsfield</w:t>
      </w:r>
      <w:proofErr w:type="spellEnd"/>
      <w:r w:rsidRPr="002A13E4">
        <w:rPr>
          <w:color w:val="000000" w:themeColor="text1"/>
        </w:rPr>
        <w:t>, 2017</w:t>
      </w:r>
      <w:r w:rsidR="007736D7">
        <w:rPr>
          <w:color w:val="000000" w:themeColor="text1"/>
        </w:rPr>
        <w:t xml:space="preserve">; </w:t>
      </w:r>
      <w:r w:rsidR="007736D7" w:rsidRPr="002A13E4">
        <w:rPr>
          <w:color w:val="000000" w:themeColor="text1"/>
        </w:rPr>
        <w:t>Tomlinson &amp; Myer, 2009</w:t>
      </w:r>
      <w:r w:rsidRPr="002A13E4">
        <w:rPr>
          <w:color w:val="000000" w:themeColor="text1"/>
        </w:rPr>
        <w:t xml:space="preserve">), which has been applied in multiple studies to explain the effects of trust repair methods (e.g., Bansal et al., 2015; </w:t>
      </w:r>
      <w:proofErr w:type="spellStart"/>
      <w:r w:rsidR="007736D7" w:rsidRPr="002A13E4">
        <w:rPr>
          <w:color w:val="000000" w:themeColor="text1"/>
        </w:rPr>
        <w:t>Goles</w:t>
      </w:r>
      <w:proofErr w:type="spellEnd"/>
      <w:r w:rsidR="007736D7" w:rsidRPr="002A13E4">
        <w:rPr>
          <w:color w:val="000000" w:themeColor="text1"/>
        </w:rPr>
        <w:t xml:space="preserve"> et al., 2009; </w:t>
      </w:r>
      <w:r w:rsidRPr="002A13E4">
        <w:rPr>
          <w:color w:val="000000" w:themeColor="text1"/>
        </w:rPr>
        <w:t xml:space="preserve">Quinn, 2018). As a building block of contemporary psychology, attribution theory has greatly advanced our understanding since late 1950s of how people attribute causes of events and respond accordingly (Weiner, 2008). The fundamental distinction Heider (1958) propounded over people’s assigned explanations of behavior and events is locus (i.e., whether perceived causes </w:t>
      </w:r>
      <w:proofErr w:type="gramStart"/>
      <w:r w:rsidRPr="002A13E4">
        <w:rPr>
          <w:color w:val="000000" w:themeColor="text1"/>
        </w:rPr>
        <w:t>are located in</w:t>
      </w:r>
      <w:proofErr w:type="gramEnd"/>
      <w:r w:rsidRPr="002A13E4">
        <w:rPr>
          <w:color w:val="000000" w:themeColor="text1"/>
        </w:rPr>
        <w:t xml:space="preserve"> external situational factors or the actor’s internal qualities). Later, the theory was further elaborated with two additional dimensions: stability (i.e., whether perceived causes are fluctuant or constant) and controllability (i.e., whether perceived control of reinforcement is external or internal), and these dimensions are closely linked to individuals’ expectancy changes and emotional responses (Weiner, 1985). </w:t>
      </w:r>
    </w:p>
    <w:p w14:paraId="1062E415" w14:textId="27CE4B0B" w:rsidR="00DB7FAE" w:rsidRPr="002A13E4" w:rsidRDefault="00F147F7">
      <w:pPr>
        <w:spacing w:line="480" w:lineRule="auto"/>
        <w:ind w:firstLine="720"/>
        <w:rPr>
          <w:color w:val="000000" w:themeColor="text1"/>
        </w:rPr>
      </w:pPr>
      <w:r w:rsidRPr="002A13E4">
        <w:rPr>
          <w:color w:val="000000" w:themeColor="text1"/>
        </w:rPr>
        <w:t xml:space="preserve">Attributions play a pivotal role in trust repair (Dirks et al., 2009). Benevolent attributions for failures, the ones that are more external, unstable, and uncontrollable, can stimulate more </w:t>
      </w:r>
      <w:r w:rsidRPr="002A13E4">
        <w:rPr>
          <w:color w:val="000000" w:themeColor="text1"/>
        </w:rPr>
        <w:lastRenderedPageBreak/>
        <w:t xml:space="preserve">favorable outcomes and encourage forgiveness, while internal, stable, and controllable attributions lead to more negativity in failure assessment (e.g., </w:t>
      </w:r>
      <w:proofErr w:type="spellStart"/>
      <w:r w:rsidR="007736D7" w:rsidRPr="002A13E4">
        <w:rPr>
          <w:color w:val="000000" w:themeColor="text1"/>
        </w:rPr>
        <w:t>Korsgaard</w:t>
      </w:r>
      <w:proofErr w:type="spellEnd"/>
      <w:r w:rsidR="007736D7" w:rsidRPr="002A13E4">
        <w:rPr>
          <w:color w:val="000000" w:themeColor="text1"/>
        </w:rPr>
        <w:t xml:space="preserve"> et al., 2002</w:t>
      </w:r>
      <w:r w:rsidR="007736D7">
        <w:rPr>
          <w:color w:val="000000" w:themeColor="text1"/>
        </w:rPr>
        <w:t xml:space="preserve">; </w:t>
      </w:r>
      <w:r w:rsidRPr="002A13E4">
        <w:rPr>
          <w:color w:val="000000" w:themeColor="text1"/>
        </w:rPr>
        <w:t>Shaw et al., 2003;</w:t>
      </w:r>
      <w:r w:rsidR="007736D7">
        <w:rPr>
          <w:color w:val="000000" w:themeColor="text1"/>
        </w:rPr>
        <w:t xml:space="preserve"> </w:t>
      </w:r>
      <w:r w:rsidRPr="002A13E4">
        <w:rPr>
          <w:color w:val="000000" w:themeColor="text1"/>
        </w:rPr>
        <w:t>Stouten et al., 2006</w:t>
      </w:r>
      <w:r w:rsidR="007736D7">
        <w:rPr>
          <w:color w:val="000000" w:themeColor="text1"/>
        </w:rPr>
        <w:t xml:space="preserve">; </w:t>
      </w:r>
      <w:proofErr w:type="spellStart"/>
      <w:r w:rsidR="007736D7" w:rsidRPr="002A13E4">
        <w:rPr>
          <w:color w:val="000000" w:themeColor="text1"/>
        </w:rPr>
        <w:t>Takaku</w:t>
      </w:r>
      <w:proofErr w:type="spellEnd"/>
      <w:r w:rsidR="007736D7" w:rsidRPr="002A13E4">
        <w:rPr>
          <w:color w:val="000000" w:themeColor="text1"/>
        </w:rPr>
        <w:t>, 2001</w:t>
      </w:r>
      <w:r w:rsidRPr="002A13E4">
        <w:rPr>
          <w:color w:val="000000" w:themeColor="text1"/>
        </w:rPr>
        <w:t>). According to Weiner’s (1985) typology, individuals’ poor aptitudes might be perceived as caused by internal, stable, and uncontrollable reasons, while immorality might be assigned with internal, stable, and controllable attributions, which offers an explanation of why integrity-based violations are taken more seriously as trust violations than competence-based violations. Based on the general findings about blame attributions, the current study proposed the following hypothesis:</w:t>
      </w:r>
    </w:p>
    <w:p w14:paraId="3CD4C528" w14:textId="77777777" w:rsidR="00DB7FAE" w:rsidRPr="002A13E4" w:rsidRDefault="00F147F7">
      <w:pPr>
        <w:spacing w:line="480" w:lineRule="auto"/>
        <w:ind w:left="720"/>
        <w:rPr>
          <w:color w:val="000000" w:themeColor="text1"/>
        </w:rPr>
      </w:pPr>
      <w:r w:rsidRPr="002A13E4">
        <w:rPr>
          <w:b/>
          <w:color w:val="000000" w:themeColor="text1"/>
        </w:rPr>
        <w:t>H2.</w:t>
      </w:r>
      <w:r w:rsidRPr="002A13E4">
        <w:rPr>
          <w:color w:val="000000" w:themeColor="text1"/>
        </w:rPr>
        <w:t xml:space="preserve"> After failure occurrence, higher levels of trust will be assigned to robots when more (a) external, (b) unstable, and (c) uncontrollable causal attributions are made, regardless of failure types and repair methods. </w:t>
      </w:r>
    </w:p>
    <w:p w14:paraId="499C6CF7" w14:textId="50FDD6AC" w:rsidR="00DB7FAE" w:rsidRPr="002A13E4" w:rsidRDefault="00F147F7">
      <w:pPr>
        <w:spacing w:line="480" w:lineRule="auto"/>
        <w:ind w:firstLine="720"/>
        <w:rPr>
          <w:color w:val="000000" w:themeColor="text1"/>
        </w:rPr>
      </w:pPr>
      <w:r w:rsidRPr="002A13E4">
        <w:rPr>
          <w:color w:val="000000" w:themeColor="text1"/>
        </w:rPr>
        <w:t xml:space="preserve">Different trust repair strategies can be approached as different ways of manipulating causal attributions. Based on the past research in trust repair, Weiner’s (1985) attribution literature, and Mayer et al.’s (1995) model of organizational trust, Tomlinson and </w:t>
      </w:r>
      <w:proofErr w:type="spellStart"/>
      <w:r w:rsidRPr="002A13E4">
        <w:rPr>
          <w:color w:val="000000" w:themeColor="text1"/>
        </w:rPr>
        <w:t>Mryer</w:t>
      </w:r>
      <w:proofErr w:type="spellEnd"/>
      <w:r w:rsidRPr="002A13E4">
        <w:rPr>
          <w:color w:val="000000" w:themeColor="text1"/>
        </w:rPr>
        <w:t xml:space="preserve"> (2009) proposed a model for trust repair concerning attribution manipulation (see Figure 1). However, because the present study only examines integrity- and competence-based violations, the component of benevolence is excluded from the discussion. The latent logic in trust repair is that one end of each attribution continuum tilts the other—for instance, if one makes more external attributions in the case, he or she will naturally reduce internal attributions—so that trustees can make more external attributions in trust repair attempts to decrease trustors’ internal attributions of guilt (</w:t>
      </w:r>
      <w:proofErr w:type="spellStart"/>
      <w:r w:rsidRPr="002A13E4">
        <w:rPr>
          <w:color w:val="000000" w:themeColor="text1"/>
        </w:rPr>
        <w:t>Crant</w:t>
      </w:r>
      <w:proofErr w:type="spellEnd"/>
      <w:r w:rsidRPr="002A13E4">
        <w:rPr>
          <w:color w:val="000000" w:themeColor="text1"/>
        </w:rPr>
        <w:t xml:space="preserve"> &amp; Bateman</w:t>
      </w:r>
      <w:r w:rsidR="00A85737" w:rsidRPr="002A13E4">
        <w:rPr>
          <w:color w:val="000000" w:themeColor="text1"/>
        </w:rPr>
        <w:t>,</w:t>
      </w:r>
      <w:r w:rsidRPr="002A13E4">
        <w:rPr>
          <w:color w:val="000000" w:themeColor="text1"/>
        </w:rPr>
        <w:t xml:space="preserve"> 1993). This hence alleviates the negative effects of violations on perceived trustworthiness by ruling out the notion that that failures are caused by certain deficiencies in ability or integrity (Tomlinson &amp; </w:t>
      </w:r>
      <w:proofErr w:type="spellStart"/>
      <w:r w:rsidRPr="002A13E4">
        <w:rPr>
          <w:color w:val="000000" w:themeColor="text1"/>
        </w:rPr>
        <w:t>Mryer</w:t>
      </w:r>
      <w:proofErr w:type="spellEnd"/>
      <w:r w:rsidRPr="002A13E4">
        <w:rPr>
          <w:color w:val="000000" w:themeColor="text1"/>
        </w:rPr>
        <w:t xml:space="preserve">, 2009). </w:t>
      </w:r>
    </w:p>
    <w:p w14:paraId="110D2CFB" w14:textId="77777777" w:rsidR="00DB7FAE" w:rsidRPr="002A13E4" w:rsidRDefault="00F147F7">
      <w:pPr>
        <w:spacing w:line="480" w:lineRule="auto"/>
        <w:rPr>
          <w:b/>
          <w:color w:val="000000" w:themeColor="text1"/>
        </w:rPr>
      </w:pPr>
      <w:r w:rsidRPr="002A13E4">
        <w:rPr>
          <w:b/>
          <w:color w:val="000000" w:themeColor="text1"/>
        </w:rPr>
        <w:lastRenderedPageBreak/>
        <w:t xml:space="preserve">Figure 1 </w:t>
      </w:r>
    </w:p>
    <w:p w14:paraId="64298C30" w14:textId="32969C63" w:rsidR="00DB7FAE" w:rsidRPr="002A13E4" w:rsidRDefault="00F147F7" w:rsidP="00BC0658">
      <w:pPr>
        <w:spacing w:line="480" w:lineRule="auto"/>
        <w:rPr>
          <w:i/>
          <w:color w:val="000000" w:themeColor="text1"/>
        </w:rPr>
      </w:pPr>
      <w:r w:rsidRPr="002A13E4">
        <w:rPr>
          <w:i/>
          <w:color w:val="000000" w:themeColor="text1"/>
        </w:rPr>
        <w:t>Attribution Model of Trust Repair from Tomlinson &amp; Myer (2009)</w:t>
      </w:r>
    </w:p>
    <w:p w14:paraId="28F3EFF8" w14:textId="77777777" w:rsidR="00DB7FAE" w:rsidRPr="002A13E4" w:rsidRDefault="00F147F7">
      <w:pPr>
        <w:spacing w:line="480" w:lineRule="auto"/>
        <w:rPr>
          <w:color w:val="000000" w:themeColor="text1"/>
        </w:rPr>
      </w:pPr>
      <w:r w:rsidRPr="002A13E4">
        <w:rPr>
          <w:noProof/>
          <w:color w:val="000000" w:themeColor="text1"/>
        </w:rPr>
        <w:drawing>
          <wp:inline distT="0" distB="0" distL="0" distR="0" wp14:anchorId="3FB8707E" wp14:editId="21C0597C">
            <wp:extent cx="5883322" cy="3475070"/>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l="36124" t="31505" r="9633" b="11536"/>
                    <a:stretch>
                      <a:fillRect/>
                    </a:stretch>
                  </pic:blipFill>
                  <pic:spPr>
                    <a:xfrm>
                      <a:off x="0" y="0"/>
                      <a:ext cx="5883322" cy="3475070"/>
                    </a:xfrm>
                    <a:prstGeom prst="rect">
                      <a:avLst/>
                    </a:prstGeom>
                    <a:ln/>
                  </pic:spPr>
                </pic:pic>
              </a:graphicData>
            </a:graphic>
          </wp:inline>
        </w:drawing>
      </w:r>
    </w:p>
    <w:p w14:paraId="3149D177" w14:textId="289C3CBD" w:rsidR="00DB7FAE" w:rsidRPr="002A13E4" w:rsidRDefault="00F147F7">
      <w:pPr>
        <w:spacing w:line="480" w:lineRule="auto"/>
        <w:ind w:firstLine="720"/>
        <w:rPr>
          <w:color w:val="000000" w:themeColor="text1"/>
        </w:rPr>
      </w:pPr>
      <w:r w:rsidRPr="002A13E4">
        <w:rPr>
          <w:color w:val="000000" w:themeColor="text1"/>
        </w:rPr>
        <w:t xml:space="preserve">Finally, denial and apology can both contribute to effective trust repair by predisposing trustors to make more benevolent attributions from the lens of attribution theory. Based on previous findings, Tomlinson and </w:t>
      </w:r>
      <w:proofErr w:type="spellStart"/>
      <w:r w:rsidRPr="002A13E4">
        <w:rPr>
          <w:color w:val="000000" w:themeColor="text1"/>
        </w:rPr>
        <w:t>Mryer</w:t>
      </w:r>
      <w:proofErr w:type="spellEnd"/>
      <w:r w:rsidRPr="002A13E4">
        <w:rPr>
          <w:color w:val="000000" w:themeColor="text1"/>
        </w:rPr>
        <w:t xml:space="preserve"> (2009) proposed that damaged perceptions of competence can be repaired with attributions to external factors as well as unstable and/or uncontrollable forms of abilities, while integrity-based violations can benefit from external or unstable internal causes. Denial (e.g., “It was not my fault”) asserts external attributions (Baker et al., 2018</w:t>
      </w:r>
      <w:r w:rsidR="003A26FA" w:rsidRPr="002A13E4">
        <w:rPr>
          <w:color w:val="000000" w:themeColor="text1"/>
        </w:rPr>
        <w:t>; Quinn, 2018</w:t>
      </w:r>
      <w:r w:rsidRPr="002A13E4">
        <w:rPr>
          <w:color w:val="000000" w:themeColor="text1"/>
        </w:rPr>
        <w:t xml:space="preserve">) while apology, defined by Kim et al. (2004), typically weakens stability attributions by portraying unstable statuses of aptitude (e.g., “I promise to do better in the future”), although provoking internal attributions by accepting the responsibilities (e.g., “Sorry, it was my fault”). </w:t>
      </w:r>
    </w:p>
    <w:p w14:paraId="77F589EF" w14:textId="77777777" w:rsidR="00DB7FAE" w:rsidRPr="002A13E4" w:rsidRDefault="00F147F7">
      <w:pPr>
        <w:spacing w:line="480" w:lineRule="auto"/>
        <w:ind w:left="720"/>
        <w:rPr>
          <w:color w:val="000000" w:themeColor="text1"/>
        </w:rPr>
      </w:pPr>
      <w:bookmarkStart w:id="15" w:name="bookmark=id.4d34og8" w:colFirst="0" w:colLast="0"/>
      <w:bookmarkStart w:id="16" w:name="bookmark=id.1t3h5sf" w:colFirst="0" w:colLast="0"/>
      <w:bookmarkEnd w:id="15"/>
      <w:bookmarkEnd w:id="16"/>
      <w:r w:rsidRPr="002A13E4">
        <w:rPr>
          <w:b/>
          <w:color w:val="000000" w:themeColor="text1"/>
        </w:rPr>
        <w:lastRenderedPageBreak/>
        <w:t>H3.</w:t>
      </w:r>
      <w:r w:rsidRPr="002A13E4">
        <w:rPr>
          <w:color w:val="000000" w:themeColor="text1"/>
        </w:rPr>
        <w:t xml:space="preserve"> After failure occurrence, more (a) unstable and (b) uncontrollable attributions will be made when the robot repairs trust with either internal- or external-attribution apology than when it takes no action, regardless of failure types.</w:t>
      </w:r>
    </w:p>
    <w:p w14:paraId="21B98F83" w14:textId="77777777" w:rsidR="00DB7FAE" w:rsidRPr="002A13E4" w:rsidRDefault="00F147F7">
      <w:pPr>
        <w:spacing w:line="480" w:lineRule="auto"/>
        <w:ind w:left="720"/>
        <w:rPr>
          <w:color w:val="000000" w:themeColor="text1"/>
        </w:rPr>
      </w:pPr>
      <w:r w:rsidRPr="002A13E4">
        <w:rPr>
          <w:b/>
          <w:color w:val="000000" w:themeColor="text1"/>
        </w:rPr>
        <w:t>H4.</w:t>
      </w:r>
      <w:r w:rsidRPr="002A13E4">
        <w:rPr>
          <w:color w:val="000000" w:themeColor="text1"/>
        </w:rPr>
        <w:t xml:space="preserve"> After failure occurrence, more external attributions will be made when the robot repairs trust with denial than when it takes no action, regardless of failure types. </w:t>
      </w:r>
    </w:p>
    <w:p w14:paraId="66C34777" w14:textId="77777777" w:rsidR="00DB7FAE" w:rsidRPr="002A13E4" w:rsidRDefault="00F147F7">
      <w:pPr>
        <w:pStyle w:val="Heading2"/>
        <w:spacing w:before="0" w:line="480" w:lineRule="auto"/>
        <w:rPr>
          <w:color w:val="000000" w:themeColor="text1"/>
        </w:rPr>
      </w:pPr>
      <w:bookmarkStart w:id="17" w:name="_Toc73716028"/>
      <w:r w:rsidRPr="002A13E4">
        <w:rPr>
          <w:color w:val="000000" w:themeColor="text1"/>
        </w:rPr>
        <w:t>Apology with Internal and External Attributions</w:t>
      </w:r>
      <w:bookmarkEnd w:id="17"/>
    </w:p>
    <w:p w14:paraId="6C9986E1" w14:textId="2F60ABD8" w:rsidR="00DB7FAE" w:rsidRPr="002A13E4" w:rsidRDefault="00F147F7">
      <w:pPr>
        <w:spacing w:line="480" w:lineRule="auto"/>
        <w:ind w:firstLine="720"/>
        <w:rPr>
          <w:color w:val="000000" w:themeColor="text1"/>
        </w:rPr>
      </w:pPr>
      <w:r w:rsidRPr="002A13E4">
        <w:rPr>
          <w:color w:val="000000" w:themeColor="text1"/>
        </w:rPr>
        <w:t>Beyond the basic division between apology and denial, Tomlinson et al. (2004) and Kim et al. (2006) discussed additional variations of apology. After accepting the responsibility for violations, trustees have two possible ways of framing locus of causes: they can either make external attributions (</w:t>
      </w:r>
      <w:r w:rsidR="000172C8" w:rsidRPr="002A13E4">
        <w:rPr>
          <w:color w:val="000000" w:themeColor="text1"/>
        </w:rPr>
        <w:t>e.g.</w:t>
      </w:r>
      <w:r w:rsidRPr="002A13E4">
        <w:rPr>
          <w:color w:val="000000" w:themeColor="text1"/>
        </w:rPr>
        <w:t>, “Sorry, the question was phrased too ambiguously”) or internal attributions (</w:t>
      </w:r>
      <w:r w:rsidR="000172C8" w:rsidRPr="002A13E4">
        <w:rPr>
          <w:color w:val="000000" w:themeColor="text1"/>
        </w:rPr>
        <w:t xml:space="preserve">e.g., </w:t>
      </w:r>
      <w:r w:rsidRPr="002A13E4">
        <w:rPr>
          <w:color w:val="000000" w:themeColor="text1"/>
        </w:rPr>
        <w:t>“Sorry, I was too timid to ask questions”) to explain their failures. While an array of research has marked positive effects of external attributions, some studies highlighted their potential risks. For example, finding excuses can be perceived to be deceptive, self-absorbed, and ineffectual (</w:t>
      </w:r>
      <w:proofErr w:type="spellStart"/>
      <w:r w:rsidRPr="002A13E4">
        <w:rPr>
          <w:color w:val="000000" w:themeColor="text1"/>
        </w:rPr>
        <w:t>Schlenker</w:t>
      </w:r>
      <w:proofErr w:type="spellEnd"/>
      <w:r w:rsidRPr="002A13E4">
        <w:rPr>
          <w:color w:val="000000" w:themeColor="text1"/>
        </w:rPr>
        <w:t xml:space="preserve"> et al., 2001), thus diminishing trustors’ willingness to reconcile (Tomlinson et al., 2004). Since people do not like lying robots (</w:t>
      </w:r>
      <w:proofErr w:type="spellStart"/>
      <w:r w:rsidRPr="002A13E4">
        <w:rPr>
          <w:color w:val="000000" w:themeColor="text1"/>
        </w:rPr>
        <w:t>Wijnen</w:t>
      </w:r>
      <w:proofErr w:type="spellEnd"/>
      <w:r w:rsidRPr="002A13E4">
        <w:rPr>
          <w:color w:val="000000" w:themeColor="text1"/>
        </w:rPr>
        <w:t xml:space="preserve"> et al., 2017), external attributions can be counterproductive when trustors are not convinced of robots’ innocence. Given both studies found apology with internal attributions rehabilitate trust better for competence-based violations, it is also expected to acquire similar findings in the HRI settings:</w:t>
      </w:r>
    </w:p>
    <w:p w14:paraId="58D86018" w14:textId="77777777" w:rsidR="00DB7FAE" w:rsidRPr="002A13E4" w:rsidRDefault="00F147F7">
      <w:pPr>
        <w:spacing w:line="480" w:lineRule="auto"/>
        <w:ind w:left="720"/>
        <w:rPr>
          <w:color w:val="000000" w:themeColor="text1"/>
        </w:rPr>
      </w:pPr>
      <w:r w:rsidRPr="002A13E4">
        <w:rPr>
          <w:b/>
          <w:color w:val="000000" w:themeColor="text1"/>
        </w:rPr>
        <w:t>H5.</w:t>
      </w:r>
      <w:r w:rsidRPr="002A13E4">
        <w:rPr>
          <w:color w:val="000000" w:themeColor="text1"/>
        </w:rPr>
        <w:t xml:space="preserve"> After failure occurrence, participants’ trust in the robot will be repaired more successfully when robots repair trust using apology with internal attribution than with external attributions, regardless of failure types.</w:t>
      </w:r>
    </w:p>
    <w:p w14:paraId="7FEB6A62" w14:textId="77777777" w:rsidR="00DB7FAE" w:rsidRPr="002A13E4" w:rsidRDefault="00F147F7">
      <w:pPr>
        <w:spacing w:line="480" w:lineRule="auto"/>
        <w:ind w:firstLine="720"/>
        <w:rPr>
          <w:color w:val="000000" w:themeColor="text1"/>
        </w:rPr>
      </w:pPr>
      <w:r w:rsidRPr="002A13E4">
        <w:rPr>
          <w:color w:val="000000" w:themeColor="text1"/>
        </w:rPr>
        <w:t xml:space="preserve">Kim et al. (2006) did not compare apology with external attributions with denial. Following Kim et al.’s (2004) argument that positive information outweighs negative </w:t>
      </w:r>
      <w:r w:rsidRPr="002A13E4">
        <w:rPr>
          <w:color w:val="000000" w:themeColor="text1"/>
        </w:rPr>
        <w:lastRenderedPageBreak/>
        <w:t>information in competence-based violations, apology with both external and internal attributions should provide more positivity than denial. Even if an apology with external attributions accepts only partial responsibility for the failures, the conveyed remorse and sincerity in apology with external attributions should still outperform denial as a trust repair method for competence-based violations.</w:t>
      </w:r>
    </w:p>
    <w:p w14:paraId="055D2080" w14:textId="77777777" w:rsidR="00DB7FAE" w:rsidRPr="002A13E4" w:rsidRDefault="00F147F7">
      <w:pPr>
        <w:spacing w:line="480" w:lineRule="auto"/>
        <w:ind w:left="720"/>
        <w:rPr>
          <w:color w:val="000000" w:themeColor="text1"/>
        </w:rPr>
      </w:pPr>
      <w:r w:rsidRPr="002A13E4">
        <w:rPr>
          <w:b/>
          <w:color w:val="000000" w:themeColor="text1"/>
        </w:rPr>
        <w:t>H6.</w:t>
      </w:r>
      <w:r w:rsidRPr="002A13E4">
        <w:rPr>
          <w:color w:val="000000" w:themeColor="text1"/>
        </w:rPr>
        <w:t xml:space="preserve"> After failure occurrence, participants’ trust in the robot will be repaired more successfully when the robot repairs trust using apology with external attribution than using denial, regardless of failure types.</w:t>
      </w:r>
    </w:p>
    <w:p w14:paraId="60B47B61" w14:textId="77777777" w:rsidR="00DB7FAE" w:rsidRPr="002A13E4" w:rsidRDefault="00F147F7">
      <w:pPr>
        <w:spacing w:line="480" w:lineRule="auto"/>
        <w:ind w:firstLine="720"/>
        <w:rPr>
          <w:color w:val="000000" w:themeColor="text1"/>
        </w:rPr>
      </w:pPr>
      <w:r w:rsidRPr="002A13E4">
        <w:rPr>
          <w:color w:val="000000" w:themeColor="text1"/>
        </w:rPr>
        <w:t>No previous study has ever compared denial with no repair. Based on previous research on human-to- human communication, denial is likely to be perceived as repulsive and deceptive under competence-based failures, so the present study hypothesizes it will be more harmful than taking no action.</w:t>
      </w:r>
    </w:p>
    <w:p w14:paraId="06EE30E0" w14:textId="2088636A" w:rsidR="00DB7FAE" w:rsidRPr="002A13E4" w:rsidRDefault="00F147F7">
      <w:pPr>
        <w:spacing w:line="480" w:lineRule="auto"/>
        <w:ind w:left="720"/>
        <w:rPr>
          <w:color w:val="000000" w:themeColor="text1"/>
          <w:u w:val="single"/>
        </w:rPr>
      </w:pPr>
      <w:r w:rsidRPr="002A13E4">
        <w:rPr>
          <w:b/>
          <w:color w:val="000000" w:themeColor="text1"/>
        </w:rPr>
        <w:t>H7.</w:t>
      </w:r>
      <w:r w:rsidRPr="002A13E4">
        <w:rPr>
          <w:color w:val="000000" w:themeColor="text1"/>
        </w:rPr>
        <w:t xml:space="preserve"> After failure occurrence, participants’ trust in the robot will </w:t>
      </w:r>
      <w:r w:rsidR="00D91144" w:rsidRPr="002A13E4">
        <w:rPr>
          <w:rFonts w:eastAsia="Batang"/>
          <w:color w:val="000000" w:themeColor="text1"/>
          <w:lang w:eastAsia="ko-KR"/>
        </w:rPr>
        <w:t xml:space="preserve">be </w:t>
      </w:r>
      <w:r w:rsidRPr="002A13E4">
        <w:rPr>
          <w:color w:val="000000" w:themeColor="text1"/>
        </w:rPr>
        <w:t>higher when the robot takes no action than repairing trust with denial, regardless of failure types.</w:t>
      </w:r>
    </w:p>
    <w:p w14:paraId="7AD5C5C8" w14:textId="77777777" w:rsidR="00DB7FAE" w:rsidRPr="002A13E4" w:rsidRDefault="00F147F7">
      <w:pPr>
        <w:spacing w:line="480" w:lineRule="auto"/>
        <w:ind w:firstLine="720"/>
        <w:rPr>
          <w:color w:val="000000" w:themeColor="text1"/>
        </w:rPr>
      </w:pPr>
      <w:r w:rsidRPr="002A13E4">
        <w:rPr>
          <w:color w:val="000000" w:themeColor="text1"/>
        </w:rPr>
        <w:t>Eventually, the research question concerning possible the interaction effects between failure types and repair methods is generated:</w:t>
      </w:r>
    </w:p>
    <w:p w14:paraId="761183A3" w14:textId="77777777" w:rsidR="00DB7FAE" w:rsidRPr="002A13E4" w:rsidRDefault="00F147F7">
      <w:pPr>
        <w:spacing w:line="480" w:lineRule="auto"/>
        <w:ind w:left="720"/>
        <w:rPr>
          <w:color w:val="000000" w:themeColor="text1"/>
        </w:rPr>
      </w:pPr>
      <w:r w:rsidRPr="002A13E4">
        <w:rPr>
          <w:b/>
          <w:color w:val="000000" w:themeColor="text1"/>
        </w:rPr>
        <w:t>RQ3.</w:t>
      </w:r>
      <w:r w:rsidRPr="002A13E4">
        <w:rPr>
          <w:color w:val="000000" w:themeColor="text1"/>
        </w:rPr>
        <w:t xml:space="preserve"> After failure occurrence, how will failure types and trust repair methods interact with each other concerning participants’ trust in the robot?</w:t>
      </w:r>
    </w:p>
    <w:p w14:paraId="18F3F955" w14:textId="77777777" w:rsidR="00DB7FAE" w:rsidRPr="002A13E4" w:rsidRDefault="00F147F7">
      <w:pPr>
        <w:pStyle w:val="Heading2"/>
        <w:spacing w:before="0" w:line="480" w:lineRule="auto"/>
        <w:rPr>
          <w:color w:val="000000" w:themeColor="text1"/>
        </w:rPr>
      </w:pPr>
      <w:bookmarkStart w:id="18" w:name="_Toc73716029"/>
      <w:r w:rsidRPr="002A13E4">
        <w:rPr>
          <w:color w:val="000000" w:themeColor="text1"/>
        </w:rPr>
        <w:t>Implicit Theories of Moral Responsibility</w:t>
      </w:r>
      <w:bookmarkEnd w:id="18"/>
    </w:p>
    <w:p w14:paraId="62B0E1C2" w14:textId="21D9892B" w:rsidR="00DB7FAE" w:rsidRPr="002A13E4" w:rsidRDefault="00F147F7">
      <w:pPr>
        <w:spacing w:line="480" w:lineRule="auto"/>
        <w:ind w:firstLine="720"/>
        <w:rPr>
          <w:color w:val="000000" w:themeColor="text1"/>
        </w:rPr>
      </w:pPr>
      <w:r w:rsidRPr="002A13E4">
        <w:rPr>
          <w:color w:val="000000" w:themeColor="text1"/>
        </w:rPr>
        <w:t>Apart from the classic attribution theory, there is another important framework that illustrates the effects of people’s beliefs about human attributes on their judgements and reactions in blame attribution (</w:t>
      </w:r>
      <w:r w:rsidR="00982B0A" w:rsidRPr="002A13E4">
        <w:rPr>
          <w:color w:val="000000" w:themeColor="text1"/>
        </w:rPr>
        <w:t xml:space="preserve">Chiu et al., 1997; </w:t>
      </w:r>
      <w:r w:rsidRPr="002A13E4">
        <w:rPr>
          <w:color w:val="000000" w:themeColor="text1"/>
        </w:rPr>
        <w:t>Dweck et al., 1995;</w:t>
      </w:r>
      <w:r w:rsidR="00982B0A">
        <w:rPr>
          <w:color w:val="000000" w:themeColor="text1"/>
        </w:rPr>
        <w:t xml:space="preserve"> </w:t>
      </w:r>
      <w:proofErr w:type="spellStart"/>
      <w:r w:rsidRPr="002A13E4">
        <w:rPr>
          <w:color w:val="000000" w:themeColor="text1"/>
        </w:rPr>
        <w:t>Gervey</w:t>
      </w:r>
      <w:proofErr w:type="spellEnd"/>
      <w:r w:rsidRPr="002A13E4">
        <w:rPr>
          <w:color w:val="000000" w:themeColor="text1"/>
        </w:rPr>
        <w:t xml:space="preserve"> et al., 1999), implicit theories of moral responsibility. The theories posit people tend to explain actions with </w:t>
      </w:r>
      <w:r w:rsidRPr="002A13E4">
        <w:rPr>
          <w:color w:val="000000" w:themeColor="text1"/>
        </w:rPr>
        <w:lastRenderedPageBreak/>
        <w:t>fixed traits if they believe personal traits are nonmalleable (entity theory), while they are inclined decipher causes in terms of situational factors if they hold the opinion that human attributes are dynamic malleable (incremental theory) (</w:t>
      </w:r>
      <w:r w:rsidR="00982B0A" w:rsidRPr="002A13E4">
        <w:rPr>
          <w:color w:val="000000" w:themeColor="text1"/>
        </w:rPr>
        <w:t xml:space="preserve">Chiu et al., 1997; </w:t>
      </w:r>
      <w:r w:rsidRPr="002A13E4">
        <w:rPr>
          <w:color w:val="000000" w:themeColor="text1"/>
        </w:rPr>
        <w:t xml:space="preserve">Dweck et al., 1995; </w:t>
      </w:r>
      <w:proofErr w:type="spellStart"/>
      <w:r w:rsidRPr="002A13E4">
        <w:rPr>
          <w:color w:val="000000" w:themeColor="text1"/>
        </w:rPr>
        <w:t>Gervey</w:t>
      </w:r>
      <w:proofErr w:type="spellEnd"/>
      <w:r w:rsidRPr="002A13E4">
        <w:rPr>
          <w:color w:val="000000" w:themeColor="text1"/>
        </w:rPr>
        <w:t xml:space="preserve"> et al., 1999). From the viewpoint of implicit theories, Kam (2009) proposed that </w:t>
      </w:r>
      <w:r w:rsidR="001C19EF" w:rsidRPr="002A13E4">
        <w:rPr>
          <w:color w:val="000000" w:themeColor="text1"/>
        </w:rPr>
        <w:t xml:space="preserve">implicit theory beliefs </w:t>
      </w:r>
      <w:r w:rsidRPr="002A13E4">
        <w:rPr>
          <w:color w:val="000000" w:themeColor="text1"/>
        </w:rPr>
        <w:t xml:space="preserve">actively shape effectiveness of trust repair outcomes. According to Kam (2019), individuals with entity mindsets are more likely to make internal, stable, and controllable attributions, compared with individuals with incremental beliefs; trust violations should have more negative impacts on individuals with entity orientation in contrast to individuals with incremental orientation, whereas trust repairs will be less successful for entity-oriented individuals, with slower trust recovery. Therefore, the present study also incorporated participants’ </w:t>
      </w:r>
      <w:r w:rsidR="001C19EF" w:rsidRPr="002A13E4">
        <w:rPr>
          <w:color w:val="000000" w:themeColor="text1"/>
        </w:rPr>
        <w:t>entity beliefs</w:t>
      </w:r>
      <w:r w:rsidRPr="002A13E4">
        <w:rPr>
          <w:color w:val="000000" w:themeColor="text1"/>
        </w:rPr>
        <w:t xml:space="preserve"> as an essential covariate in HRI trust repairs.</w:t>
      </w:r>
    </w:p>
    <w:p w14:paraId="36D1ABF0" w14:textId="77777777" w:rsidR="00DB7FAE" w:rsidRPr="002A13E4" w:rsidRDefault="00F147F7">
      <w:pPr>
        <w:pStyle w:val="Heading1"/>
        <w:rPr>
          <w:color w:val="000000" w:themeColor="text1"/>
        </w:rPr>
      </w:pPr>
      <w:bookmarkStart w:id="19" w:name="_Toc73716030"/>
      <w:r w:rsidRPr="002A13E4">
        <w:rPr>
          <w:color w:val="000000" w:themeColor="text1"/>
        </w:rPr>
        <w:t>Method</w:t>
      </w:r>
      <w:bookmarkEnd w:id="19"/>
    </w:p>
    <w:p w14:paraId="24BDF593" w14:textId="77777777" w:rsidR="00DB7FAE" w:rsidRPr="00D64CA4" w:rsidRDefault="00F147F7" w:rsidP="00D64CA4">
      <w:pPr>
        <w:pStyle w:val="Heading2"/>
        <w:spacing w:before="0" w:line="480" w:lineRule="auto"/>
        <w:rPr>
          <w:color w:val="000000" w:themeColor="text1"/>
        </w:rPr>
      </w:pPr>
      <w:bookmarkStart w:id="20" w:name="_Toc73716031"/>
      <w:r w:rsidRPr="00D64CA4">
        <w:rPr>
          <w:color w:val="000000" w:themeColor="text1"/>
        </w:rPr>
        <w:t>Participants</w:t>
      </w:r>
      <w:bookmarkEnd w:id="20"/>
    </w:p>
    <w:p w14:paraId="2682C4A6" w14:textId="42A4235C" w:rsidR="00982B0A" w:rsidRDefault="00F147F7">
      <w:pPr>
        <w:spacing w:line="480" w:lineRule="auto"/>
        <w:ind w:firstLine="720"/>
        <w:rPr>
          <w:color w:val="000000" w:themeColor="text1"/>
        </w:rPr>
      </w:pPr>
      <w:r w:rsidRPr="002A13E4">
        <w:rPr>
          <w:color w:val="000000" w:themeColor="text1"/>
        </w:rPr>
        <w:t xml:space="preserve">The current </w:t>
      </w:r>
      <w:r w:rsidR="00D91144" w:rsidRPr="002A13E4">
        <w:rPr>
          <w:color w:val="000000" w:themeColor="text1"/>
        </w:rPr>
        <w:t xml:space="preserve">study’s </w:t>
      </w:r>
      <w:r w:rsidRPr="002A13E4">
        <w:rPr>
          <w:color w:val="000000" w:themeColor="text1"/>
        </w:rPr>
        <w:t xml:space="preserve">sample consisted of </w:t>
      </w:r>
      <w:r w:rsidR="00115F7A" w:rsidRPr="002A13E4">
        <w:rPr>
          <w:color w:val="000000" w:themeColor="text1"/>
        </w:rPr>
        <w:t>330</w:t>
      </w:r>
      <w:r w:rsidRPr="002A13E4">
        <w:rPr>
          <w:color w:val="000000" w:themeColor="text1"/>
        </w:rPr>
        <w:t xml:space="preserve"> undergraduate students enrolled in communication courses at a major </w:t>
      </w:r>
      <w:r w:rsidR="00D91144" w:rsidRPr="002A13E4">
        <w:rPr>
          <w:color w:val="000000" w:themeColor="text1"/>
        </w:rPr>
        <w:t>S</w:t>
      </w:r>
      <w:r w:rsidRPr="002A13E4">
        <w:rPr>
          <w:color w:val="000000" w:themeColor="text1"/>
        </w:rPr>
        <w:t xml:space="preserve">outhwestern U.S. university, with </w:t>
      </w:r>
      <w:r w:rsidR="00115F7A" w:rsidRPr="002A13E4">
        <w:rPr>
          <w:color w:val="000000" w:themeColor="text1"/>
        </w:rPr>
        <w:t>39</w:t>
      </w:r>
      <w:r w:rsidRPr="002A13E4">
        <w:rPr>
          <w:color w:val="000000" w:themeColor="text1"/>
        </w:rPr>
        <w:t xml:space="preserve"> incomplete responses excluded from final analysis. Data collection lasted from February </w:t>
      </w:r>
      <w:r w:rsidR="00115F7A" w:rsidRPr="002A13E4">
        <w:rPr>
          <w:color w:val="000000" w:themeColor="text1"/>
        </w:rPr>
        <w:t>2</w:t>
      </w:r>
      <w:r w:rsidR="000172C8" w:rsidRPr="002A13E4">
        <w:rPr>
          <w:color w:val="000000" w:themeColor="text1"/>
        </w:rPr>
        <w:t>nd</w:t>
      </w:r>
      <w:r w:rsidRPr="002A13E4">
        <w:rPr>
          <w:color w:val="000000" w:themeColor="text1"/>
        </w:rPr>
        <w:t xml:space="preserve">, 2021 to </w:t>
      </w:r>
      <w:r w:rsidR="00202828" w:rsidRPr="002A13E4">
        <w:rPr>
          <w:color w:val="000000" w:themeColor="text1"/>
        </w:rPr>
        <w:t>Ma</w:t>
      </w:r>
      <w:r w:rsidR="00115F7A" w:rsidRPr="002A13E4">
        <w:rPr>
          <w:color w:val="000000" w:themeColor="text1"/>
        </w:rPr>
        <w:t>y 6th</w:t>
      </w:r>
      <w:r w:rsidRPr="002A13E4">
        <w:rPr>
          <w:color w:val="000000" w:themeColor="text1"/>
        </w:rPr>
        <w:t>, 2021, approved by the Institutional Review Board (IRB) of the university. Their age ranged from 18 to 27 (</w:t>
      </w:r>
      <w:r w:rsidRPr="002A13E4">
        <w:rPr>
          <w:i/>
          <w:iCs/>
          <w:color w:val="000000" w:themeColor="text1"/>
        </w:rPr>
        <w:t>M</w:t>
      </w:r>
      <w:r w:rsidRPr="002A13E4">
        <w:rPr>
          <w:color w:val="000000" w:themeColor="text1"/>
        </w:rPr>
        <w:t xml:space="preserve"> = 20.0</w:t>
      </w:r>
      <w:r w:rsidR="00B05DAA" w:rsidRPr="002A13E4">
        <w:rPr>
          <w:color w:val="000000" w:themeColor="text1"/>
        </w:rPr>
        <w:t>7</w:t>
      </w:r>
      <w:r w:rsidRPr="002A13E4">
        <w:rPr>
          <w:color w:val="000000" w:themeColor="text1"/>
        </w:rPr>
        <w:t xml:space="preserve">, </w:t>
      </w:r>
      <w:r w:rsidRPr="002A13E4">
        <w:rPr>
          <w:i/>
          <w:color w:val="000000" w:themeColor="text1"/>
        </w:rPr>
        <w:t>SD</w:t>
      </w:r>
      <w:r w:rsidRPr="002A13E4">
        <w:rPr>
          <w:color w:val="000000" w:themeColor="text1"/>
        </w:rPr>
        <w:t xml:space="preserve"> = 1.</w:t>
      </w:r>
      <w:r w:rsidR="00B05DAA" w:rsidRPr="002A13E4">
        <w:rPr>
          <w:color w:val="000000" w:themeColor="text1"/>
        </w:rPr>
        <w:t>48</w:t>
      </w:r>
      <w:r w:rsidRPr="002A13E4">
        <w:rPr>
          <w:color w:val="000000" w:themeColor="text1"/>
        </w:rPr>
        <w:t xml:space="preserve">), with </w:t>
      </w:r>
      <w:r w:rsidR="00B05DAA" w:rsidRPr="002A13E4">
        <w:rPr>
          <w:color w:val="000000" w:themeColor="text1"/>
        </w:rPr>
        <w:t>190</w:t>
      </w:r>
      <w:r w:rsidRPr="002A13E4">
        <w:rPr>
          <w:color w:val="000000" w:themeColor="text1"/>
        </w:rPr>
        <w:t xml:space="preserve"> being female (</w:t>
      </w:r>
      <w:r w:rsidR="00B05DAA" w:rsidRPr="002A13E4">
        <w:rPr>
          <w:color w:val="000000" w:themeColor="text1"/>
        </w:rPr>
        <w:t>65</w:t>
      </w:r>
      <w:r w:rsidRPr="002A13E4">
        <w:rPr>
          <w:color w:val="000000" w:themeColor="text1"/>
        </w:rPr>
        <w:t>.</w:t>
      </w:r>
      <w:r w:rsidR="00B05DAA" w:rsidRPr="002A13E4">
        <w:rPr>
          <w:color w:val="000000" w:themeColor="text1"/>
        </w:rPr>
        <w:t>29</w:t>
      </w:r>
      <w:r w:rsidRPr="002A13E4">
        <w:rPr>
          <w:color w:val="000000" w:themeColor="text1"/>
        </w:rPr>
        <w:t>%)</w:t>
      </w:r>
      <w:r w:rsidR="00B05DAA" w:rsidRPr="002A13E4">
        <w:rPr>
          <w:color w:val="000000" w:themeColor="text1"/>
        </w:rPr>
        <w:t>, 99</w:t>
      </w:r>
      <w:r w:rsidRPr="002A13E4">
        <w:rPr>
          <w:color w:val="000000" w:themeColor="text1"/>
        </w:rPr>
        <w:t xml:space="preserve"> being male (</w:t>
      </w:r>
      <w:r w:rsidR="00B05DAA" w:rsidRPr="002A13E4">
        <w:rPr>
          <w:color w:val="000000" w:themeColor="text1"/>
        </w:rPr>
        <w:t>34</w:t>
      </w:r>
      <w:r w:rsidRPr="002A13E4">
        <w:rPr>
          <w:color w:val="000000" w:themeColor="text1"/>
        </w:rPr>
        <w:t>.0</w:t>
      </w:r>
      <w:r w:rsidR="00B05DAA" w:rsidRPr="002A13E4">
        <w:rPr>
          <w:color w:val="000000" w:themeColor="text1"/>
        </w:rPr>
        <w:t>2</w:t>
      </w:r>
      <w:r w:rsidRPr="002A13E4">
        <w:rPr>
          <w:color w:val="000000" w:themeColor="text1"/>
        </w:rPr>
        <w:t>%)</w:t>
      </w:r>
      <w:r w:rsidR="00B05DAA" w:rsidRPr="002A13E4">
        <w:rPr>
          <w:color w:val="000000" w:themeColor="text1"/>
        </w:rPr>
        <w:t>, and 2 being other (0.7%)</w:t>
      </w:r>
      <w:r w:rsidRPr="002A13E4">
        <w:rPr>
          <w:color w:val="000000" w:themeColor="text1"/>
        </w:rPr>
        <w:t>. Nationality-wise, most of them were Americans (</w:t>
      </w:r>
      <w:r w:rsidRPr="002A13E4">
        <w:rPr>
          <w:i/>
          <w:color w:val="000000" w:themeColor="text1"/>
        </w:rPr>
        <w:t>n</w:t>
      </w:r>
      <w:r w:rsidRPr="002A13E4">
        <w:rPr>
          <w:color w:val="000000" w:themeColor="text1"/>
        </w:rPr>
        <w:t xml:space="preserve"> = </w:t>
      </w:r>
      <w:r w:rsidR="00B05DAA" w:rsidRPr="002A13E4">
        <w:rPr>
          <w:color w:val="000000" w:themeColor="text1"/>
        </w:rPr>
        <w:t>245</w:t>
      </w:r>
      <w:r w:rsidRPr="002A13E4">
        <w:rPr>
          <w:color w:val="000000" w:themeColor="text1"/>
        </w:rPr>
        <w:t xml:space="preserve">, </w:t>
      </w:r>
      <w:r w:rsidR="00B05DAA" w:rsidRPr="002A13E4">
        <w:rPr>
          <w:color w:val="000000" w:themeColor="text1"/>
        </w:rPr>
        <w:t>84.19</w:t>
      </w:r>
      <w:r w:rsidRPr="002A13E4">
        <w:rPr>
          <w:color w:val="000000" w:themeColor="text1"/>
        </w:rPr>
        <w:t xml:space="preserve">%). For ethnicity, Caucasian/white dominated the sample </w:t>
      </w:r>
      <w:r w:rsidRPr="002A13E4">
        <w:rPr>
          <w:i/>
          <w:iCs/>
          <w:color w:val="000000" w:themeColor="text1"/>
        </w:rPr>
        <w:t>(n</w:t>
      </w:r>
      <w:r w:rsidRPr="002A13E4">
        <w:rPr>
          <w:color w:val="000000" w:themeColor="text1"/>
        </w:rPr>
        <w:t xml:space="preserve"> = </w:t>
      </w:r>
      <w:r w:rsidR="00B05DAA" w:rsidRPr="002A13E4">
        <w:rPr>
          <w:color w:val="000000" w:themeColor="text1"/>
        </w:rPr>
        <w:t>210</w:t>
      </w:r>
      <w:r w:rsidRPr="002A13E4">
        <w:rPr>
          <w:color w:val="000000" w:themeColor="text1"/>
        </w:rPr>
        <w:t>, 7</w:t>
      </w:r>
      <w:r w:rsidR="00B05DAA" w:rsidRPr="002A13E4">
        <w:rPr>
          <w:color w:val="000000" w:themeColor="text1"/>
        </w:rPr>
        <w:t>2.16</w:t>
      </w:r>
      <w:r w:rsidRPr="002A13E4">
        <w:rPr>
          <w:color w:val="000000" w:themeColor="text1"/>
        </w:rPr>
        <w:t>%), followed by Latino/Hispanic (</w:t>
      </w:r>
      <w:r w:rsidRPr="002A13E4">
        <w:rPr>
          <w:i/>
          <w:iCs/>
          <w:color w:val="000000" w:themeColor="text1"/>
        </w:rPr>
        <w:t xml:space="preserve">n </w:t>
      </w:r>
      <w:r w:rsidRPr="002A13E4">
        <w:rPr>
          <w:color w:val="000000" w:themeColor="text1"/>
        </w:rPr>
        <w:t xml:space="preserve">= </w:t>
      </w:r>
      <w:r w:rsidR="00B05DAA" w:rsidRPr="002A13E4">
        <w:rPr>
          <w:color w:val="000000" w:themeColor="text1"/>
        </w:rPr>
        <w:t>22</w:t>
      </w:r>
      <w:r w:rsidRPr="002A13E4">
        <w:rPr>
          <w:color w:val="000000" w:themeColor="text1"/>
        </w:rPr>
        <w:t xml:space="preserve">, </w:t>
      </w:r>
      <w:r w:rsidR="00B05DAA" w:rsidRPr="002A13E4">
        <w:rPr>
          <w:color w:val="000000" w:themeColor="text1"/>
        </w:rPr>
        <w:t>7.56</w:t>
      </w:r>
      <w:r w:rsidRPr="002A13E4">
        <w:rPr>
          <w:color w:val="000000" w:themeColor="text1"/>
        </w:rPr>
        <w:t>%),</w:t>
      </w:r>
      <w:r w:rsidR="00B05DAA" w:rsidRPr="002A13E4">
        <w:rPr>
          <w:color w:val="000000" w:themeColor="text1"/>
        </w:rPr>
        <w:t xml:space="preserve"> mixed ethnicity (</w:t>
      </w:r>
      <w:r w:rsidR="00B05DAA" w:rsidRPr="002A13E4">
        <w:rPr>
          <w:i/>
          <w:iCs/>
          <w:color w:val="000000" w:themeColor="text1"/>
        </w:rPr>
        <w:t xml:space="preserve">n </w:t>
      </w:r>
      <w:r w:rsidR="00B05DAA" w:rsidRPr="002A13E4">
        <w:rPr>
          <w:color w:val="000000" w:themeColor="text1"/>
        </w:rPr>
        <w:t>= 16, 5.50%), Asian (</w:t>
      </w:r>
      <w:r w:rsidR="00B05DAA" w:rsidRPr="002A13E4">
        <w:rPr>
          <w:i/>
          <w:iCs/>
          <w:color w:val="000000" w:themeColor="text1"/>
        </w:rPr>
        <w:t>n</w:t>
      </w:r>
      <w:r w:rsidR="00B05DAA" w:rsidRPr="002A13E4">
        <w:rPr>
          <w:color w:val="000000" w:themeColor="text1"/>
        </w:rPr>
        <w:t xml:space="preserve"> = 15, 5.15%),</w:t>
      </w:r>
      <w:r w:rsidRPr="002A13E4">
        <w:rPr>
          <w:color w:val="000000" w:themeColor="text1"/>
        </w:rPr>
        <w:t xml:space="preserve"> Black or African American (</w:t>
      </w:r>
      <w:r w:rsidRPr="002A13E4">
        <w:rPr>
          <w:i/>
          <w:iCs/>
          <w:color w:val="000000" w:themeColor="text1"/>
        </w:rPr>
        <w:t xml:space="preserve">n </w:t>
      </w:r>
      <w:r w:rsidRPr="002A13E4">
        <w:rPr>
          <w:color w:val="000000" w:themeColor="text1"/>
        </w:rPr>
        <w:t xml:space="preserve">= </w:t>
      </w:r>
      <w:r w:rsidR="00B05DAA" w:rsidRPr="002A13E4">
        <w:rPr>
          <w:color w:val="000000" w:themeColor="text1"/>
        </w:rPr>
        <w:t>14</w:t>
      </w:r>
      <w:r w:rsidRPr="002A13E4">
        <w:rPr>
          <w:color w:val="000000" w:themeColor="text1"/>
        </w:rPr>
        <w:t xml:space="preserve">, </w:t>
      </w:r>
      <w:r w:rsidR="00B05DAA" w:rsidRPr="002A13E4">
        <w:rPr>
          <w:color w:val="000000" w:themeColor="text1"/>
        </w:rPr>
        <w:t>4.81</w:t>
      </w:r>
      <w:r w:rsidRPr="002A13E4">
        <w:rPr>
          <w:color w:val="000000" w:themeColor="text1"/>
        </w:rPr>
        <w:t xml:space="preserve">%), </w:t>
      </w:r>
      <w:r w:rsidR="00D91144" w:rsidRPr="002A13E4">
        <w:rPr>
          <w:color w:val="000000" w:themeColor="text1"/>
        </w:rPr>
        <w:t>N</w:t>
      </w:r>
      <w:r w:rsidRPr="002A13E4">
        <w:rPr>
          <w:color w:val="000000" w:themeColor="text1"/>
        </w:rPr>
        <w:t>ative Indian or Alaska native (n</w:t>
      </w:r>
      <w:r w:rsidRPr="002A13E4">
        <w:rPr>
          <w:i/>
          <w:iCs/>
          <w:color w:val="000000" w:themeColor="text1"/>
        </w:rPr>
        <w:t xml:space="preserve"> </w:t>
      </w:r>
      <w:r w:rsidRPr="002A13E4">
        <w:rPr>
          <w:color w:val="000000" w:themeColor="text1"/>
        </w:rPr>
        <w:t xml:space="preserve">= </w:t>
      </w:r>
      <w:r w:rsidR="00604BE4" w:rsidRPr="002A13E4">
        <w:rPr>
          <w:color w:val="000000" w:themeColor="text1"/>
        </w:rPr>
        <w:t>6</w:t>
      </w:r>
      <w:r w:rsidRPr="002A13E4">
        <w:rPr>
          <w:color w:val="000000" w:themeColor="text1"/>
        </w:rPr>
        <w:t xml:space="preserve">, </w:t>
      </w:r>
      <w:r w:rsidR="00604BE4" w:rsidRPr="002A13E4">
        <w:rPr>
          <w:color w:val="000000" w:themeColor="text1"/>
        </w:rPr>
        <w:t>2</w:t>
      </w:r>
      <w:r w:rsidRPr="002A13E4">
        <w:rPr>
          <w:color w:val="000000" w:themeColor="text1"/>
        </w:rPr>
        <w:t>.</w:t>
      </w:r>
      <w:r w:rsidR="00604BE4" w:rsidRPr="002A13E4">
        <w:rPr>
          <w:color w:val="000000" w:themeColor="text1"/>
        </w:rPr>
        <w:t>06</w:t>
      </w:r>
      <w:r w:rsidRPr="002A13E4">
        <w:rPr>
          <w:color w:val="000000" w:themeColor="text1"/>
        </w:rPr>
        <w:t>%), other (</w:t>
      </w:r>
      <w:r w:rsidRPr="002A13E4">
        <w:rPr>
          <w:i/>
          <w:iCs/>
          <w:color w:val="000000" w:themeColor="text1"/>
        </w:rPr>
        <w:t>n =</w:t>
      </w:r>
      <w:r w:rsidRPr="002A13E4">
        <w:rPr>
          <w:color w:val="000000" w:themeColor="text1"/>
        </w:rPr>
        <w:t xml:space="preserve"> </w:t>
      </w:r>
      <w:r w:rsidR="00604BE4" w:rsidRPr="002A13E4">
        <w:rPr>
          <w:color w:val="000000" w:themeColor="text1"/>
        </w:rPr>
        <w:t>4</w:t>
      </w:r>
      <w:r w:rsidRPr="002A13E4">
        <w:rPr>
          <w:color w:val="000000" w:themeColor="text1"/>
        </w:rPr>
        <w:t>, 1.</w:t>
      </w:r>
      <w:r w:rsidR="00604BE4" w:rsidRPr="002A13E4">
        <w:rPr>
          <w:color w:val="000000" w:themeColor="text1"/>
        </w:rPr>
        <w:t>37</w:t>
      </w:r>
      <w:r w:rsidRPr="002A13E4">
        <w:rPr>
          <w:color w:val="000000" w:themeColor="text1"/>
        </w:rPr>
        <w:t xml:space="preserve">%), and </w:t>
      </w:r>
      <w:r w:rsidR="00D91144" w:rsidRPr="002A13E4">
        <w:rPr>
          <w:color w:val="000000" w:themeColor="text1"/>
        </w:rPr>
        <w:t>N</w:t>
      </w:r>
      <w:r w:rsidRPr="002A13E4">
        <w:rPr>
          <w:color w:val="000000" w:themeColor="text1"/>
        </w:rPr>
        <w:t>ative Hawaiian or Pacific islander (</w:t>
      </w:r>
      <w:r w:rsidRPr="002A13E4">
        <w:rPr>
          <w:i/>
          <w:iCs/>
          <w:color w:val="000000" w:themeColor="text1"/>
        </w:rPr>
        <w:t>n</w:t>
      </w:r>
      <w:r w:rsidRPr="002A13E4">
        <w:rPr>
          <w:color w:val="000000" w:themeColor="text1"/>
        </w:rPr>
        <w:t xml:space="preserve"> = 1, 0.</w:t>
      </w:r>
      <w:r w:rsidR="00604BE4" w:rsidRPr="002A13E4">
        <w:rPr>
          <w:color w:val="000000" w:themeColor="text1"/>
        </w:rPr>
        <w:t>34</w:t>
      </w:r>
      <w:r w:rsidRPr="002A13E4">
        <w:rPr>
          <w:color w:val="000000" w:themeColor="text1"/>
        </w:rPr>
        <w:t>%).</w:t>
      </w:r>
    </w:p>
    <w:p w14:paraId="2DED5612" w14:textId="77777777" w:rsidR="00982B0A" w:rsidRDefault="00982B0A">
      <w:pPr>
        <w:rPr>
          <w:color w:val="000000" w:themeColor="text1"/>
        </w:rPr>
      </w:pPr>
      <w:r>
        <w:rPr>
          <w:color w:val="000000" w:themeColor="text1"/>
        </w:rPr>
        <w:br w:type="page"/>
      </w:r>
    </w:p>
    <w:p w14:paraId="01BEC948" w14:textId="77777777" w:rsidR="00DB7FAE" w:rsidRPr="00D64CA4" w:rsidRDefault="00F147F7" w:rsidP="00D64CA4">
      <w:pPr>
        <w:pStyle w:val="Heading2"/>
        <w:spacing w:before="0" w:line="480" w:lineRule="auto"/>
        <w:rPr>
          <w:color w:val="000000" w:themeColor="text1"/>
        </w:rPr>
      </w:pPr>
      <w:bookmarkStart w:id="21" w:name="_Toc73716032"/>
      <w:r w:rsidRPr="00D64CA4">
        <w:rPr>
          <w:color w:val="000000" w:themeColor="text1"/>
        </w:rPr>
        <w:lastRenderedPageBreak/>
        <w:t>Procedure</w:t>
      </w:r>
      <w:bookmarkEnd w:id="21"/>
    </w:p>
    <w:p w14:paraId="0F3C92BF" w14:textId="6E21B585" w:rsidR="00DB7FAE" w:rsidRPr="002A13E4" w:rsidRDefault="00F147F7">
      <w:pPr>
        <w:spacing w:line="480" w:lineRule="auto"/>
        <w:ind w:firstLine="720"/>
        <w:rPr>
          <w:color w:val="000000" w:themeColor="text1"/>
        </w:rPr>
      </w:pPr>
      <w:r w:rsidRPr="002A13E4">
        <w:rPr>
          <w:color w:val="000000" w:themeColor="text1"/>
        </w:rPr>
        <w:t>The robot used in the present study was a NAO robot developed by SoftBank Robotics</w:t>
      </w:r>
      <w:r w:rsidR="00D91144" w:rsidRPr="002A13E4">
        <w:rPr>
          <w:color w:val="000000" w:themeColor="text1"/>
        </w:rPr>
        <w:t xml:space="preserve"> (2020)</w:t>
      </w:r>
      <w:r w:rsidRPr="002A13E4">
        <w:rPr>
          <w:color w:val="000000" w:themeColor="text1"/>
        </w:rPr>
        <w:t>, which commonly serve</w:t>
      </w:r>
      <w:r w:rsidR="00D91144" w:rsidRPr="002A13E4">
        <w:rPr>
          <w:color w:val="000000" w:themeColor="text1"/>
        </w:rPr>
        <w:t>s</w:t>
      </w:r>
      <w:r w:rsidRPr="002A13E4">
        <w:rPr>
          <w:color w:val="000000" w:themeColor="text1"/>
        </w:rPr>
        <w:t xml:space="preserve"> educational, research, business, and healthcare purposes. It had been previous</w:t>
      </w:r>
      <w:r w:rsidR="00D91144" w:rsidRPr="002A13E4">
        <w:rPr>
          <w:color w:val="000000" w:themeColor="text1"/>
        </w:rPr>
        <w:t>ly</w:t>
      </w:r>
      <w:r w:rsidRPr="002A13E4">
        <w:rPr>
          <w:color w:val="000000" w:themeColor="text1"/>
        </w:rPr>
        <w:t xml:space="preserve"> programmed to perform tasks taking various roles, such as personal/service assistants (e.g., Vega et al., 2019), human/robot team members (e.g., </w:t>
      </w:r>
      <w:proofErr w:type="spellStart"/>
      <w:r w:rsidRPr="002A13E4">
        <w:rPr>
          <w:color w:val="000000" w:themeColor="text1"/>
        </w:rPr>
        <w:t>Sebo</w:t>
      </w:r>
      <w:proofErr w:type="spellEnd"/>
      <w:r w:rsidRPr="002A13E4">
        <w:rPr>
          <w:color w:val="000000" w:themeColor="text1"/>
        </w:rPr>
        <w:t xml:space="preserve"> et al., 2018), healthcare/therapy assistants (e.g., Shamsuddin et al., 2012), social robots (e.g., </w:t>
      </w:r>
      <w:proofErr w:type="spellStart"/>
      <w:r w:rsidRPr="002A13E4">
        <w:rPr>
          <w:color w:val="000000" w:themeColor="text1"/>
        </w:rPr>
        <w:t>Pelikan</w:t>
      </w:r>
      <w:proofErr w:type="spellEnd"/>
      <w:r w:rsidRPr="002A13E4">
        <w:rPr>
          <w:color w:val="000000" w:themeColor="text1"/>
        </w:rPr>
        <w:t xml:space="preserve"> &amp; Broth, 2016), and instructors (e.g., Park et al., 2011). In the present study, NAO was portrayed as a healthcare assistant capable of providing information about patients’ prescriptions.</w:t>
      </w:r>
    </w:p>
    <w:p w14:paraId="336BA377" w14:textId="7A4F9E45" w:rsidR="00A420EF" w:rsidRPr="002A13E4" w:rsidRDefault="00F147F7" w:rsidP="00A420EF">
      <w:pPr>
        <w:spacing w:line="480" w:lineRule="auto"/>
        <w:ind w:firstLine="720"/>
        <w:rPr>
          <w:color w:val="000000" w:themeColor="text1"/>
        </w:rPr>
      </w:pPr>
      <w:r w:rsidRPr="002A13E4">
        <w:rPr>
          <w:color w:val="000000" w:themeColor="text1"/>
        </w:rPr>
        <w:t xml:space="preserve">The study took a between-within subject design under thirteen conditions (3 failure types × 4 repair attempts + 1 control). Participants first </w:t>
      </w:r>
      <w:r w:rsidR="00D91144" w:rsidRPr="002A13E4">
        <w:rPr>
          <w:color w:val="000000" w:themeColor="text1"/>
        </w:rPr>
        <w:t>provided</w:t>
      </w:r>
      <w:r w:rsidRPr="002A13E4">
        <w:rPr>
          <w:color w:val="000000" w:themeColor="text1"/>
        </w:rPr>
        <w:t xml:space="preserve"> their demographic information (i.e., age, sex, nationality, ethnicity) and </w:t>
      </w:r>
      <w:r w:rsidR="00D91144" w:rsidRPr="002A13E4">
        <w:rPr>
          <w:color w:val="000000" w:themeColor="text1"/>
        </w:rPr>
        <w:t>answered questions asking</w:t>
      </w:r>
      <w:r w:rsidRPr="002A13E4">
        <w:rPr>
          <w:color w:val="000000" w:themeColor="text1"/>
        </w:rPr>
        <w:t xml:space="preserve"> their propensity to trust robotics </w:t>
      </w:r>
      <w:r w:rsidR="00185500" w:rsidRPr="002A13E4">
        <w:rPr>
          <w:color w:val="000000" w:themeColor="text1"/>
        </w:rPr>
        <w:t xml:space="preserve">(i.e., the general tendency to trust robots) </w:t>
      </w:r>
      <w:r w:rsidRPr="002A13E4">
        <w:rPr>
          <w:color w:val="000000" w:themeColor="text1"/>
        </w:rPr>
        <w:t xml:space="preserve">and </w:t>
      </w:r>
      <w:r w:rsidR="001C19EF" w:rsidRPr="002A13E4">
        <w:rPr>
          <w:color w:val="000000" w:themeColor="text1"/>
        </w:rPr>
        <w:t>entity beliefs</w:t>
      </w:r>
      <w:r w:rsidR="00A420EF" w:rsidRPr="002A13E4">
        <w:rPr>
          <w:color w:val="000000" w:themeColor="text1"/>
        </w:rPr>
        <w:t xml:space="preserve"> (i.e., to which extent </w:t>
      </w:r>
      <w:r w:rsidR="00185500" w:rsidRPr="002A13E4">
        <w:rPr>
          <w:color w:val="000000" w:themeColor="text1"/>
        </w:rPr>
        <w:t>individuals</w:t>
      </w:r>
      <w:r w:rsidR="00A420EF" w:rsidRPr="002A13E4">
        <w:rPr>
          <w:color w:val="000000" w:themeColor="text1"/>
        </w:rPr>
        <w:t xml:space="preserve"> believe personal traits are fixed)</w:t>
      </w:r>
      <w:r w:rsidRPr="002A13E4">
        <w:rPr>
          <w:color w:val="000000" w:themeColor="text1"/>
        </w:rPr>
        <w:t>. Based on their sex, they were thereafter directed to a set of pre-recorded videos with an either male or female interactant voice</w:t>
      </w:r>
      <w:r w:rsidR="00A420EF" w:rsidRPr="002A13E4">
        <w:rPr>
          <w:color w:val="000000" w:themeColor="text1"/>
        </w:rPr>
        <w:t xml:space="preserve">—males were matched with the male interactant voice while females were matched with </w:t>
      </w:r>
      <w:r w:rsidR="00185500" w:rsidRPr="002A13E4">
        <w:rPr>
          <w:color w:val="000000" w:themeColor="text1"/>
        </w:rPr>
        <w:t xml:space="preserve">the </w:t>
      </w:r>
      <w:r w:rsidR="00A420EF" w:rsidRPr="002A13E4">
        <w:rPr>
          <w:color w:val="000000" w:themeColor="text1"/>
        </w:rPr>
        <w:t>female interactant voice</w:t>
      </w:r>
      <w:r w:rsidR="00B166B7" w:rsidRPr="002A13E4">
        <w:rPr>
          <w:color w:val="000000" w:themeColor="text1"/>
        </w:rPr>
        <w:t>; when identified as other gender, participants were randomly assigned to either one of the conditions</w:t>
      </w:r>
      <w:r w:rsidRPr="002A13E4">
        <w:rPr>
          <w:color w:val="000000" w:themeColor="text1"/>
        </w:rPr>
        <w:t xml:space="preserve">. Before viewing these videos </w:t>
      </w:r>
      <w:r w:rsidR="00D91144" w:rsidRPr="002A13E4">
        <w:rPr>
          <w:color w:val="000000" w:themeColor="text1"/>
        </w:rPr>
        <w:t>recorded from</w:t>
      </w:r>
      <w:r w:rsidRPr="002A13E4">
        <w:rPr>
          <w:color w:val="000000" w:themeColor="text1"/>
        </w:rPr>
        <w:t xml:space="preserve"> </w:t>
      </w:r>
      <w:r w:rsidR="00D91144" w:rsidRPr="002A13E4">
        <w:rPr>
          <w:color w:val="000000" w:themeColor="text1"/>
        </w:rPr>
        <w:t>a</w:t>
      </w:r>
      <w:r w:rsidRPr="002A13E4">
        <w:rPr>
          <w:color w:val="000000" w:themeColor="text1"/>
        </w:rPr>
        <w:t xml:space="preserve"> first-person perspective, </w:t>
      </w:r>
      <w:r w:rsidR="00D91144" w:rsidRPr="002A13E4">
        <w:rPr>
          <w:color w:val="000000" w:themeColor="text1"/>
        </w:rPr>
        <w:t>participants</w:t>
      </w:r>
      <w:r w:rsidRPr="002A13E4">
        <w:rPr>
          <w:color w:val="000000" w:themeColor="text1"/>
        </w:rPr>
        <w:t xml:space="preserve"> were presented with some basic information about real-world applications of NAO robots and were asked to imagine that they were actually living through these episodes in provided videos (adapted from Smith &amp; Lazarus, 1993): </w:t>
      </w:r>
      <w:r w:rsidR="00A420EF" w:rsidRPr="002A13E4">
        <w:rPr>
          <w:color w:val="000000" w:themeColor="text1"/>
        </w:rPr>
        <w:t>“Imagine that you were going through this interaction yourself as the person interacting with NAO and answer the following questions”.</w:t>
      </w:r>
    </w:p>
    <w:p w14:paraId="36C9BD91" w14:textId="1EE2A7FA" w:rsidR="00DB7FAE" w:rsidRPr="002A13E4" w:rsidRDefault="00F147F7">
      <w:pPr>
        <w:spacing w:line="480" w:lineRule="auto"/>
        <w:ind w:firstLine="720"/>
        <w:rPr>
          <w:color w:val="000000" w:themeColor="text1"/>
        </w:rPr>
      </w:pPr>
      <w:r w:rsidRPr="002A13E4">
        <w:rPr>
          <w:color w:val="000000" w:themeColor="text1"/>
        </w:rPr>
        <w:t xml:space="preserve">After watching a brief introduction video from a NAO robot that presented itself as a healthcare assistant and engaged in social conversations with the interactant, participants were </w:t>
      </w:r>
      <w:r w:rsidRPr="002A13E4">
        <w:rPr>
          <w:color w:val="000000" w:themeColor="text1"/>
        </w:rPr>
        <w:lastRenderedPageBreak/>
        <w:t xml:space="preserve">randomly assigned to three of the thirteen conditions with randomized orders, so eventually there were </w:t>
      </w:r>
      <w:r w:rsidR="00080A66" w:rsidRPr="002A13E4">
        <w:rPr>
          <w:color w:val="000000" w:themeColor="text1"/>
        </w:rPr>
        <w:t>743</w:t>
      </w:r>
      <w:r w:rsidRPr="002A13E4">
        <w:rPr>
          <w:color w:val="000000" w:themeColor="text1"/>
        </w:rPr>
        <w:t xml:space="preserve"> observations</w:t>
      </w:r>
      <w:r w:rsidR="000172C8" w:rsidRPr="002A13E4">
        <w:rPr>
          <w:color w:val="000000" w:themeColor="text1"/>
        </w:rPr>
        <w:t>, excluding</w:t>
      </w:r>
      <w:r w:rsidR="00080A66" w:rsidRPr="002A13E4">
        <w:rPr>
          <w:color w:val="000000" w:themeColor="text1"/>
        </w:rPr>
        <w:t xml:space="preserve"> the ones failing to pass the attention verifications</w:t>
      </w:r>
      <w:r w:rsidRPr="002A13E4">
        <w:rPr>
          <w:color w:val="000000" w:themeColor="text1"/>
        </w:rPr>
        <w:t>. Even though such observations were not completely independent</w:t>
      </w:r>
      <w:r w:rsidR="00E16526" w:rsidRPr="002A13E4">
        <w:rPr>
          <w:color w:val="000000" w:themeColor="text1"/>
        </w:rPr>
        <w:t xml:space="preserve"> from one another as </w:t>
      </w:r>
      <w:r w:rsidR="00185500" w:rsidRPr="002A13E4">
        <w:rPr>
          <w:color w:val="000000" w:themeColor="text1"/>
        </w:rPr>
        <w:t>each</w:t>
      </w:r>
      <w:r w:rsidR="00E16526" w:rsidRPr="002A13E4">
        <w:rPr>
          <w:color w:val="000000" w:themeColor="text1"/>
        </w:rPr>
        <w:t xml:space="preserve"> p</w:t>
      </w:r>
      <w:r w:rsidR="00185500" w:rsidRPr="002A13E4">
        <w:rPr>
          <w:color w:val="000000" w:themeColor="text1"/>
        </w:rPr>
        <w:t>articipant</w:t>
      </w:r>
      <w:r w:rsidR="00E16526" w:rsidRPr="002A13E4">
        <w:rPr>
          <w:color w:val="000000" w:themeColor="text1"/>
        </w:rPr>
        <w:t xml:space="preserve"> </w:t>
      </w:r>
      <w:r w:rsidR="00185500" w:rsidRPr="002A13E4">
        <w:rPr>
          <w:color w:val="000000" w:themeColor="text1"/>
        </w:rPr>
        <w:t>was assigned to</w:t>
      </w:r>
      <w:r w:rsidR="00E16526" w:rsidRPr="002A13E4">
        <w:rPr>
          <w:color w:val="000000" w:themeColor="text1"/>
        </w:rPr>
        <w:t xml:space="preserve"> three conditions</w:t>
      </w:r>
      <w:r w:rsidRPr="002A13E4">
        <w:rPr>
          <w:color w:val="000000" w:themeColor="text1"/>
        </w:rPr>
        <w:t xml:space="preserve">, the randomization of condition combinations and presentation orders mitigated this violation. Hence, the observations were just partial violations of independent observations, which </w:t>
      </w:r>
      <w:r w:rsidR="00806DFB" w:rsidRPr="002A13E4">
        <w:rPr>
          <w:color w:val="000000" w:themeColor="text1"/>
        </w:rPr>
        <w:t>was</w:t>
      </w:r>
      <w:r w:rsidRPr="002A13E4">
        <w:rPr>
          <w:color w:val="000000" w:themeColor="text1"/>
        </w:rPr>
        <w:t xml:space="preserve"> acceptable because general linear models are robust enough against such issues.</w:t>
      </w:r>
    </w:p>
    <w:p w14:paraId="747A2CA7" w14:textId="1FB6C5DF" w:rsidR="00DB7FAE" w:rsidRPr="002A13E4" w:rsidRDefault="00F147F7">
      <w:pPr>
        <w:spacing w:line="480" w:lineRule="auto"/>
        <w:ind w:firstLine="720"/>
        <w:rPr>
          <w:color w:val="000000" w:themeColor="text1"/>
        </w:rPr>
      </w:pPr>
      <w:r w:rsidRPr="002A13E4">
        <w:rPr>
          <w:color w:val="000000" w:themeColor="text1"/>
        </w:rPr>
        <w:t xml:space="preserve">In the control condition, participants were instructed to report their trust, perceived competence, and integrity </w:t>
      </w:r>
      <w:r w:rsidR="001B2AD9" w:rsidRPr="002A13E4">
        <w:rPr>
          <w:color w:val="000000" w:themeColor="text1"/>
        </w:rPr>
        <w:t>of</w:t>
      </w:r>
      <w:r w:rsidRPr="002A13E4">
        <w:rPr>
          <w:color w:val="000000" w:themeColor="text1"/>
        </w:rPr>
        <w:t xml:space="preserve"> the robot after viewing an interaction episode in which the NAO robot answered the interactant’s questions concerning a given prescription perfectly. In each </w:t>
      </w:r>
      <w:r w:rsidR="001B2AD9" w:rsidRPr="002A13E4">
        <w:rPr>
          <w:color w:val="000000" w:themeColor="text1"/>
        </w:rPr>
        <w:t>experimental condition</w:t>
      </w:r>
      <w:r w:rsidRPr="002A13E4">
        <w:rPr>
          <w:color w:val="000000" w:themeColor="text1"/>
        </w:rPr>
        <w:t xml:space="preserve"> video, NAO demonstrated one of the three types of performance failures (</w:t>
      </w:r>
      <w:r w:rsidR="00185500" w:rsidRPr="002A13E4">
        <w:rPr>
          <w:color w:val="000000" w:themeColor="text1"/>
        </w:rPr>
        <w:t>i.e.,</w:t>
      </w:r>
      <w:r w:rsidRPr="002A13E4">
        <w:rPr>
          <w:color w:val="000000" w:themeColor="text1"/>
        </w:rPr>
        <w:t xml:space="preserve"> logic, semantic, </w:t>
      </w:r>
      <w:r w:rsidR="00185500" w:rsidRPr="002A13E4">
        <w:rPr>
          <w:color w:val="000000" w:themeColor="text1"/>
        </w:rPr>
        <w:t xml:space="preserve">and </w:t>
      </w:r>
      <w:r w:rsidRPr="002A13E4">
        <w:rPr>
          <w:color w:val="000000" w:themeColor="text1"/>
        </w:rPr>
        <w:t>syntax) and either made no repair attempts or repaired trust with one of the three strategies (i.e., internal-attribution apology, external-attribution apology,</w:t>
      </w:r>
      <w:r w:rsidR="00185500" w:rsidRPr="002A13E4">
        <w:rPr>
          <w:color w:val="000000" w:themeColor="text1"/>
        </w:rPr>
        <w:t xml:space="preserve"> and</w:t>
      </w:r>
      <w:r w:rsidRPr="002A13E4">
        <w:rPr>
          <w:color w:val="000000" w:themeColor="text1"/>
        </w:rPr>
        <w:t xml:space="preserve"> denial). And after they finish</w:t>
      </w:r>
      <w:r w:rsidR="001B2AD9" w:rsidRPr="002A13E4">
        <w:rPr>
          <w:color w:val="000000" w:themeColor="text1"/>
        </w:rPr>
        <w:t>ed</w:t>
      </w:r>
      <w:r w:rsidRPr="002A13E4">
        <w:rPr>
          <w:color w:val="000000" w:themeColor="text1"/>
        </w:rPr>
        <w:t xml:space="preserve"> watching each video, a</w:t>
      </w:r>
      <w:r w:rsidR="00185500" w:rsidRPr="002A13E4">
        <w:rPr>
          <w:color w:val="000000" w:themeColor="text1"/>
        </w:rPr>
        <w:t>n attention</w:t>
      </w:r>
      <w:r w:rsidRPr="002A13E4">
        <w:rPr>
          <w:color w:val="000000" w:themeColor="text1"/>
        </w:rPr>
        <w:t xml:space="preserve"> check was implemented to examine whether participants noticed those performance failures with one close</w:t>
      </w:r>
      <w:r w:rsidR="001B2AD9" w:rsidRPr="002A13E4">
        <w:rPr>
          <w:color w:val="000000" w:themeColor="text1"/>
        </w:rPr>
        <w:t>d</w:t>
      </w:r>
      <w:r w:rsidRPr="002A13E4">
        <w:rPr>
          <w:color w:val="000000" w:themeColor="text1"/>
        </w:rPr>
        <w:t xml:space="preserve">-ended question (i.e., “Recall the interaction you just saw. Did the NAO robot </w:t>
      </w:r>
      <w:proofErr w:type="gramStart"/>
      <w:r w:rsidRPr="002A13E4">
        <w:rPr>
          <w:color w:val="000000" w:themeColor="text1"/>
        </w:rPr>
        <w:t>make</w:t>
      </w:r>
      <w:proofErr w:type="gramEnd"/>
      <w:r w:rsidRPr="002A13E4">
        <w:rPr>
          <w:color w:val="000000" w:themeColor="text1"/>
        </w:rPr>
        <w:t xml:space="preserve"> any mistake(s)?”) and one open-ended question (i.e., “Recall the interaction you just saw. Please briefly describe what kind of mistake(s) the NAO robot made, if any; if the robot did not make any mistake(s), please answer with ‘NA.’”). Repeated measures followed every video to capture participants’ </w:t>
      </w:r>
      <w:r w:rsidR="00185500" w:rsidRPr="002A13E4">
        <w:rPr>
          <w:color w:val="000000" w:themeColor="text1"/>
        </w:rPr>
        <w:t xml:space="preserve">perceived competence and integrity, </w:t>
      </w:r>
      <w:r w:rsidRPr="002A13E4">
        <w:rPr>
          <w:color w:val="000000" w:themeColor="text1"/>
        </w:rPr>
        <w:t xml:space="preserve">trust in the robot, severity of </w:t>
      </w:r>
      <w:r w:rsidR="00185500" w:rsidRPr="002A13E4">
        <w:rPr>
          <w:color w:val="000000" w:themeColor="text1"/>
        </w:rPr>
        <w:t>trust violations</w:t>
      </w:r>
      <w:r w:rsidRPr="002A13E4">
        <w:rPr>
          <w:color w:val="000000" w:themeColor="text1"/>
        </w:rPr>
        <w:t xml:space="preserve">, and causal attributions. </w:t>
      </w:r>
      <w:r w:rsidR="00B74A74" w:rsidRPr="002A13E4">
        <w:rPr>
          <w:color w:val="000000" w:themeColor="text1"/>
        </w:rPr>
        <w:t>Another attention check (i.e., “This is an attention verification question. Please answer with…to the question”) was embedded amongst the measures for each condition.</w:t>
      </w:r>
    </w:p>
    <w:p w14:paraId="0E0FFFBA" w14:textId="77777777" w:rsidR="00DB7FAE" w:rsidRPr="002A13E4" w:rsidRDefault="00F147F7" w:rsidP="00D64CA4">
      <w:pPr>
        <w:pStyle w:val="Heading2"/>
        <w:spacing w:before="0" w:line="480" w:lineRule="auto"/>
        <w:rPr>
          <w:b w:val="0"/>
          <w:color w:val="000000" w:themeColor="text1"/>
        </w:rPr>
      </w:pPr>
      <w:bookmarkStart w:id="22" w:name="_Toc73716033"/>
      <w:r w:rsidRPr="00D64CA4">
        <w:rPr>
          <w:color w:val="000000" w:themeColor="text1"/>
        </w:rPr>
        <w:lastRenderedPageBreak/>
        <w:t>Measures</w:t>
      </w:r>
      <w:bookmarkEnd w:id="22"/>
    </w:p>
    <w:p w14:paraId="16D23C31" w14:textId="77777777" w:rsidR="00DB7FAE" w:rsidRPr="002A13E4" w:rsidRDefault="00F147F7">
      <w:pPr>
        <w:spacing w:line="480" w:lineRule="auto"/>
        <w:rPr>
          <w:i/>
          <w:color w:val="000000" w:themeColor="text1"/>
        </w:rPr>
      </w:pPr>
      <w:r w:rsidRPr="002A13E4">
        <w:rPr>
          <w:b/>
          <w:i/>
          <w:color w:val="000000" w:themeColor="text1"/>
        </w:rPr>
        <w:t>Propensity to Trust</w:t>
      </w:r>
      <w:r w:rsidRPr="002A13E4">
        <w:rPr>
          <w:i/>
          <w:color w:val="000000" w:themeColor="text1"/>
        </w:rPr>
        <w:t xml:space="preserve"> </w:t>
      </w:r>
    </w:p>
    <w:p w14:paraId="1A5BF16E" w14:textId="69129E3A" w:rsidR="00DB7FAE" w:rsidRPr="002A13E4" w:rsidRDefault="00F147F7">
      <w:pPr>
        <w:spacing w:line="480" w:lineRule="auto"/>
        <w:ind w:firstLine="720"/>
        <w:rPr>
          <w:color w:val="000000" w:themeColor="text1"/>
        </w:rPr>
      </w:pPr>
      <w:r w:rsidRPr="002A13E4">
        <w:rPr>
          <w:color w:val="000000" w:themeColor="text1"/>
        </w:rPr>
        <w:t>Conceptualized as individuals’ stable traits, general disposition to trust robots is associated with us</w:t>
      </w:r>
      <w:r w:rsidR="001B2AD9" w:rsidRPr="002A13E4">
        <w:rPr>
          <w:color w:val="000000" w:themeColor="text1"/>
        </w:rPr>
        <w:t>age</w:t>
      </w:r>
      <w:r w:rsidRPr="002A13E4">
        <w:rPr>
          <w:color w:val="000000" w:themeColor="text1"/>
        </w:rPr>
        <w:t xml:space="preserve"> beliefs and intents (Merritt &amp; </w:t>
      </w:r>
      <w:proofErr w:type="spellStart"/>
      <w:r w:rsidRPr="002A13E4">
        <w:rPr>
          <w:color w:val="000000" w:themeColor="text1"/>
        </w:rPr>
        <w:t>Ilgen</w:t>
      </w:r>
      <w:proofErr w:type="spellEnd"/>
      <w:r w:rsidRPr="002A13E4">
        <w:rPr>
          <w:color w:val="000000" w:themeColor="text1"/>
        </w:rPr>
        <w:t>, 2008). Participants’ propensity to trust was measured with six 5-point Likert</w:t>
      </w:r>
      <w:r w:rsidR="001B2AD9" w:rsidRPr="002A13E4">
        <w:rPr>
          <w:color w:val="000000" w:themeColor="text1"/>
        </w:rPr>
        <w:t xml:space="preserve">-type scale </w:t>
      </w:r>
      <w:r w:rsidRPr="002A13E4">
        <w:rPr>
          <w:color w:val="000000" w:themeColor="text1"/>
        </w:rPr>
        <w:t xml:space="preserve">items (1 = </w:t>
      </w:r>
      <w:r w:rsidRPr="002A13E4">
        <w:rPr>
          <w:i/>
          <w:color w:val="000000" w:themeColor="text1"/>
        </w:rPr>
        <w:t>Strongly agree</w:t>
      </w:r>
      <w:r w:rsidRPr="002A13E4">
        <w:rPr>
          <w:color w:val="000000" w:themeColor="text1"/>
        </w:rPr>
        <w:t xml:space="preserve">, </w:t>
      </w:r>
      <w:r w:rsidR="001B2AD9" w:rsidRPr="002A13E4">
        <w:rPr>
          <w:color w:val="000000" w:themeColor="text1"/>
        </w:rPr>
        <w:t>5</w:t>
      </w:r>
      <w:r w:rsidRPr="002A13E4">
        <w:rPr>
          <w:color w:val="000000" w:themeColor="text1"/>
        </w:rPr>
        <w:t xml:space="preserve"> = </w:t>
      </w:r>
      <w:r w:rsidRPr="002A13E4">
        <w:rPr>
          <w:i/>
          <w:color w:val="000000" w:themeColor="text1"/>
        </w:rPr>
        <w:t>Strongly disagree</w:t>
      </w:r>
      <w:r w:rsidRPr="002A13E4">
        <w:rPr>
          <w:color w:val="000000" w:themeColor="text1"/>
        </w:rPr>
        <w:t xml:space="preserve">) adapted </w:t>
      </w:r>
      <w:r w:rsidR="001B2AD9" w:rsidRPr="002A13E4">
        <w:rPr>
          <w:color w:val="000000" w:themeColor="text1"/>
        </w:rPr>
        <w:t xml:space="preserve">from </w:t>
      </w:r>
      <w:r w:rsidRPr="002A13E4">
        <w:rPr>
          <w:color w:val="000000" w:themeColor="text1"/>
        </w:rPr>
        <w:t>the Propensity to Trust Technology Scale developed by Jessup et al. (2019) for the present research context. The sample items included “generally, I trust robots”, “I think it’s a good idea to rely on robots for help”, and “I don’t trust the information I get from robots” (R</w:t>
      </w:r>
      <w:r w:rsidR="001B2AD9" w:rsidRPr="002A13E4">
        <w:rPr>
          <w:color w:val="000000" w:themeColor="text1"/>
        </w:rPr>
        <w:t>everse coded</w:t>
      </w:r>
      <w:r w:rsidRPr="002A13E4">
        <w:rPr>
          <w:color w:val="000000" w:themeColor="text1"/>
        </w:rPr>
        <w:t xml:space="preserve">). The scale has been previously adapted for human-to-automation trust and reached good </w:t>
      </w:r>
      <w:r w:rsidR="001B2AD9" w:rsidRPr="002A13E4">
        <w:rPr>
          <w:color w:val="000000" w:themeColor="text1"/>
        </w:rPr>
        <w:t xml:space="preserve">internal </w:t>
      </w:r>
      <w:r w:rsidRPr="002A13E4">
        <w:rPr>
          <w:color w:val="000000" w:themeColor="text1"/>
        </w:rPr>
        <w:t xml:space="preserve">reliability, Cronbach’s </w:t>
      </w:r>
      <w:r w:rsidR="003C0284" w:rsidRPr="002A13E4">
        <w:rPr>
          <w:rFonts w:hint="eastAsia"/>
          <w:color w:val="000000" w:themeColor="text1"/>
        </w:rPr>
        <w:t>α</w:t>
      </w:r>
      <w:r w:rsidRPr="002A13E4">
        <w:rPr>
          <w:color w:val="000000" w:themeColor="text1"/>
        </w:rPr>
        <w:t xml:space="preserve"> = .84 (Jessup et al., 2019).</w:t>
      </w:r>
      <w:r w:rsidR="00C84935" w:rsidRPr="002A13E4">
        <w:rPr>
          <w:color w:val="000000" w:themeColor="text1"/>
        </w:rPr>
        <w:t xml:space="preserve"> In the present study, the scale reliability was </w:t>
      </w:r>
      <w:r w:rsidR="00B166B7" w:rsidRPr="002A13E4">
        <w:rPr>
          <w:color w:val="000000" w:themeColor="text1"/>
        </w:rPr>
        <w:t>acceptable</w:t>
      </w:r>
      <w:r w:rsidR="00C84935" w:rsidRPr="002A13E4">
        <w:rPr>
          <w:color w:val="000000" w:themeColor="text1"/>
        </w:rPr>
        <w:t xml:space="preserve">, Cronbach’s </w:t>
      </w:r>
      <w:r w:rsidR="003C0284" w:rsidRPr="002A13E4">
        <w:rPr>
          <w:rFonts w:hint="eastAsia"/>
          <w:color w:val="000000" w:themeColor="text1"/>
        </w:rPr>
        <w:t>α</w:t>
      </w:r>
      <w:r w:rsidR="00C84935" w:rsidRPr="002A13E4">
        <w:rPr>
          <w:color w:val="000000" w:themeColor="text1"/>
        </w:rPr>
        <w:t xml:space="preserve"> = .</w:t>
      </w:r>
      <w:r w:rsidR="00B166B7" w:rsidRPr="002A13E4">
        <w:rPr>
          <w:color w:val="000000" w:themeColor="text1"/>
        </w:rPr>
        <w:t>71</w:t>
      </w:r>
      <w:r w:rsidR="00F40A32" w:rsidRPr="002A13E4">
        <w:rPr>
          <w:color w:val="000000" w:themeColor="text1"/>
        </w:rPr>
        <w:t xml:space="preserve">, and the average score </w:t>
      </w:r>
      <w:r w:rsidR="001C19EF" w:rsidRPr="002A13E4">
        <w:rPr>
          <w:color w:val="000000" w:themeColor="text1"/>
        </w:rPr>
        <w:t xml:space="preserve">of the scale </w:t>
      </w:r>
      <w:r w:rsidR="00F40A32" w:rsidRPr="002A13E4">
        <w:rPr>
          <w:color w:val="000000" w:themeColor="text1"/>
        </w:rPr>
        <w:t>was utilized for further analysis (</w:t>
      </w:r>
      <w:r w:rsidR="00F40A32" w:rsidRPr="002A13E4">
        <w:rPr>
          <w:i/>
          <w:color w:val="000000" w:themeColor="text1"/>
        </w:rPr>
        <w:t xml:space="preserve">M </w:t>
      </w:r>
      <w:r w:rsidR="00F40A32" w:rsidRPr="002A13E4">
        <w:rPr>
          <w:color w:val="000000" w:themeColor="text1"/>
        </w:rPr>
        <w:t>= 3.</w:t>
      </w:r>
      <w:r w:rsidR="00080A66" w:rsidRPr="002A13E4">
        <w:rPr>
          <w:color w:val="000000" w:themeColor="text1"/>
        </w:rPr>
        <w:t>26</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0.</w:t>
      </w:r>
      <w:r w:rsidR="00080A66" w:rsidRPr="002A13E4">
        <w:rPr>
          <w:color w:val="000000" w:themeColor="text1"/>
        </w:rPr>
        <w:t>76</w:t>
      </w:r>
      <w:r w:rsidR="00F40A32" w:rsidRPr="002A13E4">
        <w:rPr>
          <w:color w:val="000000" w:themeColor="text1"/>
        </w:rPr>
        <w:t>).</w:t>
      </w:r>
    </w:p>
    <w:p w14:paraId="5449C354" w14:textId="3091E840" w:rsidR="00DB7FAE" w:rsidRPr="002A13E4" w:rsidRDefault="001C19EF">
      <w:pPr>
        <w:spacing w:line="480" w:lineRule="auto"/>
        <w:rPr>
          <w:i/>
          <w:color w:val="000000" w:themeColor="text1"/>
        </w:rPr>
      </w:pPr>
      <w:r w:rsidRPr="002A13E4">
        <w:rPr>
          <w:b/>
          <w:i/>
          <w:color w:val="000000" w:themeColor="text1"/>
        </w:rPr>
        <w:t>Entity</w:t>
      </w:r>
      <w:r w:rsidR="00F147F7" w:rsidRPr="002A13E4">
        <w:rPr>
          <w:b/>
          <w:i/>
          <w:color w:val="000000" w:themeColor="text1"/>
        </w:rPr>
        <w:t xml:space="preserve"> Beliefs</w:t>
      </w:r>
    </w:p>
    <w:p w14:paraId="2CD75A76" w14:textId="16D4D30C" w:rsidR="00DB7FAE" w:rsidRPr="002A13E4" w:rsidRDefault="00F147F7">
      <w:pPr>
        <w:spacing w:line="480" w:lineRule="auto"/>
        <w:ind w:firstLine="720"/>
        <w:rPr>
          <w:color w:val="000000" w:themeColor="text1"/>
        </w:rPr>
      </w:pPr>
      <w:r w:rsidRPr="002A13E4">
        <w:rPr>
          <w:color w:val="000000" w:themeColor="text1"/>
        </w:rPr>
        <w:t xml:space="preserve">Participants’ </w:t>
      </w:r>
      <w:r w:rsidR="001C19EF" w:rsidRPr="002A13E4">
        <w:rPr>
          <w:color w:val="000000" w:themeColor="text1"/>
        </w:rPr>
        <w:t>entity beliefs</w:t>
      </w:r>
      <w:r w:rsidRPr="002A13E4">
        <w:rPr>
          <w:color w:val="000000" w:themeColor="text1"/>
        </w:rPr>
        <w:t xml:space="preserve"> </w:t>
      </w:r>
      <w:r w:rsidR="00F40A32" w:rsidRPr="002A13E4">
        <w:rPr>
          <w:color w:val="000000" w:themeColor="text1"/>
        </w:rPr>
        <w:t xml:space="preserve">(i.e., to which extent individuals believe personal traits are nonmalleable) </w:t>
      </w:r>
      <w:r w:rsidRPr="002A13E4">
        <w:rPr>
          <w:color w:val="000000" w:themeColor="text1"/>
        </w:rPr>
        <w:t>were measured with six 7-point Likert</w:t>
      </w:r>
      <w:r w:rsidR="00297254" w:rsidRPr="002A13E4">
        <w:rPr>
          <w:color w:val="000000" w:themeColor="text1"/>
        </w:rPr>
        <w:t>-type scale</w:t>
      </w:r>
      <w:r w:rsidRPr="002A13E4">
        <w:rPr>
          <w:color w:val="000000" w:themeColor="text1"/>
        </w:rPr>
        <w:t xml:space="preserve"> items (1 = </w:t>
      </w:r>
      <w:r w:rsidRPr="002A13E4">
        <w:rPr>
          <w:i/>
          <w:color w:val="000000" w:themeColor="text1"/>
        </w:rPr>
        <w:t>Strongly disagree</w:t>
      </w:r>
      <w:r w:rsidRPr="002A13E4">
        <w:rPr>
          <w:color w:val="000000" w:themeColor="text1"/>
        </w:rPr>
        <w:t xml:space="preserve">, 7 = </w:t>
      </w:r>
      <w:r w:rsidRPr="002A13E4">
        <w:rPr>
          <w:i/>
          <w:color w:val="000000" w:themeColor="text1"/>
        </w:rPr>
        <w:t>Strongly agree</w:t>
      </w:r>
      <w:r w:rsidRPr="002A13E4">
        <w:rPr>
          <w:color w:val="000000" w:themeColor="text1"/>
        </w:rPr>
        <w:t xml:space="preserve">) developed by Dweck et al. (1995), which originally included nine items measuring three dimensions (i.e., intelligence, morality, </w:t>
      </w:r>
      <w:r w:rsidR="001C19EF" w:rsidRPr="002A13E4">
        <w:rPr>
          <w:color w:val="000000" w:themeColor="text1"/>
        </w:rPr>
        <w:t xml:space="preserve">and </w:t>
      </w:r>
      <w:r w:rsidRPr="002A13E4">
        <w:rPr>
          <w:color w:val="000000" w:themeColor="text1"/>
        </w:rPr>
        <w:t>world). Because the present study focused on competence- and integrity-based violations, only the first two dimensions (e.g., intelligence</w:t>
      </w:r>
      <w:r w:rsidR="001C19EF" w:rsidRPr="002A13E4">
        <w:rPr>
          <w:color w:val="000000" w:themeColor="text1"/>
        </w:rPr>
        <w:t xml:space="preserve"> and</w:t>
      </w:r>
      <w:r w:rsidRPr="002A13E4">
        <w:rPr>
          <w:color w:val="000000" w:themeColor="text1"/>
        </w:rPr>
        <w:t xml:space="preserve"> morality) of the measures were included. Three items assessed participants’ entity beliefs on human intelligence: “A person has a certain amount of intelligence and he/she really can't do much to change it”, “A person’s intelligence is something about him/her that he/she can’t change very much”, and “A person can learn new things, but he/she can't really change his/her basic intelligence”</w:t>
      </w:r>
      <w:r w:rsidR="001C19EF" w:rsidRPr="002A13E4">
        <w:rPr>
          <w:color w:val="000000" w:themeColor="text1"/>
        </w:rPr>
        <w:t>/</w:t>
      </w:r>
      <w:r w:rsidRPr="002A13E4">
        <w:rPr>
          <w:color w:val="000000" w:themeColor="text1"/>
        </w:rPr>
        <w:t xml:space="preserve"> Three items were used to measure entity mindsets on </w:t>
      </w:r>
      <w:r w:rsidRPr="002A13E4">
        <w:rPr>
          <w:color w:val="000000" w:themeColor="text1"/>
        </w:rPr>
        <w:lastRenderedPageBreak/>
        <w:t xml:space="preserve">morality: “A person's moral character is something very basic about them, and it can't be changed much”, “Whether a person is responsible or sincere or not is deeply ingrained in their personality. It cannot be changed very much”, and “There is not much that can be done to change a person's moral traits (e.g., conscientiousness, uprightness and honesty)”. </w:t>
      </w:r>
      <w:r w:rsidR="00D8598C" w:rsidRPr="002A13E4">
        <w:rPr>
          <w:color w:val="000000" w:themeColor="text1"/>
        </w:rPr>
        <w:t>The subscale</w:t>
      </w:r>
      <w:r w:rsidR="001C19EF" w:rsidRPr="002A13E4">
        <w:rPr>
          <w:color w:val="000000" w:themeColor="text1"/>
        </w:rPr>
        <w:t>s</w:t>
      </w:r>
      <w:r w:rsidR="00D8598C" w:rsidRPr="002A13E4">
        <w:rPr>
          <w:color w:val="000000" w:themeColor="text1"/>
        </w:rPr>
        <w:t xml:space="preserve"> measuring intelligence-based (Cronbach’s </w:t>
      </w:r>
      <w:r w:rsidR="00D8598C" w:rsidRPr="002A13E4">
        <w:rPr>
          <w:rFonts w:hint="eastAsia"/>
          <w:color w:val="000000" w:themeColor="text1"/>
        </w:rPr>
        <w:t>α</w:t>
      </w:r>
      <w:r w:rsidR="00D8598C" w:rsidRPr="002A13E4">
        <w:rPr>
          <w:color w:val="000000" w:themeColor="text1"/>
        </w:rPr>
        <w:t xml:space="preserve"> = .8</w:t>
      </w:r>
      <w:r w:rsidR="00B166B7" w:rsidRPr="002A13E4">
        <w:rPr>
          <w:color w:val="000000" w:themeColor="text1"/>
        </w:rPr>
        <w:t>8</w:t>
      </w:r>
      <w:r w:rsidR="00D8598C" w:rsidRPr="002A13E4">
        <w:rPr>
          <w:color w:val="000000" w:themeColor="text1"/>
        </w:rPr>
        <w:t xml:space="preserve">) and morality-based </w:t>
      </w:r>
      <w:r w:rsidR="001C19EF" w:rsidRPr="002A13E4">
        <w:rPr>
          <w:color w:val="000000" w:themeColor="text1"/>
        </w:rPr>
        <w:t>entity beliefs</w:t>
      </w:r>
      <w:r w:rsidR="00A85737" w:rsidRPr="002A13E4">
        <w:rPr>
          <w:color w:val="000000" w:themeColor="text1"/>
        </w:rPr>
        <w:t xml:space="preserve"> (Cronbach’s </w:t>
      </w:r>
      <w:r w:rsidR="00A85737" w:rsidRPr="002A13E4">
        <w:rPr>
          <w:rFonts w:hint="eastAsia"/>
          <w:color w:val="000000" w:themeColor="text1"/>
        </w:rPr>
        <w:t>α</w:t>
      </w:r>
      <w:r w:rsidR="00A85737" w:rsidRPr="002A13E4">
        <w:rPr>
          <w:color w:val="000000" w:themeColor="text1"/>
        </w:rPr>
        <w:t xml:space="preserve"> = .</w:t>
      </w:r>
      <w:r w:rsidR="00B166B7" w:rsidRPr="002A13E4">
        <w:rPr>
          <w:color w:val="000000" w:themeColor="text1"/>
        </w:rPr>
        <w:t>78</w:t>
      </w:r>
      <w:r w:rsidR="00A85737" w:rsidRPr="002A13E4">
        <w:rPr>
          <w:color w:val="000000" w:themeColor="text1"/>
        </w:rPr>
        <w:t xml:space="preserve">) </w:t>
      </w:r>
      <w:r w:rsidR="00C84935" w:rsidRPr="002A13E4">
        <w:rPr>
          <w:color w:val="000000" w:themeColor="text1"/>
        </w:rPr>
        <w:t xml:space="preserve">acquired good </w:t>
      </w:r>
      <w:r w:rsidR="001C19EF" w:rsidRPr="002A13E4">
        <w:rPr>
          <w:color w:val="000000" w:themeColor="text1"/>
        </w:rPr>
        <w:t xml:space="preserve">internal </w:t>
      </w:r>
      <w:r w:rsidR="00C84935" w:rsidRPr="002A13E4">
        <w:rPr>
          <w:color w:val="000000" w:themeColor="text1"/>
        </w:rPr>
        <w:t>reliability.</w:t>
      </w:r>
      <w:r w:rsidR="00D8598C" w:rsidRPr="002A13E4">
        <w:rPr>
          <w:color w:val="000000" w:themeColor="text1"/>
        </w:rPr>
        <w:t xml:space="preserve"> </w:t>
      </w:r>
      <w:r w:rsidR="00D8598C" w:rsidRPr="00BC0658">
        <w:rPr>
          <w:color w:val="000000" w:themeColor="text1"/>
        </w:rPr>
        <w:t>The confirmatory analysis showed th</w:t>
      </w:r>
      <w:r w:rsidR="00185789" w:rsidRPr="00BC0658">
        <w:rPr>
          <w:color w:val="000000" w:themeColor="text1"/>
        </w:rPr>
        <w:t>e</w:t>
      </w:r>
      <w:r w:rsidR="0060479E" w:rsidRPr="00BC0658">
        <w:rPr>
          <w:color w:val="000000" w:themeColor="text1"/>
        </w:rPr>
        <w:t xml:space="preserve"> global goodness of fit indices from the initial</w:t>
      </w:r>
      <w:r w:rsidR="00185789" w:rsidRPr="00BC0658">
        <w:rPr>
          <w:color w:val="000000" w:themeColor="text1"/>
        </w:rPr>
        <w:t xml:space="preserve"> bifactor model </w:t>
      </w:r>
      <w:r w:rsidR="0060479E" w:rsidRPr="00BC0658">
        <w:rPr>
          <w:color w:val="000000" w:themeColor="text1"/>
        </w:rPr>
        <w:t>(</w:t>
      </w:r>
      <w:r w:rsidR="00366B17" w:rsidRPr="00BC0658">
        <w:rPr>
          <w:color w:val="000000" w:themeColor="text1"/>
        </w:rPr>
        <w:t>RMSEA = .</w:t>
      </w:r>
      <w:r w:rsidR="0060479E" w:rsidRPr="00BC0658">
        <w:rPr>
          <w:color w:val="000000" w:themeColor="text1"/>
        </w:rPr>
        <w:t>10</w:t>
      </w:r>
      <w:r w:rsidR="00366B17" w:rsidRPr="00BC0658">
        <w:rPr>
          <w:color w:val="000000" w:themeColor="text1"/>
        </w:rPr>
        <w:t>, CFI = .97</w:t>
      </w:r>
      <w:r w:rsidR="0060479E" w:rsidRPr="00BC0658">
        <w:rPr>
          <w:color w:val="000000" w:themeColor="text1"/>
        </w:rPr>
        <w:t>2</w:t>
      </w:r>
      <w:r w:rsidR="00366B17" w:rsidRPr="00BC0658">
        <w:rPr>
          <w:color w:val="000000" w:themeColor="text1"/>
        </w:rPr>
        <w:t>, SRMR = .04)</w:t>
      </w:r>
      <w:r w:rsidR="00185789" w:rsidRPr="00BC0658">
        <w:rPr>
          <w:color w:val="000000" w:themeColor="text1"/>
        </w:rPr>
        <w:t xml:space="preserve"> </w:t>
      </w:r>
      <w:r w:rsidR="0060479E" w:rsidRPr="00BC0658">
        <w:rPr>
          <w:color w:val="000000" w:themeColor="text1"/>
        </w:rPr>
        <w:t>met</w:t>
      </w:r>
      <w:r w:rsidR="00185789" w:rsidRPr="00BC0658">
        <w:rPr>
          <w:color w:val="000000" w:themeColor="text1"/>
        </w:rPr>
        <w:t xml:space="preserve"> Hu and </w:t>
      </w:r>
      <w:proofErr w:type="spellStart"/>
      <w:r w:rsidR="00185789" w:rsidRPr="00BC0658">
        <w:rPr>
          <w:color w:val="000000" w:themeColor="text1"/>
        </w:rPr>
        <w:t>Bentler’s</w:t>
      </w:r>
      <w:proofErr w:type="spellEnd"/>
      <w:r w:rsidR="00185789" w:rsidRPr="00BC0658">
        <w:rPr>
          <w:color w:val="000000" w:themeColor="text1"/>
        </w:rPr>
        <w:t xml:space="preserve"> criteria (1999)</w:t>
      </w:r>
      <w:r w:rsidR="0060479E" w:rsidRPr="00BC0658">
        <w:rPr>
          <w:color w:val="000000" w:themeColor="text1"/>
        </w:rPr>
        <w:t xml:space="preserve"> except for RMSEA</w:t>
      </w:r>
      <w:r w:rsidR="00185789" w:rsidRPr="00BC0658">
        <w:rPr>
          <w:color w:val="000000" w:themeColor="text1"/>
        </w:rPr>
        <w:t xml:space="preserve">: RMSEA </w:t>
      </w:r>
      <w:r w:rsidR="00366B17" w:rsidRPr="00BC0658">
        <w:rPr>
          <w:rFonts w:hint="eastAsia"/>
          <w:color w:val="000000" w:themeColor="text1"/>
        </w:rPr>
        <w:t>≤</w:t>
      </w:r>
      <w:r w:rsidR="00366B17" w:rsidRPr="00BC0658">
        <w:rPr>
          <w:color w:val="000000" w:themeColor="text1"/>
        </w:rPr>
        <w:t xml:space="preserve"> .06</w:t>
      </w:r>
      <w:r w:rsidR="00185789" w:rsidRPr="00BC0658">
        <w:rPr>
          <w:color w:val="000000" w:themeColor="text1"/>
        </w:rPr>
        <w:t xml:space="preserve">, CFI </w:t>
      </w:r>
      <w:r w:rsidR="00366B17" w:rsidRPr="00BC0658">
        <w:rPr>
          <w:rFonts w:hint="eastAsia"/>
          <w:color w:val="000000" w:themeColor="text1"/>
        </w:rPr>
        <w:t>≥</w:t>
      </w:r>
      <w:r w:rsidR="00366B17" w:rsidRPr="00BC0658">
        <w:rPr>
          <w:color w:val="000000" w:themeColor="text1"/>
        </w:rPr>
        <w:t xml:space="preserve"> .95</w:t>
      </w:r>
      <w:r w:rsidR="00185789" w:rsidRPr="00BC0658">
        <w:rPr>
          <w:color w:val="000000" w:themeColor="text1"/>
        </w:rPr>
        <w:t xml:space="preserve">, SRMR </w:t>
      </w:r>
      <w:r w:rsidR="007736D7" w:rsidRPr="00BC0658">
        <w:rPr>
          <w:rFonts w:hint="eastAsia"/>
          <w:color w:val="000000" w:themeColor="text1"/>
        </w:rPr>
        <w:t>≤</w:t>
      </w:r>
      <w:r w:rsidR="007736D7" w:rsidRPr="00BC0658">
        <w:rPr>
          <w:color w:val="000000" w:themeColor="text1"/>
        </w:rPr>
        <w:t xml:space="preserve"> </w:t>
      </w:r>
      <w:r w:rsidR="00185789" w:rsidRPr="00BC0658">
        <w:rPr>
          <w:color w:val="000000" w:themeColor="text1"/>
        </w:rPr>
        <w:t>.0</w:t>
      </w:r>
      <w:r w:rsidR="00366B17" w:rsidRPr="00BC0658">
        <w:rPr>
          <w:color w:val="000000" w:themeColor="text1"/>
        </w:rPr>
        <w:t>8</w:t>
      </w:r>
      <w:r w:rsidR="00185789" w:rsidRPr="00BC0658">
        <w:rPr>
          <w:color w:val="000000" w:themeColor="text1"/>
        </w:rPr>
        <w:t>.</w:t>
      </w:r>
      <w:r w:rsidR="0060479E" w:rsidRPr="00BC0658">
        <w:rPr>
          <w:color w:val="000000" w:themeColor="text1"/>
        </w:rPr>
        <w:t xml:space="preserve"> After allowing significant error covariances between the items belonging to the same </w:t>
      </w:r>
      <w:r w:rsidR="00080A66" w:rsidRPr="00BC0658">
        <w:rPr>
          <w:color w:val="000000" w:themeColor="text1"/>
        </w:rPr>
        <w:t>dimension, the model fit was improved (RMSEA = .05, CFI = .997, SRMR = .01).</w:t>
      </w:r>
      <w:r w:rsidR="00F40A32" w:rsidRPr="002A13E4">
        <w:rPr>
          <w:color w:val="000000" w:themeColor="text1"/>
        </w:rPr>
        <w:t xml:space="preserve"> </w:t>
      </w:r>
      <w:r w:rsidR="00E43A90" w:rsidRPr="002A13E4">
        <w:rPr>
          <w:color w:val="000000" w:themeColor="text1"/>
        </w:rPr>
        <w:t>Two dimensions were highly correlated (</w:t>
      </w:r>
      <w:r w:rsidR="00E43A90" w:rsidRPr="002A13E4">
        <w:rPr>
          <w:i/>
          <w:iCs/>
          <w:color w:val="000000" w:themeColor="text1"/>
        </w:rPr>
        <w:t>r</w:t>
      </w:r>
      <w:r w:rsidR="00E43A90" w:rsidRPr="002A13E4">
        <w:rPr>
          <w:color w:val="000000" w:themeColor="text1"/>
        </w:rPr>
        <w:t xml:space="preserve"> = .</w:t>
      </w:r>
      <w:r w:rsidR="0060479E" w:rsidRPr="002A13E4">
        <w:rPr>
          <w:color w:val="000000" w:themeColor="text1"/>
        </w:rPr>
        <w:t>72</w:t>
      </w:r>
      <w:r w:rsidR="00E43A90" w:rsidRPr="002A13E4">
        <w:rPr>
          <w:color w:val="000000" w:themeColor="text1"/>
        </w:rPr>
        <w:t xml:space="preserve">, </w:t>
      </w:r>
      <w:r w:rsidR="00E43A90" w:rsidRPr="002A13E4">
        <w:rPr>
          <w:i/>
          <w:iCs/>
          <w:color w:val="000000" w:themeColor="text1"/>
        </w:rPr>
        <w:t>p</w:t>
      </w:r>
      <w:r w:rsidR="00E43A90" w:rsidRPr="002A13E4">
        <w:rPr>
          <w:color w:val="000000" w:themeColor="text1"/>
        </w:rPr>
        <w:t xml:space="preserve"> &lt; .001)</w:t>
      </w:r>
      <w:r w:rsidR="00A85737" w:rsidRPr="002A13E4">
        <w:rPr>
          <w:color w:val="000000" w:themeColor="text1"/>
        </w:rPr>
        <w:t xml:space="preserve">, and </w:t>
      </w:r>
      <w:r w:rsidR="00E43A90" w:rsidRPr="002A13E4">
        <w:rPr>
          <w:color w:val="000000" w:themeColor="text1"/>
        </w:rPr>
        <w:t>t</w:t>
      </w:r>
      <w:r w:rsidR="00F40A32" w:rsidRPr="002A13E4">
        <w:rPr>
          <w:color w:val="000000" w:themeColor="text1"/>
        </w:rPr>
        <w:t>he average score of th</w:t>
      </w:r>
      <w:r w:rsidR="00E43A90" w:rsidRPr="002A13E4">
        <w:rPr>
          <w:color w:val="000000" w:themeColor="text1"/>
        </w:rPr>
        <w:t>e entire</w:t>
      </w:r>
      <w:r w:rsidR="00F40A32" w:rsidRPr="002A13E4">
        <w:rPr>
          <w:color w:val="000000" w:themeColor="text1"/>
        </w:rPr>
        <w:t xml:space="preserve"> scale was utilized for further analysis (</w:t>
      </w:r>
      <w:r w:rsidR="00F40A32" w:rsidRPr="002A13E4">
        <w:rPr>
          <w:i/>
          <w:color w:val="000000" w:themeColor="text1"/>
        </w:rPr>
        <w:t xml:space="preserve">M </w:t>
      </w:r>
      <w:r w:rsidR="00F40A32" w:rsidRPr="002A13E4">
        <w:rPr>
          <w:color w:val="000000" w:themeColor="text1"/>
        </w:rPr>
        <w:t>= 2.9</w:t>
      </w:r>
      <w:r w:rsidR="00080A66" w:rsidRPr="002A13E4">
        <w:rPr>
          <w:color w:val="000000" w:themeColor="text1"/>
        </w:rPr>
        <w:t>3</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1.2</w:t>
      </w:r>
      <w:r w:rsidR="00080A66" w:rsidRPr="002A13E4">
        <w:rPr>
          <w:color w:val="000000" w:themeColor="text1"/>
        </w:rPr>
        <w:t>1</w:t>
      </w:r>
      <w:r w:rsidR="00F40A32" w:rsidRPr="002A13E4">
        <w:rPr>
          <w:color w:val="000000" w:themeColor="text1"/>
        </w:rPr>
        <w:t>).</w:t>
      </w:r>
    </w:p>
    <w:p w14:paraId="5CB63EC0" w14:textId="77777777" w:rsidR="00DB7FAE" w:rsidRPr="002A13E4" w:rsidRDefault="00F147F7">
      <w:pPr>
        <w:spacing w:line="480" w:lineRule="auto"/>
        <w:rPr>
          <w:b/>
          <w:i/>
          <w:iCs/>
          <w:color w:val="000000" w:themeColor="text1"/>
        </w:rPr>
      </w:pPr>
      <w:r w:rsidRPr="002A13E4">
        <w:rPr>
          <w:b/>
          <w:i/>
          <w:iCs/>
          <w:color w:val="000000" w:themeColor="text1"/>
        </w:rPr>
        <w:t>Perceived Competence and Integrity</w:t>
      </w:r>
    </w:p>
    <w:p w14:paraId="56923C71" w14:textId="6A8C8B32" w:rsidR="00DB7FAE" w:rsidRPr="002A13E4" w:rsidRDefault="00F147F7">
      <w:pPr>
        <w:spacing w:line="480" w:lineRule="auto"/>
        <w:ind w:firstLine="720"/>
        <w:rPr>
          <w:color w:val="000000" w:themeColor="text1"/>
        </w:rPr>
      </w:pPr>
      <w:r w:rsidRPr="002A13E4">
        <w:rPr>
          <w:color w:val="000000" w:themeColor="text1"/>
        </w:rPr>
        <w:t xml:space="preserve">Four items were adapted from the six </w:t>
      </w:r>
      <w:r w:rsidR="00B74A74" w:rsidRPr="002A13E4">
        <w:rPr>
          <w:color w:val="000000" w:themeColor="text1"/>
        </w:rPr>
        <w:t>7</w:t>
      </w:r>
      <w:r w:rsidRPr="002A13E4">
        <w:rPr>
          <w:color w:val="000000" w:themeColor="text1"/>
        </w:rPr>
        <w:t xml:space="preserve">-point items (1= </w:t>
      </w:r>
      <w:r w:rsidRPr="002A13E4">
        <w:rPr>
          <w:i/>
          <w:color w:val="000000" w:themeColor="text1"/>
        </w:rPr>
        <w:t>Strongly disagree</w:t>
      </w:r>
      <w:r w:rsidRPr="002A13E4">
        <w:rPr>
          <w:color w:val="000000" w:themeColor="text1"/>
        </w:rPr>
        <w:t xml:space="preserve">, </w:t>
      </w:r>
      <w:r w:rsidR="00B74A74" w:rsidRPr="002A13E4">
        <w:rPr>
          <w:color w:val="000000" w:themeColor="text1"/>
        </w:rPr>
        <w:t>7</w:t>
      </w:r>
      <w:r w:rsidRPr="002A13E4">
        <w:rPr>
          <w:color w:val="000000" w:themeColor="text1"/>
        </w:rPr>
        <w:t xml:space="preserve"> = </w:t>
      </w:r>
      <w:r w:rsidRPr="002A13E4">
        <w:rPr>
          <w:i/>
          <w:color w:val="000000" w:themeColor="text1"/>
        </w:rPr>
        <w:t>Strongly agree</w:t>
      </w:r>
      <w:r w:rsidRPr="002A13E4">
        <w:rPr>
          <w:color w:val="000000" w:themeColor="text1"/>
        </w:rPr>
        <w:t xml:space="preserve">; Cronbach’s </w:t>
      </w:r>
      <w:r w:rsidRPr="002A13E4">
        <w:rPr>
          <w:rFonts w:hint="eastAsia"/>
          <w:color w:val="000000" w:themeColor="text1"/>
        </w:rPr>
        <w:t>α</w:t>
      </w:r>
      <w:r w:rsidRPr="002A13E4">
        <w:rPr>
          <w:color w:val="000000" w:themeColor="text1"/>
        </w:rPr>
        <w:t xml:space="preserve"> = .</w:t>
      </w:r>
      <w:r w:rsidR="00080A66" w:rsidRPr="002A13E4">
        <w:rPr>
          <w:color w:val="000000" w:themeColor="text1"/>
        </w:rPr>
        <w:t>87</w:t>
      </w:r>
      <w:r w:rsidR="00F40A32" w:rsidRPr="002A13E4">
        <w:rPr>
          <w:color w:val="000000" w:themeColor="text1"/>
        </w:rPr>
        <w:t xml:space="preserve">; </w:t>
      </w:r>
      <w:r w:rsidR="00F40A32" w:rsidRPr="002A13E4">
        <w:rPr>
          <w:i/>
          <w:color w:val="000000" w:themeColor="text1"/>
        </w:rPr>
        <w:t xml:space="preserve">M </w:t>
      </w:r>
      <w:r w:rsidR="00F40A32" w:rsidRPr="002A13E4">
        <w:rPr>
          <w:color w:val="000000" w:themeColor="text1"/>
        </w:rPr>
        <w:t>= 4.</w:t>
      </w:r>
      <w:r w:rsidR="00080A66" w:rsidRPr="002A13E4">
        <w:rPr>
          <w:color w:val="000000" w:themeColor="text1"/>
        </w:rPr>
        <w:t>60</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w:t>
      </w:r>
      <w:r w:rsidR="00BE3642" w:rsidRPr="002A13E4">
        <w:rPr>
          <w:color w:val="000000" w:themeColor="text1"/>
        </w:rPr>
        <w:t>1</w:t>
      </w:r>
      <w:r w:rsidR="00080A66" w:rsidRPr="002A13E4">
        <w:rPr>
          <w:color w:val="000000" w:themeColor="text1"/>
        </w:rPr>
        <w:t>.</w:t>
      </w:r>
      <w:r w:rsidR="00BE3642" w:rsidRPr="002A13E4">
        <w:rPr>
          <w:color w:val="000000" w:themeColor="text1"/>
        </w:rPr>
        <w:t>23</w:t>
      </w:r>
      <w:r w:rsidRPr="002A13E4">
        <w:rPr>
          <w:color w:val="000000" w:themeColor="text1"/>
        </w:rPr>
        <w:t xml:space="preserve">) measuring perceived </w:t>
      </w:r>
      <w:r w:rsidR="00395881" w:rsidRPr="002A13E4">
        <w:rPr>
          <w:color w:val="000000" w:themeColor="text1"/>
        </w:rPr>
        <w:t>ability</w:t>
      </w:r>
      <w:r w:rsidRPr="002A13E4">
        <w:rPr>
          <w:color w:val="000000" w:themeColor="text1"/>
        </w:rPr>
        <w:t xml:space="preserve"> developed by Mayer and Davis (1999), three of which were later tailored by Kim et al. (2004) to capture perceived competence in the robot. Since the original items were designed to measure organizational trust, two items inapplicable under the current context were dropped and the wordings were modified to fit the purpose of this study. The sample statements included “The robot is very capable of performing its job” and “The robot is successful at things it tries to do”. In a similar manner, another four </w:t>
      </w:r>
      <w:r w:rsidR="00B74A74" w:rsidRPr="002A13E4">
        <w:rPr>
          <w:color w:val="000000" w:themeColor="text1"/>
        </w:rPr>
        <w:t>7</w:t>
      </w:r>
      <w:r w:rsidRPr="002A13E4">
        <w:rPr>
          <w:color w:val="000000" w:themeColor="text1"/>
        </w:rPr>
        <w:t xml:space="preserve">-point items (1= </w:t>
      </w:r>
      <w:r w:rsidRPr="002A13E4">
        <w:rPr>
          <w:i/>
          <w:color w:val="000000" w:themeColor="text1"/>
        </w:rPr>
        <w:t>Strongly disagree</w:t>
      </w:r>
      <w:r w:rsidRPr="002A13E4">
        <w:rPr>
          <w:color w:val="000000" w:themeColor="text1"/>
        </w:rPr>
        <w:t xml:space="preserve">, </w:t>
      </w:r>
      <w:r w:rsidR="00B74A74" w:rsidRPr="002A13E4">
        <w:rPr>
          <w:color w:val="000000" w:themeColor="text1"/>
        </w:rPr>
        <w:t>7</w:t>
      </w:r>
      <w:r w:rsidRPr="002A13E4">
        <w:rPr>
          <w:color w:val="000000" w:themeColor="text1"/>
        </w:rPr>
        <w:t xml:space="preserve"> = </w:t>
      </w:r>
      <w:r w:rsidRPr="002A13E4">
        <w:rPr>
          <w:i/>
          <w:color w:val="000000" w:themeColor="text1"/>
        </w:rPr>
        <w:t>Strongly agree</w:t>
      </w:r>
      <w:r w:rsidRPr="002A13E4">
        <w:rPr>
          <w:color w:val="000000" w:themeColor="text1"/>
        </w:rPr>
        <w:t xml:space="preserve">; Cronbach’s </w:t>
      </w:r>
      <w:r w:rsidRPr="002A13E4">
        <w:rPr>
          <w:rFonts w:hint="eastAsia"/>
          <w:color w:val="000000" w:themeColor="text1"/>
        </w:rPr>
        <w:t>α</w:t>
      </w:r>
      <w:r w:rsidRPr="002A13E4">
        <w:rPr>
          <w:color w:val="000000" w:themeColor="text1"/>
        </w:rPr>
        <w:t xml:space="preserve"> = .8</w:t>
      </w:r>
      <w:r w:rsidR="00080A66" w:rsidRPr="002A13E4">
        <w:rPr>
          <w:color w:val="000000" w:themeColor="text1"/>
        </w:rPr>
        <w:t>2</w:t>
      </w:r>
      <w:r w:rsidR="00F40A32" w:rsidRPr="002A13E4">
        <w:rPr>
          <w:color w:val="000000" w:themeColor="text1"/>
        </w:rPr>
        <w:t xml:space="preserve">; </w:t>
      </w:r>
      <w:r w:rsidR="00F40A32" w:rsidRPr="002A13E4">
        <w:rPr>
          <w:i/>
          <w:color w:val="000000" w:themeColor="text1"/>
        </w:rPr>
        <w:t xml:space="preserve">M </w:t>
      </w:r>
      <w:r w:rsidR="00F40A32" w:rsidRPr="002A13E4">
        <w:rPr>
          <w:color w:val="000000" w:themeColor="text1"/>
        </w:rPr>
        <w:t>= 4.</w:t>
      </w:r>
      <w:r w:rsidR="00BE3642" w:rsidRPr="002A13E4">
        <w:rPr>
          <w:color w:val="000000" w:themeColor="text1"/>
        </w:rPr>
        <w:t>71</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1.1</w:t>
      </w:r>
      <w:r w:rsidR="00BE3642" w:rsidRPr="002A13E4">
        <w:rPr>
          <w:color w:val="000000" w:themeColor="text1"/>
        </w:rPr>
        <w:t>7</w:t>
      </w:r>
      <w:r w:rsidRPr="002A13E4">
        <w:rPr>
          <w:color w:val="000000" w:themeColor="text1"/>
        </w:rPr>
        <w:t>) measuring perceived integrity were adapted from the</w:t>
      </w:r>
      <w:r w:rsidR="00395881" w:rsidRPr="002A13E4">
        <w:rPr>
          <w:color w:val="000000" w:themeColor="text1"/>
        </w:rPr>
        <w:t xml:space="preserve"> scale</w:t>
      </w:r>
      <w:r w:rsidRPr="002A13E4">
        <w:rPr>
          <w:color w:val="000000" w:themeColor="text1"/>
        </w:rPr>
        <w:t xml:space="preserve"> that Mayer and Davis (1999) and Kim et al. (2004) used to measure perceptions of </w:t>
      </w:r>
      <w:r w:rsidRPr="002A13E4">
        <w:rPr>
          <w:color w:val="000000" w:themeColor="text1"/>
        </w:rPr>
        <w:lastRenderedPageBreak/>
        <w:t>integrity, including “The robot sticks to its word” and “Sound principles seem to guide the robot’s behavior”. Perceived competence was highly correlated with perceived integrity (</w:t>
      </w:r>
      <w:r w:rsidRPr="002A13E4">
        <w:rPr>
          <w:i/>
          <w:color w:val="000000" w:themeColor="text1"/>
        </w:rPr>
        <w:t>r</w:t>
      </w:r>
      <w:r w:rsidRPr="002A13E4">
        <w:rPr>
          <w:color w:val="000000" w:themeColor="text1"/>
        </w:rPr>
        <w:t xml:space="preserve"> = .6</w:t>
      </w:r>
      <w:r w:rsidR="00BE3642" w:rsidRPr="002A13E4">
        <w:rPr>
          <w:color w:val="000000" w:themeColor="text1"/>
        </w:rPr>
        <w:t>4</w:t>
      </w:r>
      <w:r w:rsidRPr="002A13E4">
        <w:rPr>
          <w:color w:val="000000" w:themeColor="text1"/>
        </w:rPr>
        <w:t xml:space="preserve">, </w:t>
      </w:r>
      <w:r w:rsidRPr="002A13E4">
        <w:rPr>
          <w:i/>
          <w:color w:val="000000" w:themeColor="text1"/>
        </w:rPr>
        <w:t>p</w:t>
      </w:r>
      <w:r w:rsidRPr="002A13E4">
        <w:rPr>
          <w:color w:val="000000" w:themeColor="text1"/>
        </w:rPr>
        <w:t xml:space="preserve"> &lt; .001).</w:t>
      </w:r>
    </w:p>
    <w:p w14:paraId="43259C15" w14:textId="452BEACF" w:rsidR="00DB7FAE" w:rsidRPr="002A13E4" w:rsidRDefault="00F147F7">
      <w:pPr>
        <w:spacing w:line="480" w:lineRule="auto"/>
        <w:rPr>
          <w:b/>
          <w:i/>
          <w:color w:val="000000" w:themeColor="text1"/>
        </w:rPr>
      </w:pPr>
      <w:r w:rsidRPr="002A13E4">
        <w:rPr>
          <w:b/>
          <w:i/>
          <w:color w:val="000000" w:themeColor="text1"/>
        </w:rPr>
        <w:t>Post-</w:t>
      </w:r>
      <w:r w:rsidR="00395881" w:rsidRPr="002A13E4">
        <w:rPr>
          <w:b/>
          <w:i/>
          <w:color w:val="000000" w:themeColor="text1"/>
        </w:rPr>
        <w:t xml:space="preserve">Interaction </w:t>
      </w:r>
      <w:r w:rsidRPr="002A13E4">
        <w:rPr>
          <w:b/>
          <w:i/>
          <w:color w:val="000000" w:themeColor="text1"/>
        </w:rPr>
        <w:t>HRI Trust</w:t>
      </w:r>
    </w:p>
    <w:p w14:paraId="14E1B416" w14:textId="589BCB95" w:rsidR="00DB7FAE" w:rsidRPr="002A13E4" w:rsidRDefault="00F147F7">
      <w:pPr>
        <w:spacing w:line="480" w:lineRule="auto"/>
        <w:ind w:firstLine="720"/>
        <w:rPr>
          <w:color w:val="000000" w:themeColor="text1"/>
        </w:rPr>
      </w:pPr>
      <w:r w:rsidRPr="002A13E4">
        <w:rPr>
          <w:color w:val="000000" w:themeColor="text1"/>
        </w:rPr>
        <w:t xml:space="preserve">Seven 11-point items (1 = </w:t>
      </w:r>
      <w:r w:rsidRPr="002A13E4">
        <w:rPr>
          <w:i/>
          <w:color w:val="000000" w:themeColor="text1"/>
        </w:rPr>
        <w:t>0%</w:t>
      </w:r>
      <w:r w:rsidRPr="002A13E4">
        <w:rPr>
          <w:color w:val="000000" w:themeColor="text1"/>
        </w:rPr>
        <w:t xml:space="preserve">, 11 = </w:t>
      </w:r>
      <w:r w:rsidRPr="002A13E4">
        <w:rPr>
          <w:i/>
          <w:color w:val="000000" w:themeColor="text1"/>
        </w:rPr>
        <w:t>100%</w:t>
      </w:r>
      <w:r w:rsidRPr="002A13E4">
        <w:rPr>
          <w:color w:val="000000" w:themeColor="text1"/>
        </w:rPr>
        <w:t xml:space="preserve">) extracted from the </w:t>
      </w:r>
      <w:r w:rsidR="00395881" w:rsidRPr="002A13E4">
        <w:rPr>
          <w:color w:val="000000" w:themeColor="text1"/>
        </w:rPr>
        <w:t>HRI-</w:t>
      </w:r>
      <w:r w:rsidRPr="002A13E4">
        <w:rPr>
          <w:color w:val="000000" w:themeColor="text1"/>
        </w:rPr>
        <w:t>Trust Perception Scal</w:t>
      </w:r>
      <w:r w:rsidR="00395881" w:rsidRPr="002A13E4">
        <w:rPr>
          <w:color w:val="000000" w:themeColor="text1"/>
        </w:rPr>
        <w:t xml:space="preserve">e </w:t>
      </w:r>
      <w:r w:rsidRPr="002A13E4">
        <w:rPr>
          <w:color w:val="000000" w:themeColor="text1"/>
        </w:rPr>
        <w:t>(Schaefer, 2013) with the highest Content Validity Rations (CVR) values</w:t>
      </w:r>
      <w:r w:rsidRPr="002A13E4">
        <w:rPr>
          <w:color w:val="000000" w:themeColor="text1"/>
          <w:vertAlign w:val="superscript"/>
        </w:rPr>
        <w:footnoteReference w:id="1"/>
      </w:r>
      <w:r w:rsidRPr="002A13E4">
        <w:rPr>
          <w:color w:val="000000" w:themeColor="text1"/>
        </w:rPr>
        <w:t xml:space="preserve"> from the original study evaluated competence-based trust, </w:t>
      </w:r>
      <w:r w:rsidR="00F40A32" w:rsidRPr="002A13E4">
        <w:rPr>
          <w:color w:val="000000" w:themeColor="text1"/>
        </w:rPr>
        <w:t xml:space="preserve">and the average score was used for further analysis, </w:t>
      </w:r>
      <w:r w:rsidR="00F40A32" w:rsidRPr="002A13E4">
        <w:rPr>
          <w:i/>
          <w:color w:val="000000" w:themeColor="text1"/>
        </w:rPr>
        <w:t xml:space="preserve">M </w:t>
      </w:r>
      <w:r w:rsidR="00F40A32" w:rsidRPr="002A13E4">
        <w:rPr>
          <w:color w:val="000000" w:themeColor="text1"/>
        </w:rPr>
        <w:t>= 7.</w:t>
      </w:r>
      <w:r w:rsidR="00BE3642" w:rsidRPr="002A13E4">
        <w:rPr>
          <w:color w:val="000000" w:themeColor="text1"/>
        </w:rPr>
        <w:t>73</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w:t>
      </w:r>
      <w:r w:rsidR="00BE3642" w:rsidRPr="002A13E4">
        <w:rPr>
          <w:color w:val="000000" w:themeColor="text1"/>
        </w:rPr>
        <w:t>1</w:t>
      </w:r>
      <w:r w:rsidR="00F40A32" w:rsidRPr="002A13E4">
        <w:rPr>
          <w:color w:val="000000" w:themeColor="text1"/>
        </w:rPr>
        <w:t>.</w:t>
      </w:r>
      <w:r w:rsidR="00BE3642" w:rsidRPr="002A13E4">
        <w:rPr>
          <w:color w:val="000000" w:themeColor="text1"/>
        </w:rPr>
        <w:t>93</w:t>
      </w:r>
      <w:r w:rsidR="00F40A32" w:rsidRPr="002A13E4">
        <w:rPr>
          <w:color w:val="000000" w:themeColor="text1"/>
        </w:rPr>
        <w:t>. S</w:t>
      </w:r>
      <w:r w:rsidRPr="002A13E4">
        <w:rPr>
          <w:color w:val="000000" w:themeColor="text1"/>
        </w:rPr>
        <w:t xml:space="preserve">even 7-point Likert items (1 = </w:t>
      </w:r>
      <w:r w:rsidRPr="002A13E4">
        <w:rPr>
          <w:i/>
          <w:color w:val="000000" w:themeColor="text1"/>
        </w:rPr>
        <w:t xml:space="preserve">Not </w:t>
      </w:r>
      <w:r w:rsidR="00395881" w:rsidRPr="002A13E4">
        <w:rPr>
          <w:i/>
          <w:color w:val="000000" w:themeColor="text1"/>
        </w:rPr>
        <w:t>t</w:t>
      </w:r>
      <w:r w:rsidRPr="002A13E4">
        <w:rPr>
          <w:i/>
          <w:color w:val="000000" w:themeColor="text1"/>
        </w:rPr>
        <w:t>rue at all</w:t>
      </w:r>
      <w:r w:rsidRPr="002A13E4">
        <w:rPr>
          <w:color w:val="000000" w:themeColor="text1"/>
        </w:rPr>
        <w:t xml:space="preserve">, 7 = </w:t>
      </w:r>
      <w:r w:rsidRPr="002A13E4">
        <w:rPr>
          <w:i/>
          <w:color w:val="000000" w:themeColor="text1"/>
        </w:rPr>
        <w:t>Very much true</w:t>
      </w:r>
      <w:r w:rsidRPr="002A13E4">
        <w:rPr>
          <w:color w:val="000000" w:themeColor="text1"/>
        </w:rPr>
        <w:t>) adapted from Jian et al.’s (2000) Checklist for Trust Between People and Automation Scale were used to assess participants’ post-</w:t>
      </w:r>
      <w:r w:rsidR="00395881" w:rsidRPr="002A13E4">
        <w:rPr>
          <w:color w:val="000000" w:themeColor="text1"/>
        </w:rPr>
        <w:t xml:space="preserve">interaction </w:t>
      </w:r>
      <w:r w:rsidRPr="002A13E4">
        <w:rPr>
          <w:color w:val="000000" w:themeColor="text1"/>
        </w:rPr>
        <w:t xml:space="preserve">trust based on </w:t>
      </w:r>
      <w:r w:rsidR="00A85737" w:rsidRPr="002A13E4">
        <w:rPr>
          <w:color w:val="000000" w:themeColor="text1"/>
        </w:rPr>
        <w:t xml:space="preserve">perceived </w:t>
      </w:r>
      <w:r w:rsidRPr="002A13E4">
        <w:rPr>
          <w:color w:val="000000" w:themeColor="text1"/>
        </w:rPr>
        <w:t>integrity of the NAO robot</w:t>
      </w:r>
      <w:r w:rsidR="00F40A32" w:rsidRPr="002A13E4">
        <w:rPr>
          <w:color w:val="000000" w:themeColor="text1"/>
        </w:rPr>
        <w:t xml:space="preserve">, and the </w:t>
      </w:r>
      <w:r w:rsidR="00A85737" w:rsidRPr="002A13E4">
        <w:rPr>
          <w:color w:val="000000" w:themeColor="text1"/>
        </w:rPr>
        <w:t>mean</w:t>
      </w:r>
      <w:r w:rsidR="00F40A32" w:rsidRPr="002A13E4">
        <w:rPr>
          <w:color w:val="000000" w:themeColor="text1"/>
        </w:rPr>
        <w:t xml:space="preserve"> score was </w:t>
      </w:r>
      <w:r w:rsidR="00A85737" w:rsidRPr="002A13E4">
        <w:rPr>
          <w:color w:val="000000" w:themeColor="text1"/>
        </w:rPr>
        <w:t>retained</w:t>
      </w:r>
      <w:r w:rsidR="00F40A32" w:rsidRPr="002A13E4">
        <w:rPr>
          <w:color w:val="000000" w:themeColor="text1"/>
        </w:rPr>
        <w:t xml:space="preserve"> for further analysis, </w:t>
      </w:r>
      <w:r w:rsidR="00F40A32" w:rsidRPr="002A13E4">
        <w:rPr>
          <w:i/>
          <w:color w:val="000000" w:themeColor="text1"/>
        </w:rPr>
        <w:t xml:space="preserve">M </w:t>
      </w:r>
      <w:r w:rsidR="00F40A32" w:rsidRPr="002A13E4">
        <w:rPr>
          <w:color w:val="000000" w:themeColor="text1"/>
        </w:rPr>
        <w:t>= 4.</w:t>
      </w:r>
      <w:r w:rsidR="00BE3642" w:rsidRPr="002A13E4">
        <w:rPr>
          <w:color w:val="000000" w:themeColor="text1"/>
        </w:rPr>
        <w:t>62</w:t>
      </w:r>
      <w:r w:rsidR="00F40A32" w:rsidRPr="002A13E4">
        <w:rPr>
          <w:color w:val="000000" w:themeColor="text1"/>
        </w:rPr>
        <w:t xml:space="preserve">, </w:t>
      </w:r>
      <w:r w:rsidR="00F40A32" w:rsidRPr="002A13E4">
        <w:rPr>
          <w:i/>
          <w:color w:val="000000" w:themeColor="text1"/>
        </w:rPr>
        <w:t>SD</w:t>
      </w:r>
      <w:r w:rsidR="00F40A32" w:rsidRPr="002A13E4">
        <w:rPr>
          <w:color w:val="000000" w:themeColor="text1"/>
        </w:rPr>
        <w:t xml:space="preserve"> = 1.0</w:t>
      </w:r>
      <w:r w:rsidR="00BE3642" w:rsidRPr="002A13E4">
        <w:rPr>
          <w:color w:val="000000" w:themeColor="text1"/>
        </w:rPr>
        <w:t>5</w:t>
      </w:r>
      <w:r w:rsidR="00F40A32" w:rsidRPr="002A13E4">
        <w:rPr>
          <w:color w:val="000000" w:themeColor="text1"/>
        </w:rPr>
        <w:t>.</w:t>
      </w:r>
      <w:r w:rsidRPr="002A13E4">
        <w:rPr>
          <w:color w:val="000000" w:themeColor="text1"/>
        </w:rPr>
        <w:t xml:space="preserve"> The reason why these two scales were simultaneously employed was because HRI-based trust is a multidimensional construct, and the former emphasized robots’ competence relatively more (e.g., “What % of the time will this robot function successfully?”), whereas the latter shed more light on integrity- and benevolence-based trust (e.g., “The robot has integrity.”). While the latter had proven to be reliable as a classic measurement instrument in the field, the former was a relatively new scale. The first scale reached high </w:t>
      </w:r>
      <w:r w:rsidR="00395881" w:rsidRPr="002A13E4">
        <w:rPr>
          <w:color w:val="000000" w:themeColor="text1"/>
        </w:rPr>
        <w:t xml:space="preserve">internal </w:t>
      </w:r>
      <w:r w:rsidRPr="002A13E4">
        <w:rPr>
          <w:color w:val="000000" w:themeColor="text1"/>
        </w:rPr>
        <w:t xml:space="preserve">reliability (Cronbach’s </w:t>
      </w:r>
      <w:r w:rsidRPr="002A13E4">
        <w:rPr>
          <w:rFonts w:hint="eastAsia"/>
          <w:color w:val="000000" w:themeColor="text1"/>
        </w:rPr>
        <w:t>α</w:t>
      </w:r>
      <w:r w:rsidRPr="002A13E4">
        <w:rPr>
          <w:color w:val="000000" w:themeColor="text1"/>
        </w:rPr>
        <w:t xml:space="preserve"> = .96), and the reliability of second one was also acceptable (Cronbach’s </w:t>
      </w:r>
      <w:r w:rsidRPr="002A13E4">
        <w:rPr>
          <w:rFonts w:hint="eastAsia"/>
          <w:color w:val="000000" w:themeColor="text1"/>
        </w:rPr>
        <w:t>α</w:t>
      </w:r>
      <w:r w:rsidRPr="002A13E4">
        <w:rPr>
          <w:color w:val="000000" w:themeColor="text1"/>
        </w:rPr>
        <w:t xml:space="preserve"> = .7</w:t>
      </w:r>
      <w:r w:rsidR="00BE3642" w:rsidRPr="002A13E4">
        <w:rPr>
          <w:color w:val="000000" w:themeColor="text1"/>
        </w:rPr>
        <w:t>6</w:t>
      </w:r>
      <w:r w:rsidRPr="002A13E4">
        <w:rPr>
          <w:color w:val="000000" w:themeColor="text1"/>
        </w:rPr>
        <w:t>). Competence-based post-</w:t>
      </w:r>
      <w:r w:rsidR="00395881" w:rsidRPr="002A13E4">
        <w:rPr>
          <w:color w:val="000000" w:themeColor="text1"/>
        </w:rPr>
        <w:t>interaction</w:t>
      </w:r>
      <w:r w:rsidRPr="002A13E4">
        <w:rPr>
          <w:color w:val="000000" w:themeColor="text1"/>
        </w:rPr>
        <w:t xml:space="preserve"> trust was positively correlated with integrity-based post-</w:t>
      </w:r>
      <w:r w:rsidR="00395881" w:rsidRPr="002A13E4">
        <w:rPr>
          <w:color w:val="000000" w:themeColor="text1"/>
        </w:rPr>
        <w:t xml:space="preserve">interaction </w:t>
      </w:r>
      <w:r w:rsidRPr="002A13E4">
        <w:rPr>
          <w:color w:val="000000" w:themeColor="text1"/>
        </w:rPr>
        <w:t>trust (</w:t>
      </w:r>
      <w:r w:rsidRPr="002A13E4">
        <w:rPr>
          <w:i/>
          <w:color w:val="000000" w:themeColor="text1"/>
        </w:rPr>
        <w:t>r</w:t>
      </w:r>
      <w:r w:rsidRPr="002A13E4">
        <w:rPr>
          <w:color w:val="000000" w:themeColor="text1"/>
        </w:rPr>
        <w:t xml:space="preserve"> = .</w:t>
      </w:r>
      <w:r w:rsidR="00BE3642" w:rsidRPr="002A13E4">
        <w:rPr>
          <w:color w:val="000000" w:themeColor="text1"/>
        </w:rPr>
        <w:t>54</w:t>
      </w:r>
      <w:r w:rsidRPr="002A13E4">
        <w:rPr>
          <w:color w:val="000000" w:themeColor="text1"/>
        </w:rPr>
        <w:t xml:space="preserve">, </w:t>
      </w:r>
      <w:r w:rsidRPr="002A13E4">
        <w:rPr>
          <w:i/>
          <w:color w:val="000000" w:themeColor="text1"/>
        </w:rPr>
        <w:t>p</w:t>
      </w:r>
      <w:r w:rsidRPr="002A13E4">
        <w:rPr>
          <w:color w:val="000000" w:themeColor="text1"/>
        </w:rPr>
        <w:t xml:space="preserve"> &lt; .001). Besides, competence-based post-</w:t>
      </w:r>
      <w:r w:rsidR="00395881" w:rsidRPr="002A13E4">
        <w:rPr>
          <w:color w:val="000000" w:themeColor="text1"/>
        </w:rPr>
        <w:t>interaction</w:t>
      </w:r>
      <w:r w:rsidRPr="002A13E4">
        <w:rPr>
          <w:color w:val="000000" w:themeColor="text1"/>
        </w:rPr>
        <w:t xml:space="preserve"> trust was positively associated with both perceived competence (</w:t>
      </w:r>
      <w:r w:rsidRPr="002A13E4">
        <w:rPr>
          <w:i/>
          <w:color w:val="000000" w:themeColor="text1"/>
        </w:rPr>
        <w:t>r</w:t>
      </w:r>
      <w:r w:rsidRPr="002A13E4">
        <w:rPr>
          <w:color w:val="000000" w:themeColor="text1"/>
        </w:rPr>
        <w:t xml:space="preserve"> = .</w:t>
      </w:r>
      <w:r w:rsidR="00BE3642" w:rsidRPr="002A13E4">
        <w:rPr>
          <w:color w:val="000000" w:themeColor="text1"/>
        </w:rPr>
        <w:t>72</w:t>
      </w:r>
      <w:r w:rsidRPr="002A13E4">
        <w:rPr>
          <w:color w:val="000000" w:themeColor="text1"/>
        </w:rPr>
        <w:t xml:space="preserve">, </w:t>
      </w:r>
      <w:r w:rsidRPr="002A13E4">
        <w:rPr>
          <w:i/>
          <w:color w:val="000000" w:themeColor="text1"/>
        </w:rPr>
        <w:t>p</w:t>
      </w:r>
      <w:r w:rsidRPr="002A13E4">
        <w:rPr>
          <w:color w:val="000000" w:themeColor="text1"/>
        </w:rPr>
        <w:t xml:space="preserve"> &lt; .001) and integrity (</w:t>
      </w:r>
      <w:r w:rsidRPr="002A13E4">
        <w:rPr>
          <w:i/>
          <w:color w:val="000000" w:themeColor="text1"/>
        </w:rPr>
        <w:t>r</w:t>
      </w:r>
      <w:r w:rsidRPr="002A13E4">
        <w:rPr>
          <w:color w:val="000000" w:themeColor="text1"/>
        </w:rPr>
        <w:t xml:space="preserve"> = .5</w:t>
      </w:r>
      <w:r w:rsidR="00BE3642" w:rsidRPr="002A13E4">
        <w:rPr>
          <w:color w:val="000000" w:themeColor="text1"/>
        </w:rPr>
        <w:t>5</w:t>
      </w:r>
      <w:r w:rsidRPr="002A13E4">
        <w:rPr>
          <w:color w:val="000000" w:themeColor="text1"/>
        </w:rPr>
        <w:t xml:space="preserve">, </w:t>
      </w:r>
      <w:r w:rsidRPr="002A13E4">
        <w:rPr>
          <w:i/>
          <w:color w:val="000000" w:themeColor="text1"/>
        </w:rPr>
        <w:t>p</w:t>
      </w:r>
      <w:r w:rsidRPr="002A13E4">
        <w:rPr>
          <w:color w:val="000000" w:themeColor="text1"/>
        </w:rPr>
        <w:t xml:space="preserve"> &lt; .001), and integrity-based </w:t>
      </w:r>
      <w:r w:rsidRPr="002A13E4">
        <w:rPr>
          <w:color w:val="000000" w:themeColor="text1"/>
        </w:rPr>
        <w:lastRenderedPageBreak/>
        <w:t>post-</w:t>
      </w:r>
      <w:r w:rsidR="00395881" w:rsidRPr="002A13E4">
        <w:rPr>
          <w:color w:val="000000" w:themeColor="text1"/>
        </w:rPr>
        <w:t>interaction</w:t>
      </w:r>
      <w:r w:rsidRPr="002A13E4">
        <w:rPr>
          <w:color w:val="000000" w:themeColor="text1"/>
        </w:rPr>
        <w:t xml:space="preserve"> trust was also highly correlated with perceived competence (</w:t>
      </w:r>
      <w:r w:rsidRPr="002A13E4">
        <w:rPr>
          <w:i/>
          <w:color w:val="000000" w:themeColor="text1"/>
        </w:rPr>
        <w:t>r</w:t>
      </w:r>
      <w:r w:rsidRPr="002A13E4">
        <w:rPr>
          <w:color w:val="000000" w:themeColor="text1"/>
        </w:rPr>
        <w:t xml:space="preserve"> = .5</w:t>
      </w:r>
      <w:r w:rsidR="00BE3642" w:rsidRPr="002A13E4">
        <w:rPr>
          <w:color w:val="000000" w:themeColor="text1"/>
        </w:rPr>
        <w:t>8</w:t>
      </w:r>
      <w:r w:rsidRPr="002A13E4">
        <w:rPr>
          <w:color w:val="000000" w:themeColor="text1"/>
        </w:rPr>
        <w:t xml:space="preserve">, </w:t>
      </w:r>
      <w:r w:rsidRPr="002A13E4">
        <w:rPr>
          <w:i/>
          <w:color w:val="000000" w:themeColor="text1"/>
        </w:rPr>
        <w:t>p</w:t>
      </w:r>
      <w:r w:rsidRPr="002A13E4">
        <w:rPr>
          <w:color w:val="000000" w:themeColor="text1"/>
        </w:rPr>
        <w:t xml:space="preserve"> &lt; .001) and perceived integrity (</w:t>
      </w:r>
      <w:r w:rsidRPr="002A13E4">
        <w:rPr>
          <w:i/>
          <w:color w:val="000000" w:themeColor="text1"/>
        </w:rPr>
        <w:t>r</w:t>
      </w:r>
      <w:r w:rsidRPr="002A13E4">
        <w:rPr>
          <w:color w:val="000000" w:themeColor="text1"/>
        </w:rPr>
        <w:t xml:space="preserve"> = .</w:t>
      </w:r>
      <w:r w:rsidR="00BE3642" w:rsidRPr="002A13E4">
        <w:rPr>
          <w:color w:val="000000" w:themeColor="text1"/>
        </w:rPr>
        <w:t>59</w:t>
      </w:r>
      <w:r w:rsidRPr="002A13E4">
        <w:rPr>
          <w:color w:val="000000" w:themeColor="text1"/>
        </w:rPr>
        <w:t xml:space="preserve">, </w:t>
      </w:r>
      <w:r w:rsidRPr="002A13E4">
        <w:rPr>
          <w:i/>
          <w:color w:val="000000" w:themeColor="text1"/>
        </w:rPr>
        <w:t>p</w:t>
      </w:r>
      <w:r w:rsidRPr="002A13E4">
        <w:rPr>
          <w:color w:val="000000" w:themeColor="text1"/>
        </w:rPr>
        <w:t xml:space="preserve"> &lt; .001).</w:t>
      </w:r>
    </w:p>
    <w:p w14:paraId="31C67D65" w14:textId="77777777" w:rsidR="00DB7FAE" w:rsidRPr="002A13E4" w:rsidRDefault="00F147F7">
      <w:pPr>
        <w:spacing w:line="480" w:lineRule="auto"/>
        <w:rPr>
          <w:i/>
          <w:color w:val="000000" w:themeColor="text1"/>
        </w:rPr>
      </w:pPr>
      <w:r w:rsidRPr="002A13E4">
        <w:rPr>
          <w:b/>
          <w:i/>
          <w:color w:val="000000" w:themeColor="text1"/>
        </w:rPr>
        <w:t>Severity of Failures</w:t>
      </w:r>
    </w:p>
    <w:p w14:paraId="26C55785" w14:textId="13235CD6" w:rsidR="00DB7FAE" w:rsidRPr="002A13E4" w:rsidRDefault="00F147F7" w:rsidP="00BE3642">
      <w:pPr>
        <w:spacing w:line="480" w:lineRule="auto"/>
        <w:ind w:firstLine="720"/>
        <w:rPr>
          <w:color w:val="000000" w:themeColor="text1"/>
        </w:rPr>
      </w:pPr>
      <w:r w:rsidRPr="002A13E4">
        <w:rPr>
          <w:color w:val="000000" w:themeColor="text1"/>
        </w:rPr>
        <w:t xml:space="preserve">Three 5-point items from </w:t>
      </w:r>
      <w:proofErr w:type="spellStart"/>
      <w:r w:rsidRPr="002A13E4">
        <w:rPr>
          <w:color w:val="000000" w:themeColor="text1"/>
        </w:rPr>
        <w:t>Weun</w:t>
      </w:r>
      <w:proofErr w:type="spellEnd"/>
      <w:r w:rsidRPr="002A13E4">
        <w:rPr>
          <w:color w:val="000000" w:themeColor="text1"/>
        </w:rPr>
        <w:t xml:space="preserve"> et al. (2004) assessed perceived severity of technical failures. The scale was originally constructed to evaluate service failure severity, and it achieved composite reliability of .93 in the initial study. The items were “If this problem were really happening to me, I would consider the problem to be… (1= </w:t>
      </w:r>
      <w:r w:rsidRPr="002A13E4">
        <w:rPr>
          <w:i/>
          <w:color w:val="000000" w:themeColor="text1"/>
        </w:rPr>
        <w:t>Not very severe</w:t>
      </w:r>
      <w:r w:rsidRPr="002A13E4">
        <w:rPr>
          <w:color w:val="000000" w:themeColor="text1"/>
        </w:rPr>
        <w:t xml:space="preserve">, 5 = </w:t>
      </w:r>
      <w:r w:rsidRPr="002A13E4">
        <w:rPr>
          <w:i/>
          <w:color w:val="000000" w:themeColor="text1"/>
        </w:rPr>
        <w:t>Very severe</w:t>
      </w:r>
      <w:r w:rsidRPr="002A13E4">
        <w:rPr>
          <w:color w:val="000000" w:themeColor="text1"/>
        </w:rPr>
        <w:t xml:space="preserve">)”, “If this problem were really happening to me, it would make me feel…  (1 = </w:t>
      </w:r>
      <w:r w:rsidRPr="002A13E4">
        <w:rPr>
          <w:i/>
          <w:color w:val="000000" w:themeColor="text1"/>
        </w:rPr>
        <w:t>Not very angry</w:t>
      </w:r>
      <w:r w:rsidRPr="002A13E4">
        <w:rPr>
          <w:color w:val="000000" w:themeColor="text1"/>
        </w:rPr>
        <w:t xml:space="preserve">, 5 = </w:t>
      </w:r>
      <w:r w:rsidRPr="002A13E4">
        <w:rPr>
          <w:i/>
          <w:color w:val="000000" w:themeColor="text1"/>
        </w:rPr>
        <w:t>Very angry</w:t>
      </w:r>
      <w:r w:rsidRPr="002A13E4">
        <w:rPr>
          <w:color w:val="000000" w:themeColor="text1"/>
        </w:rPr>
        <w:t xml:space="preserve">)”, and “If this problem were really happening to me, it would be unpleasant to me (1= </w:t>
      </w:r>
      <w:r w:rsidRPr="002A13E4">
        <w:rPr>
          <w:i/>
          <w:color w:val="000000" w:themeColor="text1"/>
        </w:rPr>
        <w:t>Strongly disagree</w:t>
      </w:r>
      <w:r w:rsidRPr="002A13E4">
        <w:rPr>
          <w:color w:val="000000" w:themeColor="text1"/>
        </w:rPr>
        <w:t xml:space="preserve">, 5 = </w:t>
      </w:r>
      <w:r w:rsidRPr="002A13E4">
        <w:rPr>
          <w:i/>
          <w:color w:val="000000" w:themeColor="text1"/>
        </w:rPr>
        <w:t>Strongly agree</w:t>
      </w:r>
      <w:r w:rsidRPr="002A13E4">
        <w:rPr>
          <w:color w:val="000000" w:themeColor="text1"/>
        </w:rPr>
        <w:t>)</w:t>
      </w:r>
      <w:r w:rsidR="00395881" w:rsidRPr="002A13E4">
        <w:rPr>
          <w:color w:val="000000" w:themeColor="text1"/>
        </w:rPr>
        <w:t>.</w:t>
      </w:r>
      <w:r w:rsidRPr="002A13E4">
        <w:rPr>
          <w:color w:val="000000" w:themeColor="text1"/>
        </w:rPr>
        <w:t xml:space="preserve">” </w:t>
      </w:r>
      <w:r w:rsidR="00BE3642" w:rsidRPr="002A13E4">
        <w:rPr>
          <w:color w:val="000000" w:themeColor="text1"/>
        </w:rPr>
        <w:t>The reliability of this scale was relatively low</w:t>
      </w:r>
      <w:r w:rsidR="004F70E7" w:rsidRPr="002A13E4">
        <w:rPr>
          <w:color w:val="000000" w:themeColor="text1"/>
        </w:rPr>
        <w:t xml:space="preserve"> in the present study</w:t>
      </w:r>
      <w:r w:rsidR="00BE3642" w:rsidRPr="002A13E4">
        <w:rPr>
          <w:color w:val="000000" w:themeColor="text1"/>
        </w:rPr>
        <w:t xml:space="preserve">, Cronbach’s </w:t>
      </w:r>
      <w:r w:rsidR="00BE3642" w:rsidRPr="002A13E4">
        <w:rPr>
          <w:rFonts w:hint="eastAsia"/>
          <w:color w:val="000000" w:themeColor="text1"/>
        </w:rPr>
        <w:t>α</w:t>
      </w:r>
      <w:r w:rsidR="00BE3642" w:rsidRPr="002A13E4">
        <w:rPr>
          <w:color w:val="000000" w:themeColor="text1"/>
        </w:rPr>
        <w:t xml:space="preserve"> = .55, so the first item was deleted to promote scale reliability, Cronbach’s </w:t>
      </w:r>
      <w:r w:rsidR="00BE3642" w:rsidRPr="002A13E4">
        <w:rPr>
          <w:rFonts w:hint="eastAsia"/>
          <w:color w:val="000000" w:themeColor="text1"/>
        </w:rPr>
        <w:t>α</w:t>
      </w:r>
      <w:r w:rsidR="00BE3642" w:rsidRPr="002A13E4">
        <w:rPr>
          <w:color w:val="000000" w:themeColor="text1"/>
        </w:rPr>
        <w:t xml:space="preserve"> = .70</w:t>
      </w:r>
      <w:r w:rsidR="004F70E7" w:rsidRPr="002A13E4">
        <w:rPr>
          <w:color w:val="000000" w:themeColor="text1"/>
        </w:rPr>
        <w:t>.</w:t>
      </w:r>
      <w:r w:rsidR="00BE3642" w:rsidRPr="002A13E4">
        <w:rPr>
          <w:color w:val="000000" w:themeColor="text1"/>
        </w:rPr>
        <w:t xml:space="preserve"> </w:t>
      </w:r>
      <w:r w:rsidR="004F70E7" w:rsidRPr="002A13E4">
        <w:rPr>
          <w:color w:val="000000" w:themeColor="text1"/>
        </w:rPr>
        <w:t xml:space="preserve">The average score of two remaining items was calculated for further analysis, </w:t>
      </w:r>
      <w:r w:rsidR="004F70E7" w:rsidRPr="002A13E4">
        <w:rPr>
          <w:i/>
          <w:color w:val="000000" w:themeColor="text1"/>
        </w:rPr>
        <w:t>M</w:t>
      </w:r>
      <w:r w:rsidR="004F70E7" w:rsidRPr="002A13E4">
        <w:rPr>
          <w:color w:val="000000" w:themeColor="text1"/>
        </w:rPr>
        <w:t xml:space="preserve"> = 2.92, </w:t>
      </w:r>
      <w:r w:rsidR="004F70E7" w:rsidRPr="002A13E4">
        <w:rPr>
          <w:i/>
          <w:color w:val="000000" w:themeColor="text1"/>
        </w:rPr>
        <w:t xml:space="preserve">SD </w:t>
      </w:r>
      <w:r w:rsidR="004F70E7" w:rsidRPr="002A13E4">
        <w:rPr>
          <w:color w:val="000000" w:themeColor="text1"/>
        </w:rPr>
        <w:t xml:space="preserve">= 0.90. </w:t>
      </w:r>
      <w:r w:rsidRPr="002A13E4">
        <w:rPr>
          <w:color w:val="000000" w:themeColor="text1"/>
        </w:rPr>
        <w:t>Perceived severity of failures was found to be negatively associated with perceived competence (</w:t>
      </w:r>
      <w:r w:rsidRPr="002A13E4">
        <w:rPr>
          <w:i/>
          <w:color w:val="000000" w:themeColor="text1"/>
        </w:rPr>
        <w:t>r</w:t>
      </w:r>
      <w:r w:rsidRPr="002A13E4">
        <w:rPr>
          <w:color w:val="000000" w:themeColor="text1"/>
        </w:rPr>
        <w:t xml:space="preserve"> = -.4</w:t>
      </w:r>
      <w:r w:rsidR="004F70E7" w:rsidRPr="002A13E4">
        <w:rPr>
          <w:color w:val="000000" w:themeColor="text1"/>
        </w:rPr>
        <w:t>8</w:t>
      </w:r>
      <w:r w:rsidRPr="002A13E4">
        <w:rPr>
          <w:color w:val="000000" w:themeColor="text1"/>
        </w:rPr>
        <w:t xml:space="preserve">, </w:t>
      </w:r>
      <w:r w:rsidRPr="002A13E4">
        <w:rPr>
          <w:i/>
          <w:color w:val="000000" w:themeColor="text1"/>
        </w:rPr>
        <w:t>p</w:t>
      </w:r>
      <w:r w:rsidRPr="002A13E4">
        <w:rPr>
          <w:color w:val="000000" w:themeColor="text1"/>
        </w:rPr>
        <w:t xml:space="preserve"> &lt; .001), perceived integrity (</w:t>
      </w:r>
      <w:r w:rsidRPr="002A13E4">
        <w:rPr>
          <w:i/>
          <w:color w:val="000000" w:themeColor="text1"/>
        </w:rPr>
        <w:t>r</w:t>
      </w:r>
      <w:r w:rsidRPr="002A13E4">
        <w:rPr>
          <w:color w:val="000000" w:themeColor="text1"/>
        </w:rPr>
        <w:t xml:space="preserve"> = -.3</w:t>
      </w:r>
      <w:r w:rsidR="004F70E7" w:rsidRPr="002A13E4">
        <w:rPr>
          <w:color w:val="000000" w:themeColor="text1"/>
        </w:rPr>
        <w:t>5</w:t>
      </w:r>
      <w:r w:rsidRPr="002A13E4">
        <w:rPr>
          <w:color w:val="000000" w:themeColor="text1"/>
        </w:rPr>
        <w:t xml:space="preserve">, </w:t>
      </w:r>
      <w:r w:rsidRPr="002A13E4">
        <w:rPr>
          <w:i/>
          <w:color w:val="000000" w:themeColor="text1"/>
        </w:rPr>
        <w:t>p</w:t>
      </w:r>
      <w:r w:rsidRPr="002A13E4">
        <w:rPr>
          <w:color w:val="000000" w:themeColor="text1"/>
        </w:rPr>
        <w:t xml:space="preserve"> &lt; .001), post</w:t>
      </w:r>
      <w:r w:rsidR="00395881" w:rsidRPr="002A13E4">
        <w:rPr>
          <w:color w:val="000000" w:themeColor="text1"/>
        </w:rPr>
        <w:t>-interaction</w:t>
      </w:r>
      <w:r w:rsidRPr="002A13E4">
        <w:rPr>
          <w:color w:val="000000" w:themeColor="text1"/>
        </w:rPr>
        <w:t xml:space="preserve"> competence-based trust (</w:t>
      </w:r>
      <w:r w:rsidRPr="002A13E4">
        <w:rPr>
          <w:i/>
          <w:color w:val="000000" w:themeColor="text1"/>
        </w:rPr>
        <w:t>r</w:t>
      </w:r>
      <w:r w:rsidRPr="002A13E4">
        <w:rPr>
          <w:color w:val="000000" w:themeColor="text1"/>
        </w:rPr>
        <w:t xml:space="preserve"> = -.</w:t>
      </w:r>
      <w:r w:rsidR="004F70E7" w:rsidRPr="002A13E4">
        <w:rPr>
          <w:color w:val="000000" w:themeColor="text1"/>
        </w:rPr>
        <w:t>4</w:t>
      </w:r>
      <w:r w:rsidRPr="002A13E4">
        <w:rPr>
          <w:color w:val="000000" w:themeColor="text1"/>
        </w:rPr>
        <w:t xml:space="preserve">0, </w:t>
      </w:r>
      <w:r w:rsidRPr="002A13E4">
        <w:rPr>
          <w:i/>
          <w:color w:val="000000" w:themeColor="text1"/>
        </w:rPr>
        <w:t>p</w:t>
      </w:r>
      <w:r w:rsidRPr="002A13E4">
        <w:rPr>
          <w:color w:val="000000" w:themeColor="text1"/>
        </w:rPr>
        <w:t xml:space="preserve"> &lt; .001), and integrity-based trust (</w:t>
      </w:r>
      <w:r w:rsidRPr="002A13E4">
        <w:rPr>
          <w:i/>
          <w:color w:val="000000" w:themeColor="text1"/>
        </w:rPr>
        <w:t>r</w:t>
      </w:r>
      <w:r w:rsidRPr="002A13E4">
        <w:rPr>
          <w:color w:val="000000" w:themeColor="text1"/>
        </w:rPr>
        <w:t xml:space="preserve"> = -.5</w:t>
      </w:r>
      <w:r w:rsidR="004F70E7" w:rsidRPr="002A13E4">
        <w:rPr>
          <w:color w:val="000000" w:themeColor="text1"/>
        </w:rPr>
        <w:t>1</w:t>
      </w:r>
      <w:r w:rsidRPr="002A13E4">
        <w:rPr>
          <w:color w:val="000000" w:themeColor="text1"/>
        </w:rPr>
        <w:t xml:space="preserve">, </w:t>
      </w:r>
      <w:r w:rsidRPr="002A13E4">
        <w:rPr>
          <w:i/>
          <w:color w:val="000000" w:themeColor="text1"/>
        </w:rPr>
        <w:t>p</w:t>
      </w:r>
      <w:r w:rsidRPr="002A13E4">
        <w:rPr>
          <w:color w:val="000000" w:themeColor="text1"/>
        </w:rPr>
        <w:t xml:space="preserve"> &lt; .001). </w:t>
      </w:r>
    </w:p>
    <w:p w14:paraId="7BBB5C42" w14:textId="77777777" w:rsidR="00DB7FAE" w:rsidRPr="002A13E4" w:rsidRDefault="00F147F7">
      <w:pPr>
        <w:spacing w:line="480" w:lineRule="auto"/>
        <w:rPr>
          <w:b/>
          <w:i/>
          <w:iCs/>
          <w:color w:val="000000" w:themeColor="text1"/>
        </w:rPr>
      </w:pPr>
      <w:r w:rsidRPr="002A13E4">
        <w:rPr>
          <w:b/>
          <w:i/>
          <w:iCs/>
          <w:color w:val="000000" w:themeColor="text1"/>
        </w:rPr>
        <w:t>Causal Attributions</w:t>
      </w:r>
    </w:p>
    <w:p w14:paraId="5DCF5319" w14:textId="5685DEED" w:rsidR="00DB7FAE" w:rsidRPr="002A13E4" w:rsidRDefault="00F147F7" w:rsidP="00366B17">
      <w:pPr>
        <w:spacing w:line="480" w:lineRule="auto"/>
        <w:ind w:firstLine="720"/>
        <w:rPr>
          <w:color w:val="000000" w:themeColor="text1"/>
        </w:rPr>
      </w:pPr>
      <w:r w:rsidRPr="002A13E4">
        <w:rPr>
          <w:color w:val="000000" w:themeColor="text1"/>
        </w:rPr>
        <w:t>Causal attributions of robotic failures were measured with twelve 9-point bipolar items from the Revised Causal Dimension Scale</w:t>
      </w:r>
      <w:r w:rsidR="00A85737" w:rsidRPr="002A13E4">
        <w:rPr>
          <w:color w:val="000000" w:themeColor="text1"/>
        </w:rPr>
        <w:t xml:space="preserve"> (CDSII; McAuley et al., 1992)</w:t>
      </w:r>
      <w:r w:rsidR="0027758A" w:rsidRPr="002A13E4">
        <w:rPr>
          <w:color w:val="000000" w:themeColor="text1"/>
        </w:rPr>
        <w:t>, and each subscale contained three items</w:t>
      </w:r>
      <w:r w:rsidR="00A85737" w:rsidRPr="002A13E4">
        <w:rPr>
          <w:color w:val="000000" w:themeColor="text1"/>
        </w:rPr>
        <w:t xml:space="preserve">, </w:t>
      </w:r>
      <w:r w:rsidRPr="002A13E4">
        <w:rPr>
          <w:color w:val="000000" w:themeColor="text1"/>
        </w:rPr>
        <w:t>with wording of the items slightly adjusted to match the context of this study. This scale was designed by McAuley et al. (1992) in a way that attributions of controllability was reflected by two discriminant subdimensions</w:t>
      </w:r>
      <w:r w:rsidR="00CC7DA2" w:rsidRPr="002A13E4">
        <w:rPr>
          <w:color w:val="000000" w:themeColor="text1"/>
        </w:rPr>
        <w:t>:</w:t>
      </w:r>
      <w:r w:rsidRPr="002A13E4">
        <w:rPr>
          <w:color w:val="000000" w:themeColor="text1"/>
        </w:rPr>
        <w:t xml:space="preserve"> external (i.e., whether the cause can be controlled by </w:t>
      </w:r>
      <w:r w:rsidR="00A85737" w:rsidRPr="002A13E4">
        <w:rPr>
          <w:color w:val="000000" w:themeColor="text1"/>
        </w:rPr>
        <w:t xml:space="preserve">the </w:t>
      </w:r>
      <w:r w:rsidRPr="002A13E4">
        <w:rPr>
          <w:color w:val="000000" w:themeColor="text1"/>
        </w:rPr>
        <w:t xml:space="preserve">NAO </w:t>
      </w:r>
      <w:r w:rsidR="00A85737" w:rsidRPr="002A13E4">
        <w:rPr>
          <w:color w:val="000000" w:themeColor="text1"/>
        </w:rPr>
        <w:t xml:space="preserve">robot </w:t>
      </w:r>
      <w:r w:rsidRPr="002A13E4">
        <w:rPr>
          <w:color w:val="000000" w:themeColor="text1"/>
        </w:rPr>
        <w:t xml:space="preserve">in the videos) and personal control (i.e., whether the cause </w:t>
      </w:r>
      <w:r w:rsidRPr="002A13E4">
        <w:rPr>
          <w:color w:val="000000" w:themeColor="text1"/>
        </w:rPr>
        <w:lastRenderedPageBreak/>
        <w:t xml:space="preserve">of robotic failures is under the control of the human </w:t>
      </w:r>
      <w:r w:rsidR="00186883" w:rsidRPr="002A13E4">
        <w:rPr>
          <w:color w:val="000000" w:themeColor="text1"/>
        </w:rPr>
        <w:t>interactant</w:t>
      </w:r>
      <w:r w:rsidRPr="002A13E4">
        <w:rPr>
          <w:color w:val="000000" w:themeColor="text1"/>
        </w:rPr>
        <w:t>). As a result, the scale contained four subscales altogether (</w:t>
      </w:r>
      <w:r w:rsidR="00CC7DA2" w:rsidRPr="002A13E4">
        <w:rPr>
          <w:color w:val="000000" w:themeColor="text1"/>
        </w:rPr>
        <w:t xml:space="preserve">i.e., </w:t>
      </w:r>
      <w:r w:rsidRPr="002A13E4">
        <w:rPr>
          <w:color w:val="000000" w:themeColor="text1"/>
        </w:rPr>
        <w:t xml:space="preserve">locus of causality, external control, stability, and personal control; see Table 3 for </w:t>
      </w:r>
      <w:r w:rsidR="00BC4E44" w:rsidRPr="002A13E4">
        <w:rPr>
          <w:color w:val="000000" w:themeColor="text1"/>
        </w:rPr>
        <w:t xml:space="preserve">scale reliability, </w:t>
      </w:r>
      <w:r w:rsidRPr="002A13E4">
        <w:rPr>
          <w:color w:val="000000" w:themeColor="text1"/>
        </w:rPr>
        <w:t>descriptive statistics</w:t>
      </w:r>
      <w:r w:rsidR="00BC0658">
        <w:rPr>
          <w:color w:val="000000" w:themeColor="text1"/>
        </w:rPr>
        <w:t>,</w:t>
      </w:r>
      <w:r w:rsidRPr="002A13E4">
        <w:rPr>
          <w:color w:val="000000" w:themeColor="text1"/>
        </w:rPr>
        <w:t xml:space="preserve"> and bivariate correlations)</w:t>
      </w:r>
      <w:r w:rsidR="00A138CB" w:rsidRPr="002A13E4">
        <w:rPr>
          <w:color w:val="000000" w:themeColor="text1"/>
        </w:rPr>
        <w:t>. The higher scores in each subscale stood for</w:t>
      </w:r>
      <w:r w:rsidR="004C78F5" w:rsidRPr="002A13E4">
        <w:rPr>
          <w:color w:val="000000" w:themeColor="text1"/>
        </w:rPr>
        <w:t xml:space="preserve"> </w:t>
      </w:r>
      <w:r w:rsidR="00A138CB" w:rsidRPr="002A13E4">
        <w:rPr>
          <w:color w:val="000000" w:themeColor="text1"/>
        </w:rPr>
        <w:t>the higher levels of</w:t>
      </w:r>
      <w:r w:rsidR="004C78F5" w:rsidRPr="002A13E4">
        <w:rPr>
          <w:color w:val="000000" w:themeColor="text1"/>
        </w:rPr>
        <w:t xml:space="preserve"> perceived external locus of causality, </w:t>
      </w:r>
      <w:r w:rsidR="000F33EB" w:rsidRPr="002A13E4">
        <w:rPr>
          <w:color w:val="000000" w:themeColor="text1"/>
        </w:rPr>
        <w:t>non-</w:t>
      </w:r>
      <w:r w:rsidR="004C78F5" w:rsidRPr="002A13E4">
        <w:rPr>
          <w:color w:val="000000" w:themeColor="text1"/>
        </w:rPr>
        <w:t>external control, instability, and non-personal control</w:t>
      </w:r>
      <w:r w:rsidRPr="002A13E4">
        <w:rPr>
          <w:color w:val="000000" w:themeColor="text1"/>
        </w:rPr>
        <w:t>.</w:t>
      </w:r>
      <w:r w:rsidR="00BC4E44" w:rsidRPr="002A13E4">
        <w:rPr>
          <w:color w:val="000000" w:themeColor="text1"/>
        </w:rPr>
        <w:t xml:space="preserve"> </w:t>
      </w:r>
      <w:r w:rsidR="00366B17" w:rsidRPr="002A13E4">
        <w:rPr>
          <w:color w:val="000000" w:themeColor="text1"/>
        </w:rPr>
        <w:t xml:space="preserve">The confirmatory analysis </w:t>
      </w:r>
      <w:r w:rsidR="00366B17" w:rsidRPr="002A13E4">
        <w:rPr>
          <w:rFonts w:hint="eastAsia"/>
          <w:color w:val="000000" w:themeColor="text1"/>
        </w:rPr>
        <w:t>indicated</w:t>
      </w:r>
      <w:r w:rsidR="00366B17" w:rsidRPr="002A13E4">
        <w:rPr>
          <w:color w:val="000000" w:themeColor="text1"/>
        </w:rPr>
        <w:t xml:space="preserve"> the initial model fit did not meet the given criteria (RMSEA </w:t>
      </w:r>
      <w:r w:rsidR="00366B17" w:rsidRPr="002A13E4">
        <w:rPr>
          <w:rFonts w:hint="eastAsia"/>
          <w:color w:val="000000" w:themeColor="text1"/>
        </w:rPr>
        <w:t>≤</w:t>
      </w:r>
      <w:r w:rsidR="00366B17" w:rsidRPr="002A13E4">
        <w:rPr>
          <w:color w:val="000000" w:themeColor="text1"/>
        </w:rPr>
        <w:t xml:space="preserve"> .06, CFI </w:t>
      </w:r>
      <w:r w:rsidR="00366B17" w:rsidRPr="002A13E4">
        <w:rPr>
          <w:rFonts w:hint="eastAsia"/>
          <w:color w:val="000000" w:themeColor="text1"/>
        </w:rPr>
        <w:t>≥</w:t>
      </w:r>
      <w:r w:rsidR="00366B17" w:rsidRPr="002A13E4">
        <w:rPr>
          <w:color w:val="000000" w:themeColor="text1"/>
        </w:rPr>
        <w:t xml:space="preserve"> .95, SRMR </w:t>
      </w:r>
      <w:r w:rsidR="00366B17" w:rsidRPr="002A13E4">
        <w:rPr>
          <w:rFonts w:hint="eastAsia"/>
          <w:color w:val="000000" w:themeColor="text1"/>
        </w:rPr>
        <w:t>≤</w:t>
      </w:r>
      <w:r w:rsidR="00366B17" w:rsidRPr="002A13E4">
        <w:rPr>
          <w:color w:val="000000" w:themeColor="text1"/>
        </w:rPr>
        <w:t xml:space="preserve"> .08.) proposed by Hu and </w:t>
      </w:r>
      <w:proofErr w:type="spellStart"/>
      <w:r w:rsidR="00366B17" w:rsidRPr="002A13E4">
        <w:rPr>
          <w:color w:val="000000" w:themeColor="text1"/>
        </w:rPr>
        <w:t>Bentler’s</w:t>
      </w:r>
      <w:proofErr w:type="spellEnd"/>
      <w:r w:rsidR="00366B17" w:rsidRPr="002A13E4">
        <w:rPr>
          <w:color w:val="000000" w:themeColor="text1"/>
        </w:rPr>
        <w:t xml:space="preserve"> (1999): RMSEA = .0</w:t>
      </w:r>
      <w:r w:rsidR="004F70E7" w:rsidRPr="002A13E4">
        <w:rPr>
          <w:color w:val="000000" w:themeColor="text1"/>
        </w:rPr>
        <w:t>8</w:t>
      </w:r>
      <w:r w:rsidR="00366B17" w:rsidRPr="002A13E4">
        <w:rPr>
          <w:color w:val="000000" w:themeColor="text1"/>
        </w:rPr>
        <w:t>, CFI = .</w:t>
      </w:r>
      <w:r w:rsidR="004F70E7" w:rsidRPr="002A13E4">
        <w:rPr>
          <w:color w:val="000000" w:themeColor="text1"/>
        </w:rPr>
        <w:t>92</w:t>
      </w:r>
      <w:r w:rsidR="00366B17" w:rsidRPr="002A13E4">
        <w:rPr>
          <w:color w:val="000000" w:themeColor="text1"/>
        </w:rPr>
        <w:t>, SRMR = .</w:t>
      </w:r>
      <w:r w:rsidR="004F70E7" w:rsidRPr="002A13E4">
        <w:rPr>
          <w:color w:val="000000" w:themeColor="text1"/>
        </w:rPr>
        <w:t>08</w:t>
      </w:r>
      <w:r w:rsidR="00366B17" w:rsidRPr="002A13E4">
        <w:rPr>
          <w:color w:val="000000" w:themeColor="text1"/>
        </w:rPr>
        <w:t xml:space="preserve">. According to </w:t>
      </w:r>
      <w:proofErr w:type="spellStart"/>
      <w:r w:rsidR="00366B17" w:rsidRPr="002A13E4">
        <w:rPr>
          <w:color w:val="000000" w:themeColor="text1"/>
        </w:rPr>
        <w:t>DeVellis</w:t>
      </w:r>
      <w:proofErr w:type="spellEnd"/>
      <w:r w:rsidR="00366B17" w:rsidRPr="002A13E4">
        <w:rPr>
          <w:color w:val="000000" w:themeColor="text1"/>
        </w:rPr>
        <w:t xml:space="preserve"> (2016), a strong path coefficient should be .65 and above, so one </w:t>
      </w:r>
      <w:r w:rsidR="007D3E0B" w:rsidRPr="002A13E4">
        <w:rPr>
          <w:color w:val="000000" w:themeColor="text1"/>
        </w:rPr>
        <w:t xml:space="preserve">indicator </w:t>
      </w:r>
      <w:r w:rsidR="004F70E7" w:rsidRPr="002A13E4">
        <w:rPr>
          <w:color w:val="000000" w:themeColor="text1"/>
        </w:rPr>
        <w:t xml:space="preserve">from the locus subscale and the other </w:t>
      </w:r>
      <w:r w:rsidR="00E53644" w:rsidRPr="002A13E4">
        <w:rPr>
          <w:color w:val="000000" w:themeColor="text1"/>
        </w:rPr>
        <w:t>from the</w:t>
      </w:r>
      <w:r w:rsidR="007D3E0B" w:rsidRPr="002A13E4">
        <w:rPr>
          <w:color w:val="000000" w:themeColor="text1"/>
        </w:rPr>
        <w:t xml:space="preserve"> stability</w:t>
      </w:r>
      <w:r w:rsidR="00366B17" w:rsidRPr="002A13E4">
        <w:rPr>
          <w:color w:val="000000" w:themeColor="text1"/>
        </w:rPr>
        <w:t xml:space="preserve"> </w:t>
      </w:r>
      <w:r w:rsidR="00E53644" w:rsidRPr="002A13E4">
        <w:rPr>
          <w:color w:val="000000" w:themeColor="text1"/>
        </w:rPr>
        <w:t>subscale</w:t>
      </w:r>
      <w:r w:rsidR="004F70E7" w:rsidRPr="002A13E4">
        <w:rPr>
          <w:color w:val="000000" w:themeColor="text1"/>
        </w:rPr>
        <w:t xml:space="preserve"> </w:t>
      </w:r>
      <w:r w:rsidR="00366B17" w:rsidRPr="002A13E4">
        <w:rPr>
          <w:color w:val="000000" w:themeColor="text1"/>
        </w:rPr>
        <w:t>w</w:t>
      </w:r>
      <w:r w:rsidR="004F70E7" w:rsidRPr="002A13E4">
        <w:rPr>
          <w:color w:val="000000" w:themeColor="text1"/>
        </w:rPr>
        <w:t>ere</w:t>
      </w:r>
      <w:r w:rsidR="00366B17" w:rsidRPr="002A13E4">
        <w:rPr>
          <w:color w:val="000000" w:themeColor="text1"/>
        </w:rPr>
        <w:t xml:space="preserve"> dropped</w:t>
      </w:r>
      <w:r w:rsidR="007D3E0B" w:rsidRPr="002A13E4">
        <w:rPr>
          <w:color w:val="000000" w:themeColor="text1"/>
        </w:rPr>
        <w:t xml:space="preserve">, which significantly improved the model: </w:t>
      </w:r>
      <w:bookmarkStart w:id="23" w:name="OLE_LINK9"/>
      <w:bookmarkStart w:id="24" w:name="OLE_LINK10"/>
      <w:r w:rsidR="007D3E0B" w:rsidRPr="002A13E4">
        <w:rPr>
          <w:color w:val="000000" w:themeColor="text1"/>
        </w:rPr>
        <w:t>RMSEA = .0</w:t>
      </w:r>
      <w:r w:rsidR="004F70E7" w:rsidRPr="002A13E4">
        <w:rPr>
          <w:color w:val="000000" w:themeColor="text1"/>
        </w:rPr>
        <w:t>6</w:t>
      </w:r>
      <w:r w:rsidR="007D3E0B" w:rsidRPr="002A13E4">
        <w:rPr>
          <w:color w:val="000000" w:themeColor="text1"/>
        </w:rPr>
        <w:t>, CFI = .9</w:t>
      </w:r>
      <w:r w:rsidR="004F70E7" w:rsidRPr="002A13E4">
        <w:rPr>
          <w:color w:val="000000" w:themeColor="text1"/>
        </w:rPr>
        <w:t>7</w:t>
      </w:r>
      <w:r w:rsidR="007D3E0B" w:rsidRPr="002A13E4">
        <w:rPr>
          <w:color w:val="000000" w:themeColor="text1"/>
        </w:rPr>
        <w:t>, SRMR = .0</w:t>
      </w:r>
      <w:bookmarkEnd w:id="23"/>
      <w:bookmarkEnd w:id="24"/>
      <w:r w:rsidR="004F70E7" w:rsidRPr="002A13E4">
        <w:rPr>
          <w:color w:val="000000" w:themeColor="text1"/>
        </w:rPr>
        <w:t>5</w:t>
      </w:r>
      <w:r w:rsidR="007D3E0B" w:rsidRPr="002A13E4">
        <w:rPr>
          <w:color w:val="000000" w:themeColor="text1"/>
        </w:rPr>
        <w:t xml:space="preserve">. </w:t>
      </w:r>
    </w:p>
    <w:p w14:paraId="75B3E17C" w14:textId="77777777" w:rsidR="00DB7FAE" w:rsidRPr="002A13E4" w:rsidRDefault="00F147F7">
      <w:pPr>
        <w:spacing w:line="480" w:lineRule="auto"/>
        <w:rPr>
          <w:b/>
          <w:color w:val="000000" w:themeColor="text1"/>
        </w:rPr>
      </w:pPr>
      <w:r w:rsidRPr="002A13E4">
        <w:rPr>
          <w:b/>
          <w:color w:val="000000" w:themeColor="text1"/>
        </w:rPr>
        <w:t>Table 3</w:t>
      </w:r>
    </w:p>
    <w:p w14:paraId="10DE5879" w14:textId="7A4AF82C" w:rsidR="00DB7FAE" w:rsidRPr="002A13E4" w:rsidRDefault="00BC4E44">
      <w:pPr>
        <w:rPr>
          <w:i/>
          <w:color w:val="000000" w:themeColor="text1"/>
        </w:rPr>
      </w:pPr>
      <w:r w:rsidRPr="002A13E4">
        <w:rPr>
          <w:i/>
          <w:color w:val="000000" w:themeColor="text1"/>
        </w:rPr>
        <w:t>Scale Reliability, D</w:t>
      </w:r>
      <w:r w:rsidR="00F147F7" w:rsidRPr="002A13E4">
        <w:rPr>
          <w:i/>
          <w:color w:val="000000" w:themeColor="text1"/>
        </w:rPr>
        <w:t>escriptive Statistics and Correlations for Subdimensions of CDSII</w:t>
      </w:r>
    </w:p>
    <w:p w14:paraId="291F96F0" w14:textId="77777777" w:rsidR="00CC7DA2" w:rsidRPr="002A13E4" w:rsidRDefault="00CC7DA2">
      <w:pPr>
        <w:rPr>
          <w:i/>
          <w:color w:val="000000" w:themeColor="text1"/>
        </w:rPr>
      </w:pPr>
    </w:p>
    <w:tbl>
      <w:tblPr>
        <w:tblStyle w:val="a1"/>
        <w:tblW w:w="8835" w:type="dxa"/>
        <w:tblBorders>
          <w:top w:val="nil"/>
          <w:left w:val="nil"/>
          <w:bottom w:val="nil"/>
          <w:right w:val="nil"/>
          <w:insideH w:val="nil"/>
          <w:insideV w:val="nil"/>
        </w:tblBorders>
        <w:tblLayout w:type="fixed"/>
        <w:tblLook w:val="0400" w:firstRow="0" w:lastRow="0" w:firstColumn="0" w:lastColumn="0" w:noHBand="0" w:noVBand="1"/>
      </w:tblPr>
      <w:tblGrid>
        <w:gridCol w:w="2070"/>
        <w:gridCol w:w="1620"/>
        <w:gridCol w:w="900"/>
        <w:gridCol w:w="720"/>
        <w:gridCol w:w="900"/>
        <w:gridCol w:w="900"/>
        <w:gridCol w:w="743"/>
        <w:gridCol w:w="982"/>
      </w:tblGrid>
      <w:tr w:rsidR="00F147F7" w:rsidRPr="002A13E4" w14:paraId="6209A380" w14:textId="77777777" w:rsidTr="00F147F7">
        <w:trPr>
          <w:trHeight w:val="284"/>
        </w:trPr>
        <w:tc>
          <w:tcPr>
            <w:tcW w:w="2070" w:type="dxa"/>
            <w:tcBorders>
              <w:top w:val="single" w:sz="4" w:space="0" w:color="000000"/>
              <w:bottom w:val="single" w:sz="4" w:space="0" w:color="000000"/>
            </w:tcBorders>
          </w:tcPr>
          <w:p w14:paraId="3CF4C857" w14:textId="77777777" w:rsidR="00F147F7" w:rsidRPr="002A13E4" w:rsidRDefault="00F147F7">
            <w:pPr>
              <w:jc w:val="center"/>
              <w:rPr>
                <w:color w:val="000000" w:themeColor="text1"/>
              </w:rPr>
            </w:pPr>
            <w:r w:rsidRPr="002A13E4">
              <w:rPr>
                <w:color w:val="000000" w:themeColor="text1"/>
              </w:rPr>
              <w:t>Variable</w:t>
            </w:r>
          </w:p>
        </w:tc>
        <w:tc>
          <w:tcPr>
            <w:tcW w:w="1620" w:type="dxa"/>
            <w:tcBorders>
              <w:top w:val="single" w:sz="4" w:space="0" w:color="000000"/>
              <w:bottom w:val="single" w:sz="4" w:space="0" w:color="000000"/>
            </w:tcBorders>
          </w:tcPr>
          <w:p w14:paraId="00C9B61A" w14:textId="1DDDFF90" w:rsidR="00F147F7" w:rsidRPr="002A13E4" w:rsidRDefault="00F147F7">
            <w:pPr>
              <w:jc w:val="center"/>
              <w:rPr>
                <w:i/>
                <w:color w:val="000000" w:themeColor="text1"/>
              </w:rPr>
            </w:pPr>
            <w:r w:rsidRPr="002A13E4">
              <w:rPr>
                <w:color w:val="000000" w:themeColor="text1"/>
              </w:rPr>
              <w:t xml:space="preserve">Cronbach’s </w:t>
            </w:r>
            <w:r w:rsidRPr="002A13E4">
              <w:rPr>
                <w:rFonts w:hint="eastAsia"/>
                <w:color w:val="000000" w:themeColor="text1"/>
              </w:rPr>
              <w:t>α</w:t>
            </w:r>
          </w:p>
        </w:tc>
        <w:tc>
          <w:tcPr>
            <w:tcW w:w="900" w:type="dxa"/>
            <w:tcBorders>
              <w:top w:val="single" w:sz="4" w:space="0" w:color="000000"/>
              <w:bottom w:val="single" w:sz="4" w:space="0" w:color="000000"/>
            </w:tcBorders>
          </w:tcPr>
          <w:p w14:paraId="15B675CB" w14:textId="3C937A5A" w:rsidR="00F147F7" w:rsidRPr="002A13E4" w:rsidRDefault="00F147F7">
            <w:pPr>
              <w:jc w:val="center"/>
              <w:rPr>
                <w:i/>
                <w:color w:val="000000" w:themeColor="text1"/>
              </w:rPr>
            </w:pPr>
            <w:r w:rsidRPr="002A13E4">
              <w:rPr>
                <w:i/>
                <w:color w:val="000000" w:themeColor="text1"/>
              </w:rPr>
              <w:t>M</w:t>
            </w:r>
          </w:p>
        </w:tc>
        <w:tc>
          <w:tcPr>
            <w:tcW w:w="720" w:type="dxa"/>
            <w:tcBorders>
              <w:top w:val="single" w:sz="4" w:space="0" w:color="000000"/>
              <w:bottom w:val="single" w:sz="4" w:space="0" w:color="000000"/>
            </w:tcBorders>
          </w:tcPr>
          <w:p w14:paraId="13D1AB77" w14:textId="77777777" w:rsidR="00F147F7" w:rsidRPr="002A13E4" w:rsidRDefault="00F147F7">
            <w:pPr>
              <w:jc w:val="center"/>
              <w:rPr>
                <w:i/>
                <w:color w:val="000000" w:themeColor="text1"/>
              </w:rPr>
            </w:pPr>
            <w:r w:rsidRPr="002A13E4">
              <w:rPr>
                <w:i/>
                <w:color w:val="000000" w:themeColor="text1"/>
              </w:rPr>
              <w:t>SD</w:t>
            </w:r>
          </w:p>
        </w:tc>
        <w:tc>
          <w:tcPr>
            <w:tcW w:w="900" w:type="dxa"/>
            <w:tcBorders>
              <w:top w:val="single" w:sz="4" w:space="0" w:color="000000"/>
              <w:bottom w:val="single" w:sz="4" w:space="0" w:color="000000"/>
            </w:tcBorders>
          </w:tcPr>
          <w:p w14:paraId="6DABA8FA" w14:textId="77777777" w:rsidR="00F147F7" w:rsidRPr="002A13E4" w:rsidRDefault="00F147F7">
            <w:pPr>
              <w:jc w:val="center"/>
              <w:rPr>
                <w:color w:val="000000" w:themeColor="text1"/>
              </w:rPr>
            </w:pPr>
            <w:r w:rsidRPr="002A13E4">
              <w:rPr>
                <w:color w:val="000000" w:themeColor="text1"/>
              </w:rPr>
              <w:t>1</w:t>
            </w:r>
          </w:p>
        </w:tc>
        <w:tc>
          <w:tcPr>
            <w:tcW w:w="900" w:type="dxa"/>
            <w:tcBorders>
              <w:top w:val="single" w:sz="4" w:space="0" w:color="000000"/>
              <w:bottom w:val="single" w:sz="4" w:space="0" w:color="000000"/>
            </w:tcBorders>
          </w:tcPr>
          <w:p w14:paraId="6D7E7A3A" w14:textId="77777777" w:rsidR="00F147F7" w:rsidRPr="002A13E4" w:rsidRDefault="00F147F7">
            <w:pPr>
              <w:jc w:val="center"/>
              <w:rPr>
                <w:color w:val="000000" w:themeColor="text1"/>
              </w:rPr>
            </w:pPr>
            <w:r w:rsidRPr="002A13E4">
              <w:rPr>
                <w:color w:val="000000" w:themeColor="text1"/>
              </w:rPr>
              <w:t>2</w:t>
            </w:r>
          </w:p>
        </w:tc>
        <w:tc>
          <w:tcPr>
            <w:tcW w:w="743" w:type="dxa"/>
            <w:tcBorders>
              <w:top w:val="single" w:sz="4" w:space="0" w:color="000000"/>
              <w:bottom w:val="single" w:sz="4" w:space="0" w:color="000000"/>
            </w:tcBorders>
          </w:tcPr>
          <w:p w14:paraId="2823E335" w14:textId="77777777" w:rsidR="00F147F7" w:rsidRPr="002A13E4" w:rsidRDefault="00F147F7">
            <w:pPr>
              <w:jc w:val="center"/>
              <w:rPr>
                <w:color w:val="000000" w:themeColor="text1"/>
              </w:rPr>
            </w:pPr>
            <w:r w:rsidRPr="002A13E4">
              <w:rPr>
                <w:color w:val="000000" w:themeColor="text1"/>
              </w:rPr>
              <w:t>3</w:t>
            </w:r>
          </w:p>
        </w:tc>
        <w:tc>
          <w:tcPr>
            <w:tcW w:w="982" w:type="dxa"/>
            <w:tcBorders>
              <w:top w:val="single" w:sz="4" w:space="0" w:color="000000"/>
              <w:bottom w:val="single" w:sz="4" w:space="0" w:color="000000"/>
            </w:tcBorders>
          </w:tcPr>
          <w:p w14:paraId="03D01D88" w14:textId="77777777" w:rsidR="00F147F7" w:rsidRPr="002A13E4" w:rsidRDefault="00F147F7">
            <w:pPr>
              <w:jc w:val="center"/>
              <w:rPr>
                <w:color w:val="000000" w:themeColor="text1"/>
              </w:rPr>
            </w:pPr>
            <w:r w:rsidRPr="002A13E4">
              <w:rPr>
                <w:color w:val="000000" w:themeColor="text1"/>
              </w:rPr>
              <w:t>4</w:t>
            </w:r>
          </w:p>
        </w:tc>
      </w:tr>
      <w:tr w:rsidR="00F147F7" w:rsidRPr="002A13E4" w14:paraId="220439F8" w14:textId="77777777" w:rsidTr="00F147F7">
        <w:trPr>
          <w:trHeight w:val="284"/>
        </w:trPr>
        <w:tc>
          <w:tcPr>
            <w:tcW w:w="2070" w:type="dxa"/>
            <w:tcBorders>
              <w:top w:val="single" w:sz="4" w:space="0" w:color="000000"/>
            </w:tcBorders>
          </w:tcPr>
          <w:p w14:paraId="26D24F13" w14:textId="5CE307F0" w:rsidR="00F147F7" w:rsidRPr="002A13E4" w:rsidRDefault="00F147F7">
            <w:pPr>
              <w:rPr>
                <w:color w:val="000000" w:themeColor="text1"/>
              </w:rPr>
            </w:pPr>
            <w:r w:rsidRPr="002A13E4">
              <w:rPr>
                <w:color w:val="000000" w:themeColor="text1"/>
              </w:rPr>
              <w:t xml:space="preserve">1. Locus </w:t>
            </w:r>
          </w:p>
        </w:tc>
        <w:tc>
          <w:tcPr>
            <w:tcW w:w="1620" w:type="dxa"/>
            <w:tcBorders>
              <w:top w:val="single" w:sz="4" w:space="0" w:color="000000"/>
            </w:tcBorders>
          </w:tcPr>
          <w:p w14:paraId="3896E3A7" w14:textId="6479F7DF" w:rsidR="00F147F7" w:rsidRPr="002A13E4" w:rsidRDefault="00BC4E44">
            <w:pPr>
              <w:jc w:val="center"/>
              <w:rPr>
                <w:color w:val="000000" w:themeColor="text1"/>
              </w:rPr>
            </w:pPr>
            <w:r w:rsidRPr="002A13E4">
              <w:rPr>
                <w:color w:val="000000" w:themeColor="text1"/>
              </w:rPr>
              <w:t>.7</w:t>
            </w:r>
            <w:r w:rsidR="004F70E7" w:rsidRPr="002A13E4">
              <w:rPr>
                <w:color w:val="000000" w:themeColor="text1"/>
              </w:rPr>
              <w:t>1</w:t>
            </w:r>
          </w:p>
        </w:tc>
        <w:tc>
          <w:tcPr>
            <w:tcW w:w="900" w:type="dxa"/>
            <w:tcBorders>
              <w:top w:val="single" w:sz="4" w:space="0" w:color="000000"/>
            </w:tcBorders>
          </w:tcPr>
          <w:p w14:paraId="6D30631E" w14:textId="2644002D" w:rsidR="00F147F7" w:rsidRPr="002A13E4" w:rsidRDefault="00F147F7">
            <w:pPr>
              <w:jc w:val="center"/>
              <w:rPr>
                <w:color w:val="000000" w:themeColor="text1"/>
              </w:rPr>
            </w:pPr>
            <w:r w:rsidRPr="002A13E4">
              <w:rPr>
                <w:color w:val="000000" w:themeColor="text1"/>
              </w:rPr>
              <w:t>6.</w:t>
            </w:r>
            <w:r w:rsidR="00120228" w:rsidRPr="002A13E4">
              <w:rPr>
                <w:color w:val="000000" w:themeColor="text1"/>
              </w:rPr>
              <w:t>66</w:t>
            </w:r>
          </w:p>
        </w:tc>
        <w:tc>
          <w:tcPr>
            <w:tcW w:w="720" w:type="dxa"/>
            <w:tcBorders>
              <w:top w:val="single" w:sz="4" w:space="0" w:color="000000"/>
            </w:tcBorders>
          </w:tcPr>
          <w:p w14:paraId="74576038" w14:textId="14AE2E96" w:rsidR="00F147F7" w:rsidRPr="002A13E4" w:rsidRDefault="00F147F7">
            <w:pPr>
              <w:jc w:val="center"/>
              <w:rPr>
                <w:color w:val="000000" w:themeColor="text1"/>
              </w:rPr>
            </w:pPr>
            <w:r w:rsidRPr="002A13E4">
              <w:rPr>
                <w:color w:val="000000" w:themeColor="text1"/>
              </w:rPr>
              <w:t>1.</w:t>
            </w:r>
            <w:r w:rsidR="00120228" w:rsidRPr="002A13E4">
              <w:rPr>
                <w:color w:val="000000" w:themeColor="text1"/>
              </w:rPr>
              <w:t>7</w:t>
            </w:r>
            <w:r w:rsidRPr="002A13E4">
              <w:rPr>
                <w:color w:val="000000" w:themeColor="text1"/>
              </w:rPr>
              <w:t>2</w:t>
            </w:r>
          </w:p>
        </w:tc>
        <w:tc>
          <w:tcPr>
            <w:tcW w:w="900" w:type="dxa"/>
            <w:tcBorders>
              <w:top w:val="single" w:sz="4" w:space="0" w:color="000000"/>
            </w:tcBorders>
          </w:tcPr>
          <w:p w14:paraId="57133AF4" w14:textId="77777777" w:rsidR="00F147F7" w:rsidRPr="002A13E4" w:rsidRDefault="00F147F7">
            <w:pPr>
              <w:jc w:val="center"/>
              <w:rPr>
                <w:color w:val="000000" w:themeColor="text1"/>
              </w:rPr>
            </w:pPr>
            <w:r w:rsidRPr="002A13E4">
              <w:rPr>
                <w:color w:val="000000" w:themeColor="text1"/>
              </w:rPr>
              <w:t>-</w:t>
            </w:r>
          </w:p>
        </w:tc>
        <w:tc>
          <w:tcPr>
            <w:tcW w:w="900" w:type="dxa"/>
            <w:tcBorders>
              <w:top w:val="single" w:sz="4" w:space="0" w:color="000000"/>
            </w:tcBorders>
          </w:tcPr>
          <w:p w14:paraId="17C9912A" w14:textId="77777777" w:rsidR="00F147F7" w:rsidRPr="002A13E4" w:rsidRDefault="00F147F7">
            <w:pPr>
              <w:jc w:val="center"/>
              <w:rPr>
                <w:color w:val="000000" w:themeColor="text1"/>
              </w:rPr>
            </w:pPr>
          </w:p>
        </w:tc>
        <w:tc>
          <w:tcPr>
            <w:tcW w:w="743" w:type="dxa"/>
            <w:tcBorders>
              <w:top w:val="single" w:sz="4" w:space="0" w:color="000000"/>
            </w:tcBorders>
          </w:tcPr>
          <w:p w14:paraId="2AD2A8AA" w14:textId="77777777" w:rsidR="00F147F7" w:rsidRPr="002A13E4" w:rsidRDefault="00F147F7">
            <w:pPr>
              <w:jc w:val="center"/>
              <w:rPr>
                <w:color w:val="000000" w:themeColor="text1"/>
              </w:rPr>
            </w:pPr>
          </w:p>
        </w:tc>
        <w:tc>
          <w:tcPr>
            <w:tcW w:w="982" w:type="dxa"/>
            <w:tcBorders>
              <w:top w:val="single" w:sz="4" w:space="0" w:color="000000"/>
            </w:tcBorders>
          </w:tcPr>
          <w:p w14:paraId="6E9D4245" w14:textId="77777777" w:rsidR="00F147F7" w:rsidRPr="002A13E4" w:rsidRDefault="00F147F7">
            <w:pPr>
              <w:jc w:val="center"/>
              <w:rPr>
                <w:color w:val="000000" w:themeColor="text1"/>
              </w:rPr>
            </w:pPr>
          </w:p>
        </w:tc>
      </w:tr>
      <w:tr w:rsidR="00F147F7" w:rsidRPr="002A13E4" w14:paraId="7A75EDB1" w14:textId="77777777" w:rsidTr="00F147F7">
        <w:trPr>
          <w:trHeight w:val="297"/>
        </w:trPr>
        <w:tc>
          <w:tcPr>
            <w:tcW w:w="2070" w:type="dxa"/>
          </w:tcPr>
          <w:p w14:paraId="17309DF6" w14:textId="77777777" w:rsidR="00F147F7" w:rsidRPr="002A13E4" w:rsidRDefault="00F147F7">
            <w:pPr>
              <w:rPr>
                <w:color w:val="000000" w:themeColor="text1"/>
              </w:rPr>
            </w:pPr>
            <w:r w:rsidRPr="002A13E4">
              <w:rPr>
                <w:color w:val="000000" w:themeColor="text1"/>
              </w:rPr>
              <w:t>2. External control</w:t>
            </w:r>
          </w:p>
        </w:tc>
        <w:tc>
          <w:tcPr>
            <w:tcW w:w="1620" w:type="dxa"/>
          </w:tcPr>
          <w:p w14:paraId="46D6178C" w14:textId="15E9698E" w:rsidR="00F147F7" w:rsidRPr="002A13E4" w:rsidRDefault="00BC4E44">
            <w:pPr>
              <w:jc w:val="center"/>
              <w:rPr>
                <w:color w:val="000000" w:themeColor="text1"/>
              </w:rPr>
            </w:pPr>
            <w:r w:rsidRPr="002A13E4">
              <w:rPr>
                <w:color w:val="000000" w:themeColor="text1"/>
              </w:rPr>
              <w:t>.7</w:t>
            </w:r>
            <w:r w:rsidR="004F70E7" w:rsidRPr="002A13E4">
              <w:rPr>
                <w:color w:val="000000" w:themeColor="text1"/>
              </w:rPr>
              <w:t>6</w:t>
            </w:r>
          </w:p>
        </w:tc>
        <w:tc>
          <w:tcPr>
            <w:tcW w:w="900" w:type="dxa"/>
          </w:tcPr>
          <w:p w14:paraId="3F28A90E" w14:textId="6090D46B" w:rsidR="00F147F7" w:rsidRPr="002A13E4" w:rsidRDefault="006173C4">
            <w:pPr>
              <w:jc w:val="center"/>
              <w:rPr>
                <w:color w:val="000000" w:themeColor="text1"/>
              </w:rPr>
            </w:pPr>
            <w:r w:rsidRPr="002A13E4">
              <w:rPr>
                <w:color w:val="000000" w:themeColor="text1"/>
              </w:rPr>
              <w:t>6.</w:t>
            </w:r>
            <w:r w:rsidR="00120228" w:rsidRPr="002A13E4">
              <w:rPr>
                <w:color w:val="000000" w:themeColor="text1"/>
              </w:rPr>
              <w:t>35</w:t>
            </w:r>
          </w:p>
        </w:tc>
        <w:tc>
          <w:tcPr>
            <w:tcW w:w="720" w:type="dxa"/>
          </w:tcPr>
          <w:p w14:paraId="15EA4AE4" w14:textId="6BE0638F" w:rsidR="00F147F7" w:rsidRPr="002A13E4" w:rsidRDefault="00120228">
            <w:pPr>
              <w:jc w:val="center"/>
              <w:rPr>
                <w:color w:val="000000" w:themeColor="text1"/>
              </w:rPr>
            </w:pPr>
            <w:r w:rsidRPr="002A13E4">
              <w:rPr>
                <w:color w:val="000000" w:themeColor="text1"/>
              </w:rPr>
              <w:t>2.70</w:t>
            </w:r>
          </w:p>
        </w:tc>
        <w:tc>
          <w:tcPr>
            <w:tcW w:w="900" w:type="dxa"/>
          </w:tcPr>
          <w:p w14:paraId="5847C745" w14:textId="0F61062D" w:rsidR="00F147F7" w:rsidRPr="002A13E4" w:rsidRDefault="00F147F7">
            <w:pPr>
              <w:jc w:val="center"/>
              <w:rPr>
                <w:color w:val="000000" w:themeColor="text1"/>
              </w:rPr>
            </w:pPr>
            <w:r w:rsidRPr="002A13E4">
              <w:rPr>
                <w:color w:val="000000" w:themeColor="text1"/>
              </w:rPr>
              <w:t>-.</w:t>
            </w:r>
            <w:r w:rsidR="00120228" w:rsidRPr="002A13E4">
              <w:rPr>
                <w:color w:val="000000" w:themeColor="text1"/>
              </w:rPr>
              <w:t>16</w:t>
            </w:r>
            <w:r w:rsidR="00120228" w:rsidRPr="00BC0658">
              <w:rPr>
                <w:color w:val="000000" w:themeColor="text1"/>
                <w:vertAlign w:val="superscript"/>
              </w:rPr>
              <w:t>*</w:t>
            </w:r>
          </w:p>
        </w:tc>
        <w:tc>
          <w:tcPr>
            <w:tcW w:w="900" w:type="dxa"/>
          </w:tcPr>
          <w:p w14:paraId="54B495FB" w14:textId="77777777" w:rsidR="00F147F7" w:rsidRPr="002A13E4" w:rsidRDefault="00F147F7">
            <w:pPr>
              <w:jc w:val="center"/>
              <w:rPr>
                <w:color w:val="000000" w:themeColor="text1"/>
              </w:rPr>
            </w:pPr>
            <w:r w:rsidRPr="002A13E4">
              <w:rPr>
                <w:color w:val="000000" w:themeColor="text1"/>
              </w:rPr>
              <w:t>-</w:t>
            </w:r>
          </w:p>
        </w:tc>
        <w:tc>
          <w:tcPr>
            <w:tcW w:w="743" w:type="dxa"/>
          </w:tcPr>
          <w:p w14:paraId="2EEA97F3" w14:textId="77777777" w:rsidR="00F147F7" w:rsidRPr="002A13E4" w:rsidRDefault="00F147F7">
            <w:pPr>
              <w:jc w:val="center"/>
              <w:rPr>
                <w:color w:val="000000" w:themeColor="text1"/>
              </w:rPr>
            </w:pPr>
          </w:p>
        </w:tc>
        <w:tc>
          <w:tcPr>
            <w:tcW w:w="982" w:type="dxa"/>
          </w:tcPr>
          <w:p w14:paraId="78D40FFA" w14:textId="77777777" w:rsidR="00F147F7" w:rsidRPr="002A13E4" w:rsidRDefault="00F147F7">
            <w:pPr>
              <w:jc w:val="center"/>
              <w:rPr>
                <w:color w:val="000000" w:themeColor="text1"/>
              </w:rPr>
            </w:pPr>
          </w:p>
        </w:tc>
      </w:tr>
      <w:tr w:rsidR="00F147F7" w:rsidRPr="002A13E4" w14:paraId="2A9ABE73" w14:textId="77777777" w:rsidTr="00F147F7">
        <w:trPr>
          <w:trHeight w:val="284"/>
        </w:trPr>
        <w:tc>
          <w:tcPr>
            <w:tcW w:w="2070" w:type="dxa"/>
          </w:tcPr>
          <w:p w14:paraId="192C9384" w14:textId="77777777" w:rsidR="00F147F7" w:rsidRPr="002A13E4" w:rsidRDefault="00F147F7">
            <w:pPr>
              <w:rPr>
                <w:color w:val="000000" w:themeColor="text1"/>
              </w:rPr>
            </w:pPr>
            <w:r w:rsidRPr="002A13E4">
              <w:rPr>
                <w:color w:val="000000" w:themeColor="text1"/>
              </w:rPr>
              <w:t>3. Stability</w:t>
            </w:r>
          </w:p>
        </w:tc>
        <w:tc>
          <w:tcPr>
            <w:tcW w:w="1620" w:type="dxa"/>
          </w:tcPr>
          <w:p w14:paraId="51E8989B" w14:textId="645412BB" w:rsidR="00F147F7" w:rsidRPr="002A13E4" w:rsidRDefault="00BC4E44">
            <w:pPr>
              <w:jc w:val="center"/>
              <w:rPr>
                <w:color w:val="000000" w:themeColor="text1"/>
              </w:rPr>
            </w:pPr>
            <w:r w:rsidRPr="002A13E4">
              <w:rPr>
                <w:color w:val="000000" w:themeColor="text1"/>
              </w:rPr>
              <w:t>.</w:t>
            </w:r>
            <w:r w:rsidR="00202828" w:rsidRPr="002A13E4">
              <w:rPr>
                <w:color w:val="000000" w:themeColor="text1"/>
              </w:rPr>
              <w:t>65</w:t>
            </w:r>
          </w:p>
        </w:tc>
        <w:tc>
          <w:tcPr>
            <w:tcW w:w="900" w:type="dxa"/>
          </w:tcPr>
          <w:p w14:paraId="5E23FE4D" w14:textId="5FAEB462" w:rsidR="00F147F7" w:rsidRPr="002A13E4" w:rsidRDefault="00F147F7">
            <w:pPr>
              <w:jc w:val="center"/>
              <w:rPr>
                <w:color w:val="000000" w:themeColor="text1"/>
              </w:rPr>
            </w:pPr>
            <w:r w:rsidRPr="002A13E4">
              <w:rPr>
                <w:color w:val="000000" w:themeColor="text1"/>
              </w:rPr>
              <w:t>6.</w:t>
            </w:r>
            <w:r w:rsidR="00120228" w:rsidRPr="002A13E4">
              <w:rPr>
                <w:color w:val="000000" w:themeColor="text1"/>
              </w:rPr>
              <w:t>37</w:t>
            </w:r>
          </w:p>
        </w:tc>
        <w:tc>
          <w:tcPr>
            <w:tcW w:w="720" w:type="dxa"/>
          </w:tcPr>
          <w:p w14:paraId="25DFB787" w14:textId="67CC4F65" w:rsidR="00F147F7" w:rsidRPr="002A13E4" w:rsidRDefault="00F147F7">
            <w:pPr>
              <w:jc w:val="center"/>
              <w:rPr>
                <w:color w:val="000000" w:themeColor="text1"/>
              </w:rPr>
            </w:pPr>
            <w:r w:rsidRPr="002A13E4">
              <w:rPr>
                <w:color w:val="000000" w:themeColor="text1"/>
              </w:rPr>
              <w:t>1.</w:t>
            </w:r>
            <w:r w:rsidR="00120228" w:rsidRPr="002A13E4">
              <w:rPr>
                <w:color w:val="000000" w:themeColor="text1"/>
              </w:rPr>
              <w:t>72</w:t>
            </w:r>
          </w:p>
        </w:tc>
        <w:tc>
          <w:tcPr>
            <w:tcW w:w="900" w:type="dxa"/>
          </w:tcPr>
          <w:p w14:paraId="12906A92" w14:textId="09BB3124" w:rsidR="00F147F7" w:rsidRPr="002A13E4" w:rsidRDefault="00F147F7">
            <w:pPr>
              <w:jc w:val="center"/>
              <w:rPr>
                <w:color w:val="000000" w:themeColor="text1"/>
              </w:rPr>
            </w:pPr>
            <w:r w:rsidRPr="002A13E4">
              <w:rPr>
                <w:color w:val="000000" w:themeColor="text1"/>
              </w:rPr>
              <w:t>.</w:t>
            </w:r>
            <w:r w:rsidR="00120228" w:rsidRPr="002A13E4">
              <w:rPr>
                <w:color w:val="000000" w:themeColor="text1"/>
              </w:rPr>
              <w:t>24</w:t>
            </w:r>
            <w:r w:rsidRPr="00BC0658">
              <w:rPr>
                <w:color w:val="000000" w:themeColor="text1"/>
                <w:vertAlign w:val="superscript"/>
              </w:rPr>
              <w:t>*</w:t>
            </w:r>
          </w:p>
        </w:tc>
        <w:tc>
          <w:tcPr>
            <w:tcW w:w="900" w:type="dxa"/>
          </w:tcPr>
          <w:p w14:paraId="4955232D" w14:textId="35CBAB05" w:rsidR="00F147F7" w:rsidRPr="002A13E4" w:rsidRDefault="00120228">
            <w:pPr>
              <w:jc w:val="center"/>
              <w:rPr>
                <w:color w:val="000000" w:themeColor="text1"/>
              </w:rPr>
            </w:pPr>
            <w:r w:rsidRPr="002A13E4">
              <w:rPr>
                <w:color w:val="000000" w:themeColor="text1"/>
              </w:rPr>
              <w:t>-</w:t>
            </w:r>
            <w:r w:rsidR="00F147F7" w:rsidRPr="002A13E4">
              <w:rPr>
                <w:color w:val="000000" w:themeColor="text1"/>
              </w:rPr>
              <w:t>.</w:t>
            </w:r>
            <w:r w:rsidR="006173C4" w:rsidRPr="002A13E4">
              <w:rPr>
                <w:color w:val="000000" w:themeColor="text1"/>
              </w:rPr>
              <w:t>3</w:t>
            </w:r>
            <w:r w:rsidRPr="002A13E4">
              <w:rPr>
                <w:color w:val="000000" w:themeColor="text1"/>
              </w:rPr>
              <w:t>3</w:t>
            </w:r>
            <w:r w:rsidR="00F147F7" w:rsidRPr="00BC0658">
              <w:rPr>
                <w:color w:val="000000" w:themeColor="text1"/>
                <w:vertAlign w:val="superscript"/>
              </w:rPr>
              <w:t>*</w:t>
            </w:r>
          </w:p>
        </w:tc>
        <w:tc>
          <w:tcPr>
            <w:tcW w:w="743" w:type="dxa"/>
          </w:tcPr>
          <w:p w14:paraId="623361C4" w14:textId="77777777" w:rsidR="00F147F7" w:rsidRPr="002A13E4" w:rsidRDefault="00F147F7">
            <w:pPr>
              <w:jc w:val="center"/>
              <w:rPr>
                <w:color w:val="000000" w:themeColor="text1"/>
              </w:rPr>
            </w:pPr>
            <w:r w:rsidRPr="002A13E4">
              <w:rPr>
                <w:color w:val="000000" w:themeColor="text1"/>
              </w:rPr>
              <w:t>-</w:t>
            </w:r>
          </w:p>
        </w:tc>
        <w:tc>
          <w:tcPr>
            <w:tcW w:w="982" w:type="dxa"/>
          </w:tcPr>
          <w:p w14:paraId="683A9609" w14:textId="77777777" w:rsidR="00F147F7" w:rsidRPr="002A13E4" w:rsidRDefault="00F147F7">
            <w:pPr>
              <w:jc w:val="center"/>
              <w:rPr>
                <w:color w:val="000000" w:themeColor="text1"/>
              </w:rPr>
            </w:pPr>
          </w:p>
        </w:tc>
      </w:tr>
      <w:tr w:rsidR="00F147F7" w:rsidRPr="002A13E4" w14:paraId="26178F33" w14:textId="77777777" w:rsidTr="00F147F7">
        <w:trPr>
          <w:trHeight w:val="284"/>
        </w:trPr>
        <w:tc>
          <w:tcPr>
            <w:tcW w:w="2070" w:type="dxa"/>
            <w:tcBorders>
              <w:bottom w:val="single" w:sz="4" w:space="0" w:color="000000"/>
            </w:tcBorders>
          </w:tcPr>
          <w:p w14:paraId="0D88F9D4" w14:textId="77777777" w:rsidR="00F147F7" w:rsidRPr="002A13E4" w:rsidRDefault="00F147F7">
            <w:pPr>
              <w:rPr>
                <w:color w:val="000000" w:themeColor="text1"/>
              </w:rPr>
            </w:pPr>
            <w:r w:rsidRPr="002A13E4">
              <w:rPr>
                <w:color w:val="000000" w:themeColor="text1"/>
              </w:rPr>
              <w:t>4. Personal control</w:t>
            </w:r>
          </w:p>
        </w:tc>
        <w:tc>
          <w:tcPr>
            <w:tcW w:w="1620" w:type="dxa"/>
            <w:tcBorders>
              <w:bottom w:val="single" w:sz="4" w:space="0" w:color="000000"/>
            </w:tcBorders>
          </w:tcPr>
          <w:p w14:paraId="407ED0AD" w14:textId="5ACAC3B8" w:rsidR="00F147F7" w:rsidRPr="002A13E4" w:rsidRDefault="00BC4E44">
            <w:pPr>
              <w:jc w:val="center"/>
              <w:rPr>
                <w:color w:val="000000" w:themeColor="text1"/>
              </w:rPr>
            </w:pPr>
            <w:r w:rsidRPr="002A13E4">
              <w:rPr>
                <w:color w:val="000000" w:themeColor="text1"/>
              </w:rPr>
              <w:t>.88</w:t>
            </w:r>
          </w:p>
        </w:tc>
        <w:tc>
          <w:tcPr>
            <w:tcW w:w="900" w:type="dxa"/>
            <w:tcBorders>
              <w:bottom w:val="single" w:sz="4" w:space="0" w:color="000000"/>
            </w:tcBorders>
          </w:tcPr>
          <w:p w14:paraId="5AE4E865" w14:textId="1E12D60A" w:rsidR="00F147F7" w:rsidRPr="002A13E4" w:rsidRDefault="00120228">
            <w:pPr>
              <w:jc w:val="center"/>
              <w:rPr>
                <w:color w:val="000000" w:themeColor="text1"/>
              </w:rPr>
            </w:pPr>
            <w:r w:rsidRPr="002A13E4">
              <w:rPr>
                <w:color w:val="000000" w:themeColor="text1"/>
              </w:rPr>
              <w:t>5.62</w:t>
            </w:r>
          </w:p>
        </w:tc>
        <w:tc>
          <w:tcPr>
            <w:tcW w:w="720" w:type="dxa"/>
            <w:tcBorders>
              <w:bottom w:val="single" w:sz="4" w:space="0" w:color="000000"/>
            </w:tcBorders>
          </w:tcPr>
          <w:p w14:paraId="1AB4553E" w14:textId="1B62A817" w:rsidR="00F147F7" w:rsidRPr="002A13E4" w:rsidRDefault="00120228">
            <w:pPr>
              <w:jc w:val="center"/>
              <w:rPr>
                <w:color w:val="000000" w:themeColor="text1"/>
              </w:rPr>
            </w:pPr>
            <w:r w:rsidRPr="002A13E4">
              <w:rPr>
                <w:color w:val="000000" w:themeColor="text1"/>
              </w:rPr>
              <w:t>2.11</w:t>
            </w:r>
          </w:p>
        </w:tc>
        <w:tc>
          <w:tcPr>
            <w:tcW w:w="900" w:type="dxa"/>
            <w:tcBorders>
              <w:bottom w:val="single" w:sz="4" w:space="0" w:color="000000"/>
            </w:tcBorders>
          </w:tcPr>
          <w:p w14:paraId="1336EA3E" w14:textId="6A9CFC21" w:rsidR="00F147F7" w:rsidRPr="002A13E4" w:rsidRDefault="00F147F7">
            <w:pPr>
              <w:jc w:val="center"/>
              <w:rPr>
                <w:color w:val="000000" w:themeColor="text1"/>
              </w:rPr>
            </w:pPr>
            <w:r w:rsidRPr="002A13E4">
              <w:rPr>
                <w:color w:val="000000" w:themeColor="text1"/>
              </w:rPr>
              <w:t>.</w:t>
            </w:r>
            <w:r w:rsidR="00120228" w:rsidRPr="002A13E4">
              <w:rPr>
                <w:color w:val="000000" w:themeColor="text1"/>
              </w:rPr>
              <w:t>43</w:t>
            </w:r>
            <w:r w:rsidRPr="00BC0658">
              <w:rPr>
                <w:color w:val="000000" w:themeColor="text1"/>
                <w:vertAlign w:val="superscript"/>
              </w:rPr>
              <w:t>*</w:t>
            </w:r>
          </w:p>
        </w:tc>
        <w:tc>
          <w:tcPr>
            <w:tcW w:w="900" w:type="dxa"/>
            <w:tcBorders>
              <w:bottom w:val="single" w:sz="4" w:space="0" w:color="000000"/>
            </w:tcBorders>
          </w:tcPr>
          <w:p w14:paraId="3CC50146" w14:textId="5528E35E" w:rsidR="00F147F7" w:rsidRPr="002A13E4" w:rsidRDefault="00F147F7">
            <w:pPr>
              <w:jc w:val="center"/>
              <w:rPr>
                <w:color w:val="000000" w:themeColor="text1"/>
              </w:rPr>
            </w:pPr>
            <w:r w:rsidRPr="002A13E4">
              <w:rPr>
                <w:color w:val="000000" w:themeColor="text1"/>
              </w:rPr>
              <w:t>.</w:t>
            </w:r>
            <w:r w:rsidR="00120228" w:rsidRPr="002A13E4">
              <w:rPr>
                <w:color w:val="000000" w:themeColor="text1"/>
              </w:rPr>
              <w:t>09</w:t>
            </w:r>
            <w:r w:rsidRPr="00BC0658">
              <w:rPr>
                <w:color w:val="000000" w:themeColor="text1"/>
                <w:vertAlign w:val="superscript"/>
              </w:rPr>
              <w:t>*</w:t>
            </w:r>
          </w:p>
        </w:tc>
        <w:tc>
          <w:tcPr>
            <w:tcW w:w="743" w:type="dxa"/>
            <w:tcBorders>
              <w:bottom w:val="single" w:sz="4" w:space="0" w:color="000000"/>
            </w:tcBorders>
          </w:tcPr>
          <w:p w14:paraId="6CCEAF79" w14:textId="2294D6A0" w:rsidR="00F147F7" w:rsidRPr="002A13E4" w:rsidRDefault="00120228">
            <w:pPr>
              <w:jc w:val="center"/>
              <w:rPr>
                <w:color w:val="000000" w:themeColor="text1"/>
              </w:rPr>
            </w:pPr>
            <w:r w:rsidRPr="002A13E4">
              <w:rPr>
                <w:color w:val="000000" w:themeColor="text1"/>
              </w:rPr>
              <w:t>-</w:t>
            </w:r>
            <w:r w:rsidR="00F147F7" w:rsidRPr="002A13E4">
              <w:rPr>
                <w:color w:val="000000" w:themeColor="text1"/>
              </w:rPr>
              <w:t>.1</w:t>
            </w:r>
            <w:r w:rsidRPr="002A13E4">
              <w:rPr>
                <w:color w:val="000000" w:themeColor="text1"/>
              </w:rPr>
              <w:t>0</w:t>
            </w:r>
            <w:r w:rsidR="00F147F7" w:rsidRPr="00BC0658">
              <w:rPr>
                <w:color w:val="000000" w:themeColor="text1"/>
                <w:vertAlign w:val="superscript"/>
              </w:rPr>
              <w:t>*</w:t>
            </w:r>
          </w:p>
        </w:tc>
        <w:tc>
          <w:tcPr>
            <w:tcW w:w="982" w:type="dxa"/>
            <w:tcBorders>
              <w:bottom w:val="single" w:sz="4" w:space="0" w:color="000000"/>
            </w:tcBorders>
          </w:tcPr>
          <w:p w14:paraId="502E9504" w14:textId="77777777" w:rsidR="00F147F7" w:rsidRPr="002A13E4" w:rsidRDefault="00F147F7">
            <w:pPr>
              <w:jc w:val="center"/>
              <w:rPr>
                <w:color w:val="000000" w:themeColor="text1"/>
              </w:rPr>
            </w:pPr>
            <w:r w:rsidRPr="002A13E4">
              <w:rPr>
                <w:color w:val="000000" w:themeColor="text1"/>
              </w:rPr>
              <w:t>-</w:t>
            </w:r>
          </w:p>
        </w:tc>
      </w:tr>
    </w:tbl>
    <w:p w14:paraId="77143A31" w14:textId="27464311" w:rsidR="00DB7FAE" w:rsidRPr="002A13E4" w:rsidRDefault="00F147F7" w:rsidP="00D64CA4">
      <w:pPr>
        <w:rPr>
          <w:color w:val="000000" w:themeColor="text1"/>
        </w:rPr>
      </w:pPr>
      <w:r w:rsidRPr="00BC0658">
        <w:rPr>
          <w:color w:val="000000" w:themeColor="text1"/>
          <w:vertAlign w:val="superscript"/>
        </w:rPr>
        <w:t>*</w:t>
      </w:r>
      <w:r w:rsidR="006173C4" w:rsidRPr="002A13E4">
        <w:rPr>
          <w:i/>
          <w:color w:val="000000" w:themeColor="text1"/>
        </w:rPr>
        <w:t xml:space="preserve"> </w:t>
      </w:r>
      <w:r w:rsidRPr="002A13E4">
        <w:rPr>
          <w:i/>
          <w:color w:val="000000" w:themeColor="text1"/>
        </w:rPr>
        <w:t>p</w:t>
      </w:r>
      <w:r w:rsidRPr="002A13E4">
        <w:rPr>
          <w:color w:val="000000" w:themeColor="text1"/>
        </w:rPr>
        <w:t xml:space="preserve"> &lt; .01</w:t>
      </w:r>
    </w:p>
    <w:p w14:paraId="5E096B5A" w14:textId="77777777" w:rsidR="00DB7FAE" w:rsidRPr="00D64CA4" w:rsidRDefault="00F147F7" w:rsidP="00D64CA4">
      <w:pPr>
        <w:pStyle w:val="Heading1"/>
        <w:spacing w:before="0" w:line="480" w:lineRule="auto"/>
        <w:rPr>
          <w:color w:val="000000" w:themeColor="text1"/>
        </w:rPr>
      </w:pPr>
      <w:bookmarkStart w:id="25" w:name="_Toc73716034"/>
      <w:r w:rsidRPr="00D64CA4">
        <w:rPr>
          <w:color w:val="000000" w:themeColor="text1"/>
        </w:rPr>
        <w:t>Results</w:t>
      </w:r>
      <w:bookmarkEnd w:id="25"/>
    </w:p>
    <w:p w14:paraId="38060470" w14:textId="43741F90" w:rsidR="00D3157E" w:rsidRPr="002A13E4" w:rsidRDefault="00A138CB" w:rsidP="00D64CA4">
      <w:pPr>
        <w:spacing w:line="480" w:lineRule="auto"/>
        <w:ind w:firstLine="720"/>
        <w:rPr>
          <w:color w:val="000000" w:themeColor="text1"/>
        </w:rPr>
      </w:pPr>
      <w:r w:rsidRPr="002A13E4">
        <w:rPr>
          <w:color w:val="000000" w:themeColor="text1"/>
        </w:rPr>
        <w:t xml:space="preserve">Mean substitutions were implemented as the remedy for missing data. Initially, all variables were normally distributed </w:t>
      </w:r>
      <w:r w:rsidR="00FC4F95" w:rsidRPr="002A13E4">
        <w:rPr>
          <w:color w:val="000000" w:themeColor="text1"/>
        </w:rPr>
        <w:t>based on the criteria suggested by Osborne (2003) that skewness and kurtosis with absolute values smaller than 1 should not raise concern</w:t>
      </w:r>
      <w:r w:rsidR="00120228" w:rsidRPr="002A13E4">
        <w:rPr>
          <w:color w:val="000000" w:themeColor="text1"/>
        </w:rPr>
        <w:t xml:space="preserve">. </w:t>
      </w:r>
      <w:r w:rsidR="00F147F7" w:rsidRPr="002A13E4">
        <w:rPr>
          <w:color w:val="000000" w:themeColor="text1"/>
        </w:rPr>
        <w:t xml:space="preserve">To </w:t>
      </w:r>
      <w:r w:rsidR="00A70F81" w:rsidRPr="002A13E4">
        <w:rPr>
          <w:color w:val="000000" w:themeColor="text1"/>
        </w:rPr>
        <w:t xml:space="preserve">test </w:t>
      </w:r>
      <w:r w:rsidR="00F147F7" w:rsidRPr="002A13E4">
        <w:rPr>
          <w:color w:val="000000" w:themeColor="text1"/>
        </w:rPr>
        <w:t xml:space="preserve">effectiveness of </w:t>
      </w:r>
      <w:r w:rsidR="00A70F81" w:rsidRPr="002A13E4">
        <w:rPr>
          <w:color w:val="000000" w:themeColor="text1"/>
        </w:rPr>
        <w:t xml:space="preserve">the </w:t>
      </w:r>
      <w:r w:rsidR="00F147F7" w:rsidRPr="002A13E4">
        <w:rPr>
          <w:color w:val="000000" w:themeColor="text1"/>
        </w:rPr>
        <w:t>manipulation, A multivariate analysis of covariance (MANCOVA) was first conducted to examine whether the experimental conditions significantly differed from the failure-free condition</w:t>
      </w:r>
      <w:r w:rsidR="00926F37" w:rsidRPr="002A13E4">
        <w:rPr>
          <w:color w:val="000000" w:themeColor="text1"/>
        </w:rPr>
        <w:t xml:space="preserve"> after removing </w:t>
      </w:r>
      <w:r w:rsidR="00D3157E" w:rsidRPr="002A13E4">
        <w:rPr>
          <w:color w:val="000000" w:themeColor="text1"/>
        </w:rPr>
        <w:t>five</w:t>
      </w:r>
      <w:r w:rsidR="00926F37" w:rsidRPr="002A13E4">
        <w:rPr>
          <w:color w:val="000000" w:themeColor="text1"/>
        </w:rPr>
        <w:t xml:space="preserve"> multivariate outlier</w:t>
      </w:r>
      <w:r w:rsidR="00D3157E" w:rsidRPr="002A13E4">
        <w:rPr>
          <w:color w:val="000000" w:themeColor="text1"/>
        </w:rPr>
        <w:t>s</w:t>
      </w:r>
      <w:r w:rsidR="00926F37" w:rsidRPr="002A13E4">
        <w:rPr>
          <w:color w:val="000000" w:themeColor="text1"/>
        </w:rPr>
        <w:t xml:space="preserve">, </w:t>
      </w:r>
      <w:r w:rsidR="00926F37" w:rsidRPr="002A13E4">
        <w:rPr>
          <w:i/>
          <w:iCs/>
          <w:color w:val="000000" w:themeColor="text1"/>
        </w:rPr>
        <w:t>p</w:t>
      </w:r>
      <w:r w:rsidR="00926F37" w:rsidRPr="002A13E4">
        <w:rPr>
          <w:color w:val="000000" w:themeColor="text1"/>
        </w:rPr>
        <w:t xml:space="preserve"> &lt; .001</w:t>
      </w:r>
      <w:r w:rsidR="00F147F7" w:rsidRPr="002A13E4">
        <w:rPr>
          <w:color w:val="000000" w:themeColor="text1"/>
        </w:rPr>
        <w:t xml:space="preserve">, with perceived competence and perceived integrity entered as dependent variables as well as propensity to trust </w:t>
      </w:r>
      <w:r w:rsidR="00D3157E" w:rsidRPr="002A13E4">
        <w:rPr>
          <w:color w:val="000000" w:themeColor="text1"/>
        </w:rPr>
        <w:lastRenderedPageBreak/>
        <w:t xml:space="preserve">robots </w:t>
      </w:r>
      <w:r w:rsidR="00F147F7" w:rsidRPr="002A13E4">
        <w:rPr>
          <w:color w:val="000000" w:themeColor="text1"/>
        </w:rPr>
        <w:t xml:space="preserve">and </w:t>
      </w:r>
      <w:r w:rsidR="001C19EF" w:rsidRPr="002A13E4">
        <w:rPr>
          <w:color w:val="000000" w:themeColor="text1"/>
        </w:rPr>
        <w:t>entity beliefs</w:t>
      </w:r>
      <w:r w:rsidR="00F147F7" w:rsidRPr="002A13E4">
        <w:rPr>
          <w:color w:val="000000" w:themeColor="text1"/>
        </w:rPr>
        <w:t xml:space="preserve"> entered as covariates. </w:t>
      </w:r>
      <w:r w:rsidR="00D3157E" w:rsidRPr="002A13E4">
        <w:rPr>
          <w:color w:val="000000" w:themeColor="text1"/>
        </w:rPr>
        <w:t>Because propensity to trust was a significant covariate</w:t>
      </w:r>
      <w:r w:rsidR="006865B2" w:rsidRPr="002A13E4">
        <w:rPr>
          <w:color w:val="000000" w:themeColor="text1"/>
        </w:rPr>
        <w:t>,</w:t>
      </w:r>
      <w:r w:rsidR="00D3157E" w:rsidRPr="002A13E4">
        <w:rPr>
          <w:color w:val="000000" w:themeColor="text1"/>
        </w:rPr>
        <w:t xml:space="preserve"> </w:t>
      </w:r>
      <w:r w:rsidR="00D3157E" w:rsidRPr="002A13E4">
        <w:rPr>
          <w:i/>
          <w:color w:val="000000" w:themeColor="text1"/>
        </w:rPr>
        <w:t>p</w:t>
      </w:r>
      <w:r w:rsidR="00D3157E" w:rsidRPr="002A13E4">
        <w:rPr>
          <w:color w:val="000000" w:themeColor="text1"/>
        </w:rPr>
        <w:t xml:space="preserve"> &lt; .01, whereas entity beliefs was not</w:t>
      </w:r>
      <w:r w:rsidR="006865B2" w:rsidRPr="002A13E4">
        <w:rPr>
          <w:color w:val="000000" w:themeColor="text1"/>
        </w:rPr>
        <w:t xml:space="preserve">, </w:t>
      </w:r>
      <w:r w:rsidR="00D3157E" w:rsidRPr="002A13E4">
        <w:rPr>
          <w:i/>
          <w:color w:val="000000" w:themeColor="text1"/>
        </w:rPr>
        <w:t>p</w:t>
      </w:r>
      <w:r w:rsidR="00D3157E" w:rsidRPr="002A13E4">
        <w:rPr>
          <w:color w:val="000000" w:themeColor="text1"/>
        </w:rPr>
        <w:t xml:space="preserve"> = .53, the </w:t>
      </w:r>
      <w:r w:rsidR="00F17943" w:rsidRPr="002A13E4">
        <w:rPr>
          <w:color w:val="000000" w:themeColor="text1"/>
        </w:rPr>
        <w:t xml:space="preserve">MANCOVA </w:t>
      </w:r>
      <w:r w:rsidR="00D3157E" w:rsidRPr="002A13E4">
        <w:rPr>
          <w:color w:val="000000" w:themeColor="text1"/>
        </w:rPr>
        <w:t xml:space="preserve">model </w:t>
      </w:r>
      <w:r w:rsidR="00F17943" w:rsidRPr="002A13E4">
        <w:rPr>
          <w:color w:val="000000" w:themeColor="text1"/>
        </w:rPr>
        <w:t>was reconstructed after excluding entity beliefs.</w:t>
      </w:r>
    </w:p>
    <w:p w14:paraId="2A6837C9" w14:textId="1B4B7FB6" w:rsidR="00DB7FAE" w:rsidRPr="002A13E4" w:rsidRDefault="0027758A" w:rsidP="00F8346C">
      <w:pPr>
        <w:spacing w:line="480" w:lineRule="auto"/>
        <w:ind w:firstLine="720"/>
        <w:rPr>
          <w:color w:val="000000" w:themeColor="text1"/>
        </w:rPr>
      </w:pPr>
      <w:r w:rsidRPr="002A13E4">
        <w:rPr>
          <w:color w:val="000000" w:themeColor="text1"/>
        </w:rPr>
        <w:t xml:space="preserve">The assumption of homogeneity </w:t>
      </w:r>
      <w:r w:rsidR="00186883" w:rsidRPr="002A13E4">
        <w:rPr>
          <w:color w:val="000000" w:themeColor="text1"/>
        </w:rPr>
        <w:t xml:space="preserve">of covariance </w:t>
      </w:r>
      <w:r w:rsidRPr="002A13E4">
        <w:rPr>
          <w:color w:val="000000" w:themeColor="text1"/>
        </w:rPr>
        <w:t>was met</w:t>
      </w:r>
      <w:r w:rsidR="00F17943" w:rsidRPr="002A13E4">
        <w:rPr>
          <w:color w:val="000000" w:themeColor="text1"/>
        </w:rPr>
        <w:t xml:space="preserve"> based on the cutoff value, .01, suggested by </w:t>
      </w:r>
      <w:proofErr w:type="spellStart"/>
      <w:r w:rsidR="00F17943" w:rsidRPr="002A13E4">
        <w:rPr>
          <w:color w:val="000000" w:themeColor="text1"/>
        </w:rPr>
        <w:t>Tabachnick</w:t>
      </w:r>
      <w:proofErr w:type="spellEnd"/>
      <w:r w:rsidR="00F17943" w:rsidRPr="002A13E4">
        <w:rPr>
          <w:color w:val="000000" w:themeColor="text1"/>
        </w:rPr>
        <w:t xml:space="preserve"> and </w:t>
      </w:r>
      <w:proofErr w:type="spellStart"/>
      <w:r w:rsidR="00F17943" w:rsidRPr="002A13E4">
        <w:rPr>
          <w:color w:val="000000" w:themeColor="text1"/>
        </w:rPr>
        <w:t>Fidell</w:t>
      </w:r>
      <w:proofErr w:type="spellEnd"/>
      <w:r w:rsidR="00F17943" w:rsidRPr="002A13E4">
        <w:rPr>
          <w:color w:val="000000" w:themeColor="text1"/>
        </w:rPr>
        <w:t xml:space="preserve"> (2007)</w:t>
      </w:r>
      <w:r w:rsidRPr="002A13E4">
        <w:rPr>
          <w:color w:val="000000" w:themeColor="text1"/>
        </w:rPr>
        <w:t xml:space="preserve">, </w:t>
      </w:r>
      <w:r w:rsidR="00793C32" w:rsidRPr="002A13E4">
        <w:rPr>
          <w:color w:val="000000" w:themeColor="text1"/>
        </w:rPr>
        <w:t xml:space="preserve">Box’s </w:t>
      </w:r>
      <w:r w:rsidR="00793C32" w:rsidRPr="002A13E4">
        <w:rPr>
          <w:i/>
          <w:iCs/>
          <w:color w:val="000000" w:themeColor="text1"/>
        </w:rPr>
        <w:t>M</w:t>
      </w:r>
      <w:r w:rsidR="00793C32" w:rsidRPr="002A13E4">
        <w:rPr>
          <w:color w:val="000000" w:themeColor="text1"/>
        </w:rPr>
        <w:t xml:space="preserve"> = </w:t>
      </w:r>
      <w:r w:rsidR="00120228" w:rsidRPr="002A13E4">
        <w:rPr>
          <w:color w:val="000000" w:themeColor="text1"/>
        </w:rPr>
        <w:t>5</w:t>
      </w:r>
      <w:r w:rsidR="00F17943" w:rsidRPr="002A13E4">
        <w:rPr>
          <w:color w:val="000000" w:themeColor="text1"/>
        </w:rPr>
        <w:t>7</w:t>
      </w:r>
      <w:r w:rsidR="00120228" w:rsidRPr="002A13E4">
        <w:rPr>
          <w:color w:val="000000" w:themeColor="text1"/>
        </w:rPr>
        <w:t>.0</w:t>
      </w:r>
      <w:r w:rsidR="00F17943" w:rsidRPr="002A13E4">
        <w:rPr>
          <w:color w:val="000000" w:themeColor="text1"/>
        </w:rPr>
        <w:t>9</w:t>
      </w:r>
      <w:r w:rsidR="00793C32" w:rsidRPr="002A13E4">
        <w:rPr>
          <w:color w:val="000000" w:themeColor="text1"/>
        </w:rPr>
        <w:t xml:space="preserve">, </w:t>
      </w:r>
      <w:proofErr w:type="gramStart"/>
      <w:r w:rsidR="00793C32" w:rsidRPr="002A13E4">
        <w:rPr>
          <w:i/>
          <w:iCs/>
          <w:color w:val="000000" w:themeColor="text1"/>
        </w:rPr>
        <w:t>F</w:t>
      </w:r>
      <w:r w:rsidR="00793C32" w:rsidRPr="002A13E4">
        <w:rPr>
          <w:color w:val="000000" w:themeColor="text1"/>
        </w:rPr>
        <w:t>(</w:t>
      </w:r>
      <w:proofErr w:type="gramEnd"/>
      <w:r w:rsidR="00120228" w:rsidRPr="002A13E4">
        <w:rPr>
          <w:color w:val="000000" w:themeColor="text1"/>
        </w:rPr>
        <w:t>36</w:t>
      </w:r>
      <w:r w:rsidR="00793C32" w:rsidRPr="002A13E4">
        <w:rPr>
          <w:color w:val="000000" w:themeColor="text1"/>
        </w:rPr>
        <w:t xml:space="preserve">, </w:t>
      </w:r>
      <w:r w:rsidR="00F17943" w:rsidRPr="002A13E4">
        <w:rPr>
          <w:color w:val="000000" w:themeColor="text1"/>
        </w:rPr>
        <w:t>980133</w:t>
      </w:r>
      <w:r w:rsidR="00793C32" w:rsidRPr="002A13E4">
        <w:rPr>
          <w:color w:val="000000" w:themeColor="text1"/>
        </w:rPr>
        <w:t>) = 1.</w:t>
      </w:r>
      <w:r w:rsidR="00F17943" w:rsidRPr="002A13E4">
        <w:rPr>
          <w:color w:val="000000" w:themeColor="text1"/>
        </w:rPr>
        <w:t>56</w:t>
      </w:r>
      <w:r w:rsidR="00793C32" w:rsidRPr="002A13E4">
        <w:rPr>
          <w:color w:val="000000" w:themeColor="text1"/>
        </w:rPr>
        <w:t xml:space="preserve">, </w:t>
      </w:r>
      <w:r w:rsidR="00793C32" w:rsidRPr="002A13E4">
        <w:rPr>
          <w:i/>
          <w:iCs/>
          <w:color w:val="000000" w:themeColor="text1"/>
        </w:rPr>
        <w:t xml:space="preserve">p </w:t>
      </w:r>
      <w:r w:rsidR="00793C32" w:rsidRPr="002A13E4">
        <w:rPr>
          <w:color w:val="000000" w:themeColor="text1"/>
        </w:rPr>
        <w:t>= .</w:t>
      </w:r>
      <w:r w:rsidR="00F17943" w:rsidRPr="002A13E4">
        <w:rPr>
          <w:color w:val="000000" w:themeColor="text1"/>
        </w:rPr>
        <w:t>02</w:t>
      </w:r>
      <w:r w:rsidRPr="002A13E4">
        <w:rPr>
          <w:color w:val="000000" w:themeColor="text1"/>
        </w:rPr>
        <w:t xml:space="preserve">. </w:t>
      </w:r>
      <w:proofErr w:type="spellStart"/>
      <w:r w:rsidR="00E51950" w:rsidRPr="002A13E4">
        <w:rPr>
          <w:color w:val="000000" w:themeColor="text1"/>
        </w:rPr>
        <w:t>Levene’s</w:t>
      </w:r>
      <w:proofErr w:type="spellEnd"/>
      <w:r w:rsidR="00E51950" w:rsidRPr="002A13E4">
        <w:rPr>
          <w:color w:val="000000" w:themeColor="text1"/>
        </w:rPr>
        <w:t xml:space="preserve"> test showed error variances were equal for perceived integrity, </w:t>
      </w:r>
      <w:r w:rsidR="00E51950" w:rsidRPr="002A13E4">
        <w:rPr>
          <w:i/>
          <w:iCs/>
          <w:color w:val="000000" w:themeColor="text1"/>
        </w:rPr>
        <w:t>F</w:t>
      </w:r>
      <w:r w:rsidR="00E51950" w:rsidRPr="002A13E4">
        <w:rPr>
          <w:color w:val="000000" w:themeColor="text1"/>
        </w:rPr>
        <w:t xml:space="preserve">(12, </w:t>
      </w:r>
      <w:r w:rsidR="00120228" w:rsidRPr="002A13E4">
        <w:rPr>
          <w:color w:val="000000" w:themeColor="text1"/>
        </w:rPr>
        <w:t>7</w:t>
      </w:r>
      <w:r w:rsidR="00F17943" w:rsidRPr="002A13E4">
        <w:rPr>
          <w:color w:val="000000" w:themeColor="text1"/>
        </w:rPr>
        <w:t>25</w:t>
      </w:r>
      <w:r w:rsidR="00E51950" w:rsidRPr="002A13E4">
        <w:rPr>
          <w:color w:val="000000" w:themeColor="text1"/>
        </w:rPr>
        <w:t>) = 0</w:t>
      </w:r>
      <w:r w:rsidR="00120228" w:rsidRPr="002A13E4">
        <w:rPr>
          <w:color w:val="000000" w:themeColor="text1"/>
        </w:rPr>
        <w:t>.</w:t>
      </w:r>
      <w:r w:rsidR="00F17943" w:rsidRPr="002A13E4">
        <w:rPr>
          <w:color w:val="000000" w:themeColor="text1"/>
        </w:rPr>
        <w:t>69</w:t>
      </w:r>
      <w:r w:rsidR="00E51950" w:rsidRPr="002A13E4">
        <w:rPr>
          <w:color w:val="000000" w:themeColor="text1"/>
        </w:rPr>
        <w:t xml:space="preserve">, </w:t>
      </w:r>
      <w:r w:rsidR="00E51950" w:rsidRPr="002A13E4">
        <w:rPr>
          <w:i/>
          <w:iCs/>
          <w:color w:val="000000" w:themeColor="text1"/>
        </w:rPr>
        <w:t>p</w:t>
      </w:r>
      <w:r w:rsidR="00E51950" w:rsidRPr="002A13E4">
        <w:rPr>
          <w:color w:val="000000" w:themeColor="text1"/>
        </w:rPr>
        <w:t xml:space="preserve"> = .</w:t>
      </w:r>
      <w:r w:rsidR="00F17943" w:rsidRPr="002A13E4">
        <w:rPr>
          <w:color w:val="000000" w:themeColor="text1"/>
        </w:rPr>
        <w:t>76</w:t>
      </w:r>
      <w:r w:rsidR="00E51950" w:rsidRPr="002A13E4">
        <w:rPr>
          <w:color w:val="000000" w:themeColor="text1"/>
        </w:rPr>
        <w:t xml:space="preserve">, </w:t>
      </w:r>
      <w:r w:rsidR="00120228" w:rsidRPr="002A13E4">
        <w:rPr>
          <w:color w:val="000000" w:themeColor="text1"/>
        </w:rPr>
        <w:t>but not for</w:t>
      </w:r>
      <w:r w:rsidR="00E51950" w:rsidRPr="002A13E4">
        <w:rPr>
          <w:color w:val="000000" w:themeColor="text1"/>
        </w:rPr>
        <w:t xml:space="preserve"> perceived competence, </w:t>
      </w:r>
      <w:r w:rsidR="00E51950" w:rsidRPr="002A13E4">
        <w:rPr>
          <w:i/>
          <w:iCs/>
          <w:color w:val="000000" w:themeColor="text1"/>
        </w:rPr>
        <w:t>F</w:t>
      </w:r>
      <w:r w:rsidR="00E51950" w:rsidRPr="002A13E4">
        <w:rPr>
          <w:color w:val="000000" w:themeColor="text1"/>
        </w:rPr>
        <w:t xml:space="preserve">(12, </w:t>
      </w:r>
      <w:r w:rsidR="00A55991" w:rsidRPr="002A13E4">
        <w:rPr>
          <w:color w:val="000000" w:themeColor="text1"/>
        </w:rPr>
        <w:t>7</w:t>
      </w:r>
      <w:r w:rsidR="00F17943" w:rsidRPr="002A13E4">
        <w:rPr>
          <w:color w:val="000000" w:themeColor="text1"/>
        </w:rPr>
        <w:t>25</w:t>
      </w:r>
      <w:r w:rsidR="00E51950" w:rsidRPr="002A13E4">
        <w:rPr>
          <w:color w:val="000000" w:themeColor="text1"/>
        </w:rPr>
        <w:t xml:space="preserve">) = </w:t>
      </w:r>
      <w:r w:rsidR="00A55991" w:rsidRPr="002A13E4">
        <w:rPr>
          <w:color w:val="000000" w:themeColor="text1"/>
        </w:rPr>
        <w:t>3.0</w:t>
      </w:r>
      <w:r w:rsidR="00F17943" w:rsidRPr="002A13E4">
        <w:rPr>
          <w:color w:val="000000" w:themeColor="text1"/>
        </w:rPr>
        <w:t>1</w:t>
      </w:r>
      <w:r w:rsidR="00E51950" w:rsidRPr="002A13E4">
        <w:rPr>
          <w:color w:val="000000" w:themeColor="text1"/>
        </w:rPr>
        <w:t xml:space="preserve">, </w:t>
      </w:r>
      <w:r w:rsidR="00E51950" w:rsidRPr="002A13E4">
        <w:rPr>
          <w:i/>
          <w:iCs/>
          <w:color w:val="000000" w:themeColor="text1"/>
        </w:rPr>
        <w:t>p</w:t>
      </w:r>
      <w:r w:rsidR="00E51950" w:rsidRPr="002A13E4">
        <w:rPr>
          <w:color w:val="000000" w:themeColor="text1"/>
        </w:rPr>
        <w:t xml:space="preserve"> </w:t>
      </w:r>
      <w:r w:rsidR="00793C32" w:rsidRPr="002A13E4">
        <w:rPr>
          <w:color w:val="000000" w:themeColor="text1"/>
        </w:rPr>
        <w:t>=</w:t>
      </w:r>
      <w:r w:rsidR="00E51950" w:rsidRPr="002A13E4">
        <w:rPr>
          <w:color w:val="000000" w:themeColor="text1"/>
        </w:rPr>
        <w:t xml:space="preserve"> .0</w:t>
      </w:r>
      <w:r w:rsidR="00A55991" w:rsidRPr="002A13E4">
        <w:rPr>
          <w:color w:val="000000" w:themeColor="text1"/>
        </w:rPr>
        <w:t>004</w:t>
      </w:r>
      <w:r w:rsidR="00793C32" w:rsidRPr="002A13E4">
        <w:rPr>
          <w:color w:val="000000" w:themeColor="text1"/>
        </w:rPr>
        <w:t xml:space="preserve">, at the .01 level—this more stringent cutoff value proposed by </w:t>
      </w:r>
      <w:proofErr w:type="spellStart"/>
      <w:r w:rsidR="00793C32" w:rsidRPr="002A13E4">
        <w:rPr>
          <w:color w:val="000000" w:themeColor="text1"/>
        </w:rPr>
        <w:t>Tabachnick</w:t>
      </w:r>
      <w:proofErr w:type="spellEnd"/>
      <w:r w:rsidR="00793C32" w:rsidRPr="002A13E4">
        <w:rPr>
          <w:color w:val="000000" w:themeColor="text1"/>
        </w:rPr>
        <w:t xml:space="preserve"> </w:t>
      </w:r>
      <w:r w:rsidR="00A55991" w:rsidRPr="002A13E4">
        <w:rPr>
          <w:color w:val="000000" w:themeColor="text1"/>
        </w:rPr>
        <w:t>and</w:t>
      </w:r>
      <w:r w:rsidR="00F8346C" w:rsidRPr="002A13E4">
        <w:rPr>
          <w:color w:val="000000" w:themeColor="text1"/>
        </w:rPr>
        <w:t xml:space="preserve"> </w:t>
      </w:r>
      <w:proofErr w:type="spellStart"/>
      <w:r w:rsidR="00F8346C" w:rsidRPr="002A13E4">
        <w:rPr>
          <w:color w:val="000000" w:themeColor="text1"/>
        </w:rPr>
        <w:t>Fidell</w:t>
      </w:r>
      <w:proofErr w:type="spellEnd"/>
      <w:r w:rsidR="00793C32" w:rsidRPr="002A13E4">
        <w:rPr>
          <w:color w:val="000000" w:themeColor="text1"/>
        </w:rPr>
        <w:t xml:space="preserve"> </w:t>
      </w:r>
      <w:r w:rsidR="00A55991" w:rsidRPr="002A13E4">
        <w:rPr>
          <w:color w:val="000000" w:themeColor="text1"/>
        </w:rPr>
        <w:t>(</w:t>
      </w:r>
      <w:r w:rsidR="00793C32" w:rsidRPr="002A13E4">
        <w:rPr>
          <w:color w:val="000000" w:themeColor="text1"/>
        </w:rPr>
        <w:t xml:space="preserve">2007) was accepted by the present study because model robustness is expected. </w:t>
      </w:r>
      <w:r w:rsidR="00F147F7" w:rsidRPr="002A13E4">
        <w:rPr>
          <w:color w:val="000000" w:themeColor="text1"/>
        </w:rPr>
        <w:t xml:space="preserve">The significant differences across groups were identified </w:t>
      </w:r>
      <w:r w:rsidR="00A70F81" w:rsidRPr="002A13E4">
        <w:rPr>
          <w:color w:val="000000" w:themeColor="text1"/>
        </w:rPr>
        <w:t>at</w:t>
      </w:r>
      <w:r w:rsidR="00F147F7" w:rsidRPr="002A13E4">
        <w:rPr>
          <w:color w:val="000000" w:themeColor="text1"/>
        </w:rPr>
        <w:t xml:space="preserve"> the omnibus level, Wilks’ Lambda (λ) = .</w:t>
      </w:r>
      <w:r w:rsidR="00A55991" w:rsidRPr="002A13E4">
        <w:rPr>
          <w:color w:val="000000" w:themeColor="text1"/>
        </w:rPr>
        <w:t>8</w:t>
      </w:r>
      <w:r w:rsidR="00F17943" w:rsidRPr="002A13E4">
        <w:rPr>
          <w:color w:val="000000" w:themeColor="text1"/>
        </w:rPr>
        <w:t>4</w:t>
      </w:r>
      <w:r w:rsidR="00F147F7" w:rsidRPr="002A13E4">
        <w:rPr>
          <w:color w:val="000000" w:themeColor="text1"/>
        </w:rPr>
        <w:t xml:space="preserve">, </w:t>
      </w:r>
      <w:r w:rsidR="00F147F7" w:rsidRPr="002A13E4">
        <w:rPr>
          <w:i/>
          <w:color w:val="000000" w:themeColor="text1"/>
        </w:rPr>
        <w:t>F</w:t>
      </w:r>
      <w:r w:rsidR="00F147F7" w:rsidRPr="002A13E4">
        <w:rPr>
          <w:color w:val="000000" w:themeColor="text1"/>
        </w:rPr>
        <w:t>(24,</w:t>
      </w:r>
      <w:r w:rsidR="00A55991" w:rsidRPr="002A13E4">
        <w:rPr>
          <w:color w:val="000000" w:themeColor="text1"/>
        </w:rPr>
        <w:t xml:space="preserve"> 14</w:t>
      </w:r>
      <w:r w:rsidR="00F17943" w:rsidRPr="002A13E4">
        <w:rPr>
          <w:color w:val="000000" w:themeColor="text1"/>
        </w:rPr>
        <w:t>46</w:t>
      </w:r>
      <w:r w:rsidR="00F147F7" w:rsidRPr="002A13E4">
        <w:rPr>
          <w:color w:val="000000" w:themeColor="text1"/>
        </w:rPr>
        <w:t xml:space="preserve">) = </w:t>
      </w:r>
      <w:r w:rsidR="00A55991" w:rsidRPr="002A13E4">
        <w:rPr>
          <w:color w:val="000000" w:themeColor="text1"/>
        </w:rPr>
        <w:t>5.</w:t>
      </w:r>
      <w:r w:rsidR="00F17943" w:rsidRPr="002A13E4">
        <w:rPr>
          <w:color w:val="000000" w:themeColor="text1"/>
        </w:rPr>
        <w:t>58</w:t>
      </w:r>
      <w:r w:rsidR="00F147F7" w:rsidRPr="002A13E4">
        <w:rPr>
          <w:color w:val="000000" w:themeColor="text1"/>
        </w:rPr>
        <w:t xml:space="preserve">, </w:t>
      </w:r>
      <w:r w:rsidR="00F147F7" w:rsidRPr="002A13E4">
        <w:rPr>
          <w:i/>
          <w:color w:val="000000" w:themeColor="text1"/>
        </w:rPr>
        <w:t>p</w:t>
      </w:r>
      <w:r w:rsidR="00F147F7" w:rsidRPr="002A13E4">
        <w:rPr>
          <w:color w:val="000000" w:themeColor="text1"/>
        </w:rPr>
        <w:t xml:space="preserve"> &lt; .001, partial </w:t>
      </w:r>
      <w:r w:rsidR="00F147F7" w:rsidRPr="002A13E4">
        <w:rPr>
          <w:i/>
          <w:color w:val="000000" w:themeColor="text1"/>
        </w:rPr>
        <w:t>η</w:t>
      </w:r>
      <w:r w:rsidR="00F147F7" w:rsidRPr="002A13E4">
        <w:rPr>
          <w:i/>
          <w:color w:val="000000" w:themeColor="text1"/>
          <w:vertAlign w:val="superscript"/>
        </w:rPr>
        <w:t>2</w:t>
      </w:r>
      <w:r w:rsidR="00F147F7" w:rsidRPr="002A13E4">
        <w:rPr>
          <w:i/>
          <w:color w:val="000000" w:themeColor="text1"/>
        </w:rPr>
        <w:t xml:space="preserve"> </w:t>
      </w:r>
      <w:r w:rsidR="00F147F7" w:rsidRPr="002A13E4">
        <w:rPr>
          <w:color w:val="000000" w:themeColor="text1"/>
        </w:rPr>
        <w:t>= .</w:t>
      </w:r>
      <w:r w:rsidR="00A55991" w:rsidRPr="002A13E4">
        <w:rPr>
          <w:color w:val="000000" w:themeColor="text1"/>
        </w:rPr>
        <w:t>0</w:t>
      </w:r>
      <w:r w:rsidR="00F17943" w:rsidRPr="002A13E4">
        <w:rPr>
          <w:color w:val="000000" w:themeColor="text1"/>
        </w:rPr>
        <w:t>9</w:t>
      </w:r>
      <w:r w:rsidR="006865B2" w:rsidRPr="002A13E4">
        <w:rPr>
          <w:color w:val="000000" w:themeColor="text1"/>
        </w:rPr>
        <w:t xml:space="preserve">, with propensity to trust being a significant covariate, Wilks’ Lambda (λ) = .98, </w:t>
      </w:r>
      <w:r w:rsidR="006865B2" w:rsidRPr="002A13E4">
        <w:rPr>
          <w:i/>
          <w:color w:val="000000" w:themeColor="text1"/>
        </w:rPr>
        <w:t>F</w:t>
      </w:r>
      <w:r w:rsidR="006865B2" w:rsidRPr="002A13E4">
        <w:rPr>
          <w:color w:val="000000" w:themeColor="text1"/>
        </w:rPr>
        <w:t xml:space="preserve">(2, 723) = 6.02, </w:t>
      </w:r>
      <w:r w:rsidR="006865B2" w:rsidRPr="002A13E4">
        <w:rPr>
          <w:i/>
          <w:color w:val="000000" w:themeColor="text1"/>
        </w:rPr>
        <w:t>p</w:t>
      </w:r>
      <w:r w:rsidR="006865B2" w:rsidRPr="002A13E4">
        <w:rPr>
          <w:color w:val="000000" w:themeColor="text1"/>
        </w:rPr>
        <w:t xml:space="preserve"> &lt; .001, partial </w:t>
      </w:r>
      <w:r w:rsidR="006865B2" w:rsidRPr="002A13E4">
        <w:rPr>
          <w:i/>
          <w:color w:val="000000" w:themeColor="text1"/>
        </w:rPr>
        <w:t>η</w:t>
      </w:r>
      <w:r w:rsidR="006865B2" w:rsidRPr="002A13E4">
        <w:rPr>
          <w:i/>
          <w:color w:val="000000" w:themeColor="text1"/>
          <w:vertAlign w:val="superscript"/>
        </w:rPr>
        <w:t>2</w:t>
      </w:r>
      <w:r w:rsidR="006865B2" w:rsidRPr="002A13E4">
        <w:rPr>
          <w:i/>
          <w:color w:val="000000" w:themeColor="text1"/>
        </w:rPr>
        <w:t xml:space="preserve"> </w:t>
      </w:r>
      <w:r w:rsidR="006865B2" w:rsidRPr="002A13E4">
        <w:rPr>
          <w:color w:val="000000" w:themeColor="text1"/>
        </w:rPr>
        <w:t>= .02</w:t>
      </w:r>
      <w:r w:rsidR="00F147F7" w:rsidRPr="002A13E4">
        <w:rPr>
          <w:color w:val="000000" w:themeColor="text1"/>
        </w:rPr>
        <w:t>. Pairwise comparisons indicated the control group had significantly higher levels of perceived competence than every experimental group at the .0</w:t>
      </w:r>
      <w:r w:rsidR="00F17943" w:rsidRPr="002A13E4">
        <w:rPr>
          <w:color w:val="000000" w:themeColor="text1"/>
        </w:rPr>
        <w:t>0</w:t>
      </w:r>
      <w:r w:rsidR="00F147F7" w:rsidRPr="002A13E4">
        <w:rPr>
          <w:color w:val="000000" w:themeColor="text1"/>
        </w:rPr>
        <w:t>1 level, and also higher levels of perceived integrity than all experimental groups at the</w:t>
      </w:r>
      <w:r w:rsidR="00F147F7" w:rsidRPr="002A13E4">
        <w:rPr>
          <w:i/>
          <w:color w:val="000000" w:themeColor="text1"/>
        </w:rPr>
        <w:t xml:space="preserve"> </w:t>
      </w:r>
      <w:r w:rsidR="00F147F7" w:rsidRPr="002A13E4">
        <w:rPr>
          <w:color w:val="000000" w:themeColor="text1"/>
        </w:rPr>
        <w:t>.0</w:t>
      </w:r>
      <w:r w:rsidR="00A55991" w:rsidRPr="002A13E4">
        <w:rPr>
          <w:color w:val="000000" w:themeColor="text1"/>
        </w:rPr>
        <w:t>1</w:t>
      </w:r>
      <w:r w:rsidR="00F147F7" w:rsidRPr="002A13E4">
        <w:rPr>
          <w:color w:val="000000" w:themeColor="text1"/>
        </w:rPr>
        <w:t xml:space="preserve"> level, except for logic failures with internal-attribution apology</w:t>
      </w:r>
      <w:r w:rsidR="00A55991" w:rsidRPr="002A13E4">
        <w:rPr>
          <w:color w:val="000000" w:themeColor="text1"/>
        </w:rPr>
        <w:t>,</w:t>
      </w:r>
      <w:r w:rsidR="00F147F7" w:rsidRPr="002A13E4">
        <w:rPr>
          <w:color w:val="000000" w:themeColor="text1"/>
        </w:rPr>
        <w:t xml:space="preserve"> semantic failures </w:t>
      </w:r>
      <w:r w:rsidR="00A55991" w:rsidRPr="002A13E4">
        <w:rPr>
          <w:color w:val="000000" w:themeColor="text1"/>
        </w:rPr>
        <w:t xml:space="preserve">with internal-attribution apology and </w:t>
      </w:r>
      <w:r w:rsidR="00F147F7" w:rsidRPr="002A13E4">
        <w:rPr>
          <w:color w:val="000000" w:themeColor="text1"/>
        </w:rPr>
        <w:t>no repair, and syntax failures with</w:t>
      </w:r>
      <w:r w:rsidR="00A55991" w:rsidRPr="002A13E4">
        <w:rPr>
          <w:color w:val="000000" w:themeColor="text1"/>
        </w:rPr>
        <w:t xml:space="preserve"> internal/</w:t>
      </w:r>
      <w:r w:rsidR="00F147F7" w:rsidRPr="002A13E4">
        <w:rPr>
          <w:color w:val="000000" w:themeColor="text1"/>
        </w:rPr>
        <w:t xml:space="preserve">external apology and no repair. The results showed the experimental groups generally elicited </w:t>
      </w:r>
      <w:r w:rsidR="00926F37" w:rsidRPr="002A13E4">
        <w:rPr>
          <w:color w:val="000000" w:themeColor="text1"/>
        </w:rPr>
        <w:t>l</w:t>
      </w:r>
      <w:r w:rsidR="00186883" w:rsidRPr="002A13E4">
        <w:rPr>
          <w:color w:val="000000" w:themeColor="text1"/>
        </w:rPr>
        <w:t>ower levels of</w:t>
      </w:r>
      <w:r w:rsidR="00F147F7" w:rsidRPr="002A13E4">
        <w:rPr>
          <w:color w:val="000000" w:themeColor="text1"/>
        </w:rPr>
        <w:t xml:space="preserve"> perceived competence and</w:t>
      </w:r>
      <w:r w:rsidR="00A55991" w:rsidRPr="002A13E4">
        <w:rPr>
          <w:color w:val="000000" w:themeColor="text1"/>
        </w:rPr>
        <w:t xml:space="preserve"> sometimes lower levels of perceived</w:t>
      </w:r>
      <w:r w:rsidR="00F147F7" w:rsidRPr="002A13E4">
        <w:rPr>
          <w:color w:val="000000" w:themeColor="text1"/>
        </w:rPr>
        <w:t xml:space="preserve"> integrity than the </w:t>
      </w:r>
      <w:r w:rsidR="00186883" w:rsidRPr="002A13E4">
        <w:rPr>
          <w:color w:val="000000" w:themeColor="text1"/>
        </w:rPr>
        <w:t xml:space="preserve">failure-free </w:t>
      </w:r>
      <w:r w:rsidR="00F147F7" w:rsidRPr="002A13E4">
        <w:rPr>
          <w:color w:val="000000" w:themeColor="text1"/>
        </w:rPr>
        <w:t>control group, indicating the manipulation was effective on the baseline level.</w:t>
      </w:r>
    </w:p>
    <w:p w14:paraId="24028BDB" w14:textId="028A5ADA" w:rsidR="00607C91" w:rsidRPr="00D64CA4" w:rsidRDefault="00607C91" w:rsidP="00D64CA4">
      <w:pPr>
        <w:pStyle w:val="Heading2"/>
        <w:spacing w:before="0" w:line="480" w:lineRule="auto"/>
        <w:rPr>
          <w:color w:val="000000" w:themeColor="text1"/>
        </w:rPr>
      </w:pPr>
      <w:bookmarkStart w:id="26" w:name="_Toc73716035"/>
      <w:r w:rsidRPr="00D64CA4">
        <w:rPr>
          <w:color w:val="000000" w:themeColor="text1"/>
        </w:rPr>
        <w:t>Results of H1</w:t>
      </w:r>
      <w:r w:rsidR="00373597" w:rsidRPr="00D64CA4">
        <w:rPr>
          <w:rFonts w:hint="eastAsia"/>
          <w:color w:val="000000" w:themeColor="text1"/>
        </w:rPr>
        <w:t>,</w:t>
      </w:r>
      <w:r w:rsidRPr="00D64CA4">
        <w:rPr>
          <w:color w:val="000000" w:themeColor="text1"/>
        </w:rPr>
        <w:t xml:space="preserve"> RQ1</w:t>
      </w:r>
      <w:r w:rsidR="00373597" w:rsidRPr="00D64CA4">
        <w:rPr>
          <w:color w:val="000000" w:themeColor="text1"/>
        </w:rPr>
        <w:t>, and RQ2</w:t>
      </w:r>
      <w:bookmarkEnd w:id="26"/>
    </w:p>
    <w:p w14:paraId="159A7C02" w14:textId="5FFDDDA3" w:rsidR="006865B2" w:rsidRPr="002A13E4" w:rsidRDefault="00F147F7" w:rsidP="006865B2">
      <w:pPr>
        <w:spacing w:line="480" w:lineRule="auto"/>
        <w:ind w:firstLine="720"/>
        <w:rPr>
          <w:color w:val="000000" w:themeColor="text1"/>
        </w:rPr>
      </w:pPr>
      <w:r w:rsidRPr="002A13E4">
        <w:rPr>
          <w:color w:val="000000" w:themeColor="text1"/>
        </w:rPr>
        <w:t xml:space="preserve">H1 predicted that apology with internal attribution would be more effective as a trust repair method than denial, because (a) logic, (b) semantic, and (c) syntax failures are all competence-based trust violations. For H1a, </w:t>
      </w:r>
      <w:r w:rsidR="003A5912" w:rsidRPr="002A13E4">
        <w:rPr>
          <w:color w:val="000000" w:themeColor="text1"/>
        </w:rPr>
        <w:t>a</w:t>
      </w:r>
      <w:r w:rsidRPr="002A13E4">
        <w:rPr>
          <w:color w:val="000000" w:themeColor="text1"/>
        </w:rPr>
        <w:t xml:space="preserve"> MANCOVA test was conducted to first test the </w:t>
      </w:r>
      <w:r w:rsidRPr="002A13E4">
        <w:rPr>
          <w:color w:val="000000" w:themeColor="text1"/>
        </w:rPr>
        <w:lastRenderedPageBreak/>
        <w:t>effects of internal-attribution apology vs. denial on both types of post-</w:t>
      </w:r>
      <w:r w:rsidR="003A5912" w:rsidRPr="002A13E4">
        <w:rPr>
          <w:color w:val="000000" w:themeColor="text1"/>
        </w:rPr>
        <w:t xml:space="preserve">interaction </w:t>
      </w:r>
      <w:r w:rsidRPr="002A13E4">
        <w:rPr>
          <w:color w:val="000000" w:themeColor="text1"/>
        </w:rPr>
        <w:t xml:space="preserve">trust under the category of logic failures, with propensity to trust robots and </w:t>
      </w:r>
      <w:r w:rsidR="001C19EF" w:rsidRPr="002A13E4">
        <w:rPr>
          <w:color w:val="000000" w:themeColor="text1"/>
        </w:rPr>
        <w:t>entity beliefs</w:t>
      </w:r>
      <w:r w:rsidRPr="002A13E4">
        <w:rPr>
          <w:color w:val="000000" w:themeColor="text1"/>
        </w:rPr>
        <w:t xml:space="preserve"> as covariates.</w:t>
      </w:r>
      <w:r w:rsidR="006865B2" w:rsidRPr="002A13E4">
        <w:rPr>
          <w:color w:val="000000" w:themeColor="text1"/>
        </w:rPr>
        <w:t xml:space="preserve"> Since both propensity to trust, </w:t>
      </w:r>
      <w:r w:rsidR="006865B2" w:rsidRPr="002A13E4">
        <w:rPr>
          <w:i/>
          <w:iCs/>
          <w:color w:val="000000" w:themeColor="text1"/>
        </w:rPr>
        <w:t>p</w:t>
      </w:r>
      <w:r w:rsidR="006865B2" w:rsidRPr="002A13E4">
        <w:rPr>
          <w:color w:val="000000" w:themeColor="text1"/>
        </w:rPr>
        <w:t xml:space="preserve"> = .48, and entity beliefs, </w:t>
      </w:r>
      <w:r w:rsidR="006865B2" w:rsidRPr="002A13E4">
        <w:rPr>
          <w:i/>
          <w:iCs/>
          <w:color w:val="000000" w:themeColor="text1"/>
        </w:rPr>
        <w:t>p</w:t>
      </w:r>
      <w:r w:rsidR="006865B2" w:rsidRPr="002A13E4">
        <w:rPr>
          <w:color w:val="000000" w:themeColor="text1"/>
        </w:rPr>
        <w:t xml:space="preserve"> = .69, were insignificant covariates, the model was revised into a multivariate analysis of variance (MANOVA) model.  </w:t>
      </w:r>
    </w:p>
    <w:p w14:paraId="621A19C4" w14:textId="43AA515F" w:rsidR="0079544C" w:rsidRPr="002A13E4" w:rsidRDefault="00F147F7" w:rsidP="007E5D41">
      <w:pPr>
        <w:spacing w:line="480" w:lineRule="auto"/>
        <w:ind w:firstLine="720"/>
        <w:rPr>
          <w:color w:val="000000" w:themeColor="text1"/>
        </w:rPr>
      </w:pPr>
      <w:r w:rsidRPr="002A13E4">
        <w:rPr>
          <w:color w:val="000000" w:themeColor="text1"/>
        </w:rPr>
        <w:t xml:space="preserve"> </w:t>
      </w:r>
      <w:r w:rsidR="00134428" w:rsidRPr="002A13E4">
        <w:rPr>
          <w:color w:val="000000" w:themeColor="text1"/>
        </w:rPr>
        <w:t>E</w:t>
      </w:r>
      <w:r w:rsidR="00F4165D" w:rsidRPr="002A13E4">
        <w:rPr>
          <w:color w:val="000000" w:themeColor="text1"/>
        </w:rPr>
        <w:t>rror variances were equal across groups</w:t>
      </w:r>
      <w:r w:rsidR="00793C32" w:rsidRPr="002A13E4">
        <w:rPr>
          <w:color w:val="000000" w:themeColor="text1"/>
        </w:rPr>
        <w:t xml:space="preserve"> at the .01 level</w:t>
      </w:r>
      <w:r w:rsidR="00F4165D" w:rsidRPr="002A13E4">
        <w:rPr>
          <w:color w:val="000000" w:themeColor="text1"/>
        </w:rPr>
        <w:t xml:space="preserve"> </w:t>
      </w:r>
      <w:r w:rsidR="007D4B42" w:rsidRPr="002A13E4">
        <w:rPr>
          <w:color w:val="000000" w:themeColor="text1"/>
        </w:rPr>
        <w:t>for</w:t>
      </w:r>
      <w:r w:rsidR="00793C32" w:rsidRPr="002A13E4">
        <w:rPr>
          <w:color w:val="000000" w:themeColor="text1"/>
        </w:rPr>
        <w:t xml:space="preserve"> </w:t>
      </w:r>
      <w:r w:rsidR="00F4165D" w:rsidRPr="002A13E4">
        <w:rPr>
          <w:color w:val="000000" w:themeColor="text1"/>
        </w:rPr>
        <w:t>integrity-based trust</w:t>
      </w:r>
      <w:r w:rsidR="00E53644" w:rsidRPr="002A13E4">
        <w:rPr>
          <w:color w:val="000000" w:themeColor="text1"/>
        </w:rPr>
        <w:t>,</w:t>
      </w:r>
      <w:r w:rsidR="00F4165D" w:rsidRPr="002A13E4">
        <w:rPr>
          <w:color w:val="000000" w:themeColor="text1"/>
        </w:rPr>
        <w:t xml:space="preserve"> </w:t>
      </w:r>
      <w:r w:rsidR="00F4165D" w:rsidRPr="002A13E4">
        <w:rPr>
          <w:i/>
          <w:iCs/>
          <w:color w:val="000000" w:themeColor="text1"/>
        </w:rPr>
        <w:t>F</w:t>
      </w:r>
      <w:r w:rsidR="00F4165D" w:rsidRPr="002A13E4">
        <w:rPr>
          <w:color w:val="000000" w:themeColor="text1"/>
        </w:rPr>
        <w:t xml:space="preserve">(1, </w:t>
      </w:r>
      <w:r w:rsidR="00031053" w:rsidRPr="002A13E4">
        <w:rPr>
          <w:color w:val="000000" w:themeColor="text1"/>
        </w:rPr>
        <w:t>123</w:t>
      </w:r>
      <w:r w:rsidR="00F4165D" w:rsidRPr="002A13E4">
        <w:rPr>
          <w:color w:val="000000" w:themeColor="text1"/>
        </w:rPr>
        <w:t xml:space="preserve">) = </w:t>
      </w:r>
      <w:r w:rsidR="00031053" w:rsidRPr="002A13E4">
        <w:rPr>
          <w:color w:val="000000" w:themeColor="text1"/>
        </w:rPr>
        <w:t>2.81</w:t>
      </w:r>
      <w:r w:rsidR="00F4165D" w:rsidRPr="002A13E4">
        <w:rPr>
          <w:color w:val="000000" w:themeColor="text1"/>
        </w:rPr>
        <w:t xml:space="preserve">, </w:t>
      </w:r>
      <w:r w:rsidR="00F4165D" w:rsidRPr="002A13E4">
        <w:rPr>
          <w:i/>
          <w:iCs/>
          <w:color w:val="000000" w:themeColor="text1"/>
        </w:rPr>
        <w:t>p</w:t>
      </w:r>
      <w:r w:rsidR="00F4165D" w:rsidRPr="002A13E4">
        <w:rPr>
          <w:color w:val="000000" w:themeColor="text1"/>
        </w:rPr>
        <w:t xml:space="preserve"> = .</w:t>
      </w:r>
      <w:r w:rsidR="00031053" w:rsidRPr="002A13E4">
        <w:rPr>
          <w:color w:val="000000" w:themeColor="text1"/>
        </w:rPr>
        <w:t>10</w:t>
      </w:r>
      <w:r w:rsidR="00E53644" w:rsidRPr="002A13E4">
        <w:rPr>
          <w:color w:val="000000" w:themeColor="text1"/>
        </w:rPr>
        <w:t>,</w:t>
      </w:r>
      <w:r w:rsidR="007D4B42" w:rsidRPr="002A13E4">
        <w:rPr>
          <w:color w:val="000000" w:themeColor="text1"/>
        </w:rPr>
        <w:t xml:space="preserve"> </w:t>
      </w:r>
      <w:r w:rsidR="00031053" w:rsidRPr="002A13E4">
        <w:rPr>
          <w:color w:val="000000" w:themeColor="text1"/>
        </w:rPr>
        <w:t xml:space="preserve">but not both competence-based trust, </w:t>
      </w:r>
      <w:r w:rsidR="00031053" w:rsidRPr="002A13E4">
        <w:rPr>
          <w:i/>
          <w:iCs/>
          <w:color w:val="000000" w:themeColor="text1"/>
        </w:rPr>
        <w:t>F</w:t>
      </w:r>
      <w:r w:rsidR="00031053" w:rsidRPr="002A13E4">
        <w:rPr>
          <w:color w:val="000000" w:themeColor="text1"/>
        </w:rPr>
        <w:t xml:space="preserve">(1, 123) = 8.56, </w:t>
      </w:r>
      <w:r w:rsidR="00031053" w:rsidRPr="002A13E4">
        <w:rPr>
          <w:i/>
          <w:iCs/>
          <w:color w:val="000000" w:themeColor="text1"/>
        </w:rPr>
        <w:t>p</w:t>
      </w:r>
      <w:r w:rsidR="00031053" w:rsidRPr="002A13E4">
        <w:rPr>
          <w:color w:val="000000" w:themeColor="text1"/>
        </w:rPr>
        <w:t xml:space="preserve"> = .004, according to</w:t>
      </w:r>
      <w:r w:rsidR="007D4B42" w:rsidRPr="002A13E4">
        <w:rPr>
          <w:color w:val="000000" w:themeColor="text1"/>
        </w:rPr>
        <w:t xml:space="preserve"> </w:t>
      </w:r>
      <w:proofErr w:type="spellStart"/>
      <w:r w:rsidR="007D4B42" w:rsidRPr="002A13E4">
        <w:rPr>
          <w:color w:val="000000" w:themeColor="text1"/>
        </w:rPr>
        <w:t>Levene’s</w:t>
      </w:r>
      <w:proofErr w:type="spellEnd"/>
      <w:r w:rsidR="007D4B42" w:rsidRPr="002A13E4">
        <w:rPr>
          <w:color w:val="000000" w:themeColor="text1"/>
        </w:rPr>
        <w:t xml:space="preserve"> test</w:t>
      </w:r>
      <w:r w:rsidR="001E37C8" w:rsidRPr="002A13E4">
        <w:rPr>
          <w:color w:val="000000" w:themeColor="text1"/>
        </w:rPr>
        <w:t>s</w:t>
      </w:r>
      <w:r w:rsidR="00031053" w:rsidRPr="002A13E4">
        <w:rPr>
          <w:color w:val="000000" w:themeColor="text1"/>
        </w:rPr>
        <w:t xml:space="preserve"> based on means</w:t>
      </w:r>
      <w:r w:rsidR="001E37C8" w:rsidRPr="002A13E4">
        <w:rPr>
          <w:color w:val="000000" w:themeColor="text1"/>
        </w:rPr>
        <w:t xml:space="preserve">, </w:t>
      </w:r>
      <w:r w:rsidR="009400AD" w:rsidRPr="002A13E4">
        <w:rPr>
          <w:color w:val="000000" w:themeColor="text1"/>
        </w:rPr>
        <w:t xml:space="preserve">which might bias the test results; </w:t>
      </w:r>
      <w:r w:rsidR="001E37C8" w:rsidRPr="002A13E4">
        <w:rPr>
          <w:color w:val="000000" w:themeColor="text1"/>
        </w:rPr>
        <w:t>t</w:t>
      </w:r>
      <w:r w:rsidR="00134428" w:rsidRPr="002A13E4">
        <w:rPr>
          <w:color w:val="000000" w:themeColor="text1"/>
        </w:rPr>
        <w:t xml:space="preserve">he assumption of equality of covariance was met, Box’s </w:t>
      </w:r>
      <w:r w:rsidR="00134428" w:rsidRPr="002A13E4">
        <w:rPr>
          <w:i/>
          <w:iCs/>
          <w:color w:val="000000" w:themeColor="text1"/>
        </w:rPr>
        <w:t>M</w:t>
      </w:r>
      <w:r w:rsidR="00134428" w:rsidRPr="002A13E4">
        <w:rPr>
          <w:color w:val="000000" w:themeColor="text1"/>
        </w:rPr>
        <w:t xml:space="preserve"> = </w:t>
      </w:r>
      <w:r w:rsidR="006865B2" w:rsidRPr="002A13E4">
        <w:rPr>
          <w:color w:val="000000" w:themeColor="text1"/>
        </w:rPr>
        <w:t>6.37</w:t>
      </w:r>
      <w:r w:rsidR="00134428" w:rsidRPr="002A13E4">
        <w:rPr>
          <w:color w:val="000000" w:themeColor="text1"/>
        </w:rPr>
        <w:t xml:space="preserve">, </w:t>
      </w:r>
      <w:r w:rsidR="00134428" w:rsidRPr="002A13E4">
        <w:rPr>
          <w:i/>
          <w:iCs/>
          <w:color w:val="000000" w:themeColor="text1"/>
        </w:rPr>
        <w:t>F</w:t>
      </w:r>
      <w:r w:rsidR="00134428" w:rsidRPr="002A13E4">
        <w:rPr>
          <w:color w:val="000000" w:themeColor="text1"/>
        </w:rPr>
        <w:t xml:space="preserve">(3, </w:t>
      </w:r>
      <w:r w:rsidR="006865B2" w:rsidRPr="002A13E4">
        <w:rPr>
          <w:color w:val="000000" w:themeColor="text1"/>
        </w:rPr>
        <w:t>2942853</w:t>
      </w:r>
      <w:r w:rsidR="00134428" w:rsidRPr="002A13E4">
        <w:rPr>
          <w:color w:val="000000" w:themeColor="text1"/>
        </w:rPr>
        <w:t xml:space="preserve">) = </w:t>
      </w:r>
      <w:r w:rsidR="00031053" w:rsidRPr="002A13E4">
        <w:rPr>
          <w:color w:val="000000" w:themeColor="text1"/>
        </w:rPr>
        <w:t>2.09</w:t>
      </w:r>
      <w:r w:rsidR="00134428" w:rsidRPr="002A13E4">
        <w:rPr>
          <w:color w:val="000000" w:themeColor="text1"/>
        </w:rPr>
        <w:t xml:space="preserve">, </w:t>
      </w:r>
      <w:r w:rsidR="00134428" w:rsidRPr="002A13E4">
        <w:rPr>
          <w:i/>
          <w:iCs/>
          <w:color w:val="000000" w:themeColor="text1"/>
        </w:rPr>
        <w:t xml:space="preserve">p </w:t>
      </w:r>
      <w:r w:rsidR="00134428" w:rsidRPr="002A13E4">
        <w:rPr>
          <w:color w:val="000000" w:themeColor="text1"/>
        </w:rPr>
        <w:t>= .</w:t>
      </w:r>
      <w:r w:rsidR="001E37C8" w:rsidRPr="002A13E4">
        <w:rPr>
          <w:color w:val="000000" w:themeColor="text1"/>
        </w:rPr>
        <w:t>1</w:t>
      </w:r>
      <w:r w:rsidR="00031053" w:rsidRPr="002A13E4">
        <w:rPr>
          <w:color w:val="000000" w:themeColor="text1"/>
        </w:rPr>
        <w:t>0</w:t>
      </w:r>
      <w:r w:rsidR="00E53644" w:rsidRPr="002A13E4">
        <w:rPr>
          <w:color w:val="000000" w:themeColor="text1"/>
        </w:rPr>
        <w:t>.</w:t>
      </w:r>
      <w:r w:rsidR="00134428" w:rsidRPr="002A13E4">
        <w:rPr>
          <w:color w:val="000000" w:themeColor="text1"/>
        </w:rPr>
        <w:t xml:space="preserve"> </w:t>
      </w:r>
      <w:r w:rsidR="0079544C" w:rsidRPr="002A13E4">
        <w:rPr>
          <w:color w:val="000000" w:themeColor="text1"/>
        </w:rPr>
        <w:t>T</w:t>
      </w:r>
      <w:r w:rsidRPr="002A13E4">
        <w:rPr>
          <w:color w:val="000000" w:themeColor="text1"/>
        </w:rPr>
        <w:t xml:space="preserve">he </w:t>
      </w:r>
      <w:r w:rsidR="0079544C" w:rsidRPr="002A13E4">
        <w:rPr>
          <w:color w:val="000000" w:themeColor="text1"/>
        </w:rPr>
        <w:t>group</w:t>
      </w:r>
      <w:r w:rsidRPr="002A13E4">
        <w:rPr>
          <w:color w:val="000000" w:themeColor="text1"/>
        </w:rPr>
        <w:t xml:space="preserve"> </w:t>
      </w:r>
      <w:r w:rsidR="0079544C" w:rsidRPr="002A13E4">
        <w:rPr>
          <w:color w:val="000000" w:themeColor="text1"/>
        </w:rPr>
        <w:t>differences</w:t>
      </w:r>
      <w:r w:rsidRPr="002A13E4">
        <w:rPr>
          <w:color w:val="000000" w:themeColor="text1"/>
        </w:rPr>
        <w:t xml:space="preserve"> were significant on the multivariate level, Wilks’ Lambda (λ) = .</w:t>
      </w:r>
      <w:r w:rsidR="00031053" w:rsidRPr="002A13E4">
        <w:rPr>
          <w:color w:val="000000" w:themeColor="text1"/>
        </w:rPr>
        <w:t>92</w:t>
      </w:r>
      <w:r w:rsidRPr="002A13E4">
        <w:rPr>
          <w:color w:val="000000" w:themeColor="text1"/>
        </w:rPr>
        <w:t xml:space="preserve">, </w:t>
      </w:r>
      <w:proofErr w:type="gramStart"/>
      <w:r w:rsidRPr="002A13E4">
        <w:rPr>
          <w:i/>
          <w:color w:val="000000" w:themeColor="text1"/>
        </w:rPr>
        <w:t>F</w:t>
      </w:r>
      <w:r w:rsidRPr="002A13E4">
        <w:rPr>
          <w:color w:val="000000" w:themeColor="text1"/>
        </w:rPr>
        <w:t>(</w:t>
      </w:r>
      <w:proofErr w:type="gramEnd"/>
      <w:r w:rsidRPr="002A13E4">
        <w:rPr>
          <w:color w:val="000000" w:themeColor="text1"/>
        </w:rPr>
        <w:t xml:space="preserve">2, </w:t>
      </w:r>
      <w:r w:rsidR="00031053" w:rsidRPr="002A13E4">
        <w:rPr>
          <w:color w:val="000000" w:themeColor="text1"/>
        </w:rPr>
        <w:t>122</w:t>
      </w:r>
      <w:r w:rsidRPr="002A13E4">
        <w:rPr>
          <w:color w:val="000000" w:themeColor="text1"/>
        </w:rPr>
        <w:t xml:space="preserve">) = </w:t>
      </w:r>
      <w:r w:rsidR="00B07488" w:rsidRPr="002A13E4">
        <w:rPr>
          <w:color w:val="000000" w:themeColor="text1"/>
        </w:rPr>
        <w:t>5.</w:t>
      </w:r>
      <w:r w:rsidR="00031053" w:rsidRPr="002A13E4">
        <w:rPr>
          <w:color w:val="000000" w:themeColor="text1"/>
        </w:rPr>
        <w:t>29</w:t>
      </w:r>
      <w:r w:rsidRPr="002A13E4">
        <w:rPr>
          <w:color w:val="000000" w:themeColor="text1"/>
        </w:rPr>
        <w:t xml:space="preserve">, </w:t>
      </w:r>
      <w:r w:rsidRPr="002A13E4">
        <w:rPr>
          <w:i/>
          <w:color w:val="000000" w:themeColor="text1"/>
        </w:rPr>
        <w:t>p</w:t>
      </w:r>
      <w:r w:rsidRPr="002A13E4">
        <w:rPr>
          <w:color w:val="000000" w:themeColor="text1"/>
        </w:rPr>
        <w:t xml:space="preserve"> &lt; .</w:t>
      </w:r>
      <w:r w:rsidR="00B07488" w:rsidRPr="002A13E4">
        <w:rPr>
          <w:color w:val="000000" w:themeColor="text1"/>
        </w:rPr>
        <w:t>0</w:t>
      </w:r>
      <w:r w:rsidR="00134428" w:rsidRPr="002A13E4">
        <w:rPr>
          <w:color w:val="000000" w:themeColor="text1"/>
        </w:rPr>
        <w:t>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031053" w:rsidRPr="002A13E4">
        <w:rPr>
          <w:color w:val="000000" w:themeColor="text1"/>
        </w:rPr>
        <w:t>08</w:t>
      </w:r>
      <w:r w:rsidRPr="002A13E4">
        <w:rPr>
          <w:color w:val="000000" w:themeColor="text1"/>
        </w:rPr>
        <w:t xml:space="preserve">. The mean difference in competence-based trust, </w:t>
      </w:r>
      <w:r w:rsidRPr="002A13E4">
        <w:rPr>
          <w:i/>
          <w:color w:val="000000" w:themeColor="text1"/>
        </w:rPr>
        <w:t>F</w:t>
      </w:r>
      <w:r w:rsidRPr="002A13E4">
        <w:rPr>
          <w:color w:val="000000" w:themeColor="text1"/>
        </w:rPr>
        <w:t xml:space="preserve">(1, </w:t>
      </w:r>
      <w:r w:rsidR="00031053" w:rsidRPr="002A13E4">
        <w:rPr>
          <w:color w:val="000000" w:themeColor="text1"/>
        </w:rPr>
        <w:t>123</w:t>
      </w:r>
      <w:r w:rsidRPr="002A13E4">
        <w:rPr>
          <w:color w:val="000000" w:themeColor="text1"/>
        </w:rPr>
        <w:t xml:space="preserve">) = </w:t>
      </w:r>
      <w:r w:rsidR="001E37C8" w:rsidRPr="002A13E4">
        <w:rPr>
          <w:color w:val="000000" w:themeColor="text1"/>
        </w:rPr>
        <w:t>6.</w:t>
      </w:r>
      <w:r w:rsidR="00031053" w:rsidRPr="002A13E4">
        <w:rPr>
          <w:color w:val="000000" w:themeColor="text1"/>
        </w:rPr>
        <w:t>05</w:t>
      </w:r>
      <w:r w:rsidRPr="002A13E4">
        <w:rPr>
          <w:color w:val="000000" w:themeColor="text1"/>
        </w:rPr>
        <w:t xml:space="preserve">, </w:t>
      </w:r>
      <w:r w:rsidRPr="002A13E4">
        <w:rPr>
          <w:i/>
          <w:color w:val="000000" w:themeColor="text1"/>
        </w:rPr>
        <w:t>p</w:t>
      </w:r>
      <w:r w:rsidRPr="002A13E4">
        <w:rPr>
          <w:color w:val="000000" w:themeColor="text1"/>
        </w:rPr>
        <w:t xml:space="preserve"> &lt; .05,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w:t>
      </w:r>
      <w:r w:rsidR="00031053" w:rsidRPr="002A13E4">
        <w:rPr>
          <w:color w:val="000000" w:themeColor="text1"/>
        </w:rPr>
        <w:t>5</w:t>
      </w:r>
      <w:r w:rsidRPr="002A13E4">
        <w:rPr>
          <w:color w:val="000000" w:themeColor="text1"/>
        </w:rPr>
        <w:t xml:space="preserve">, was significant, and so was the mean difference in integrity-based trust, </w:t>
      </w:r>
      <w:r w:rsidRPr="002A13E4">
        <w:rPr>
          <w:i/>
          <w:color w:val="000000" w:themeColor="text1"/>
        </w:rPr>
        <w:t>F</w:t>
      </w:r>
      <w:r w:rsidRPr="002A13E4">
        <w:rPr>
          <w:color w:val="000000" w:themeColor="text1"/>
        </w:rPr>
        <w:t xml:space="preserve">(1, </w:t>
      </w:r>
      <w:r w:rsidR="00031053" w:rsidRPr="002A13E4">
        <w:rPr>
          <w:color w:val="000000" w:themeColor="text1"/>
        </w:rPr>
        <w:t>123</w:t>
      </w:r>
      <w:r w:rsidRPr="002A13E4">
        <w:rPr>
          <w:color w:val="000000" w:themeColor="text1"/>
        </w:rPr>
        <w:t xml:space="preserve">) = </w:t>
      </w:r>
      <w:r w:rsidR="00031053" w:rsidRPr="002A13E4">
        <w:rPr>
          <w:color w:val="000000" w:themeColor="text1"/>
        </w:rPr>
        <w:t>9.43</w:t>
      </w:r>
      <w:r w:rsidRPr="002A13E4">
        <w:rPr>
          <w:color w:val="000000" w:themeColor="text1"/>
        </w:rPr>
        <w:t xml:space="preserve">, </w:t>
      </w:r>
      <w:r w:rsidRPr="002A13E4">
        <w:rPr>
          <w:i/>
          <w:color w:val="000000" w:themeColor="text1"/>
        </w:rPr>
        <w:t>p</w:t>
      </w:r>
      <w:r w:rsidRPr="002A13E4">
        <w:rPr>
          <w:color w:val="000000" w:themeColor="text1"/>
        </w:rPr>
        <w:t xml:space="preserve"> &lt; .01,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031053" w:rsidRPr="002A13E4">
        <w:rPr>
          <w:color w:val="000000" w:themeColor="text1"/>
        </w:rPr>
        <w:t>07</w:t>
      </w:r>
      <w:r w:rsidRPr="002A13E4">
        <w:rPr>
          <w:color w:val="000000" w:themeColor="text1"/>
        </w:rPr>
        <w:t xml:space="preserve"> (see </w:t>
      </w:r>
      <w:r w:rsidR="00B07488" w:rsidRPr="002A13E4">
        <w:rPr>
          <w:color w:val="000000" w:themeColor="text1"/>
        </w:rPr>
        <w:t xml:space="preserve">the first two rows in </w:t>
      </w:r>
      <w:r w:rsidRPr="002A13E4">
        <w:rPr>
          <w:color w:val="000000" w:themeColor="text1"/>
        </w:rPr>
        <w:t xml:space="preserve">Table 4 and 5 for mean differences). Therefore, H1a was supported. </w:t>
      </w:r>
    </w:p>
    <w:p w14:paraId="50AC7023" w14:textId="77777777" w:rsidR="007E5D41" w:rsidRPr="002A13E4" w:rsidRDefault="00F147F7" w:rsidP="007E5D41">
      <w:pPr>
        <w:spacing w:line="480" w:lineRule="auto"/>
        <w:ind w:firstLine="720"/>
        <w:rPr>
          <w:color w:val="000000" w:themeColor="text1"/>
        </w:rPr>
      </w:pPr>
      <w:r w:rsidRPr="002A13E4">
        <w:rPr>
          <w:color w:val="000000" w:themeColor="text1"/>
        </w:rPr>
        <w:t xml:space="preserve">A similar MANCOVA </w:t>
      </w:r>
      <w:r w:rsidR="001E37C8" w:rsidRPr="002A13E4">
        <w:rPr>
          <w:color w:val="000000" w:themeColor="text1"/>
        </w:rPr>
        <w:t xml:space="preserve">test </w:t>
      </w:r>
      <w:r w:rsidRPr="002A13E4">
        <w:rPr>
          <w:color w:val="000000" w:themeColor="text1"/>
        </w:rPr>
        <w:t xml:space="preserve">was performed under the condition of semantic failures to </w:t>
      </w:r>
      <w:r w:rsidR="001E37C8" w:rsidRPr="002A13E4">
        <w:rPr>
          <w:color w:val="000000" w:themeColor="text1"/>
        </w:rPr>
        <w:t>examine</w:t>
      </w:r>
      <w:r w:rsidRPr="002A13E4">
        <w:rPr>
          <w:color w:val="000000" w:themeColor="text1"/>
        </w:rPr>
        <w:t xml:space="preserve"> H1b</w:t>
      </w:r>
      <w:r w:rsidR="0079544C" w:rsidRPr="002A13E4">
        <w:rPr>
          <w:color w:val="000000" w:themeColor="text1"/>
        </w:rPr>
        <w:t xml:space="preserve">, which was revised into a MANOVA model after excluding two insignificant covariates, propensity to trust, </w:t>
      </w:r>
      <w:r w:rsidR="0079544C" w:rsidRPr="002A13E4">
        <w:rPr>
          <w:i/>
          <w:iCs/>
          <w:color w:val="000000" w:themeColor="text1"/>
        </w:rPr>
        <w:t>p</w:t>
      </w:r>
      <w:r w:rsidR="0079544C" w:rsidRPr="002A13E4">
        <w:rPr>
          <w:color w:val="000000" w:themeColor="text1"/>
        </w:rPr>
        <w:t xml:space="preserve"> = .08, and entity beliefs, </w:t>
      </w:r>
      <w:r w:rsidR="0079544C" w:rsidRPr="002A13E4">
        <w:rPr>
          <w:i/>
          <w:iCs/>
          <w:color w:val="000000" w:themeColor="text1"/>
        </w:rPr>
        <w:t>p</w:t>
      </w:r>
      <w:r w:rsidR="0079544C" w:rsidRPr="002A13E4">
        <w:rPr>
          <w:color w:val="000000" w:themeColor="text1"/>
        </w:rPr>
        <w:t xml:space="preserve"> = .41. </w:t>
      </w:r>
      <w:r w:rsidR="00186883" w:rsidRPr="002A13E4">
        <w:rPr>
          <w:color w:val="000000" w:themeColor="text1"/>
        </w:rPr>
        <w:t>The assumption of equality of covariances was met</w:t>
      </w:r>
      <w:r w:rsidR="0079544C" w:rsidRPr="002A13E4">
        <w:rPr>
          <w:color w:val="000000" w:themeColor="text1"/>
        </w:rPr>
        <w:t xml:space="preserve"> on the .01 level</w:t>
      </w:r>
      <w:r w:rsidR="00186883" w:rsidRPr="002A13E4">
        <w:rPr>
          <w:color w:val="000000" w:themeColor="text1"/>
        </w:rPr>
        <w:t xml:space="preserve">, Box’s M = </w:t>
      </w:r>
      <w:r w:rsidR="0079544C" w:rsidRPr="002A13E4">
        <w:rPr>
          <w:color w:val="000000" w:themeColor="text1"/>
        </w:rPr>
        <w:t>8.21</w:t>
      </w:r>
      <w:r w:rsidR="00186883" w:rsidRPr="002A13E4">
        <w:rPr>
          <w:color w:val="000000" w:themeColor="text1"/>
        </w:rPr>
        <w:t xml:space="preserve">, </w:t>
      </w:r>
      <w:r w:rsidR="00186883" w:rsidRPr="002A13E4">
        <w:rPr>
          <w:i/>
          <w:iCs/>
          <w:color w:val="000000" w:themeColor="text1"/>
        </w:rPr>
        <w:t>F</w:t>
      </w:r>
      <w:r w:rsidR="00186883" w:rsidRPr="002A13E4">
        <w:rPr>
          <w:color w:val="000000" w:themeColor="text1"/>
        </w:rPr>
        <w:t xml:space="preserve">(3, </w:t>
      </w:r>
      <w:r w:rsidR="0079544C" w:rsidRPr="002A13E4">
        <w:rPr>
          <w:color w:val="000000" w:themeColor="text1"/>
        </w:rPr>
        <w:t>2433191</w:t>
      </w:r>
      <w:r w:rsidR="00186883" w:rsidRPr="002A13E4">
        <w:rPr>
          <w:color w:val="000000" w:themeColor="text1"/>
        </w:rPr>
        <w:t xml:space="preserve">) = </w:t>
      </w:r>
      <w:r w:rsidR="0079544C" w:rsidRPr="002A13E4">
        <w:rPr>
          <w:color w:val="000000" w:themeColor="text1"/>
        </w:rPr>
        <w:t>2.68</w:t>
      </w:r>
      <w:r w:rsidR="00186883" w:rsidRPr="002A13E4">
        <w:rPr>
          <w:color w:val="000000" w:themeColor="text1"/>
        </w:rPr>
        <w:t xml:space="preserve">, </w:t>
      </w:r>
      <w:r w:rsidR="00186883" w:rsidRPr="002A13E4">
        <w:rPr>
          <w:i/>
          <w:iCs/>
          <w:color w:val="000000" w:themeColor="text1"/>
        </w:rPr>
        <w:t xml:space="preserve">p </w:t>
      </w:r>
      <w:r w:rsidR="00186883" w:rsidRPr="002A13E4">
        <w:rPr>
          <w:color w:val="000000" w:themeColor="text1"/>
        </w:rPr>
        <w:t>= .</w:t>
      </w:r>
      <w:r w:rsidR="0079544C" w:rsidRPr="002A13E4">
        <w:rPr>
          <w:color w:val="000000" w:themeColor="text1"/>
        </w:rPr>
        <w:t>05</w:t>
      </w:r>
      <w:r w:rsidR="00186883" w:rsidRPr="002A13E4">
        <w:rPr>
          <w:color w:val="000000" w:themeColor="text1"/>
        </w:rPr>
        <w:t xml:space="preserve">, and error variances were equal across groups </w:t>
      </w:r>
      <w:r w:rsidR="0079544C" w:rsidRPr="002A13E4">
        <w:rPr>
          <w:color w:val="000000" w:themeColor="text1"/>
        </w:rPr>
        <w:t xml:space="preserve">at the .01 level </w:t>
      </w:r>
      <w:r w:rsidR="00186883" w:rsidRPr="002A13E4">
        <w:rPr>
          <w:color w:val="000000" w:themeColor="text1"/>
        </w:rPr>
        <w:t xml:space="preserve">based on </w:t>
      </w:r>
      <w:proofErr w:type="spellStart"/>
      <w:r w:rsidR="00186883" w:rsidRPr="002A13E4">
        <w:rPr>
          <w:color w:val="000000" w:themeColor="text1"/>
        </w:rPr>
        <w:t>Levene’s</w:t>
      </w:r>
      <w:proofErr w:type="spellEnd"/>
      <w:r w:rsidR="00186883" w:rsidRPr="002A13E4">
        <w:rPr>
          <w:color w:val="000000" w:themeColor="text1"/>
        </w:rPr>
        <w:t xml:space="preserve"> test</w:t>
      </w:r>
      <w:r w:rsidR="001E37C8" w:rsidRPr="002A13E4">
        <w:rPr>
          <w:color w:val="000000" w:themeColor="text1"/>
        </w:rPr>
        <w:t>s</w:t>
      </w:r>
      <w:r w:rsidR="00186883" w:rsidRPr="002A13E4">
        <w:rPr>
          <w:color w:val="000000" w:themeColor="text1"/>
        </w:rPr>
        <w:t xml:space="preserve"> for both competence-based trust</w:t>
      </w:r>
      <w:r w:rsidR="00187C93" w:rsidRPr="002A13E4">
        <w:rPr>
          <w:color w:val="000000" w:themeColor="text1"/>
        </w:rPr>
        <w:t>,</w:t>
      </w:r>
      <w:r w:rsidR="00186883" w:rsidRPr="002A13E4">
        <w:rPr>
          <w:color w:val="000000" w:themeColor="text1"/>
        </w:rPr>
        <w:t xml:space="preserve"> </w:t>
      </w:r>
      <w:r w:rsidR="00186883" w:rsidRPr="002A13E4">
        <w:rPr>
          <w:i/>
          <w:iCs/>
          <w:color w:val="000000" w:themeColor="text1"/>
        </w:rPr>
        <w:t>F</w:t>
      </w:r>
      <w:r w:rsidR="00186883" w:rsidRPr="002A13E4">
        <w:rPr>
          <w:color w:val="000000" w:themeColor="text1"/>
        </w:rPr>
        <w:t>(</w:t>
      </w:r>
      <w:r w:rsidR="0079544C" w:rsidRPr="002A13E4">
        <w:rPr>
          <w:color w:val="000000" w:themeColor="text1"/>
        </w:rPr>
        <w:t>1,114</w:t>
      </w:r>
      <w:r w:rsidR="00186883" w:rsidRPr="002A13E4">
        <w:rPr>
          <w:color w:val="000000" w:themeColor="text1"/>
        </w:rPr>
        <w:t xml:space="preserve">) = </w:t>
      </w:r>
      <w:r w:rsidR="0079544C" w:rsidRPr="002A13E4">
        <w:rPr>
          <w:color w:val="000000" w:themeColor="text1"/>
        </w:rPr>
        <w:t>6.03</w:t>
      </w:r>
      <w:r w:rsidR="00186883" w:rsidRPr="002A13E4">
        <w:rPr>
          <w:color w:val="000000" w:themeColor="text1"/>
        </w:rPr>
        <w:t xml:space="preserve">, </w:t>
      </w:r>
      <w:r w:rsidR="00186883" w:rsidRPr="002A13E4">
        <w:rPr>
          <w:i/>
          <w:iCs/>
          <w:color w:val="000000" w:themeColor="text1"/>
        </w:rPr>
        <w:t>p</w:t>
      </w:r>
      <w:r w:rsidR="00186883" w:rsidRPr="002A13E4">
        <w:rPr>
          <w:color w:val="000000" w:themeColor="text1"/>
        </w:rPr>
        <w:t xml:space="preserve"> = .</w:t>
      </w:r>
      <w:r w:rsidR="0079544C" w:rsidRPr="002A13E4">
        <w:rPr>
          <w:color w:val="000000" w:themeColor="text1"/>
        </w:rPr>
        <w:t>02</w:t>
      </w:r>
      <w:r w:rsidR="00187C93" w:rsidRPr="002A13E4">
        <w:rPr>
          <w:color w:val="000000" w:themeColor="text1"/>
        </w:rPr>
        <w:t>,</w:t>
      </w:r>
      <w:r w:rsidR="00186883" w:rsidRPr="002A13E4">
        <w:rPr>
          <w:color w:val="000000" w:themeColor="text1"/>
        </w:rPr>
        <w:t xml:space="preserve"> and integrity-based trust</w:t>
      </w:r>
      <w:r w:rsidR="00187C93" w:rsidRPr="002A13E4">
        <w:rPr>
          <w:color w:val="000000" w:themeColor="text1"/>
        </w:rPr>
        <w:t>,</w:t>
      </w:r>
      <w:r w:rsidR="00186883" w:rsidRPr="002A13E4">
        <w:rPr>
          <w:color w:val="000000" w:themeColor="text1"/>
        </w:rPr>
        <w:t xml:space="preserve"> </w:t>
      </w:r>
      <w:r w:rsidR="00186883" w:rsidRPr="002A13E4">
        <w:rPr>
          <w:i/>
          <w:iCs/>
          <w:color w:val="000000" w:themeColor="text1"/>
        </w:rPr>
        <w:t>F</w:t>
      </w:r>
      <w:r w:rsidR="00186883" w:rsidRPr="002A13E4">
        <w:rPr>
          <w:color w:val="000000" w:themeColor="text1"/>
        </w:rPr>
        <w:t>(</w:t>
      </w:r>
      <w:r w:rsidR="0079544C" w:rsidRPr="002A13E4">
        <w:rPr>
          <w:color w:val="000000" w:themeColor="text1"/>
        </w:rPr>
        <w:t>1,114</w:t>
      </w:r>
      <w:r w:rsidR="00186883" w:rsidRPr="002A13E4">
        <w:rPr>
          <w:color w:val="000000" w:themeColor="text1"/>
        </w:rPr>
        <w:t xml:space="preserve">) = </w:t>
      </w:r>
      <w:r w:rsidR="0079544C" w:rsidRPr="002A13E4">
        <w:rPr>
          <w:color w:val="000000" w:themeColor="text1"/>
        </w:rPr>
        <w:t>0.21</w:t>
      </w:r>
      <w:r w:rsidR="00186883" w:rsidRPr="002A13E4">
        <w:rPr>
          <w:color w:val="000000" w:themeColor="text1"/>
        </w:rPr>
        <w:t xml:space="preserve">, </w:t>
      </w:r>
      <w:r w:rsidR="00186883" w:rsidRPr="002A13E4">
        <w:rPr>
          <w:i/>
          <w:iCs/>
          <w:color w:val="000000" w:themeColor="text1"/>
        </w:rPr>
        <w:t>p</w:t>
      </w:r>
      <w:r w:rsidR="00186883" w:rsidRPr="002A13E4">
        <w:rPr>
          <w:color w:val="000000" w:themeColor="text1"/>
        </w:rPr>
        <w:t xml:space="preserve"> = .</w:t>
      </w:r>
      <w:r w:rsidR="0079544C" w:rsidRPr="002A13E4">
        <w:rPr>
          <w:color w:val="000000" w:themeColor="text1"/>
        </w:rPr>
        <w:t>65</w:t>
      </w:r>
      <w:r w:rsidR="00186883" w:rsidRPr="002A13E4">
        <w:rPr>
          <w:color w:val="000000" w:themeColor="text1"/>
        </w:rPr>
        <w:t>. T</w:t>
      </w:r>
      <w:r w:rsidRPr="002A13E4">
        <w:rPr>
          <w:color w:val="000000" w:themeColor="text1"/>
        </w:rPr>
        <w:t xml:space="preserve">he group effects were significant </w:t>
      </w:r>
      <w:r w:rsidR="004B2EB5" w:rsidRPr="002A13E4">
        <w:rPr>
          <w:color w:val="000000" w:themeColor="text1"/>
        </w:rPr>
        <w:t>at the</w:t>
      </w:r>
      <w:r w:rsidRPr="002A13E4">
        <w:rPr>
          <w:color w:val="000000" w:themeColor="text1"/>
        </w:rPr>
        <w:t xml:space="preserve"> omnibus level, Wilks’ Lambda (λ) = .</w:t>
      </w:r>
      <w:r w:rsidR="0079544C" w:rsidRPr="002A13E4">
        <w:rPr>
          <w:color w:val="000000" w:themeColor="text1"/>
        </w:rPr>
        <w:t>94</w:t>
      </w:r>
      <w:r w:rsidRPr="002A13E4">
        <w:rPr>
          <w:color w:val="000000" w:themeColor="text1"/>
        </w:rPr>
        <w:t xml:space="preserve">, </w:t>
      </w:r>
      <w:proofErr w:type="gramStart"/>
      <w:r w:rsidRPr="002A13E4">
        <w:rPr>
          <w:i/>
          <w:color w:val="000000" w:themeColor="text1"/>
        </w:rPr>
        <w:t>F</w:t>
      </w:r>
      <w:r w:rsidRPr="002A13E4">
        <w:rPr>
          <w:color w:val="000000" w:themeColor="text1"/>
        </w:rPr>
        <w:t>(</w:t>
      </w:r>
      <w:proofErr w:type="gramEnd"/>
      <w:r w:rsidR="0079544C" w:rsidRPr="002A13E4">
        <w:rPr>
          <w:color w:val="000000" w:themeColor="text1"/>
        </w:rPr>
        <w:t>2,113</w:t>
      </w:r>
      <w:r w:rsidRPr="002A13E4">
        <w:rPr>
          <w:color w:val="000000" w:themeColor="text1"/>
        </w:rPr>
        <w:t xml:space="preserve">) = </w:t>
      </w:r>
      <w:r w:rsidR="0079544C" w:rsidRPr="002A13E4">
        <w:rPr>
          <w:color w:val="000000" w:themeColor="text1"/>
        </w:rPr>
        <w:t>3.83</w:t>
      </w:r>
      <w:r w:rsidRPr="002A13E4">
        <w:rPr>
          <w:color w:val="000000" w:themeColor="text1"/>
        </w:rPr>
        <w:t xml:space="preserve">, </w:t>
      </w:r>
      <w:r w:rsidRPr="002A13E4">
        <w:rPr>
          <w:i/>
          <w:color w:val="000000" w:themeColor="text1"/>
        </w:rPr>
        <w:t>p</w:t>
      </w:r>
      <w:r w:rsidRPr="002A13E4">
        <w:rPr>
          <w:color w:val="000000" w:themeColor="text1"/>
        </w:rPr>
        <w:t xml:space="preserve"> </w:t>
      </w:r>
      <w:r w:rsidR="0079544C" w:rsidRPr="002A13E4">
        <w:rPr>
          <w:color w:val="000000" w:themeColor="text1"/>
        </w:rPr>
        <w:t>&lt; .05</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.06</w:t>
      </w:r>
      <w:r w:rsidR="00186883" w:rsidRPr="002A13E4">
        <w:rPr>
          <w:color w:val="000000" w:themeColor="text1"/>
        </w:rPr>
        <w:t>. However, u</w:t>
      </w:r>
      <w:r w:rsidRPr="002A13E4">
        <w:rPr>
          <w:color w:val="000000" w:themeColor="text1"/>
        </w:rPr>
        <w:t xml:space="preserve">nivariate tests </w:t>
      </w:r>
      <w:r w:rsidR="003036E8" w:rsidRPr="002A13E4">
        <w:rPr>
          <w:color w:val="000000" w:themeColor="text1"/>
        </w:rPr>
        <w:t xml:space="preserve">showed </w:t>
      </w:r>
      <w:r w:rsidRPr="002A13E4">
        <w:rPr>
          <w:color w:val="000000" w:themeColor="text1"/>
        </w:rPr>
        <w:t xml:space="preserve">that the mean difference for competence-based trust was insignificant, </w:t>
      </w:r>
      <w:r w:rsidRPr="002A13E4">
        <w:rPr>
          <w:i/>
          <w:color w:val="000000" w:themeColor="text1"/>
        </w:rPr>
        <w:t>F</w:t>
      </w:r>
      <w:r w:rsidRPr="002A13E4">
        <w:rPr>
          <w:color w:val="000000" w:themeColor="text1"/>
        </w:rPr>
        <w:t xml:space="preserve">(1, </w:t>
      </w:r>
      <w:r w:rsidR="0079544C" w:rsidRPr="002A13E4">
        <w:rPr>
          <w:color w:val="000000" w:themeColor="text1"/>
        </w:rPr>
        <w:t>114</w:t>
      </w:r>
      <w:r w:rsidRPr="002A13E4">
        <w:rPr>
          <w:color w:val="000000" w:themeColor="text1"/>
        </w:rPr>
        <w:t xml:space="preserve">) = </w:t>
      </w:r>
      <w:r w:rsidR="007E5D41" w:rsidRPr="002A13E4">
        <w:rPr>
          <w:color w:val="000000" w:themeColor="text1"/>
        </w:rPr>
        <w:t>2.16</w:t>
      </w:r>
      <w:r w:rsidRPr="002A13E4">
        <w:rPr>
          <w:color w:val="000000" w:themeColor="text1"/>
        </w:rPr>
        <w:t xml:space="preserve">, </w:t>
      </w:r>
      <w:r w:rsidRPr="002A13E4">
        <w:rPr>
          <w:i/>
          <w:color w:val="000000" w:themeColor="text1"/>
        </w:rPr>
        <w:t>p</w:t>
      </w:r>
      <w:r w:rsidRPr="002A13E4">
        <w:rPr>
          <w:color w:val="000000" w:themeColor="text1"/>
        </w:rPr>
        <w:t xml:space="preserve"> = .</w:t>
      </w:r>
      <w:r w:rsidR="007E5D41" w:rsidRPr="002A13E4">
        <w:rPr>
          <w:color w:val="000000" w:themeColor="text1"/>
        </w:rPr>
        <w:t>15</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w:t>
      </w:r>
      <w:r w:rsidR="007E5D41" w:rsidRPr="002A13E4">
        <w:rPr>
          <w:color w:val="000000" w:themeColor="text1"/>
        </w:rPr>
        <w:t>2</w:t>
      </w:r>
      <w:r w:rsidRPr="002A13E4">
        <w:rPr>
          <w:color w:val="000000" w:themeColor="text1"/>
        </w:rPr>
        <w:t xml:space="preserve">, but significant for integrity-based trust, </w:t>
      </w:r>
      <w:r w:rsidRPr="002A13E4">
        <w:rPr>
          <w:i/>
          <w:color w:val="000000" w:themeColor="text1"/>
        </w:rPr>
        <w:t>F</w:t>
      </w:r>
      <w:r w:rsidRPr="002A13E4">
        <w:rPr>
          <w:color w:val="000000" w:themeColor="text1"/>
        </w:rPr>
        <w:t xml:space="preserve">(1, </w:t>
      </w:r>
      <w:r w:rsidR="007E5D41" w:rsidRPr="002A13E4">
        <w:rPr>
          <w:color w:val="000000" w:themeColor="text1"/>
        </w:rPr>
        <w:t>114</w:t>
      </w:r>
      <w:r w:rsidRPr="002A13E4">
        <w:rPr>
          <w:color w:val="000000" w:themeColor="text1"/>
        </w:rPr>
        <w:t xml:space="preserve">) = </w:t>
      </w:r>
      <w:r w:rsidR="007E5D41" w:rsidRPr="002A13E4">
        <w:rPr>
          <w:color w:val="000000" w:themeColor="text1"/>
        </w:rPr>
        <w:t>7.73</w:t>
      </w:r>
      <w:r w:rsidRPr="002A13E4">
        <w:rPr>
          <w:color w:val="000000" w:themeColor="text1"/>
        </w:rPr>
        <w:t xml:space="preserve">, </w:t>
      </w:r>
      <w:r w:rsidRPr="002A13E4">
        <w:rPr>
          <w:i/>
          <w:color w:val="000000" w:themeColor="text1"/>
        </w:rPr>
        <w:t>p</w:t>
      </w:r>
      <w:r w:rsidRPr="002A13E4">
        <w:rPr>
          <w:color w:val="000000" w:themeColor="text1"/>
        </w:rPr>
        <w:t xml:space="preserve"> &lt; .0</w:t>
      </w:r>
      <w:r w:rsidR="007E5D41" w:rsidRPr="002A13E4">
        <w:rPr>
          <w:color w:val="000000" w:themeColor="text1"/>
        </w:rPr>
        <w:t>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.06 (</w:t>
      </w:r>
      <w:r w:rsidR="00B07488" w:rsidRPr="002A13E4">
        <w:rPr>
          <w:color w:val="000000" w:themeColor="text1"/>
        </w:rPr>
        <w:t>s</w:t>
      </w:r>
      <w:r w:rsidRPr="002A13E4">
        <w:rPr>
          <w:color w:val="000000" w:themeColor="text1"/>
        </w:rPr>
        <w:t xml:space="preserve">ee </w:t>
      </w:r>
      <w:r w:rsidR="00B07488" w:rsidRPr="002A13E4">
        <w:rPr>
          <w:color w:val="000000" w:themeColor="text1"/>
        </w:rPr>
        <w:t xml:space="preserve">the third and </w:t>
      </w:r>
      <w:r w:rsidR="00B07488" w:rsidRPr="002A13E4">
        <w:rPr>
          <w:color w:val="000000" w:themeColor="text1"/>
        </w:rPr>
        <w:lastRenderedPageBreak/>
        <w:t xml:space="preserve">fourth rows in </w:t>
      </w:r>
      <w:r w:rsidRPr="002A13E4">
        <w:rPr>
          <w:color w:val="000000" w:themeColor="text1"/>
        </w:rPr>
        <w:t>Table 4 and 5 for mean estimates and differences). Since competence and integrity are two aspects of post</w:t>
      </w:r>
      <w:r w:rsidR="003036E8" w:rsidRPr="002A13E4">
        <w:rPr>
          <w:color w:val="000000" w:themeColor="text1"/>
        </w:rPr>
        <w:t>-interaction</w:t>
      </w:r>
      <w:r w:rsidRPr="002A13E4">
        <w:rPr>
          <w:color w:val="000000" w:themeColor="text1"/>
        </w:rPr>
        <w:t xml:space="preserve"> trust, H1b was </w:t>
      </w:r>
      <w:r w:rsidR="00A04914" w:rsidRPr="002A13E4">
        <w:rPr>
          <w:color w:val="000000" w:themeColor="text1"/>
        </w:rPr>
        <w:t>partially</w:t>
      </w:r>
      <w:r w:rsidRPr="002A13E4">
        <w:rPr>
          <w:color w:val="000000" w:themeColor="text1"/>
        </w:rPr>
        <w:t xml:space="preserve"> supported.</w:t>
      </w:r>
      <w:bookmarkStart w:id="27" w:name="OLE_LINK11"/>
      <w:bookmarkStart w:id="28" w:name="OLE_LINK12"/>
    </w:p>
    <w:p w14:paraId="416E3F7C" w14:textId="57DAD2DA" w:rsidR="00DB7FAE" w:rsidRPr="002A13E4" w:rsidRDefault="00F147F7" w:rsidP="007E5D41">
      <w:pPr>
        <w:spacing w:line="480" w:lineRule="auto"/>
        <w:rPr>
          <w:b/>
          <w:color w:val="000000" w:themeColor="text1"/>
        </w:rPr>
      </w:pPr>
      <w:r w:rsidRPr="002A13E4">
        <w:rPr>
          <w:b/>
          <w:color w:val="000000" w:themeColor="text1"/>
        </w:rPr>
        <w:t>Table 4</w:t>
      </w:r>
    </w:p>
    <w:p w14:paraId="3D8661EC" w14:textId="7742C70A" w:rsidR="00DB7FAE" w:rsidRPr="00982B0A" w:rsidRDefault="00031053" w:rsidP="00502CE8">
      <w:pPr>
        <w:rPr>
          <w:i/>
          <w:color w:val="000000" w:themeColor="text1"/>
          <w:sz w:val="22"/>
          <w:szCs w:val="22"/>
        </w:rPr>
      </w:pPr>
      <w:r w:rsidRPr="00982B0A">
        <w:rPr>
          <w:i/>
          <w:color w:val="000000" w:themeColor="text1"/>
          <w:sz w:val="22"/>
          <w:szCs w:val="22"/>
        </w:rPr>
        <w:t xml:space="preserve">Means and </w:t>
      </w:r>
      <w:r w:rsidR="00F147F7" w:rsidRPr="00982B0A">
        <w:rPr>
          <w:i/>
          <w:color w:val="000000" w:themeColor="text1"/>
          <w:sz w:val="22"/>
          <w:szCs w:val="22"/>
        </w:rPr>
        <w:t>Mean Estimates for Internal-Attribution Apology vs. Denial Under Three Failure Types</w:t>
      </w:r>
    </w:p>
    <w:tbl>
      <w:tblPr>
        <w:tblStyle w:val="a2"/>
        <w:tblW w:w="9138" w:type="dxa"/>
        <w:tblBorders>
          <w:top w:val="nil"/>
          <w:left w:val="nil"/>
          <w:bottom w:val="nil"/>
          <w:right w:val="nil"/>
          <w:insideH w:val="nil"/>
          <w:insideV w:val="nil"/>
        </w:tblBorders>
        <w:tblLayout w:type="fixed"/>
        <w:tblLook w:val="0400" w:firstRow="0" w:lastRow="0" w:firstColumn="0" w:lastColumn="0" w:noHBand="0" w:noVBand="1"/>
      </w:tblPr>
      <w:tblGrid>
        <w:gridCol w:w="2211"/>
        <w:gridCol w:w="1065"/>
        <w:gridCol w:w="1050"/>
        <w:gridCol w:w="871"/>
        <w:gridCol w:w="1059"/>
        <w:gridCol w:w="1440"/>
        <w:gridCol w:w="1442"/>
      </w:tblGrid>
      <w:tr w:rsidR="00EE29E3" w:rsidRPr="002A13E4" w14:paraId="342E7B0D" w14:textId="77777777" w:rsidTr="00EE29E3">
        <w:trPr>
          <w:trHeight w:val="264"/>
        </w:trPr>
        <w:tc>
          <w:tcPr>
            <w:tcW w:w="2211" w:type="dxa"/>
            <w:vMerge w:val="restart"/>
            <w:tcBorders>
              <w:top w:val="single" w:sz="4" w:space="0" w:color="000000"/>
            </w:tcBorders>
          </w:tcPr>
          <w:p w14:paraId="67677E76" w14:textId="77777777" w:rsidR="00DB7FAE" w:rsidRPr="002A13E4" w:rsidRDefault="00DB7FAE">
            <w:pPr>
              <w:jc w:val="center"/>
              <w:rPr>
                <w:color w:val="000000" w:themeColor="text1"/>
                <w:sz w:val="20"/>
                <w:szCs w:val="20"/>
              </w:rPr>
            </w:pPr>
          </w:p>
          <w:p w14:paraId="086B6C02" w14:textId="77777777" w:rsidR="00DB7FAE" w:rsidRPr="002A13E4" w:rsidRDefault="00F147F7">
            <w:pPr>
              <w:jc w:val="center"/>
              <w:rPr>
                <w:color w:val="000000" w:themeColor="text1"/>
                <w:sz w:val="20"/>
                <w:szCs w:val="20"/>
              </w:rPr>
            </w:pPr>
            <w:r w:rsidRPr="002A13E4">
              <w:rPr>
                <w:color w:val="000000" w:themeColor="text1"/>
                <w:sz w:val="20"/>
                <w:szCs w:val="20"/>
              </w:rPr>
              <w:t>Dependent Variable</w:t>
            </w:r>
          </w:p>
        </w:tc>
        <w:tc>
          <w:tcPr>
            <w:tcW w:w="1065" w:type="dxa"/>
            <w:vMerge w:val="restart"/>
            <w:tcBorders>
              <w:top w:val="single" w:sz="4" w:space="0" w:color="000000"/>
            </w:tcBorders>
          </w:tcPr>
          <w:p w14:paraId="1C1B34DD" w14:textId="77777777" w:rsidR="00DB7FAE" w:rsidRPr="002A13E4" w:rsidRDefault="00DB7FAE">
            <w:pPr>
              <w:jc w:val="center"/>
              <w:rPr>
                <w:color w:val="000000" w:themeColor="text1"/>
                <w:sz w:val="20"/>
                <w:szCs w:val="20"/>
              </w:rPr>
            </w:pPr>
          </w:p>
          <w:p w14:paraId="5AC7B53C" w14:textId="77777777" w:rsidR="00DB7FAE" w:rsidRPr="002A13E4" w:rsidRDefault="00F147F7">
            <w:pPr>
              <w:jc w:val="center"/>
              <w:rPr>
                <w:color w:val="000000" w:themeColor="text1"/>
                <w:sz w:val="20"/>
                <w:szCs w:val="20"/>
              </w:rPr>
            </w:pPr>
            <w:r w:rsidRPr="002A13E4">
              <w:rPr>
                <w:color w:val="000000" w:themeColor="text1"/>
                <w:sz w:val="20"/>
                <w:szCs w:val="20"/>
              </w:rPr>
              <w:t xml:space="preserve">Failure </w:t>
            </w:r>
          </w:p>
        </w:tc>
        <w:tc>
          <w:tcPr>
            <w:tcW w:w="1050" w:type="dxa"/>
            <w:vMerge w:val="restart"/>
            <w:tcBorders>
              <w:top w:val="single" w:sz="4" w:space="0" w:color="000000"/>
            </w:tcBorders>
          </w:tcPr>
          <w:p w14:paraId="3A80AC6B" w14:textId="77777777" w:rsidR="00DB7FAE" w:rsidRPr="002A13E4" w:rsidRDefault="00DB7FAE">
            <w:pPr>
              <w:jc w:val="center"/>
              <w:rPr>
                <w:color w:val="000000" w:themeColor="text1"/>
                <w:sz w:val="20"/>
                <w:szCs w:val="20"/>
              </w:rPr>
            </w:pPr>
          </w:p>
          <w:p w14:paraId="756354BE" w14:textId="77777777" w:rsidR="00DB7FAE" w:rsidRPr="002A13E4" w:rsidRDefault="00F147F7">
            <w:pPr>
              <w:jc w:val="center"/>
              <w:rPr>
                <w:color w:val="000000" w:themeColor="text1"/>
                <w:sz w:val="20"/>
                <w:szCs w:val="20"/>
              </w:rPr>
            </w:pPr>
            <w:r w:rsidRPr="002A13E4">
              <w:rPr>
                <w:color w:val="000000" w:themeColor="text1"/>
                <w:sz w:val="20"/>
                <w:szCs w:val="20"/>
              </w:rPr>
              <w:t xml:space="preserve">Repair </w:t>
            </w:r>
          </w:p>
        </w:tc>
        <w:tc>
          <w:tcPr>
            <w:tcW w:w="871" w:type="dxa"/>
            <w:vMerge w:val="restart"/>
            <w:tcBorders>
              <w:top w:val="single" w:sz="4" w:space="0" w:color="000000"/>
            </w:tcBorders>
          </w:tcPr>
          <w:p w14:paraId="7EB6EEFC" w14:textId="77777777" w:rsidR="00DB7FAE" w:rsidRPr="002A13E4" w:rsidRDefault="00DB7FAE">
            <w:pPr>
              <w:jc w:val="center"/>
              <w:rPr>
                <w:color w:val="000000" w:themeColor="text1"/>
                <w:sz w:val="20"/>
                <w:szCs w:val="20"/>
              </w:rPr>
            </w:pPr>
          </w:p>
          <w:p w14:paraId="4AFB4463" w14:textId="77777777" w:rsidR="00DB7FAE" w:rsidRPr="002A13E4" w:rsidRDefault="00F147F7">
            <w:pPr>
              <w:jc w:val="center"/>
              <w:rPr>
                <w:color w:val="000000" w:themeColor="text1"/>
                <w:sz w:val="20"/>
                <w:szCs w:val="20"/>
              </w:rPr>
            </w:pPr>
            <w:r w:rsidRPr="002A13E4">
              <w:rPr>
                <w:color w:val="000000" w:themeColor="text1"/>
                <w:sz w:val="20"/>
                <w:szCs w:val="20"/>
              </w:rPr>
              <w:t>Mean</w:t>
            </w:r>
          </w:p>
        </w:tc>
        <w:tc>
          <w:tcPr>
            <w:tcW w:w="1059" w:type="dxa"/>
            <w:vMerge w:val="restart"/>
            <w:tcBorders>
              <w:top w:val="single" w:sz="4" w:space="0" w:color="000000"/>
            </w:tcBorders>
          </w:tcPr>
          <w:p w14:paraId="247B7A22" w14:textId="77777777" w:rsidR="00DB7FAE" w:rsidRPr="002A13E4" w:rsidRDefault="00DB7FAE">
            <w:pPr>
              <w:jc w:val="center"/>
              <w:rPr>
                <w:color w:val="000000" w:themeColor="text1"/>
                <w:sz w:val="20"/>
                <w:szCs w:val="20"/>
              </w:rPr>
            </w:pPr>
          </w:p>
          <w:p w14:paraId="300940F8" w14:textId="77777777" w:rsidR="00DB7FAE" w:rsidRPr="002A13E4" w:rsidRDefault="00F147F7">
            <w:pPr>
              <w:jc w:val="center"/>
              <w:rPr>
                <w:color w:val="000000" w:themeColor="text1"/>
                <w:sz w:val="20"/>
                <w:szCs w:val="20"/>
              </w:rPr>
            </w:pPr>
            <w:r w:rsidRPr="002A13E4">
              <w:rPr>
                <w:color w:val="000000" w:themeColor="text1"/>
                <w:sz w:val="20"/>
                <w:szCs w:val="20"/>
              </w:rPr>
              <w:t>Std. Error</w:t>
            </w:r>
          </w:p>
        </w:tc>
        <w:tc>
          <w:tcPr>
            <w:tcW w:w="2882" w:type="dxa"/>
            <w:gridSpan w:val="2"/>
            <w:tcBorders>
              <w:top w:val="single" w:sz="4" w:space="0" w:color="000000"/>
              <w:bottom w:val="single" w:sz="4" w:space="0" w:color="000000"/>
            </w:tcBorders>
          </w:tcPr>
          <w:p w14:paraId="6E0E4308" w14:textId="77777777" w:rsidR="00DB7FAE" w:rsidRPr="002A13E4" w:rsidRDefault="00F147F7">
            <w:pPr>
              <w:jc w:val="center"/>
              <w:rPr>
                <w:color w:val="000000" w:themeColor="text1"/>
                <w:sz w:val="20"/>
                <w:szCs w:val="20"/>
              </w:rPr>
            </w:pPr>
            <w:r w:rsidRPr="002A13E4">
              <w:rPr>
                <w:color w:val="000000" w:themeColor="text1"/>
                <w:sz w:val="20"/>
                <w:szCs w:val="20"/>
              </w:rPr>
              <w:t>95% Confidence Interval</w:t>
            </w:r>
          </w:p>
        </w:tc>
      </w:tr>
      <w:tr w:rsidR="00EE29E3" w:rsidRPr="002A13E4" w14:paraId="718EB254" w14:textId="77777777" w:rsidTr="00EE29E3">
        <w:trPr>
          <w:trHeight w:val="277"/>
        </w:trPr>
        <w:tc>
          <w:tcPr>
            <w:tcW w:w="2211" w:type="dxa"/>
            <w:vMerge/>
            <w:tcBorders>
              <w:top w:val="single" w:sz="4" w:space="0" w:color="000000"/>
            </w:tcBorders>
          </w:tcPr>
          <w:p w14:paraId="76335FFC"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tcBorders>
          </w:tcPr>
          <w:p w14:paraId="2BF64494"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vMerge/>
            <w:tcBorders>
              <w:top w:val="single" w:sz="4" w:space="0" w:color="000000"/>
            </w:tcBorders>
          </w:tcPr>
          <w:p w14:paraId="21B1A953"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871" w:type="dxa"/>
            <w:vMerge/>
            <w:tcBorders>
              <w:top w:val="single" w:sz="4" w:space="0" w:color="000000"/>
            </w:tcBorders>
          </w:tcPr>
          <w:p w14:paraId="37B99A89"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9" w:type="dxa"/>
            <w:vMerge/>
            <w:tcBorders>
              <w:top w:val="single" w:sz="4" w:space="0" w:color="000000"/>
            </w:tcBorders>
          </w:tcPr>
          <w:p w14:paraId="666A5B40"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440" w:type="dxa"/>
            <w:tcBorders>
              <w:top w:val="single" w:sz="4" w:space="0" w:color="000000"/>
              <w:bottom w:val="single" w:sz="4" w:space="0" w:color="000000"/>
            </w:tcBorders>
          </w:tcPr>
          <w:p w14:paraId="193B8C28" w14:textId="77777777" w:rsidR="00DB7FAE" w:rsidRPr="002A13E4" w:rsidRDefault="00F147F7">
            <w:pPr>
              <w:jc w:val="center"/>
              <w:rPr>
                <w:color w:val="000000" w:themeColor="text1"/>
                <w:sz w:val="20"/>
                <w:szCs w:val="20"/>
              </w:rPr>
            </w:pPr>
            <w:r w:rsidRPr="002A13E4">
              <w:rPr>
                <w:color w:val="000000" w:themeColor="text1"/>
                <w:sz w:val="20"/>
                <w:szCs w:val="20"/>
              </w:rPr>
              <w:t>Lower Bound</w:t>
            </w:r>
          </w:p>
        </w:tc>
        <w:tc>
          <w:tcPr>
            <w:tcW w:w="1441" w:type="dxa"/>
            <w:tcBorders>
              <w:top w:val="single" w:sz="4" w:space="0" w:color="000000"/>
              <w:bottom w:val="single" w:sz="4" w:space="0" w:color="000000"/>
            </w:tcBorders>
          </w:tcPr>
          <w:p w14:paraId="1C7C8F35" w14:textId="77777777" w:rsidR="00DB7FAE" w:rsidRPr="002A13E4" w:rsidRDefault="00F147F7">
            <w:pPr>
              <w:jc w:val="center"/>
              <w:rPr>
                <w:color w:val="000000" w:themeColor="text1"/>
                <w:sz w:val="20"/>
                <w:szCs w:val="20"/>
              </w:rPr>
            </w:pPr>
            <w:r w:rsidRPr="002A13E4">
              <w:rPr>
                <w:color w:val="000000" w:themeColor="text1"/>
                <w:sz w:val="20"/>
                <w:szCs w:val="20"/>
              </w:rPr>
              <w:t>Upper Bound</w:t>
            </w:r>
          </w:p>
        </w:tc>
      </w:tr>
      <w:tr w:rsidR="00EE29E3" w:rsidRPr="002A13E4" w14:paraId="43FAACAE" w14:textId="77777777" w:rsidTr="00EE29E3">
        <w:trPr>
          <w:trHeight w:val="288"/>
        </w:trPr>
        <w:tc>
          <w:tcPr>
            <w:tcW w:w="2211" w:type="dxa"/>
            <w:vMerge w:val="restart"/>
            <w:tcBorders>
              <w:top w:val="single" w:sz="4" w:space="0" w:color="000000"/>
            </w:tcBorders>
          </w:tcPr>
          <w:p w14:paraId="24FC501B" w14:textId="77777777" w:rsidR="00DB7FAE" w:rsidRPr="002A13E4" w:rsidRDefault="00F147F7">
            <w:pPr>
              <w:rPr>
                <w:color w:val="000000" w:themeColor="text1"/>
                <w:sz w:val="20"/>
                <w:szCs w:val="20"/>
              </w:rPr>
            </w:pPr>
            <w:r w:rsidRPr="002A13E4">
              <w:rPr>
                <w:color w:val="000000" w:themeColor="text1"/>
                <w:sz w:val="20"/>
                <w:szCs w:val="20"/>
              </w:rPr>
              <w:t>Competence-Based Trust</w:t>
            </w:r>
          </w:p>
          <w:p w14:paraId="0A5C24B3" w14:textId="5173E8D7" w:rsidR="00DD6189" w:rsidRPr="002A13E4" w:rsidRDefault="00DD6189">
            <w:pPr>
              <w:rPr>
                <w:color w:val="000000" w:themeColor="text1"/>
                <w:sz w:val="20"/>
                <w:szCs w:val="20"/>
              </w:rPr>
            </w:pPr>
          </w:p>
        </w:tc>
        <w:tc>
          <w:tcPr>
            <w:tcW w:w="1065" w:type="dxa"/>
            <w:vMerge w:val="restart"/>
            <w:tcBorders>
              <w:top w:val="single" w:sz="4" w:space="0" w:color="000000"/>
            </w:tcBorders>
          </w:tcPr>
          <w:p w14:paraId="0BF894F6" w14:textId="77777777" w:rsidR="00DB7FAE" w:rsidRPr="002A13E4" w:rsidRDefault="00F147F7">
            <w:pPr>
              <w:rPr>
                <w:color w:val="000000" w:themeColor="text1"/>
                <w:sz w:val="20"/>
                <w:szCs w:val="20"/>
              </w:rPr>
            </w:pPr>
            <w:r w:rsidRPr="002A13E4">
              <w:rPr>
                <w:color w:val="000000" w:themeColor="text1"/>
                <w:sz w:val="20"/>
                <w:szCs w:val="20"/>
              </w:rPr>
              <w:t xml:space="preserve">Logic </w:t>
            </w:r>
          </w:p>
        </w:tc>
        <w:tc>
          <w:tcPr>
            <w:tcW w:w="1050" w:type="dxa"/>
            <w:tcBorders>
              <w:top w:val="single" w:sz="4" w:space="0" w:color="000000"/>
              <w:bottom w:val="single" w:sz="4" w:space="0" w:color="000000"/>
            </w:tcBorders>
          </w:tcPr>
          <w:p w14:paraId="5A77621B" w14:textId="77777777" w:rsidR="00DB7FAE" w:rsidRPr="002A13E4" w:rsidRDefault="00F147F7">
            <w:pPr>
              <w:rPr>
                <w:color w:val="000000" w:themeColor="text1"/>
                <w:sz w:val="20"/>
                <w:szCs w:val="20"/>
              </w:rPr>
            </w:pPr>
            <w:r w:rsidRPr="002A13E4">
              <w:rPr>
                <w:color w:val="000000" w:themeColor="text1"/>
                <w:sz w:val="20"/>
                <w:szCs w:val="20"/>
              </w:rPr>
              <w:t>Apology</w:t>
            </w:r>
          </w:p>
          <w:p w14:paraId="30FB7D40"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bottom w:val="single" w:sz="4" w:space="0" w:color="000000"/>
            </w:tcBorders>
          </w:tcPr>
          <w:p w14:paraId="3B00D91E" w14:textId="55B6C24B" w:rsidR="00DB7FAE" w:rsidRPr="002A13E4" w:rsidRDefault="001E37C8">
            <w:pPr>
              <w:jc w:val="center"/>
              <w:rPr>
                <w:color w:val="000000" w:themeColor="text1"/>
                <w:sz w:val="20"/>
                <w:szCs w:val="20"/>
              </w:rPr>
            </w:pPr>
            <w:r w:rsidRPr="002A13E4">
              <w:rPr>
                <w:color w:val="000000" w:themeColor="text1"/>
                <w:sz w:val="20"/>
                <w:szCs w:val="20"/>
              </w:rPr>
              <w:t>8.</w:t>
            </w:r>
            <w:r w:rsidR="00031053" w:rsidRPr="002A13E4">
              <w:rPr>
                <w:color w:val="000000" w:themeColor="text1"/>
                <w:sz w:val="20"/>
                <w:szCs w:val="20"/>
              </w:rPr>
              <w:t>09</w:t>
            </w:r>
          </w:p>
        </w:tc>
        <w:tc>
          <w:tcPr>
            <w:tcW w:w="1059" w:type="dxa"/>
            <w:tcBorders>
              <w:top w:val="single" w:sz="4" w:space="0" w:color="000000"/>
              <w:bottom w:val="single" w:sz="4" w:space="0" w:color="000000"/>
            </w:tcBorders>
          </w:tcPr>
          <w:p w14:paraId="2A9617B6" w14:textId="027EE997" w:rsidR="00DB7FAE" w:rsidRPr="002A13E4" w:rsidRDefault="001E37C8">
            <w:pPr>
              <w:jc w:val="center"/>
              <w:rPr>
                <w:color w:val="000000" w:themeColor="text1"/>
                <w:sz w:val="20"/>
                <w:szCs w:val="20"/>
              </w:rPr>
            </w:pPr>
            <w:r w:rsidRPr="002A13E4">
              <w:rPr>
                <w:color w:val="000000" w:themeColor="text1"/>
                <w:sz w:val="20"/>
                <w:szCs w:val="20"/>
              </w:rPr>
              <w:t>0.</w:t>
            </w:r>
            <w:r w:rsidR="00031053" w:rsidRPr="002A13E4">
              <w:rPr>
                <w:color w:val="000000" w:themeColor="text1"/>
                <w:sz w:val="20"/>
                <w:szCs w:val="20"/>
              </w:rPr>
              <w:t>23</w:t>
            </w:r>
          </w:p>
        </w:tc>
        <w:tc>
          <w:tcPr>
            <w:tcW w:w="1440" w:type="dxa"/>
            <w:tcBorders>
              <w:top w:val="single" w:sz="4" w:space="0" w:color="000000"/>
              <w:bottom w:val="single" w:sz="4" w:space="0" w:color="000000"/>
            </w:tcBorders>
          </w:tcPr>
          <w:p w14:paraId="5B18635A" w14:textId="358AC695" w:rsidR="00DB7FAE" w:rsidRPr="002A13E4" w:rsidRDefault="001E37C8">
            <w:pPr>
              <w:jc w:val="center"/>
              <w:rPr>
                <w:color w:val="000000" w:themeColor="text1"/>
                <w:sz w:val="20"/>
                <w:szCs w:val="20"/>
              </w:rPr>
            </w:pPr>
            <w:r w:rsidRPr="002A13E4">
              <w:rPr>
                <w:color w:val="000000" w:themeColor="text1"/>
                <w:sz w:val="20"/>
                <w:szCs w:val="20"/>
              </w:rPr>
              <w:t>7.</w:t>
            </w:r>
            <w:r w:rsidR="00031053" w:rsidRPr="002A13E4">
              <w:rPr>
                <w:color w:val="000000" w:themeColor="text1"/>
                <w:sz w:val="20"/>
                <w:szCs w:val="20"/>
              </w:rPr>
              <w:t>63</w:t>
            </w:r>
          </w:p>
        </w:tc>
        <w:tc>
          <w:tcPr>
            <w:tcW w:w="1441" w:type="dxa"/>
            <w:tcBorders>
              <w:top w:val="single" w:sz="4" w:space="0" w:color="000000"/>
              <w:bottom w:val="single" w:sz="4" w:space="0" w:color="000000"/>
            </w:tcBorders>
          </w:tcPr>
          <w:p w14:paraId="51A8636A" w14:textId="2C9C1050" w:rsidR="00DB7FAE" w:rsidRPr="002A13E4" w:rsidRDefault="001E37C8">
            <w:pPr>
              <w:jc w:val="center"/>
              <w:rPr>
                <w:color w:val="000000" w:themeColor="text1"/>
                <w:sz w:val="20"/>
                <w:szCs w:val="20"/>
              </w:rPr>
            </w:pPr>
            <w:r w:rsidRPr="002A13E4">
              <w:rPr>
                <w:color w:val="000000" w:themeColor="text1"/>
                <w:sz w:val="20"/>
                <w:szCs w:val="20"/>
              </w:rPr>
              <w:t>8.</w:t>
            </w:r>
            <w:r w:rsidR="00031053" w:rsidRPr="002A13E4">
              <w:rPr>
                <w:color w:val="000000" w:themeColor="text1"/>
                <w:sz w:val="20"/>
                <w:szCs w:val="20"/>
              </w:rPr>
              <w:t>56</w:t>
            </w:r>
          </w:p>
        </w:tc>
      </w:tr>
      <w:tr w:rsidR="00EE29E3" w:rsidRPr="002A13E4" w14:paraId="6887AD2C" w14:textId="77777777" w:rsidTr="00EE29E3">
        <w:trPr>
          <w:trHeight w:val="301"/>
        </w:trPr>
        <w:tc>
          <w:tcPr>
            <w:tcW w:w="2211" w:type="dxa"/>
            <w:vMerge/>
            <w:tcBorders>
              <w:top w:val="single" w:sz="4" w:space="0" w:color="000000"/>
            </w:tcBorders>
          </w:tcPr>
          <w:p w14:paraId="02BF5A85"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tcBorders>
          </w:tcPr>
          <w:p w14:paraId="0200427D"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top w:val="single" w:sz="4" w:space="0" w:color="000000"/>
              <w:bottom w:val="single" w:sz="4" w:space="0" w:color="000000"/>
            </w:tcBorders>
          </w:tcPr>
          <w:p w14:paraId="5F03624B"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top w:val="single" w:sz="4" w:space="0" w:color="000000"/>
              <w:bottom w:val="single" w:sz="4" w:space="0" w:color="000000"/>
            </w:tcBorders>
          </w:tcPr>
          <w:p w14:paraId="1FDEC085" w14:textId="2E38D5B5" w:rsidR="00DB7FAE" w:rsidRPr="002A13E4" w:rsidRDefault="00031053">
            <w:pPr>
              <w:jc w:val="center"/>
              <w:rPr>
                <w:color w:val="000000" w:themeColor="text1"/>
                <w:sz w:val="20"/>
                <w:szCs w:val="20"/>
              </w:rPr>
            </w:pPr>
            <w:r w:rsidRPr="002A13E4">
              <w:rPr>
                <w:color w:val="000000" w:themeColor="text1"/>
                <w:sz w:val="20"/>
                <w:szCs w:val="20"/>
              </w:rPr>
              <w:t>7.29</w:t>
            </w:r>
          </w:p>
        </w:tc>
        <w:tc>
          <w:tcPr>
            <w:tcW w:w="1059" w:type="dxa"/>
            <w:tcBorders>
              <w:top w:val="single" w:sz="4" w:space="0" w:color="000000"/>
              <w:bottom w:val="single" w:sz="4" w:space="0" w:color="000000"/>
            </w:tcBorders>
          </w:tcPr>
          <w:p w14:paraId="3F8C6204" w14:textId="0A2535E1" w:rsidR="00DB7FAE" w:rsidRPr="002A13E4" w:rsidRDefault="001E37C8">
            <w:pPr>
              <w:jc w:val="center"/>
              <w:rPr>
                <w:color w:val="000000" w:themeColor="text1"/>
                <w:sz w:val="20"/>
                <w:szCs w:val="20"/>
              </w:rPr>
            </w:pPr>
            <w:r w:rsidRPr="002A13E4">
              <w:rPr>
                <w:color w:val="000000" w:themeColor="text1"/>
                <w:sz w:val="20"/>
                <w:szCs w:val="20"/>
              </w:rPr>
              <w:t>0</w:t>
            </w:r>
            <w:r w:rsidR="00031053" w:rsidRPr="002A13E4">
              <w:rPr>
                <w:color w:val="000000" w:themeColor="text1"/>
                <w:sz w:val="20"/>
                <w:szCs w:val="20"/>
              </w:rPr>
              <w:t>.23</w:t>
            </w:r>
          </w:p>
        </w:tc>
        <w:tc>
          <w:tcPr>
            <w:tcW w:w="1440" w:type="dxa"/>
            <w:tcBorders>
              <w:top w:val="single" w:sz="4" w:space="0" w:color="000000"/>
              <w:bottom w:val="single" w:sz="4" w:space="0" w:color="000000"/>
            </w:tcBorders>
          </w:tcPr>
          <w:p w14:paraId="07991A09" w14:textId="73A020DB" w:rsidR="00DB7FAE" w:rsidRPr="002A13E4" w:rsidRDefault="001E37C8">
            <w:pPr>
              <w:jc w:val="center"/>
              <w:rPr>
                <w:color w:val="000000" w:themeColor="text1"/>
                <w:sz w:val="20"/>
                <w:szCs w:val="20"/>
              </w:rPr>
            </w:pPr>
            <w:r w:rsidRPr="002A13E4">
              <w:rPr>
                <w:color w:val="000000" w:themeColor="text1"/>
                <w:sz w:val="20"/>
                <w:szCs w:val="20"/>
              </w:rPr>
              <w:t>6.</w:t>
            </w:r>
            <w:r w:rsidR="00031053" w:rsidRPr="002A13E4">
              <w:rPr>
                <w:color w:val="000000" w:themeColor="text1"/>
                <w:sz w:val="20"/>
                <w:szCs w:val="20"/>
              </w:rPr>
              <w:t>83</w:t>
            </w:r>
          </w:p>
        </w:tc>
        <w:tc>
          <w:tcPr>
            <w:tcW w:w="1441" w:type="dxa"/>
            <w:tcBorders>
              <w:top w:val="single" w:sz="4" w:space="0" w:color="000000"/>
              <w:bottom w:val="single" w:sz="4" w:space="0" w:color="000000"/>
            </w:tcBorders>
          </w:tcPr>
          <w:p w14:paraId="178871EF" w14:textId="1311E44C" w:rsidR="00DB7FAE" w:rsidRPr="002A13E4" w:rsidRDefault="001E37C8">
            <w:pPr>
              <w:jc w:val="center"/>
              <w:rPr>
                <w:color w:val="000000" w:themeColor="text1"/>
                <w:sz w:val="20"/>
                <w:szCs w:val="20"/>
              </w:rPr>
            </w:pPr>
            <w:r w:rsidRPr="002A13E4">
              <w:rPr>
                <w:color w:val="000000" w:themeColor="text1"/>
                <w:sz w:val="20"/>
                <w:szCs w:val="20"/>
              </w:rPr>
              <w:t>7.</w:t>
            </w:r>
            <w:r w:rsidR="00031053" w:rsidRPr="002A13E4">
              <w:rPr>
                <w:color w:val="000000" w:themeColor="text1"/>
                <w:sz w:val="20"/>
                <w:szCs w:val="20"/>
              </w:rPr>
              <w:t>74</w:t>
            </w:r>
          </w:p>
        </w:tc>
      </w:tr>
      <w:tr w:rsidR="00EE29E3" w:rsidRPr="002A13E4" w14:paraId="35AAF77F" w14:textId="77777777" w:rsidTr="00EE29E3">
        <w:trPr>
          <w:trHeight w:val="288"/>
        </w:trPr>
        <w:tc>
          <w:tcPr>
            <w:tcW w:w="2211" w:type="dxa"/>
            <w:vMerge w:val="restart"/>
            <w:tcBorders>
              <w:top w:val="single" w:sz="4" w:space="0" w:color="000000"/>
            </w:tcBorders>
          </w:tcPr>
          <w:p w14:paraId="380B5889" w14:textId="77777777" w:rsidR="00DB7FAE" w:rsidRPr="002A13E4" w:rsidRDefault="00F147F7">
            <w:pPr>
              <w:rPr>
                <w:color w:val="000000" w:themeColor="text1"/>
                <w:sz w:val="20"/>
                <w:szCs w:val="20"/>
              </w:rPr>
            </w:pPr>
            <w:r w:rsidRPr="002A13E4">
              <w:rPr>
                <w:color w:val="000000" w:themeColor="text1"/>
                <w:sz w:val="20"/>
                <w:szCs w:val="20"/>
              </w:rPr>
              <w:t>Integrity-Based Trust</w:t>
            </w:r>
          </w:p>
        </w:tc>
        <w:tc>
          <w:tcPr>
            <w:tcW w:w="1065" w:type="dxa"/>
            <w:vMerge w:val="restart"/>
            <w:tcBorders>
              <w:top w:val="single" w:sz="4" w:space="0" w:color="000000"/>
            </w:tcBorders>
          </w:tcPr>
          <w:p w14:paraId="26505AA9" w14:textId="77777777" w:rsidR="00DB7FAE" w:rsidRPr="002A13E4" w:rsidRDefault="00F147F7">
            <w:pPr>
              <w:rPr>
                <w:color w:val="000000" w:themeColor="text1"/>
                <w:sz w:val="20"/>
                <w:szCs w:val="20"/>
              </w:rPr>
            </w:pPr>
            <w:r w:rsidRPr="002A13E4">
              <w:rPr>
                <w:color w:val="000000" w:themeColor="text1"/>
                <w:sz w:val="20"/>
                <w:szCs w:val="20"/>
              </w:rPr>
              <w:t>Logic</w:t>
            </w:r>
          </w:p>
        </w:tc>
        <w:tc>
          <w:tcPr>
            <w:tcW w:w="1050" w:type="dxa"/>
            <w:tcBorders>
              <w:top w:val="single" w:sz="4" w:space="0" w:color="000000"/>
              <w:bottom w:val="single" w:sz="4" w:space="0" w:color="000000"/>
            </w:tcBorders>
          </w:tcPr>
          <w:p w14:paraId="73B2C588" w14:textId="77777777" w:rsidR="00DB7FAE" w:rsidRPr="002A13E4" w:rsidRDefault="00F147F7">
            <w:pPr>
              <w:rPr>
                <w:color w:val="000000" w:themeColor="text1"/>
                <w:sz w:val="20"/>
                <w:szCs w:val="20"/>
              </w:rPr>
            </w:pPr>
            <w:r w:rsidRPr="002A13E4">
              <w:rPr>
                <w:color w:val="000000" w:themeColor="text1"/>
                <w:sz w:val="20"/>
                <w:szCs w:val="20"/>
              </w:rPr>
              <w:t>Apology</w:t>
            </w:r>
          </w:p>
          <w:p w14:paraId="2C50DED4"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bottom w:val="single" w:sz="4" w:space="0" w:color="000000"/>
            </w:tcBorders>
          </w:tcPr>
          <w:p w14:paraId="35813E90" w14:textId="0EF846A8" w:rsidR="00DB7FAE" w:rsidRPr="002A13E4" w:rsidRDefault="00F147F7">
            <w:pPr>
              <w:jc w:val="center"/>
              <w:rPr>
                <w:color w:val="000000" w:themeColor="text1"/>
                <w:sz w:val="20"/>
                <w:szCs w:val="20"/>
              </w:rPr>
            </w:pPr>
            <w:r w:rsidRPr="002A13E4">
              <w:rPr>
                <w:color w:val="000000" w:themeColor="text1"/>
                <w:sz w:val="20"/>
                <w:szCs w:val="20"/>
              </w:rPr>
              <w:t>4.</w:t>
            </w:r>
            <w:r w:rsidR="00031053" w:rsidRPr="002A13E4">
              <w:rPr>
                <w:color w:val="000000" w:themeColor="text1"/>
                <w:sz w:val="20"/>
                <w:szCs w:val="20"/>
              </w:rPr>
              <w:t>66</w:t>
            </w:r>
          </w:p>
        </w:tc>
        <w:tc>
          <w:tcPr>
            <w:tcW w:w="1059" w:type="dxa"/>
            <w:tcBorders>
              <w:top w:val="single" w:sz="4" w:space="0" w:color="000000"/>
              <w:bottom w:val="single" w:sz="4" w:space="0" w:color="000000"/>
            </w:tcBorders>
          </w:tcPr>
          <w:p w14:paraId="3A49E218" w14:textId="0D2623DC" w:rsidR="00DB7FAE" w:rsidRPr="002A13E4" w:rsidRDefault="00F147F7">
            <w:pPr>
              <w:jc w:val="center"/>
              <w:rPr>
                <w:color w:val="000000" w:themeColor="text1"/>
                <w:sz w:val="20"/>
                <w:szCs w:val="20"/>
              </w:rPr>
            </w:pPr>
            <w:r w:rsidRPr="002A13E4">
              <w:rPr>
                <w:color w:val="000000" w:themeColor="text1"/>
                <w:sz w:val="20"/>
                <w:szCs w:val="20"/>
              </w:rPr>
              <w:t>0.1</w:t>
            </w:r>
            <w:r w:rsidR="00031053" w:rsidRPr="002A13E4">
              <w:rPr>
                <w:color w:val="000000" w:themeColor="text1"/>
                <w:sz w:val="20"/>
                <w:szCs w:val="20"/>
              </w:rPr>
              <w:t>4</w:t>
            </w:r>
          </w:p>
        </w:tc>
        <w:tc>
          <w:tcPr>
            <w:tcW w:w="1440" w:type="dxa"/>
            <w:tcBorders>
              <w:top w:val="single" w:sz="4" w:space="0" w:color="000000"/>
              <w:bottom w:val="single" w:sz="4" w:space="0" w:color="000000"/>
            </w:tcBorders>
          </w:tcPr>
          <w:p w14:paraId="3F738D02" w14:textId="3602466B" w:rsidR="00DB7FAE" w:rsidRPr="002A13E4" w:rsidRDefault="00F147F7">
            <w:pPr>
              <w:jc w:val="center"/>
              <w:rPr>
                <w:color w:val="000000" w:themeColor="text1"/>
                <w:sz w:val="20"/>
                <w:szCs w:val="20"/>
              </w:rPr>
            </w:pPr>
            <w:r w:rsidRPr="002A13E4">
              <w:rPr>
                <w:color w:val="000000" w:themeColor="text1"/>
                <w:sz w:val="20"/>
                <w:szCs w:val="20"/>
              </w:rPr>
              <w:t>4.</w:t>
            </w:r>
            <w:r w:rsidR="00031053" w:rsidRPr="002A13E4">
              <w:rPr>
                <w:color w:val="000000" w:themeColor="text1"/>
                <w:sz w:val="20"/>
                <w:szCs w:val="20"/>
              </w:rPr>
              <w:t>38</w:t>
            </w:r>
          </w:p>
        </w:tc>
        <w:tc>
          <w:tcPr>
            <w:tcW w:w="1441" w:type="dxa"/>
            <w:tcBorders>
              <w:top w:val="single" w:sz="4" w:space="0" w:color="000000"/>
              <w:bottom w:val="single" w:sz="4" w:space="0" w:color="000000"/>
            </w:tcBorders>
          </w:tcPr>
          <w:p w14:paraId="4EF55AD8" w14:textId="74A86D02" w:rsidR="00DB7FAE" w:rsidRPr="002A13E4" w:rsidRDefault="00031053">
            <w:pPr>
              <w:jc w:val="center"/>
              <w:rPr>
                <w:color w:val="000000" w:themeColor="text1"/>
                <w:sz w:val="20"/>
                <w:szCs w:val="20"/>
              </w:rPr>
            </w:pPr>
            <w:r w:rsidRPr="002A13E4">
              <w:rPr>
                <w:color w:val="000000" w:themeColor="text1"/>
                <w:sz w:val="20"/>
                <w:szCs w:val="20"/>
              </w:rPr>
              <w:t>4.94</w:t>
            </w:r>
          </w:p>
        </w:tc>
      </w:tr>
      <w:tr w:rsidR="00EE29E3" w:rsidRPr="002A13E4" w14:paraId="122E85A7" w14:textId="77777777" w:rsidTr="00EE29E3">
        <w:trPr>
          <w:trHeight w:val="301"/>
        </w:trPr>
        <w:tc>
          <w:tcPr>
            <w:tcW w:w="2211" w:type="dxa"/>
            <w:vMerge/>
            <w:tcBorders>
              <w:top w:val="single" w:sz="4" w:space="0" w:color="000000"/>
            </w:tcBorders>
          </w:tcPr>
          <w:p w14:paraId="7AE5939B"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tcBorders>
          </w:tcPr>
          <w:p w14:paraId="545CA4A8"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top w:val="single" w:sz="4" w:space="0" w:color="000000"/>
              <w:bottom w:val="single" w:sz="4" w:space="0" w:color="000000"/>
            </w:tcBorders>
          </w:tcPr>
          <w:p w14:paraId="0125AAE9"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top w:val="single" w:sz="4" w:space="0" w:color="000000"/>
              <w:bottom w:val="single" w:sz="4" w:space="0" w:color="000000"/>
            </w:tcBorders>
          </w:tcPr>
          <w:p w14:paraId="1D1A5303" w14:textId="0322CCDD" w:rsidR="00DB7FAE" w:rsidRPr="002A13E4" w:rsidRDefault="00F147F7">
            <w:pPr>
              <w:jc w:val="center"/>
              <w:rPr>
                <w:color w:val="000000" w:themeColor="text1"/>
                <w:sz w:val="20"/>
                <w:szCs w:val="20"/>
              </w:rPr>
            </w:pPr>
            <w:r w:rsidRPr="002A13E4">
              <w:rPr>
                <w:color w:val="000000" w:themeColor="text1"/>
                <w:sz w:val="20"/>
                <w:szCs w:val="20"/>
              </w:rPr>
              <w:t>4.</w:t>
            </w:r>
            <w:r w:rsidR="00031053" w:rsidRPr="002A13E4">
              <w:rPr>
                <w:color w:val="000000" w:themeColor="text1"/>
                <w:sz w:val="20"/>
                <w:szCs w:val="20"/>
              </w:rPr>
              <w:t>06</w:t>
            </w:r>
          </w:p>
        </w:tc>
        <w:tc>
          <w:tcPr>
            <w:tcW w:w="1059" w:type="dxa"/>
            <w:tcBorders>
              <w:top w:val="single" w:sz="4" w:space="0" w:color="000000"/>
              <w:bottom w:val="single" w:sz="4" w:space="0" w:color="000000"/>
            </w:tcBorders>
          </w:tcPr>
          <w:p w14:paraId="15EF4D92" w14:textId="6E215FFE" w:rsidR="00DB7FAE" w:rsidRPr="002A13E4" w:rsidRDefault="00F147F7">
            <w:pPr>
              <w:jc w:val="center"/>
              <w:rPr>
                <w:color w:val="000000" w:themeColor="text1"/>
                <w:sz w:val="20"/>
                <w:szCs w:val="20"/>
              </w:rPr>
            </w:pPr>
            <w:r w:rsidRPr="002A13E4">
              <w:rPr>
                <w:color w:val="000000" w:themeColor="text1"/>
                <w:sz w:val="20"/>
                <w:szCs w:val="20"/>
              </w:rPr>
              <w:t>0.</w:t>
            </w:r>
            <w:r w:rsidR="00031053" w:rsidRPr="002A13E4">
              <w:rPr>
                <w:color w:val="000000" w:themeColor="text1"/>
                <w:sz w:val="20"/>
                <w:szCs w:val="20"/>
              </w:rPr>
              <w:t>14</w:t>
            </w:r>
          </w:p>
        </w:tc>
        <w:tc>
          <w:tcPr>
            <w:tcW w:w="1440" w:type="dxa"/>
            <w:tcBorders>
              <w:top w:val="single" w:sz="4" w:space="0" w:color="000000"/>
              <w:bottom w:val="single" w:sz="4" w:space="0" w:color="000000"/>
            </w:tcBorders>
          </w:tcPr>
          <w:p w14:paraId="187F90DA" w14:textId="1A3B2FBF" w:rsidR="00DB7FAE" w:rsidRPr="002A13E4" w:rsidRDefault="00F147F7">
            <w:pPr>
              <w:jc w:val="center"/>
              <w:rPr>
                <w:color w:val="000000" w:themeColor="text1"/>
                <w:sz w:val="20"/>
                <w:szCs w:val="20"/>
              </w:rPr>
            </w:pPr>
            <w:r w:rsidRPr="002A13E4">
              <w:rPr>
                <w:color w:val="000000" w:themeColor="text1"/>
                <w:sz w:val="20"/>
                <w:szCs w:val="20"/>
              </w:rPr>
              <w:t>3.</w:t>
            </w:r>
            <w:r w:rsidR="00031053" w:rsidRPr="002A13E4">
              <w:rPr>
                <w:color w:val="000000" w:themeColor="text1"/>
                <w:sz w:val="20"/>
                <w:szCs w:val="20"/>
              </w:rPr>
              <w:t>79</w:t>
            </w:r>
          </w:p>
        </w:tc>
        <w:tc>
          <w:tcPr>
            <w:tcW w:w="1441" w:type="dxa"/>
            <w:tcBorders>
              <w:top w:val="single" w:sz="4" w:space="0" w:color="000000"/>
              <w:bottom w:val="single" w:sz="4" w:space="0" w:color="000000"/>
            </w:tcBorders>
          </w:tcPr>
          <w:p w14:paraId="70E4BCDE" w14:textId="73E26468" w:rsidR="00DB7FAE" w:rsidRPr="002A13E4" w:rsidRDefault="00F147F7">
            <w:pPr>
              <w:jc w:val="center"/>
              <w:rPr>
                <w:color w:val="000000" w:themeColor="text1"/>
                <w:sz w:val="20"/>
                <w:szCs w:val="20"/>
              </w:rPr>
            </w:pPr>
            <w:r w:rsidRPr="002A13E4">
              <w:rPr>
                <w:color w:val="000000" w:themeColor="text1"/>
                <w:sz w:val="20"/>
                <w:szCs w:val="20"/>
              </w:rPr>
              <w:t>4.</w:t>
            </w:r>
            <w:r w:rsidR="00031053" w:rsidRPr="002A13E4">
              <w:rPr>
                <w:color w:val="000000" w:themeColor="text1"/>
                <w:sz w:val="20"/>
                <w:szCs w:val="20"/>
              </w:rPr>
              <w:t>33</w:t>
            </w:r>
          </w:p>
        </w:tc>
      </w:tr>
      <w:tr w:rsidR="00EE29E3" w:rsidRPr="002A13E4" w14:paraId="2DBC959E" w14:textId="77777777" w:rsidTr="00EE29E3">
        <w:trPr>
          <w:trHeight w:val="288"/>
        </w:trPr>
        <w:tc>
          <w:tcPr>
            <w:tcW w:w="2211" w:type="dxa"/>
            <w:vMerge w:val="restart"/>
            <w:tcBorders>
              <w:top w:val="single" w:sz="4" w:space="0" w:color="000000"/>
            </w:tcBorders>
          </w:tcPr>
          <w:p w14:paraId="1DCA103E" w14:textId="77777777" w:rsidR="00DB7FAE" w:rsidRPr="002A13E4" w:rsidRDefault="00F147F7">
            <w:pPr>
              <w:rPr>
                <w:color w:val="000000" w:themeColor="text1"/>
                <w:sz w:val="20"/>
                <w:szCs w:val="20"/>
              </w:rPr>
            </w:pPr>
            <w:r w:rsidRPr="002A13E4">
              <w:rPr>
                <w:color w:val="000000" w:themeColor="text1"/>
                <w:sz w:val="20"/>
                <w:szCs w:val="20"/>
              </w:rPr>
              <w:t>Competence-Based Trust</w:t>
            </w:r>
          </w:p>
        </w:tc>
        <w:tc>
          <w:tcPr>
            <w:tcW w:w="1065" w:type="dxa"/>
            <w:vMerge w:val="restart"/>
            <w:tcBorders>
              <w:top w:val="single" w:sz="4" w:space="0" w:color="000000"/>
            </w:tcBorders>
          </w:tcPr>
          <w:p w14:paraId="6BDDD351" w14:textId="77777777" w:rsidR="00DB7FAE" w:rsidRPr="002A13E4" w:rsidRDefault="00F147F7">
            <w:pPr>
              <w:rPr>
                <w:color w:val="000000" w:themeColor="text1"/>
                <w:sz w:val="20"/>
                <w:szCs w:val="20"/>
              </w:rPr>
            </w:pPr>
            <w:r w:rsidRPr="002A13E4">
              <w:rPr>
                <w:color w:val="000000" w:themeColor="text1"/>
                <w:sz w:val="20"/>
                <w:szCs w:val="20"/>
              </w:rPr>
              <w:t>Semantic</w:t>
            </w:r>
          </w:p>
        </w:tc>
        <w:tc>
          <w:tcPr>
            <w:tcW w:w="1050" w:type="dxa"/>
            <w:tcBorders>
              <w:top w:val="single" w:sz="4" w:space="0" w:color="000000"/>
            </w:tcBorders>
          </w:tcPr>
          <w:p w14:paraId="3800BE7E" w14:textId="77777777" w:rsidR="00DB7FAE" w:rsidRPr="002A13E4" w:rsidRDefault="00F147F7">
            <w:pPr>
              <w:rPr>
                <w:color w:val="000000" w:themeColor="text1"/>
                <w:sz w:val="20"/>
                <w:szCs w:val="20"/>
              </w:rPr>
            </w:pPr>
            <w:r w:rsidRPr="002A13E4">
              <w:rPr>
                <w:color w:val="000000" w:themeColor="text1"/>
                <w:sz w:val="20"/>
                <w:szCs w:val="20"/>
              </w:rPr>
              <w:t>Apology</w:t>
            </w:r>
          </w:p>
          <w:p w14:paraId="0F98A930"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tcBorders>
          </w:tcPr>
          <w:p w14:paraId="6E9F5FDD" w14:textId="41E7CC21" w:rsidR="00DB7FAE" w:rsidRPr="002A13E4" w:rsidRDefault="007E5D41">
            <w:pPr>
              <w:jc w:val="center"/>
              <w:rPr>
                <w:color w:val="000000" w:themeColor="text1"/>
                <w:sz w:val="20"/>
                <w:szCs w:val="20"/>
              </w:rPr>
            </w:pPr>
            <w:r w:rsidRPr="002A13E4">
              <w:rPr>
                <w:color w:val="000000" w:themeColor="text1"/>
                <w:sz w:val="20"/>
                <w:szCs w:val="20"/>
              </w:rPr>
              <w:t>7.54</w:t>
            </w:r>
          </w:p>
        </w:tc>
        <w:tc>
          <w:tcPr>
            <w:tcW w:w="1059" w:type="dxa"/>
            <w:tcBorders>
              <w:top w:val="single" w:sz="4" w:space="0" w:color="000000"/>
            </w:tcBorders>
          </w:tcPr>
          <w:p w14:paraId="732DA1C9" w14:textId="766E9341" w:rsidR="00DB7FAE" w:rsidRPr="002A13E4" w:rsidRDefault="007E5D41">
            <w:pPr>
              <w:jc w:val="center"/>
              <w:rPr>
                <w:color w:val="000000" w:themeColor="text1"/>
                <w:sz w:val="20"/>
                <w:szCs w:val="20"/>
              </w:rPr>
            </w:pPr>
            <w:r w:rsidRPr="002A13E4">
              <w:rPr>
                <w:color w:val="000000" w:themeColor="text1"/>
                <w:sz w:val="20"/>
                <w:szCs w:val="20"/>
              </w:rPr>
              <w:t>0.25</w:t>
            </w:r>
          </w:p>
        </w:tc>
        <w:tc>
          <w:tcPr>
            <w:tcW w:w="1440" w:type="dxa"/>
            <w:tcBorders>
              <w:top w:val="single" w:sz="4" w:space="0" w:color="000000"/>
            </w:tcBorders>
          </w:tcPr>
          <w:p w14:paraId="38A489A4" w14:textId="034D211E" w:rsidR="00DB7FAE" w:rsidRPr="002A13E4" w:rsidRDefault="007E5D41">
            <w:pPr>
              <w:jc w:val="center"/>
              <w:rPr>
                <w:color w:val="000000" w:themeColor="text1"/>
                <w:sz w:val="20"/>
                <w:szCs w:val="20"/>
              </w:rPr>
            </w:pPr>
            <w:r w:rsidRPr="002A13E4">
              <w:rPr>
                <w:color w:val="000000" w:themeColor="text1"/>
                <w:sz w:val="20"/>
                <w:szCs w:val="20"/>
              </w:rPr>
              <w:t>7.05</w:t>
            </w:r>
          </w:p>
        </w:tc>
        <w:tc>
          <w:tcPr>
            <w:tcW w:w="1441" w:type="dxa"/>
            <w:tcBorders>
              <w:top w:val="single" w:sz="4" w:space="0" w:color="000000"/>
            </w:tcBorders>
          </w:tcPr>
          <w:p w14:paraId="1B412887" w14:textId="0BD55015" w:rsidR="00DB7FAE" w:rsidRPr="002A13E4" w:rsidRDefault="007E5D41">
            <w:pPr>
              <w:jc w:val="center"/>
              <w:rPr>
                <w:color w:val="000000" w:themeColor="text1"/>
                <w:sz w:val="20"/>
                <w:szCs w:val="20"/>
              </w:rPr>
            </w:pPr>
            <w:r w:rsidRPr="002A13E4">
              <w:rPr>
                <w:color w:val="000000" w:themeColor="text1"/>
                <w:sz w:val="20"/>
                <w:szCs w:val="20"/>
              </w:rPr>
              <w:t>8.03</w:t>
            </w:r>
          </w:p>
        </w:tc>
      </w:tr>
      <w:tr w:rsidR="00EE29E3" w:rsidRPr="002A13E4" w14:paraId="03670C2C" w14:textId="77777777" w:rsidTr="00EE29E3">
        <w:trPr>
          <w:trHeight w:val="288"/>
        </w:trPr>
        <w:tc>
          <w:tcPr>
            <w:tcW w:w="2211" w:type="dxa"/>
            <w:vMerge/>
            <w:tcBorders>
              <w:top w:val="single" w:sz="4" w:space="0" w:color="000000"/>
            </w:tcBorders>
          </w:tcPr>
          <w:p w14:paraId="36C48852"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tcBorders>
          </w:tcPr>
          <w:p w14:paraId="2CAE74ED"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bottom w:val="single" w:sz="4" w:space="0" w:color="000000"/>
            </w:tcBorders>
          </w:tcPr>
          <w:p w14:paraId="3BC87859"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bottom w:val="single" w:sz="4" w:space="0" w:color="000000"/>
            </w:tcBorders>
          </w:tcPr>
          <w:p w14:paraId="14BDB66B" w14:textId="77391711" w:rsidR="00DB7FAE" w:rsidRPr="002A13E4" w:rsidRDefault="007E5D41">
            <w:pPr>
              <w:jc w:val="center"/>
              <w:rPr>
                <w:color w:val="000000" w:themeColor="text1"/>
                <w:sz w:val="20"/>
                <w:szCs w:val="20"/>
              </w:rPr>
            </w:pPr>
            <w:r w:rsidRPr="002A13E4">
              <w:rPr>
                <w:color w:val="000000" w:themeColor="text1"/>
                <w:sz w:val="20"/>
                <w:szCs w:val="20"/>
              </w:rPr>
              <w:t>7.03</w:t>
            </w:r>
          </w:p>
        </w:tc>
        <w:tc>
          <w:tcPr>
            <w:tcW w:w="1059" w:type="dxa"/>
            <w:tcBorders>
              <w:bottom w:val="single" w:sz="4" w:space="0" w:color="000000"/>
            </w:tcBorders>
          </w:tcPr>
          <w:p w14:paraId="4D0BD04E" w14:textId="456E93AC" w:rsidR="00DB7FAE" w:rsidRPr="002A13E4" w:rsidRDefault="007E5D41">
            <w:pPr>
              <w:jc w:val="center"/>
              <w:rPr>
                <w:color w:val="000000" w:themeColor="text1"/>
                <w:sz w:val="20"/>
                <w:szCs w:val="20"/>
              </w:rPr>
            </w:pPr>
            <w:r w:rsidRPr="002A13E4">
              <w:rPr>
                <w:color w:val="000000" w:themeColor="text1"/>
                <w:sz w:val="20"/>
                <w:szCs w:val="20"/>
              </w:rPr>
              <w:t>0.24</w:t>
            </w:r>
          </w:p>
        </w:tc>
        <w:tc>
          <w:tcPr>
            <w:tcW w:w="1440" w:type="dxa"/>
            <w:tcBorders>
              <w:bottom w:val="single" w:sz="4" w:space="0" w:color="000000"/>
            </w:tcBorders>
          </w:tcPr>
          <w:p w14:paraId="59432B55" w14:textId="2AB3AF2B" w:rsidR="00DB7FAE" w:rsidRPr="002A13E4" w:rsidRDefault="007E5D41">
            <w:pPr>
              <w:jc w:val="center"/>
              <w:rPr>
                <w:color w:val="000000" w:themeColor="text1"/>
                <w:sz w:val="20"/>
                <w:szCs w:val="20"/>
              </w:rPr>
            </w:pPr>
            <w:r w:rsidRPr="002A13E4">
              <w:rPr>
                <w:color w:val="000000" w:themeColor="text1"/>
                <w:sz w:val="20"/>
                <w:szCs w:val="20"/>
              </w:rPr>
              <w:t>6.55</w:t>
            </w:r>
          </w:p>
        </w:tc>
        <w:tc>
          <w:tcPr>
            <w:tcW w:w="1441" w:type="dxa"/>
            <w:tcBorders>
              <w:bottom w:val="single" w:sz="4" w:space="0" w:color="000000"/>
            </w:tcBorders>
          </w:tcPr>
          <w:p w14:paraId="00E24468" w14:textId="1C473621" w:rsidR="00DB7FAE" w:rsidRPr="002A13E4" w:rsidRDefault="00F147F7">
            <w:pPr>
              <w:jc w:val="center"/>
              <w:rPr>
                <w:color w:val="000000" w:themeColor="text1"/>
                <w:sz w:val="20"/>
                <w:szCs w:val="20"/>
              </w:rPr>
            </w:pPr>
            <w:r w:rsidRPr="002A13E4">
              <w:rPr>
                <w:color w:val="000000" w:themeColor="text1"/>
                <w:sz w:val="20"/>
                <w:szCs w:val="20"/>
              </w:rPr>
              <w:t>7.</w:t>
            </w:r>
            <w:r w:rsidR="007E5D41" w:rsidRPr="002A13E4">
              <w:rPr>
                <w:color w:val="000000" w:themeColor="text1"/>
                <w:sz w:val="20"/>
                <w:szCs w:val="20"/>
              </w:rPr>
              <w:t>51</w:t>
            </w:r>
          </w:p>
        </w:tc>
      </w:tr>
      <w:tr w:rsidR="00EE29E3" w:rsidRPr="002A13E4" w14:paraId="6A8B9482" w14:textId="77777777" w:rsidTr="00EE29E3">
        <w:trPr>
          <w:trHeight w:val="288"/>
        </w:trPr>
        <w:tc>
          <w:tcPr>
            <w:tcW w:w="2211" w:type="dxa"/>
            <w:vMerge w:val="restart"/>
            <w:tcBorders>
              <w:top w:val="single" w:sz="4" w:space="0" w:color="000000"/>
            </w:tcBorders>
          </w:tcPr>
          <w:p w14:paraId="234AA4EA" w14:textId="77777777" w:rsidR="00DB7FAE" w:rsidRPr="002A13E4" w:rsidRDefault="00F147F7">
            <w:pPr>
              <w:rPr>
                <w:color w:val="000000" w:themeColor="text1"/>
                <w:sz w:val="20"/>
                <w:szCs w:val="20"/>
              </w:rPr>
            </w:pPr>
            <w:r w:rsidRPr="002A13E4">
              <w:rPr>
                <w:color w:val="000000" w:themeColor="text1"/>
                <w:sz w:val="20"/>
                <w:szCs w:val="20"/>
              </w:rPr>
              <w:t>Integrity-Based Trust</w:t>
            </w:r>
          </w:p>
        </w:tc>
        <w:tc>
          <w:tcPr>
            <w:tcW w:w="1065" w:type="dxa"/>
            <w:vMerge w:val="restart"/>
            <w:tcBorders>
              <w:top w:val="single" w:sz="4" w:space="0" w:color="000000"/>
            </w:tcBorders>
          </w:tcPr>
          <w:p w14:paraId="01A57B70" w14:textId="77777777" w:rsidR="00DB7FAE" w:rsidRPr="002A13E4" w:rsidRDefault="00F147F7">
            <w:pPr>
              <w:rPr>
                <w:color w:val="000000" w:themeColor="text1"/>
                <w:sz w:val="20"/>
                <w:szCs w:val="20"/>
              </w:rPr>
            </w:pPr>
            <w:r w:rsidRPr="002A13E4">
              <w:rPr>
                <w:color w:val="000000" w:themeColor="text1"/>
                <w:sz w:val="20"/>
                <w:szCs w:val="20"/>
              </w:rPr>
              <w:t>Semantic</w:t>
            </w:r>
          </w:p>
        </w:tc>
        <w:tc>
          <w:tcPr>
            <w:tcW w:w="1050" w:type="dxa"/>
            <w:tcBorders>
              <w:top w:val="single" w:sz="4" w:space="0" w:color="000000"/>
            </w:tcBorders>
          </w:tcPr>
          <w:p w14:paraId="447D2462" w14:textId="77777777" w:rsidR="00DB7FAE" w:rsidRPr="002A13E4" w:rsidRDefault="00F147F7">
            <w:pPr>
              <w:rPr>
                <w:color w:val="000000" w:themeColor="text1"/>
                <w:sz w:val="20"/>
                <w:szCs w:val="20"/>
              </w:rPr>
            </w:pPr>
            <w:r w:rsidRPr="002A13E4">
              <w:rPr>
                <w:color w:val="000000" w:themeColor="text1"/>
                <w:sz w:val="20"/>
                <w:szCs w:val="20"/>
              </w:rPr>
              <w:t>Apology</w:t>
            </w:r>
          </w:p>
          <w:p w14:paraId="0FE997A3"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tcBorders>
          </w:tcPr>
          <w:p w14:paraId="0F6B0F40" w14:textId="61142579" w:rsidR="00DB7FAE" w:rsidRPr="002A13E4" w:rsidRDefault="007E5D41">
            <w:pPr>
              <w:jc w:val="center"/>
              <w:rPr>
                <w:color w:val="000000" w:themeColor="text1"/>
                <w:sz w:val="20"/>
                <w:szCs w:val="20"/>
              </w:rPr>
            </w:pPr>
            <w:r w:rsidRPr="002A13E4">
              <w:rPr>
                <w:color w:val="000000" w:themeColor="text1"/>
                <w:sz w:val="20"/>
                <w:szCs w:val="20"/>
              </w:rPr>
              <w:t>4.76</w:t>
            </w:r>
          </w:p>
        </w:tc>
        <w:tc>
          <w:tcPr>
            <w:tcW w:w="1059" w:type="dxa"/>
            <w:tcBorders>
              <w:top w:val="single" w:sz="4" w:space="0" w:color="000000"/>
            </w:tcBorders>
          </w:tcPr>
          <w:p w14:paraId="1934C539" w14:textId="250DF405" w:rsidR="00DB7FAE" w:rsidRPr="002A13E4" w:rsidRDefault="007E5D41">
            <w:pPr>
              <w:jc w:val="center"/>
              <w:rPr>
                <w:color w:val="000000" w:themeColor="text1"/>
                <w:sz w:val="20"/>
                <w:szCs w:val="20"/>
              </w:rPr>
            </w:pPr>
            <w:r w:rsidRPr="002A13E4">
              <w:rPr>
                <w:color w:val="000000" w:themeColor="text1"/>
                <w:sz w:val="20"/>
                <w:szCs w:val="20"/>
              </w:rPr>
              <w:t>0.12</w:t>
            </w:r>
          </w:p>
        </w:tc>
        <w:tc>
          <w:tcPr>
            <w:tcW w:w="1440" w:type="dxa"/>
            <w:tcBorders>
              <w:top w:val="single" w:sz="4" w:space="0" w:color="000000"/>
            </w:tcBorders>
          </w:tcPr>
          <w:p w14:paraId="187ECD50" w14:textId="01A17F38" w:rsidR="00DB7FAE" w:rsidRPr="002A13E4" w:rsidRDefault="00F147F7">
            <w:pPr>
              <w:jc w:val="center"/>
              <w:rPr>
                <w:color w:val="000000" w:themeColor="text1"/>
                <w:sz w:val="20"/>
                <w:szCs w:val="20"/>
              </w:rPr>
            </w:pPr>
            <w:r w:rsidRPr="002A13E4">
              <w:rPr>
                <w:color w:val="000000" w:themeColor="text1"/>
                <w:sz w:val="20"/>
                <w:szCs w:val="20"/>
              </w:rPr>
              <w:t>4.</w:t>
            </w:r>
            <w:r w:rsidR="007E5D41" w:rsidRPr="002A13E4">
              <w:rPr>
                <w:color w:val="000000" w:themeColor="text1"/>
                <w:sz w:val="20"/>
                <w:szCs w:val="20"/>
              </w:rPr>
              <w:t>52</w:t>
            </w:r>
          </w:p>
        </w:tc>
        <w:tc>
          <w:tcPr>
            <w:tcW w:w="1441" w:type="dxa"/>
            <w:tcBorders>
              <w:top w:val="single" w:sz="4" w:space="0" w:color="000000"/>
            </w:tcBorders>
          </w:tcPr>
          <w:p w14:paraId="539732FA" w14:textId="460B1825" w:rsidR="00DB7FAE" w:rsidRPr="002A13E4" w:rsidRDefault="00F147F7">
            <w:pPr>
              <w:jc w:val="center"/>
              <w:rPr>
                <w:color w:val="000000" w:themeColor="text1"/>
                <w:sz w:val="20"/>
                <w:szCs w:val="20"/>
              </w:rPr>
            </w:pPr>
            <w:r w:rsidRPr="002A13E4">
              <w:rPr>
                <w:color w:val="000000" w:themeColor="text1"/>
                <w:sz w:val="20"/>
                <w:szCs w:val="20"/>
              </w:rPr>
              <w:t>4.9</w:t>
            </w:r>
            <w:r w:rsidR="007E5D41" w:rsidRPr="002A13E4">
              <w:rPr>
                <w:color w:val="000000" w:themeColor="text1"/>
                <w:sz w:val="20"/>
                <w:szCs w:val="20"/>
              </w:rPr>
              <w:t>9</w:t>
            </w:r>
          </w:p>
        </w:tc>
      </w:tr>
      <w:tr w:rsidR="00EE29E3" w:rsidRPr="002A13E4" w14:paraId="103430F7" w14:textId="77777777" w:rsidTr="00EE29E3">
        <w:trPr>
          <w:trHeight w:val="288"/>
        </w:trPr>
        <w:tc>
          <w:tcPr>
            <w:tcW w:w="2211" w:type="dxa"/>
            <w:vMerge/>
            <w:tcBorders>
              <w:top w:val="single" w:sz="4" w:space="0" w:color="000000"/>
            </w:tcBorders>
          </w:tcPr>
          <w:p w14:paraId="07CD2A74"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tcBorders>
          </w:tcPr>
          <w:p w14:paraId="64E254D8"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bottom w:val="single" w:sz="4" w:space="0" w:color="000000"/>
            </w:tcBorders>
          </w:tcPr>
          <w:p w14:paraId="59DDBEDB"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bottom w:val="single" w:sz="4" w:space="0" w:color="000000"/>
            </w:tcBorders>
          </w:tcPr>
          <w:p w14:paraId="2AEFAFFA" w14:textId="466D83FF" w:rsidR="00DB7FAE" w:rsidRPr="002A13E4" w:rsidRDefault="007E5D41">
            <w:pPr>
              <w:jc w:val="center"/>
              <w:rPr>
                <w:color w:val="000000" w:themeColor="text1"/>
                <w:sz w:val="20"/>
                <w:szCs w:val="20"/>
              </w:rPr>
            </w:pPr>
            <w:r w:rsidRPr="002A13E4">
              <w:rPr>
                <w:color w:val="000000" w:themeColor="text1"/>
                <w:sz w:val="20"/>
                <w:szCs w:val="20"/>
              </w:rPr>
              <w:t>4.29</w:t>
            </w:r>
          </w:p>
        </w:tc>
        <w:tc>
          <w:tcPr>
            <w:tcW w:w="1059" w:type="dxa"/>
            <w:tcBorders>
              <w:bottom w:val="single" w:sz="4" w:space="0" w:color="000000"/>
            </w:tcBorders>
          </w:tcPr>
          <w:p w14:paraId="483ECA2F" w14:textId="6280E33F" w:rsidR="00DB7FAE" w:rsidRPr="002A13E4" w:rsidRDefault="00F147F7">
            <w:pPr>
              <w:jc w:val="center"/>
              <w:rPr>
                <w:color w:val="000000" w:themeColor="text1"/>
                <w:sz w:val="20"/>
                <w:szCs w:val="20"/>
              </w:rPr>
            </w:pPr>
            <w:r w:rsidRPr="002A13E4">
              <w:rPr>
                <w:color w:val="000000" w:themeColor="text1"/>
                <w:sz w:val="20"/>
                <w:szCs w:val="20"/>
              </w:rPr>
              <w:t>0.1</w:t>
            </w:r>
            <w:r w:rsidR="007E5D41" w:rsidRPr="002A13E4">
              <w:rPr>
                <w:color w:val="000000" w:themeColor="text1"/>
                <w:sz w:val="20"/>
                <w:szCs w:val="20"/>
              </w:rPr>
              <w:t>2</w:t>
            </w:r>
          </w:p>
        </w:tc>
        <w:tc>
          <w:tcPr>
            <w:tcW w:w="1440" w:type="dxa"/>
            <w:tcBorders>
              <w:bottom w:val="single" w:sz="4" w:space="0" w:color="000000"/>
            </w:tcBorders>
          </w:tcPr>
          <w:p w14:paraId="2BDF480A" w14:textId="59890B42" w:rsidR="00DB7FAE" w:rsidRPr="002A13E4" w:rsidRDefault="00F147F7">
            <w:pPr>
              <w:jc w:val="center"/>
              <w:rPr>
                <w:color w:val="000000" w:themeColor="text1"/>
                <w:sz w:val="20"/>
                <w:szCs w:val="20"/>
              </w:rPr>
            </w:pPr>
            <w:r w:rsidRPr="002A13E4">
              <w:rPr>
                <w:color w:val="000000" w:themeColor="text1"/>
                <w:sz w:val="20"/>
                <w:szCs w:val="20"/>
              </w:rPr>
              <w:t>4.</w:t>
            </w:r>
            <w:r w:rsidR="007E5D41" w:rsidRPr="002A13E4">
              <w:rPr>
                <w:color w:val="000000" w:themeColor="text1"/>
                <w:sz w:val="20"/>
                <w:szCs w:val="20"/>
              </w:rPr>
              <w:t>06</w:t>
            </w:r>
          </w:p>
        </w:tc>
        <w:tc>
          <w:tcPr>
            <w:tcW w:w="1441" w:type="dxa"/>
            <w:tcBorders>
              <w:bottom w:val="single" w:sz="4" w:space="0" w:color="000000"/>
            </w:tcBorders>
          </w:tcPr>
          <w:p w14:paraId="2FDB6EBE" w14:textId="0174ACC2" w:rsidR="00DB7FAE" w:rsidRPr="002A13E4" w:rsidRDefault="00F147F7">
            <w:pPr>
              <w:jc w:val="center"/>
              <w:rPr>
                <w:color w:val="000000" w:themeColor="text1"/>
                <w:sz w:val="20"/>
                <w:szCs w:val="20"/>
              </w:rPr>
            </w:pPr>
            <w:r w:rsidRPr="002A13E4">
              <w:rPr>
                <w:color w:val="000000" w:themeColor="text1"/>
                <w:sz w:val="20"/>
                <w:szCs w:val="20"/>
              </w:rPr>
              <w:t>4.5</w:t>
            </w:r>
            <w:r w:rsidR="007E5D41" w:rsidRPr="002A13E4">
              <w:rPr>
                <w:color w:val="000000" w:themeColor="text1"/>
                <w:sz w:val="20"/>
                <w:szCs w:val="20"/>
              </w:rPr>
              <w:t>2</w:t>
            </w:r>
          </w:p>
        </w:tc>
      </w:tr>
      <w:tr w:rsidR="00EE29E3" w:rsidRPr="002A13E4" w14:paraId="38AA97D6" w14:textId="77777777" w:rsidTr="00EE29E3">
        <w:trPr>
          <w:trHeight w:val="288"/>
        </w:trPr>
        <w:tc>
          <w:tcPr>
            <w:tcW w:w="2211" w:type="dxa"/>
            <w:vMerge w:val="restart"/>
            <w:tcBorders>
              <w:top w:val="single" w:sz="4" w:space="0" w:color="000000"/>
            </w:tcBorders>
          </w:tcPr>
          <w:p w14:paraId="3D472136" w14:textId="77777777" w:rsidR="00DB7FAE" w:rsidRPr="002A13E4" w:rsidRDefault="00F147F7">
            <w:pPr>
              <w:rPr>
                <w:color w:val="000000" w:themeColor="text1"/>
                <w:sz w:val="20"/>
                <w:szCs w:val="20"/>
              </w:rPr>
            </w:pPr>
            <w:r w:rsidRPr="002A13E4">
              <w:rPr>
                <w:color w:val="000000" w:themeColor="text1"/>
                <w:sz w:val="20"/>
                <w:szCs w:val="20"/>
              </w:rPr>
              <w:t>Competence-Based Trust</w:t>
            </w:r>
          </w:p>
        </w:tc>
        <w:tc>
          <w:tcPr>
            <w:tcW w:w="1065" w:type="dxa"/>
            <w:vMerge w:val="restart"/>
            <w:tcBorders>
              <w:top w:val="single" w:sz="4" w:space="0" w:color="000000"/>
              <w:bottom w:val="single" w:sz="4" w:space="0" w:color="000000"/>
            </w:tcBorders>
          </w:tcPr>
          <w:p w14:paraId="6CD1F845" w14:textId="77777777" w:rsidR="00DB7FAE" w:rsidRPr="002A13E4" w:rsidRDefault="00F147F7">
            <w:pPr>
              <w:rPr>
                <w:color w:val="000000" w:themeColor="text1"/>
                <w:sz w:val="20"/>
                <w:szCs w:val="20"/>
              </w:rPr>
            </w:pPr>
            <w:r w:rsidRPr="002A13E4">
              <w:rPr>
                <w:color w:val="000000" w:themeColor="text1"/>
                <w:sz w:val="20"/>
                <w:szCs w:val="20"/>
              </w:rPr>
              <w:t>Syntax</w:t>
            </w:r>
          </w:p>
        </w:tc>
        <w:tc>
          <w:tcPr>
            <w:tcW w:w="1050" w:type="dxa"/>
            <w:tcBorders>
              <w:top w:val="single" w:sz="4" w:space="0" w:color="000000"/>
            </w:tcBorders>
          </w:tcPr>
          <w:p w14:paraId="4E2E5F3C" w14:textId="77777777" w:rsidR="00DB7FAE" w:rsidRPr="002A13E4" w:rsidRDefault="00F147F7">
            <w:pPr>
              <w:rPr>
                <w:color w:val="000000" w:themeColor="text1"/>
                <w:sz w:val="20"/>
                <w:szCs w:val="20"/>
              </w:rPr>
            </w:pPr>
            <w:r w:rsidRPr="002A13E4">
              <w:rPr>
                <w:color w:val="000000" w:themeColor="text1"/>
                <w:sz w:val="20"/>
                <w:szCs w:val="20"/>
              </w:rPr>
              <w:t>Apology</w:t>
            </w:r>
          </w:p>
          <w:p w14:paraId="6408577D"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tcBorders>
          </w:tcPr>
          <w:p w14:paraId="2F113652" w14:textId="2946035A" w:rsidR="00DB7FAE" w:rsidRPr="002A13E4" w:rsidRDefault="00F147F7">
            <w:pPr>
              <w:jc w:val="center"/>
              <w:rPr>
                <w:color w:val="000000" w:themeColor="text1"/>
                <w:sz w:val="20"/>
                <w:szCs w:val="20"/>
              </w:rPr>
            </w:pPr>
            <w:r w:rsidRPr="002A13E4">
              <w:rPr>
                <w:color w:val="000000" w:themeColor="text1"/>
                <w:sz w:val="20"/>
                <w:szCs w:val="20"/>
              </w:rPr>
              <w:t>7.56</w:t>
            </w:r>
          </w:p>
        </w:tc>
        <w:tc>
          <w:tcPr>
            <w:tcW w:w="1059" w:type="dxa"/>
            <w:tcBorders>
              <w:top w:val="single" w:sz="4" w:space="0" w:color="000000"/>
            </w:tcBorders>
          </w:tcPr>
          <w:p w14:paraId="425DAE72" w14:textId="77777777" w:rsidR="00DB7FAE" w:rsidRPr="002A13E4" w:rsidRDefault="00F147F7">
            <w:pPr>
              <w:jc w:val="center"/>
              <w:rPr>
                <w:color w:val="000000" w:themeColor="text1"/>
                <w:sz w:val="20"/>
                <w:szCs w:val="20"/>
              </w:rPr>
            </w:pPr>
            <w:r w:rsidRPr="002A13E4">
              <w:rPr>
                <w:color w:val="000000" w:themeColor="text1"/>
                <w:sz w:val="20"/>
                <w:szCs w:val="20"/>
              </w:rPr>
              <w:t>0.35</w:t>
            </w:r>
          </w:p>
        </w:tc>
        <w:tc>
          <w:tcPr>
            <w:tcW w:w="1440" w:type="dxa"/>
            <w:tcBorders>
              <w:top w:val="single" w:sz="4" w:space="0" w:color="000000"/>
            </w:tcBorders>
          </w:tcPr>
          <w:p w14:paraId="1EFA3045" w14:textId="77777777" w:rsidR="00DB7FAE" w:rsidRPr="002A13E4" w:rsidRDefault="00F147F7">
            <w:pPr>
              <w:jc w:val="center"/>
              <w:rPr>
                <w:color w:val="000000" w:themeColor="text1"/>
                <w:sz w:val="20"/>
                <w:szCs w:val="20"/>
              </w:rPr>
            </w:pPr>
            <w:r w:rsidRPr="002A13E4">
              <w:rPr>
                <w:color w:val="000000" w:themeColor="text1"/>
                <w:sz w:val="20"/>
                <w:szCs w:val="20"/>
              </w:rPr>
              <w:t>6.85</w:t>
            </w:r>
          </w:p>
        </w:tc>
        <w:tc>
          <w:tcPr>
            <w:tcW w:w="1441" w:type="dxa"/>
            <w:tcBorders>
              <w:top w:val="single" w:sz="4" w:space="0" w:color="000000"/>
            </w:tcBorders>
          </w:tcPr>
          <w:p w14:paraId="7F1A8D45" w14:textId="77777777" w:rsidR="00DB7FAE" w:rsidRPr="002A13E4" w:rsidRDefault="00F147F7">
            <w:pPr>
              <w:jc w:val="center"/>
              <w:rPr>
                <w:color w:val="000000" w:themeColor="text1"/>
                <w:sz w:val="20"/>
                <w:szCs w:val="20"/>
              </w:rPr>
            </w:pPr>
            <w:r w:rsidRPr="002A13E4">
              <w:rPr>
                <w:color w:val="000000" w:themeColor="text1"/>
                <w:sz w:val="20"/>
                <w:szCs w:val="20"/>
              </w:rPr>
              <w:t>8.26</w:t>
            </w:r>
          </w:p>
        </w:tc>
      </w:tr>
      <w:tr w:rsidR="00EE29E3" w:rsidRPr="002A13E4" w14:paraId="1AAD6167" w14:textId="77777777" w:rsidTr="00EE29E3">
        <w:trPr>
          <w:trHeight w:val="288"/>
        </w:trPr>
        <w:tc>
          <w:tcPr>
            <w:tcW w:w="2211" w:type="dxa"/>
            <w:vMerge/>
            <w:tcBorders>
              <w:top w:val="single" w:sz="4" w:space="0" w:color="000000"/>
              <w:bottom w:val="single" w:sz="4" w:space="0" w:color="000000"/>
            </w:tcBorders>
          </w:tcPr>
          <w:p w14:paraId="038FCBAE"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bottom w:val="single" w:sz="4" w:space="0" w:color="000000"/>
            </w:tcBorders>
          </w:tcPr>
          <w:p w14:paraId="3E858B02"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bottom w:val="single" w:sz="4" w:space="0" w:color="000000"/>
            </w:tcBorders>
          </w:tcPr>
          <w:p w14:paraId="2432996E"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bottom w:val="single" w:sz="4" w:space="0" w:color="000000"/>
            </w:tcBorders>
          </w:tcPr>
          <w:p w14:paraId="4434D24C" w14:textId="1CE571A8" w:rsidR="00DB7FAE" w:rsidRPr="002A13E4" w:rsidRDefault="00F147F7">
            <w:pPr>
              <w:jc w:val="center"/>
              <w:rPr>
                <w:color w:val="000000" w:themeColor="text1"/>
                <w:sz w:val="20"/>
                <w:szCs w:val="20"/>
              </w:rPr>
            </w:pPr>
            <w:r w:rsidRPr="002A13E4">
              <w:rPr>
                <w:color w:val="000000" w:themeColor="text1"/>
                <w:sz w:val="20"/>
                <w:szCs w:val="20"/>
              </w:rPr>
              <w:t>7.04</w:t>
            </w:r>
          </w:p>
        </w:tc>
        <w:tc>
          <w:tcPr>
            <w:tcW w:w="1059" w:type="dxa"/>
            <w:tcBorders>
              <w:bottom w:val="single" w:sz="4" w:space="0" w:color="000000"/>
            </w:tcBorders>
          </w:tcPr>
          <w:p w14:paraId="3974966F" w14:textId="77777777" w:rsidR="00DB7FAE" w:rsidRPr="002A13E4" w:rsidRDefault="00F147F7">
            <w:pPr>
              <w:jc w:val="center"/>
              <w:rPr>
                <w:color w:val="000000" w:themeColor="text1"/>
                <w:sz w:val="20"/>
                <w:szCs w:val="20"/>
              </w:rPr>
            </w:pPr>
            <w:r w:rsidRPr="002A13E4">
              <w:rPr>
                <w:color w:val="000000" w:themeColor="text1"/>
                <w:sz w:val="20"/>
                <w:szCs w:val="20"/>
              </w:rPr>
              <w:t>0.35</w:t>
            </w:r>
          </w:p>
        </w:tc>
        <w:tc>
          <w:tcPr>
            <w:tcW w:w="1440" w:type="dxa"/>
            <w:tcBorders>
              <w:bottom w:val="single" w:sz="4" w:space="0" w:color="000000"/>
            </w:tcBorders>
          </w:tcPr>
          <w:p w14:paraId="48BBFE95" w14:textId="77777777" w:rsidR="00DB7FAE" w:rsidRPr="002A13E4" w:rsidRDefault="00F147F7">
            <w:pPr>
              <w:jc w:val="center"/>
              <w:rPr>
                <w:color w:val="000000" w:themeColor="text1"/>
                <w:sz w:val="20"/>
                <w:szCs w:val="20"/>
              </w:rPr>
            </w:pPr>
            <w:r w:rsidRPr="002A13E4">
              <w:rPr>
                <w:color w:val="000000" w:themeColor="text1"/>
                <w:sz w:val="20"/>
                <w:szCs w:val="20"/>
              </w:rPr>
              <w:t>6.33</w:t>
            </w:r>
          </w:p>
        </w:tc>
        <w:tc>
          <w:tcPr>
            <w:tcW w:w="1441" w:type="dxa"/>
            <w:tcBorders>
              <w:bottom w:val="single" w:sz="4" w:space="0" w:color="000000"/>
            </w:tcBorders>
          </w:tcPr>
          <w:p w14:paraId="6F22874C" w14:textId="77777777" w:rsidR="00DB7FAE" w:rsidRPr="002A13E4" w:rsidRDefault="00F147F7">
            <w:pPr>
              <w:jc w:val="center"/>
              <w:rPr>
                <w:color w:val="000000" w:themeColor="text1"/>
                <w:sz w:val="20"/>
                <w:szCs w:val="20"/>
              </w:rPr>
            </w:pPr>
            <w:r w:rsidRPr="002A13E4">
              <w:rPr>
                <w:color w:val="000000" w:themeColor="text1"/>
                <w:sz w:val="20"/>
                <w:szCs w:val="20"/>
              </w:rPr>
              <w:t>7.74</w:t>
            </w:r>
          </w:p>
        </w:tc>
      </w:tr>
      <w:tr w:rsidR="00EE29E3" w:rsidRPr="002A13E4" w14:paraId="0185A3F1" w14:textId="77777777" w:rsidTr="00EE29E3">
        <w:trPr>
          <w:trHeight w:val="288"/>
        </w:trPr>
        <w:tc>
          <w:tcPr>
            <w:tcW w:w="2211" w:type="dxa"/>
            <w:vMerge w:val="restart"/>
            <w:tcBorders>
              <w:top w:val="single" w:sz="4" w:space="0" w:color="000000"/>
            </w:tcBorders>
          </w:tcPr>
          <w:p w14:paraId="087E6A63" w14:textId="77777777" w:rsidR="00DB7FAE" w:rsidRPr="002A13E4" w:rsidRDefault="00F147F7">
            <w:pPr>
              <w:rPr>
                <w:color w:val="000000" w:themeColor="text1"/>
                <w:sz w:val="20"/>
                <w:szCs w:val="20"/>
              </w:rPr>
            </w:pPr>
            <w:r w:rsidRPr="002A13E4">
              <w:rPr>
                <w:color w:val="000000" w:themeColor="text1"/>
                <w:sz w:val="20"/>
                <w:szCs w:val="20"/>
              </w:rPr>
              <w:t>Integrity-Based Trust</w:t>
            </w:r>
          </w:p>
        </w:tc>
        <w:tc>
          <w:tcPr>
            <w:tcW w:w="1065" w:type="dxa"/>
            <w:vMerge w:val="restart"/>
            <w:tcBorders>
              <w:top w:val="single" w:sz="4" w:space="0" w:color="000000"/>
            </w:tcBorders>
          </w:tcPr>
          <w:p w14:paraId="74C413C1" w14:textId="77777777" w:rsidR="00DB7FAE" w:rsidRPr="002A13E4" w:rsidRDefault="00F147F7">
            <w:pPr>
              <w:rPr>
                <w:color w:val="000000" w:themeColor="text1"/>
                <w:sz w:val="20"/>
                <w:szCs w:val="20"/>
              </w:rPr>
            </w:pPr>
            <w:r w:rsidRPr="002A13E4">
              <w:rPr>
                <w:color w:val="000000" w:themeColor="text1"/>
                <w:sz w:val="20"/>
                <w:szCs w:val="20"/>
              </w:rPr>
              <w:t>Syntax</w:t>
            </w:r>
          </w:p>
        </w:tc>
        <w:tc>
          <w:tcPr>
            <w:tcW w:w="1050" w:type="dxa"/>
            <w:tcBorders>
              <w:top w:val="single" w:sz="4" w:space="0" w:color="000000"/>
            </w:tcBorders>
          </w:tcPr>
          <w:p w14:paraId="2136D15F" w14:textId="77777777" w:rsidR="00DB7FAE" w:rsidRPr="002A13E4" w:rsidRDefault="00F147F7">
            <w:pPr>
              <w:rPr>
                <w:color w:val="000000" w:themeColor="text1"/>
                <w:sz w:val="20"/>
                <w:szCs w:val="20"/>
              </w:rPr>
            </w:pPr>
            <w:r w:rsidRPr="002A13E4">
              <w:rPr>
                <w:color w:val="000000" w:themeColor="text1"/>
                <w:sz w:val="20"/>
                <w:szCs w:val="20"/>
              </w:rPr>
              <w:t>Apology</w:t>
            </w:r>
          </w:p>
          <w:p w14:paraId="4F0ADF89" w14:textId="77777777" w:rsidR="00DB7FAE" w:rsidRPr="002A13E4" w:rsidRDefault="00F147F7">
            <w:pPr>
              <w:rPr>
                <w:color w:val="000000" w:themeColor="text1"/>
                <w:sz w:val="20"/>
                <w:szCs w:val="20"/>
              </w:rPr>
            </w:pPr>
            <w:r w:rsidRPr="002A13E4">
              <w:rPr>
                <w:color w:val="000000" w:themeColor="text1"/>
                <w:sz w:val="20"/>
                <w:szCs w:val="20"/>
              </w:rPr>
              <w:t>(Internal)</w:t>
            </w:r>
          </w:p>
        </w:tc>
        <w:tc>
          <w:tcPr>
            <w:tcW w:w="871" w:type="dxa"/>
            <w:tcBorders>
              <w:top w:val="single" w:sz="4" w:space="0" w:color="000000"/>
            </w:tcBorders>
          </w:tcPr>
          <w:p w14:paraId="6F2E632F" w14:textId="010A7E63" w:rsidR="00DB7FAE" w:rsidRPr="002A13E4" w:rsidRDefault="00F147F7">
            <w:pPr>
              <w:jc w:val="center"/>
              <w:rPr>
                <w:color w:val="000000" w:themeColor="text1"/>
                <w:sz w:val="20"/>
                <w:szCs w:val="20"/>
              </w:rPr>
            </w:pPr>
            <w:r w:rsidRPr="002A13E4">
              <w:rPr>
                <w:color w:val="000000" w:themeColor="text1"/>
                <w:sz w:val="20"/>
                <w:szCs w:val="20"/>
              </w:rPr>
              <w:t>4.72</w:t>
            </w:r>
          </w:p>
        </w:tc>
        <w:tc>
          <w:tcPr>
            <w:tcW w:w="1059" w:type="dxa"/>
            <w:tcBorders>
              <w:top w:val="single" w:sz="4" w:space="0" w:color="000000"/>
            </w:tcBorders>
          </w:tcPr>
          <w:p w14:paraId="619FE8CD" w14:textId="77777777" w:rsidR="00DB7FAE" w:rsidRPr="002A13E4" w:rsidRDefault="00F147F7">
            <w:pPr>
              <w:jc w:val="center"/>
              <w:rPr>
                <w:color w:val="000000" w:themeColor="text1"/>
                <w:sz w:val="20"/>
                <w:szCs w:val="20"/>
              </w:rPr>
            </w:pPr>
            <w:r w:rsidRPr="002A13E4">
              <w:rPr>
                <w:color w:val="000000" w:themeColor="text1"/>
                <w:sz w:val="20"/>
                <w:szCs w:val="20"/>
              </w:rPr>
              <w:t>0.18</w:t>
            </w:r>
          </w:p>
        </w:tc>
        <w:tc>
          <w:tcPr>
            <w:tcW w:w="1440" w:type="dxa"/>
            <w:tcBorders>
              <w:top w:val="single" w:sz="4" w:space="0" w:color="000000"/>
            </w:tcBorders>
          </w:tcPr>
          <w:p w14:paraId="4EB2DB83" w14:textId="77777777" w:rsidR="00DB7FAE" w:rsidRPr="002A13E4" w:rsidRDefault="00F147F7">
            <w:pPr>
              <w:jc w:val="center"/>
              <w:rPr>
                <w:color w:val="000000" w:themeColor="text1"/>
                <w:sz w:val="20"/>
                <w:szCs w:val="20"/>
              </w:rPr>
            </w:pPr>
            <w:r w:rsidRPr="002A13E4">
              <w:rPr>
                <w:color w:val="000000" w:themeColor="text1"/>
                <w:sz w:val="20"/>
                <w:szCs w:val="20"/>
              </w:rPr>
              <w:t>4.36</w:t>
            </w:r>
          </w:p>
        </w:tc>
        <w:tc>
          <w:tcPr>
            <w:tcW w:w="1441" w:type="dxa"/>
            <w:tcBorders>
              <w:top w:val="single" w:sz="4" w:space="0" w:color="000000"/>
            </w:tcBorders>
          </w:tcPr>
          <w:p w14:paraId="3E9BFEAA" w14:textId="77777777" w:rsidR="00DB7FAE" w:rsidRPr="002A13E4" w:rsidRDefault="00F147F7">
            <w:pPr>
              <w:jc w:val="center"/>
              <w:rPr>
                <w:color w:val="000000" w:themeColor="text1"/>
                <w:sz w:val="20"/>
                <w:szCs w:val="20"/>
              </w:rPr>
            </w:pPr>
            <w:r w:rsidRPr="002A13E4">
              <w:rPr>
                <w:color w:val="000000" w:themeColor="text1"/>
                <w:sz w:val="20"/>
                <w:szCs w:val="20"/>
              </w:rPr>
              <w:t>5.08</w:t>
            </w:r>
          </w:p>
        </w:tc>
      </w:tr>
      <w:tr w:rsidR="00EE29E3" w:rsidRPr="002A13E4" w14:paraId="01DE9811" w14:textId="77777777" w:rsidTr="00EE29E3">
        <w:trPr>
          <w:trHeight w:val="288"/>
        </w:trPr>
        <w:tc>
          <w:tcPr>
            <w:tcW w:w="2211" w:type="dxa"/>
            <w:vMerge/>
            <w:tcBorders>
              <w:top w:val="single" w:sz="4" w:space="0" w:color="000000"/>
              <w:bottom w:val="single" w:sz="4" w:space="0" w:color="auto"/>
            </w:tcBorders>
          </w:tcPr>
          <w:p w14:paraId="7EEF0267"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65" w:type="dxa"/>
            <w:vMerge/>
            <w:tcBorders>
              <w:top w:val="single" w:sz="4" w:space="0" w:color="000000"/>
              <w:bottom w:val="single" w:sz="4" w:space="0" w:color="auto"/>
            </w:tcBorders>
          </w:tcPr>
          <w:p w14:paraId="323C2FEB" w14:textId="77777777" w:rsidR="00DB7FAE" w:rsidRPr="002A13E4" w:rsidRDefault="00DB7FAE">
            <w:pPr>
              <w:widowControl w:val="0"/>
              <w:pBdr>
                <w:top w:val="nil"/>
                <w:left w:val="nil"/>
                <w:bottom w:val="nil"/>
                <w:right w:val="nil"/>
                <w:between w:val="nil"/>
              </w:pBdr>
              <w:spacing w:line="276" w:lineRule="auto"/>
              <w:rPr>
                <w:color w:val="000000" w:themeColor="text1"/>
                <w:sz w:val="20"/>
                <w:szCs w:val="20"/>
              </w:rPr>
            </w:pPr>
          </w:p>
        </w:tc>
        <w:tc>
          <w:tcPr>
            <w:tcW w:w="1050" w:type="dxa"/>
            <w:tcBorders>
              <w:bottom w:val="single" w:sz="4" w:space="0" w:color="auto"/>
            </w:tcBorders>
          </w:tcPr>
          <w:p w14:paraId="4A070B2F" w14:textId="77777777" w:rsidR="00DB7FAE" w:rsidRPr="002A13E4" w:rsidRDefault="00F147F7">
            <w:pPr>
              <w:rPr>
                <w:color w:val="000000" w:themeColor="text1"/>
                <w:sz w:val="20"/>
                <w:szCs w:val="20"/>
              </w:rPr>
            </w:pPr>
            <w:r w:rsidRPr="002A13E4">
              <w:rPr>
                <w:color w:val="000000" w:themeColor="text1"/>
                <w:sz w:val="20"/>
                <w:szCs w:val="20"/>
              </w:rPr>
              <w:t>Denial</w:t>
            </w:r>
          </w:p>
        </w:tc>
        <w:tc>
          <w:tcPr>
            <w:tcW w:w="871" w:type="dxa"/>
            <w:tcBorders>
              <w:bottom w:val="single" w:sz="4" w:space="0" w:color="auto"/>
            </w:tcBorders>
          </w:tcPr>
          <w:p w14:paraId="0B44E87D" w14:textId="0A9F50A5" w:rsidR="00DB7FAE" w:rsidRPr="002A13E4" w:rsidRDefault="00F147F7">
            <w:pPr>
              <w:jc w:val="center"/>
              <w:rPr>
                <w:color w:val="000000" w:themeColor="text1"/>
                <w:sz w:val="20"/>
                <w:szCs w:val="20"/>
              </w:rPr>
            </w:pPr>
            <w:r w:rsidRPr="002A13E4">
              <w:rPr>
                <w:color w:val="000000" w:themeColor="text1"/>
                <w:sz w:val="20"/>
                <w:szCs w:val="20"/>
              </w:rPr>
              <w:t>4.33</w:t>
            </w:r>
          </w:p>
        </w:tc>
        <w:tc>
          <w:tcPr>
            <w:tcW w:w="1059" w:type="dxa"/>
            <w:tcBorders>
              <w:bottom w:val="single" w:sz="4" w:space="0" w:color="auto"/>
            </w:tcBorders>
          </w:tcPr>
          <w:p w14:paraId="6D97B1CA" w14:textId="77777777" w:rsidR="00DB7FAE" w:rsidRPr="002A13E4" w:rsidRDefault="00F147F7">
            <w:pPr>
              <w:jc w:val="center"/>
              <w:rPr>
                <w:color w:val="000000" w:themeColor="text1"/>
                <w:sz w:val="20"/>
                <w:szCs w:val="20"/>
              </w:rPr>
            </w:pPr>
            <w:r w:rsidRPr="002A13E4">
              <w:rPr>
                <w:color w:val="000000" w:themeColor="text1"/>
                <w:sz w:val="20"/>
                <w:szCs w:val="20"/>
              </w:rPr>
              <w:t>0.18</w:t>
            </w:r>
          </w:p>
        </w:tc>
        <w:tc>
          <w:tcPr>
            <w:tcW w:w="1440" w:type="dxa"/>
            <w:tcBorders>
              <w:bottom w:val="single" w:sz="4" w:space="0" w:color="auto"/>
            </w:tcBorders>
          </w:tcPr>
          <w:p w14:paraId="6F8C7CEE" w14:textId="77777777" w:rsidR="00DB7FAE" w:rsidRPr="002A13E4" w:rsidRDefault="00F147F7">
            <w:pPr>
              <w:jc w:val="center"/>
              <w:rPr>
                <w:color w:val="000000" w:themeColor="text1"/>
                <w:sz w:val="20"/>
                <w:szCs w:val="20"/>
              </w:rPr>
            </w:pPr>
            <w:r w:rsidRPr="002A13E4">
              <w:rPr>
                <w:color w:val="000000" w:themeColor="text1"/>
                <w:sz w:val="20"/>
                <w:szCs w:val="20"/>
              </w:rPr>
              <w:t>3.97</w:t>
            </w:r>
          </w:p>
        </w:tc>
        <w:tc>
          <w:tcPr>
            <w:tcW w:w="1441" w:type="dxa"/>
            <w:tcBorders>
              <w:bottom w:val="single" w:sz="4" w:space="0" w:color="auto"/>
            </w:tcBorders>
          </w:tcPr>
          <w:p w14:paraId="7BA19BB0" w14:textId="77777777" w:rsidR="00DB7FAE" w:rsidRPr="002A13E4" w:rsidRDefault="00F147F7">
            <w:pPr>
              <w:jc w:val="center"/>
              <w:rPr>
                <w:color w:val="000000" w:themeColor="text1"/>
                <w:sz w:val="20"/>
                <w:szCs w:val="20"/>
              </w:rPr>
            </w:pPr>
            <w:r w:rsidRPr="002A13E4">
              <w:rPr>
                <w:color w:val="000000" w:themeColor="text1"/>
                <w:sz w:val="20"/>
                <w:szCs w:val="20"/>
              </w:rPr>
              <w:t>4.69</w:t>
            </w:r>
          </w:p>
        </w:tc>
      </w:tr>
    </w:tbl>
    <w:p w14:paraId="597CC9BE" w14:textId="7433B1FF" w:rsidR="00DB7FAE" w:rsidRPr="002A13E4" w:rsidRDefault="00B07488">
      <w:pPr>
        <w:rPr>
          <w:color w:val="000000" w:themeColor="text1"/>
          <w:sz w:val="22"/>
          <w:szCs w:val="22"/>
        </w:rPr>
      </w:pPr>
      <w:r w:rsidRPr="002A13E4">
        <w:rPr>
          <w:i/>
          <w:iCs/>
          <w:color w:val="000000" w:themeColor="text1"/>
          <w:sz w:val="22"/>
          <w:szCs w:val="22"/>
        </w:rPr>
        <w:t>Notes</w:t>
      </w:r>
      <w:r w:rsidR="008E2B11" w:rsidRPr="002A13E4">
        <w:rPr>
          <w:i/>
          <w:iCs/>
          <w:color w:val="000000" w:themeColor="text1"/>
          <w:sz w:val="22"/>
          <w:szCs w:val="22"/>
        </w:rPr>
        <w:t>.</w:t>
      </w:r>
      <w:r w:rsidRPr="002A13E4">
        <w:rPr>
          <w:color w:val="000000" w:themeColor="text1"/>
          <w:sz w:val="22"/>
          <w:szCs w:val="22"/>
        </w:rPr>
        <w:t xml:space="preserve"> For syntax failures, c</w:t>
      </w:r>
      <w:r w:rsidR="00F147F7" w:rsidRPr="002A13E4">
        <w:rPr>
          <w:color w:val="000000" w:themeColor="text1"/>
          <w:sz w:val="22"/>
          <w:szCs w:val="22"/>
        </w:rPr>
        <w:t>ovariates appearing in the model are evaluated at the following values: propensity to trust = 3.</w:t>
      </w:r>
      <w:r w:rsidR="00C75CCC" w:rsidRPr="002A13E4">
        <w:rPr>
          <w:color w:val="000000" w:themeColor="text1"/>
          <w:sz w:val="22"/>
          <w:szCs w:val="22"/>
        </w:rPr>
        <w:t>25</w:t>
      </w:r>
      <w:r w:rsidR="00F147F7" w:rsidRPr="002A13E4">
        <w:rPr>
          <w:color w:val="000000" w:themeColor="text1"/>
          <w:sz w:val="22"/>
          <w:szCs w:val="22"/>
        </w:rPr>
        <w:t xml:space="preserve">, </w:t>
      </w:r>
      <w:r w:rsidR="001C19EF" w:rsidRPr="002A13E4">
        <w:rPr>
          <w:color w:val="000000" w:themeColor="text1"/>
          <w:sz w:val="22"/>
          <w:szCs w:val="22"/>
        </w:rPr>
        <w:t>entity beliefs</w:t>
      </w:r>
      <w:r w:rsidR="00F147F7" w:rsidRPr="002A13E4">
        <w:rPr>
          <w:color w:val="000000" w:themeColor="text1"/>
          <w:sz w:val="22"/>
          <w:szCs w:val="22"/>
        </w:rPr>
        <w:t xml:space="preserve"> = 2.9</w:t>
      </w:r>
      <w:r w:rsidR="00C75CCC" w:rsidRPr="002A13E4">
        <w:rPr>
          <w:color w:val="000000" w:themeColor="text1"/>
          <w:sz w:val="22"/>
          <w:szCs w:val="22"/>
        </w:rPr>
        <w:t>6</w:t>
      </w:r>
      <w:r w:rsidR="00F147F7" w:rsidRPr="002A13E4">
        <w:rPr>
          <w:color w:val="000000" w:themeColor="text1"/>
          <w:sz w:val="22"/>
          <w:szCs w:val="22"/>
        </w:rPr>
        <w:t>.</w:t>
      </w:r>
    </w:p>
    <w:p w14:paraId="633740A4" w14:textId="77777777" w:rsidR="001E37C8" w:rsidRPr="002A13E4" w:rsidRDefault="001E37C8">
      <w:pPr>
        <w:rPr>
          <w:color w:val="000000" w:themeColor="text1"/>
          <w:sz w:val="22"/>
          <w:szCs w:val="22"/>
        </w:rPr>
      </w:pPr>
    </w:p>
    <w:p w14:paraId="4E505091" w14:textId="79007006" w:rsidR="00186883" w:rsidRPr="002A13E4" w:rsidRDefault="00F147F7">
      <w:pPr>
        <w:spacing w:line="480" w:lineRule="auto"/>
        <w:rPr>
          <w:b/>
          <w:color w:val="000000" w:themeColor="text1"/>
        </w:rPr>
      </w:pPr>
      <w:r w:rsidRPr="002A13E4">
        <w:rPr>
          <w:b/>
          <w:color w:val="000000" w:themeColor="text1"/>
        </w:rPr>
        <w:t>Table 5</w:t>
      </w:r>
    </w:p>
    <w:p w14:paraId="79A3DDF3" w14:textId="77777777" w:rsidR="00DB7FAE" w:rsidRPr="00982B0A" w:rsidRDefault="00F147F7" w:rsidP="00502CE8">
      <w:pPr>
        <w:rPr>
          <w:i/>
          <w:color w:val="000000" w:themeColor="text1"/>
          <w:sz w:val="22"/>
          <w:szCs w:val="22"/>
        </w:rPr>
      </w:pPr>
      <w:r w:rsidRPr="00982B0A">
        <w:rPr>
          <w:i/>
          <w:color w:val="000000" w:themeColor="text1"/>
          <w:sz w:val="22"/>
          <w:szCs w:val="22"/>
        </w:rPr>
        <w:t>Pairwise Comparisons for Internal-Attribution Apology vs. Denial Under Three Failure Types</w:t>
      </w:r>
    </w:p>
    <w:tbl>
      <w:tblPr>
        <w:tblStyle w:val="a3"/>
        <w:tblW w:w="936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440"/>
        <w:gridCol w:w="900"/>
        <w:gridCol w:w="900"/>
        <w:gridCol w:w="810"/>
        <w:gridCol w:w="990"/>
        <w:gridCol w:w="990"/>
        <w:gridCol w:w="630"/>
        <w:gridCol w:w="1350"/>
        <w:gridCol w:w="1350"/>
      </w:tblGrid>
      <w:tr w:rsidR="00DB7FAE" w:rsidRPr="002A13E4" w14:paraId="0B14E1D2" w14:textId="77777777" w:rsidTr="00DD6189">
        <w:trPr>
          <w:trHeight w:val="236"/>
        </w:trPr>
        <w:tc>
          <w:tcPr>
            <w:tcW w:w="1440" w:type="dxa"/>
            <w:vMerge w:val="restart"/>
            <w:tcBorders>
              <w:top w:val="single" w:sz="4" w:space="0" w:color="000000"/>
            </w:tcBorders>
          </w:tcPr>
          <w:p w14:paraId="1E86A459" w14:textId="77777777" w:rsidR="00DB7FAE" w:rsidRPr="002A13E4" w:rsidRDefault="00DB7FAE">
            <w:pPr>
              <w:jc w:val="center"/>
              <w:rPr>
                <w:color w:val="000000" w:themeColor="text1"/>
                <w:sz w:val="18"/>
                <w:szCs w:val="18"/>
              </w:rPr>
            </w:pPr>
          </w:p>
          <w:p w14:paraId="2E5BA18E" w14:textId="77777777" w:rsidR="00DB7FAE" w:rsidRPr="002A13E4" w:rsidRDefault="00F147F7">
            <w:pPr>
              <w:jc w:val="center"/>
              <w:rPr>
                <w:color w:val="000000" w:themeColor="text1"/>
                <w:sz w:val="18"/>
                <w:szCs w:val="18"/>
              </w:rPr>
            </w:pPr>
            <w:r w:rsidRPr="002A13E4">
              <w:rPr>
                <w:color w:val="000000" w:themeColor="text1"/>
                <w:sz w:val="18"/>
                <w:szCs w:val="18"/>
              </w:rPr>
              <w:t>Dependent Variable</w:t>
            </w:r>
          </w:p>
        </w:tc>
        <w:tc>
          <w:tcPr>
            <w:tcW w:w="900" w:type="dxa"/>
            <w:vMerge w:val="restart"/>
            <w:tcBorders>
              <w:top w:val="single" w:sz="4" w:space="0" w:color="000000"/>
            </w:tcBorders>
          </w:tcPr>
          <w:p w14:paraId="0C519969" w14:textId="77777777" w:rsidR="00DB7FAE" w:rsidRPr="002A13E4" w:rsidRDefault="00DB7FAE">
            <w:pPr>
              <w:jc w:val="center"/>
              <w:rPr>
                <w:color w:val="000000" w:themeColor="text1"/>
                <w:sz w:val="18"/>
                <w:szCs w:val="18"/>
              </w:rPr>
            </w:pPr>
          </w:p>
          <w:p w14:paraId="3176F5EF" w14:textId="77777777" w:rsidR="00DB7FAE" w:rsidRPr="002A13E4" w:rsidRDefault="00DB7FAE">
            <w:pPr>
              <w:jc w:val="center"/>
              <w:rPr>
                <w:color w:val="000000" w:themeColor="text1"/>
                <w:sz w:val="18"/>
                <w:szCs w:val="18"/>
              </w:rPr>
            </w:pPr>
          </w:p>
          <w:p w14:paraId="3BC5B2C8" w14:textId="77777777" w:rsidR="00DB7FAE" w:rsidRPr="002A13E4" w:rsidRDefault="00F147F7">
            <w:pPr>
              <w:jc w:val="center"/>
              <w:rPr>
                <w:color w:val="000000" w:themeColor="text1"/>
                <w:sz w:val="18"/>
                <w:szCs w:val="18"/>
              </w:rPr>
            </w:pPr>
            <w:r w:rsidRPr="002A13E4">
              <w:rPr>
                <w:color w:val="000000" w:themeColor="text1"/>
                <w:sz w:val="18"/>
                <w:szCs w:val="18"/>
              </w:rPr>
              <w:t>Failure</w:t>
            </w:r>
          </w:p>
        </w:tc>
        <w:tc>
          <w:tcPr>
            <w:tcW w:w="900" w:type="dxa"/>
            <w:vMerge w:val="restart"/>
            <w:tcBorders>
              <w:top w:val="single" w:sz="4" w:space="0" w:color="000000"/>
            </w:tcBorders>
          </w:tcPr>
          <w:p w14:paraId="2A687E25" w14:textId="77777777" w:rsidR="00DB7FAE" w:rsidRPr="002A13E4" w:rsidRDefault="00DB7FAE">
            <w:pPr>
              <w:jc w:val="center"/>
              <w:rPr>
                <w:color w:val="000000" w:themeColor="text1"/>
                <w:sz w:val="18"/>
                <w:szCs w:val="18"/>
              </w:rPr>
            </w:pPr>
          </w:p>
          <w:p w14:paraId="05BC22F8" w14:textId="77777777" w:rsidR="00DB7FAE" w:rsidRPr="002A13E4" w:rsidRDefault="00DB7FAE">
            <w:pPr>
              <w:jc w:val="center"/>
              <w:rPr>
                <w:color w:val="000000" w:themeColor="text1"/>
                <w:sz w:val="18"/>
                <w:szCs w:val="18"/>
              </w:rPr>
            </w:pPr>
          </w:p>
          <w:p w14:paraId="1D962930" w14:textId="77777777" w:rsidR="00DB7FAE" w:rsidRPr="002A13E4" w:rsidRDefault="00F147F7">
            <w:pPr>
              <w:jc w:val="center"/>
              <w:rPr>
                <w:color w:val="000000" w:themeColor="text1"/>
                <w:sz w:val="18"/>
                <w:szCs w:val="18"/>
              </w:rPr>
            </w:pPr>
            <w:r w:rsidRPr="002A13E4">
              <w:rPr>
                <w:color w:val="000000" w:themeColor="text1"/>
                <w:sz w:val="18"/>
                <w:szCs w:val="18"/>
              </w:rPr>
              <w:t xml:space="preserve">(I) Repair </w:t>
            </w:r>
          </w:p>
        </w:tc>
        <w:tc>
          <w:tcPr>
            <w:tcW w:w="810" w:type="dxa"/>
            <w:vMerge w:val="restart"/>
            <w:tcBorders>
              <w:top w:val="single" w:sz="4" w:space="0" w:color="000000"/>
            </w:tcBorders>
          </w:tcPr>
          <w:p w14:paraId="24B6C68B" w14:textId="77777777" w:rsidR="00DB7FAE" w:rsidRPr="002A13E4" w:rsidRDefault="00DB7FAE">
            <w:pPr>
              <w:jc w:val="center"/>
              <w:rPr>
                <w:color w:val="000000" w:themeColor="text1"/>
                <w:sz w:val="18"/>
                <w:szCs w:val="18"/>
              </w:rPr>
            </w:pPr>
          </w:p>
          <w:p w14:paraId="12EB8D81" w14:textId="77777777" w:rsidR="00DB7FAE" w:rsidRPr="002A13E4" w:rsidRDefault="00DB7FAE">
            <w:pPr>
              <w:jc w:val="center"/>
              <w:rPr>
                <w:color w:val="000000" w:themeColor="text1"/>
                <w:sz w:val="18"/>
                <w:szCs w:val="18"/>
              </w:rPr>
            </w:pPr>
          </w:p>
          <w:p w14:paraId="71A03A85" w14:textId="77777777" w:rsidR="00DB7FAE" w:rsidRPr="002A13E4" w:rsidRDefault="00F147F7">
            <w:pPr>
              <w:jc w:val="center"/>
              <w:rPr>
                <w:color w:val="000000" w:themeColor="text1"/>
                <w:sz w:val="18"/>
                <w:szCs w:val="18"/>
              </w:rPr>
            </w:pPr>
            <w:r w:rsidRPr="002A13E4">
              <w:rPr>
                <w:color w:val="000000" w:themeColor="text1"/>
                <w:sz w:val="18"/>
                <w:szCs w:val="18"/>
              </w:rPr>
              <w:t>(J) Repair</w:t>
            </w:r>
          </w:p>
        </w:tc>
        <w:tc>
          <w:tcPr>
            <w:tcW w:w="990" w:type="dxa"/>
            <w:vMerge w:val="restart"/>
            <w:tcBorders>
              <w:top w:val="single" w:sz="4" w:space="0" w:color="000000"/>
            </w:tcBorders>
          </w:tcPr>
          <w:p w14:paraId="2AF1E40C" w14:textId="77777777" w:rsidR="00DB7FAE" w:rsidRPr="002A13E4" w:rsidRDefault="00F147F7">
            <w:pPr>
              <w:jc w:val="center"/>
              <w:rPr>
                <w:rFonts w:ascii="SimSun" w:eastAsia="SimSun" w:hAnsi="SimSun" w:cs="SimSun"/>
                <w:color w:val="000000" w:themeColor="text1"/>
                <w:sz w:val="18"/>
                <w:szCs w:val="18"/>
              </w:rPr>
            </w:pPr>
            <w:r w:rsidRPr="002A13E4">
              <w:rPr>
                <w:color w:val="000000" w:themeColor="text1"/>
                <w:sz w:val="18"/>
                <w:szCs w:val="18"/>
              </w:rPr>
              <w:t xml:space="preserve">Mean Difference </w:t>
            </w:r>
            <w:r w:rsidRPr="002A13E4">
              <w:rPr>
                <w:rFonts w:ascii="SimSun" w:eastAsia="SimSun" w:hAnsi="SimSun" w:cs="SimSun"/>
                <w:color w:val="000000" w:themeColor="text1"/>
                <w:sz w:val="18"/>
                <w:szCs w:val="18"/>
              </w:rPr>
              <w:t>（</w:t>
            </w:r>
            <w:r w:rsidRPr="002A13E4">
              <w:rPr>
                <w:color w:val="000000" w:themeColor="text1"/>
                <w:sz w:val="18"/>
                <w:szCs w:val="18"/>
              </w:rPr>
              <w:t>I-J</w:t>
            </w:r>
            <w:r w:rsidRPr="002A13E4">
              <w:rPr>
                <w:rFonts w:ascii="SimSun" w:eastAsia="SimSun" w:hAnsi="SimSun" w:cs="SimSun"/>
                <w:color w:val="000000" w:themeColor="text1"/>
                <w:sz w:val="18"/>
                <w:szCs w:val="18"/>
              </w:rPr>
              <w:t>）</w:t>
            </w:r>
          </w:p>
        </w:tc>
        <w:tc>
          <w:tcPr>
            <w:tcW w:w="990" w:type="dxa"/>
            <w:vMerge w:val="restart"/>
            <w:tcBorders>
              <w:top w:val="single" w:sz="4" w:space="0" w:color="000000"/>
            </w:tcBorders>
          </w:tcPr>
          <w:p w14:paraId="1CC67136" w14:textId="77777777" w:rsidR="00DB7FAE" w:rsidRPr="002A13E4" w:rsidRDefault="00DB7FAE">
            <w:pPr>
              <w:jc w:val="center"/>
              <w:rPr>
                <w:color w:val="000000" w:themeColor="text1"/>
                <w:sz w:val="18"/>
                <w:szCs w:val="18"/>
              </w:rPr>
            </w:pPr>
          </w:p>
          <w:p w14:paraId="03F1D7B9" w14:textId="77777777" w:rsidR="00DB7FAE" w:rsidRPr="002A13E4" w:rsidRDefault="00DB7FAE">
            <w:pPr>
              <w:jc w:val="center"/>
              <w:rPr>
                <w:color w:val="000000" w:themeColor="text1"/>
                <w:sz w:val="18"/>
                <w:szCs w:val="18"/>
              </w:rPr>
            </w:pPr>
          </w:p>
          <w:p w14:paraId="6FED8309" w14:textId="77777777" w:rsidR="00DB7FAE" w:rsidRPr="002A13E4" w:rsidRDefault="00F147F7">
            <w:pPr>
              <w:jc w:val="center"/>
              <w:rPr>
                <w:color w:val="000000" w:themeColor="text1"/>
                <w:sz w:val="18"/>
                <w:szCs w:val="18"/>
              </w:rPr>
            </w:pPr>
            <w:r w:rsidRPr="002A13E4">
              <w:rPr>
                <w:color w:val="000000" w:themeColor="text1"/>
                <w:sz w:val="18"/>
                <w:szCs w:val="18"/>
              </w:rPr>
              <w:t>Std. Error</w:t>
            </w:r>
          </w:p>
        </w:tc>
        <w:tc>
          <w:tcPr>
            <w:tcW w:w="630" w:type="dxa"/>
            <w:vMerge w:val="restart"/>
            <w:tcBorders>
              <w:top w:val="single" w:sz="4" w:space="0" w:color="000000"/>
            </w:tcBorders>
          </w:tcPr>
          <w:p w14:paraId="05C8DE45" w14:textId="77777777" w:rsidR="00DB7FAE" w:rsidRPr="002A13E4" w:rsidRDefault="00DB7FAE">
            <w:pPr>
              <w:jc w:val="center"/>
              <w:rPr>
                <w:color w:val="000000" w:themeColor="text1"/>
                <w:sz w:val="18"/>
                <w:szCs w:val="18"/>
              </w:rPr>
            </w:pPr>
          </w:p>
          <w:p w14:paraId="0603A30F" w14:textId="77777777" w:rsidR="00DB7FAE" w:rsidRPr="002A13E4" w:rsidRDefault="00DB7FAE">
            <w:pPr>
              <w:jc w:val="center"/>
              <w:rPr>
                <w:color w:val="000000" w:themeColor="text1"/>
                <w:sz w:val="18"/>
                <w:szCs w:val="18"/>
              </w:rPr>
            </w:pPr>
          </w:p>
          <w:p w14:paraId="54932D72" w14:textId="77777777" w:rsidR="00DB7FAE" w:rsidRPr="002A13E4" w:rsidRDefault="00F147F7">
            <w:pPr>
              <w:jc w:val="center"/>
              <w:rPr>
                <w:color w:val="000000" w:themeColor="text1"/>
                <w:sz w:val="18"/>
                <w:szCs w:val="18"/>
              </w:rPr>
            </w:pPr>
            <w:proofErr w:type="spellStart"/>
            <w:r w:rsidRPr="002A13E4">
              <w:rPr>
                <w:color w:val="000000" w:themeColor="text1"/>
                <w:sz w:val="18"/>
                <w:szCs w:val="18"/>
              </w:rPr>
              <w:t>Sig.</w:t>
            </w:r>
            <w:r w:rsidRPr="002A13E4">
              <w:rPr>
                <w:color w:val="000000" w:themeColor="text1"/>
                <w:sz w:val="18"/>
                <w:szCs w:val="18"/>
                <w:vertAlign w:val="superscript"/>
              </w:rPr>
              <w:t>b</w:t>
            </w:r>
            <w:proofErr w:type="spellEnd"/>
          </w:p>
        </w:tc>
        <w:tc>
          <w:tcPr>
            <w:tcW w:w="2700" w:type="dxa"/>
            <w:gridSpan w:val="2"/>
            <w:tcBorders>
              <w:top w:val="single" w:sz="4" w:space="0" w:color="000000"/>
              <w:bottom w:val="single" w:sz="4" w:space="0" w:color="000000"/>
            </w:tcBorders>
          </w:tcPr>
          <w:p w14:paraId="2D4354B1" w14:textId="77777777" w:rsidR="00DB7FAE" w:rsidRPr="002A13E4" w:rsidRDefault="00F147F7">
            <w:pPr>
              <w:jc w:val="center"/>
              <w:rPr>
                <w:color w:val="000000" w:themeColor="text1"/>
                <w:sz w:val="18"/>
                <w:szCs w:val="18"/>
              </w:rPr>
            </w:pPr>
            <w:r w:rsidRPr="002A13E4">
              <w:rPr>
                <w:color w:val="000000" w:themeColor="text1"/>
                <w:sz w:val="18"/>
                <w:szCs w:val="18"/>
              </w:rPr>
              <w:t>95% Confidence Interval for Differences</w:t>
            </w:r>
          </w:p>
        </w:tc>
      </w:tr>
      <w:tr w:rsidR="00DB7FAE" w:rsidRPr="002A13E4" w14:paraId="2EEB426A" w14:textId="77777777" w:rsidTr="00DD6189">
        <w:trPr>
          <w:trHeight w:val="284"/>
        </w:trPr>
        <w:tc>
          <w:tcPr>
            <w:tcW w:w="1440" w:type="dxa"/>
            <w:vMerge/>
            <w:tcBorders>
              <w:top w:val="single" w:sz="4" w:space="0" w:color="000000"/>
            </w:tcBorders>
          </w:tcPr>
          <w:p w14:paraId="3B27EEC2"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900" w:type="dxa"/>
            <w:vMerge/>
            <w:tcBorders>
              <w:top w:val="single" w:sz="4" w:space="0" w:color="000000"/>
            </w:tcBorders>
          </w:tcPr>
          <w:p w14:paraId="05FF6E88"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900" w:type="dxa"/>
            <w:vMerge/>
            <w:tcBorders>
              <w:top w:val="single" w:sz="4" w:space="0" w:color="000000"/>
            </w:tcBorders>
          </w:tcPr>
          <w:p w14:paraId="33401A05"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810" w:type="dxa"/>
            <w:vMerge/>
            <w:tcBorders>
              <w:top w:val="single" w:sz="4" w:space="0" w:color="000000"/>
            </w:tcBorders>
          </w:tcPr>
          <w:p w14:paraId="3D32F7A6"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990" w:type="dxa"/>
            <w:vMerge/>
            <w:tcBorders>
              <w:top w:val="single" w:sz="4" w:space="0" w:color="000000"/>
            </w:tcBorders>
          </w:tcPr>
          <w:p w14:paraId="6753803B"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990" w:type="dxa"/>
            <w:vMerge/>
            <w:tcBorders>
              <w:top w:val="single" w:sz="4" w:space="0" w:color="000000"/>
            </w:tcBorders>
          </w:tcPr>
          <w:p w14:paraId="096B4AFA"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630" w:type="dxa"/>
            <w:vMerge/>
            <w:tcBorders>
              <w:top w:val="single" w:sz="4" w:space="0" w:color="000000"/>
            </w:tcBorders>
          </w:tcPr>
          <w:p w14:paraId="74280FBD" w14:textId="77777777" w:rsidR="00DB7FAE" w:rsidRPr="002A13E4" w:rsidRDefault="00DB7FAE">
            <w:pPr>
              <w:widowControl w:val="0"/>
              <w:pBdr>
                <w:top w:val="nil"/>
                <w:left w:val="nil"/>
                <w:bottom w:val="nil"/>
                <w:right w:val="nil"/>
                <w:between w:val="nil"/>
              </w:pBdr>
              <w:spacing w:line="276" w:lineRule="auto"/>
              <w:rPr>
                <w:color w:val="000000" w:themeColor="text1"/>
                <w:sz w:val="18"/>
                <w:szCs w:val="18"/>
              </w:rPr>
            </w:pPr>
          </w:p>
        </w:tc>
        <w:tc>
          <w:tcPr>
            <w:tcW w:w="1350" w:type="dxa"/>
            <w:tcBorders>
              <w:top w:val="single" w:sz="4" w:space="0" w:color="000000"/>
              <w:bottom w:val="single" w:sz="4" w:space="0" w:color="000000"/>
            </w:tcBorders>
          </w:tcPr>
          <w:p w14:paraId="3FF0CB55" w14:textId="77777777" w:rsidR="00DB7FAE" w:rsidRPr="002A13E4" w:rsidRDefault="00F147F7">
            <w:pPr>
              <w:jc w:val="center"/>
              <w:rPr>
                <w:color w:val="000000" w:themeColor="text1"/>
                <w:sz w:val="18"/>
                <w:szCs w:val="18"/>
              </w:rPr>
            </w:pPr>
            <w:r w:rsidRPr="002A13E4">
              <w:rPr>
                <w:color w:val="000000" w:themeColor="text1"/>
                <w:sz w:val="18"/>
                <w:szCs w:val="18"/>
              </w:rPr>
              <w:t>Lower Bound</w:t>
            </w:r>
          </w:p>
        </w:tc>
        <w:tc>
          <w:tcPr>
            <w:tcW w:w="1350" w:type="dxa"/>
            <w:tcBorders>
              <w:top w:val="single" w:sz="4" w:space="0" w:color="000000"/>
              <w:bottom w:val="single" w:sz="4" w:space="0" w:color="000000"/>
            </w:tcBorders>
          </w:tcPr>
          <w:p w14:paraId="13B55785" w14:textId="77777777" w:rsidR="00DB7FAE" w:rsidRPr="002A13E4" w:rsidRDefault="00F147F7">
            <w:pPr>
              <w:jc w:val="center"/>
              <w:rPr>
                <w:color w:val="000000" w:themeColor="text1"/>
                <w:sz w:val="18"/>
                <w:szCs w:val="18"/>
              </w:rPr>
            </w:pPr>
            <w:r w:rsidRPr="002A13E4">
              <w:rPr>
                <w:color w:val="000000" w:themeColor="text1"/>
                <w:sz w:val="18"/>
                <w:szCs w:val="18"/>
              </w:rPr>
              <w:t>Upper Bound</w:t>
            </w:r>
          </w:p>
        </w:tc>
      </w:tr>
      <w:tr w:rsidR="00DB7FAE" w:rsidRPr="002A13E4" w14:paraId="30503D7C" w14:textId="77777777" w:rsidTr="00DD6189">
        <w:trPr>
          <w:trHeight w:val="236"/>
        </w:trPr>
        <w:tc>
          <w:tcPr>
            <w:tcW w:w="1440" w:type="dxa"/>
            <w:tcBorders>
              <w:top w:val="single" w:sz="4" w:space="0" w:color="000000"/>
              <w:bottom w:val="single" w:sz="4" w:space="0" w:color="000000"/>
            </w:tcBorders>
          </w:tcPr>
          <w:p w14:paraId="125F9FB9" w14:textId="483FF785" w:rsidR="00DD6189" w:rsidRPr="002A13E4" w:rsidRDefault="00F147F7">
            <w:pPr>
              <w:rPr>
                <w:color w:val="000000" w:themeColor="text1"/>
                <w:sz w:val="18"/>
                <w:szCs w:val="18"/>
              </w:rPr>
            </w:pPr>
            <w:r w:rsidRPr="002A13E4">
              <w:rPr>
                <w:color w:val="000000" w:themeColor="text1"/>
                <w:sz w:val="18"/>
                <w:szCs w:val="18"/>
              </w:rPr>
              <w:t>Competence-Based Trust</w:t>
            </w:r>
          </w:p>
        </w:tc>
        <w:tc>
          <w:tcPr>
            <w:tcW w:w="900" w:type="dxa"/>
            <w:tcBorders>
              <w:top w:val="single" w:sz="4" w:space="0" w:color="000000"/>
              <w:bottom w:val="single" w:sz="4" w:space="0" w:color="000000"/>
            </w:tcBorders>
          </w:tcPr>
          <w:p w14:paraId="797F2D0F" w14:textId="77777777" w:rsidR="00DB7FAE" w:rsidRPr="002A13E4" w:rsidRDefault="00F147F7">
            <w:pPr>
              <w:rPr>
                <w:color w:val="000000" w:themeColor="text1"/>
                <w:sz w:val="18"/>
                <w:szCs w:val="18"/>
              </w:rPr>
            </w:pPr>
            <w:r w:rsidRPr="002A13E4">
              <w:rPr>
                <w:color w:val="000000" w:themeColor="text1"/>
                <w:sz w:val="18"/>
                <w:szCs w:val="18"/>
              </w:rPr>
              <w:t>Logic</w:t>
            </w:r>
          </w:p>
        </w:tc>
        <w:tc>
          <w:tcPr>
            <w:tcW w:w="900" w:type="dxa"/>
            <w:tcBorders>
              <w:top w:val="single" w:sz="4" w:space="0" w:color="000000"/>
              <w:bottom w:val="single" w:sz="4" w:space="0" w:color="000000"/>
            </w:tcBorders>
          </w:tcPr>
          <w:p w14:paraId="1EF082C6" w14:textId="77777777" w:rsidR="00DB7FAE" w:rsidRPr="002A13E4" w:rsidRDefault="00F147F7">
            <w:pPr>
              <w:rPr>
                <w:color w:val="000000" w:themeColor="text1"/>
                <w:sz w:val="18"/>
                <w:szCs w:val="18"/>
              </w:rPr>
            </w:pPr>
            <w:r w:rsidRPr="002A13E4">
              <w:rPr>
                <w:color w:val="000000" w:themeColor="text1"/>
                <w:sz w:val="18"/>
                <w:szCs w:val="18"/>
              </w:rPr>
              <w:t>Apology</w:t>
            </w:r>
          </w:p>
          <w:p w14:paraId="0BD5B62E" w14:textId="77777777" w:rsidR="00DB7FAE" w:rsidRPr="002A13E4" w:rsidRDefault="00F147F7">
            <w:pPr>
              <w:rPr>
                <w:color w:val="000000" w:themeColor="text1"/>
                <w:sz w:val="18"/>
                <w:szCs w:val="18"/>
              </w:rPr>
            </w:pPr>
            <w:bookmarkStart w:id="29" w:name="bookmark=id.2s8eyo1" w:colFirst="0" w:colLast="0"/>
            <w:bookmarkStart w:id="30" w:name="bookmark=id.17dp8vu" w:colFirst="0" w:colLast="0"/>
            <w:bookmarkEnd w:id="29"/>
            <w:bookmarkEnd w:id="30"/>
            <w:r w:rsidRPr="002A13E4">
              <w:rPr>
                <w:color w:val="000000" w:themeColor="text1"/>
                <w:sz w:val="18"/>
                <w:szCs w:val="18"/>
              </w:rPr>
              <w:t>(Internal)</w:t>
            </w:r>
          </w:p>
        </w:tc>
        <w:tc>
          <w:tcPr>
            <w:tcW w:w="810" w:type="dxa"/>
            <w:tcBorders>
              <w:top w:val="single" w:sz="4" w:space="0" w:color="000000"/>
              <w:bottom w:val="single" w:sz="4" w:space="0" w:color="000000"/>
            </w:tcBorders>
          </w:tcPr>
          <w:p w14:paraId="20BACACB"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bottom w:val="single" w:sz="4" w:space="0" w:color="000000"/>
            </w:tcBorders>
          </w:tcPr>
          <w:p w14:paraId="39029D8C" w14:textId="6101FFBF" w:rsidR="00DB7FAE" w:rsidRPr="002A13E4" w:rsidRDefault="00031053">
            <w:pPr>
              <w:jc w:val="center"/>
              <w:rPr>
                <w:color w:val="000000" w:themeColor="text1"/>
                <w:sz w:val="18"/>
                <w:szCs w:val="18"/>
              </w:rPr>
            </w:pPr>
            <w:r w:rsidRPr="002A13E4">
              <w:rPr>
                <w:color w:val="000000" w:themeColor="text1"/>
                <w:sz w:val="18"/>
                <w:szCs w:val="18"/>
              </w:rPr>
              <w:t>0.81</w:t>
            </w:r>
            <w:r w:rsidR="00BC0658" w:rsidRPr="00BC0658">
              <w:rPr>
                <w:color w:val="000000" w:themeColor="text1"/>
                <w:sz w:val="18"/>
                <w:szCs w:val="18"/>
                <w:vertAlign w:val="superscript"/>
              </w:rPr>
              <w:t>*</w:t>
            </w:r>
          </w:p>
        </w:tc>
        <w:tc>
          <w:tcPr>
            <w:tcW w:w="990" w:type="dxa"/>
            <w:tcBorders>
              <w:top w:val="single" w:sz="4" w:space="0" w:color="000000"/>
              <w:bottom w:val="single" w:sz="4" w:space="0" w:color="000000"/>
            </w:tcBorders>
          </w:tcPr>
          <w:p w14:paraId="3462C87F" w14:textId="2175AB8E" w:rsidR="00DB7FAE" w:rsidRPr="002A13E4" w:rsidRDefault="001E37C8">
            <w:pPr>
              <w:jc w:val="center"/>
              <w:rPr>
                <w:color w:val="000000" w:themeColor="text1"/>
                <w:sz w:val="18"/>
                <w:szCs w:val="18"/>
              </w:rPr>
            </w:pPr>
            <w:r w:rsidRPr="002A13E4">
              <w:rPr>
                <w:color w:val="000000" w:themeColor="text1"/>
                <w:sz w:val="18"/>
                <w:szCs w:val="18"/>
              </w:rPr>
              <w:t>0.</w:t>
            </w:r>
            <w:r w:rsidR="00031053" w:rsidRPr="002A13E4">
              <w:rPr>
                <w:color w:val="000000" w:themeColor="text1"/>
                <w:sz w:val="18"/>
                <w:szCs w:val="18"/>
              </w:rPr>
              <w:t>33</w:t>
            </w:r>
          </w:p>
        </w:tc>
        <w:tc>
          <w:tcPr>
            <w:tcW w:w="630" w:type="dxa"/>
            <w:tcBorders>
              <w:top w:val="single" w:sz="4" w:space="0" w:color="000000"/>
              <w:bottom w:val="single" w:sz="4" w:space="0" w:color="000000"/>
            </w:tcBorders>
          </w:tcPr>
          <w:p w14:paraId="4CB2724C" w14:textId="1CF17D24" w:rsidR="00DB7FAE" w:rsidRPr="002A13E4" w:rsidRDefault="00F147F7">
            <w:pPr>
              <w:jc w:val="center"/>
              <w:rPr>
                <w:color w:val="000000" w:themeColor="text1"/>
                <w:sz w:val="18"/>
                <w:szCs w:val="18"/>
              </w:rPr>
            </w:pPr>
            <w:r w:rsidRPr="002A13E4">
              <w:rPr>
                <w:color w:val="000000" w:themeColor="text1"/>
                <w:sz w:val="18"/>
                <w:szCs w:val="18"/>
              </w:rPr>
              <w:t>.0</w:t>
            </w:r>
            <w:r w:rsidR="00031053" w:rsidRPr="002A13E4">
              <w:rPr>
                <w:color w:val="000000" w:themeColor="text1"/>
                <w:sz w:val="18"/>
                <w:szCs w:val="18"/>
              </w:rPr>
              <w:t>2</w:t>
            </w:r>
          </w:p>
        </w:tc>
        <w:tc>
          <w:tcPr>
            <w:tcW w:w="1350" w:type="dxa"/>
            <w:tcBorders>
              <w:top w:val="single" w:sz="4" w:space="0" w:color="000000"/>
              <w:bottom w:val="single" w:sz="4" w:space="0" w:color="000000"/>
            </w:tcBorders>
          </w:tcPr>
          <w:p w14:paraId="74D7B65B" w14:textId="15EA46E1" w:rsidR="00DB7FAE" w:rsidRPr="002A13E4" w:rsidRDefault="001E37C8">
            <w:pPr>
              <w:jc w:val="center"/>
              <w:rPr>
                <w:color w:val="000000" w:themeColor="text1"/>
                <w:sz w:val="18"/>
                <w:szCs w:val="18"/>
              </w:rPr>
            </w:pPr>
            <w:r w:rsidRPr="002A13E4">
              <w:rPr>
                <w:color w:val="000000" w:themeColor="text1"/>
                <w:sz w:val="18"/>
                <w:szCs w:val="18"/>
              </w:rPr>
              <w:t>0.</w:t>
            </w:r>
            <w:r w:rsidR="00031053" w:rsidRPr="002A13E4">
              <w:rPr>
                <w:color w:val="000000" w:themeColor="text1"/>
                <w:sz w:val="18"/>
                <w:szCs w:val="18"/>
              </w:rPr>
              <w:t>16</w:t>
            </w:r>
          </w:p>
        </w:tc>
        <w:tc>
          <w:tcPr>
            <w:tcW w:w="1350" w:type="dxa"/>
            <w:tcBorders>
              <w:top w:val="single" w:sz="4" w:space="0" w:color="000000"/>
              <w:bottom w:val="single" w:sz="4" w:space="0" w:color="000000"/>
            </w:tcBorders>
          </w:tcPr>
          <w:p w14:paraId="127BBEB7" w14:textId="10E53287" w:rsidR="00DB7FAE" w:rsidRPr="002A13E4" w:rsidRDefault="001E37C8">
            <w:pPr>
              <w:jc w:val="center"/>
              <w:rPr>
                <w:color w:val="000000" w:themeColor="text1"/>
                <w:sz w:val="18"/>
                <w:szCs w:val="18"/>
              </w:rPr>
            </w:pPr>
            <w:r w:rsidRPr="002A13E4">
              <w:rPr>
                <w:color w:val="000000" w:themeColor="text1"/>
                <w:sz w:val="18"/>
                <w:szCs w:val="18"/>
              </w:rPr>
              <w:t>1.</w:t>
            </w:r>
            <w:r w:rsidR="00031053" w:rsidRPr="002A13E4">
              <w:rPr>
                <w:color w:val="000000" w:themeColor="text1"/>
                <w:sz w:val="18"/>
                <w:szCs w:val="18"/>
              </w:rPr>
              <w:t>46</w:t>
            </w:r>
          </w:p>
        </w:tc>
      </w:tr>
      <w:tr w:rsidR="00DB7FAE" w:rsidRPr="002A13E4" w14:paraId="5C390CDD" w14:textId="77777777" w:rsidTr="00DD6189">
        <w:trPr>
          <w:trHeight w:val="57"/>
        </w:trPr>
        <w:tc>
          <w:tcPr>
            <w:tcW w:w="1440" w:type="dxa"/>
            <w:tcBorders>
              <w:top w:val="single" w:sz="4" w:space="0" w:color="000000"/>
              <w:bottom w:val="single" w:sz="4" w:space="0" w:color="000000"/>
            </w:tcBorders>
          </w:tcPr>
          <w:p w14:paraId="11539112" w14:textId="77777777" w:rsidR="00DB7FAE" w:rsidRPr="002A13E4" w:rsidRDefault="00F147F7">
            <w:pPr>
              <w:rPr>
                <w:color w:val="000000" w:themeColor="text1"/>
                <w:sz w:val="18"/>
                <w:szCs w:val="18"/>
              </w:rPr>
            </w:pPr>
            <w:r w:rsidRPr="002A13E4">
              <w:rPr>
                <w:color w:val="000000" w:themeColor="text1"/>
                <w:sz w:val="18"/>
                <w:szCs w:val="18"/>
              </w:rPr>
              <w:t>Integrity-Based Trust</w:t>
            </w:r>
          </w:p>
        </w:tc>
        <w:tc>
          <w:tcPr>
            <w:tcW w:w="900" w:type="dxa"/>
            <w:tcBorders>
              <w:top w:val="single" w:sz="4" w:space="0" w:color="000000"/>
              <w:bottom w:val="single" w:sz="4" w:space="0" w:color="000000"/>
            </w:tcBorders>
          </w:tcPr>
          <w:p w14:paraId="4DF11CE8" w14:textId="77777777" w:rsidR="00DB7FAE" w:rsidRPr="002A13E4" w:rsidRDefault="00F147F7">
            <w:pPr>
              <w:rPr>
                <w:color w:val="000000" w:themeColor="text1"/>
                <w:sz w:val="18"/>
                <w:szCs w:val="18"/>
              </w:rPr>
            </w:pPr>
            <w:r w:rsidRPr="002A13E4">
              <w:rPr>
                <w:color w:val="000000" w:themeColor="text1"/>
                <w:sz w:val="18"/>
                <w:szCs w:val="18"/>
              </w:rPr>
              <w:t>Logic</w:t>
            </w:r>
          </w:p>
        </w:tc>
        <w:tc>
          <w:tcPr>
            <w:tcW w:w="900" w:type="dxa"/>
            <w:tcBorders>
              <w:top w:val="single" w:sz="4" w:space="0" w:color="000000"/>
              <w:bottom w:val="single" w:sz="4" w:space="0" w:color="000000"/>
            </w:tcBorders>
          </w:tcPr>
          <w:p w14:paraId="35EEC10E" w14:textId="77777777" w:rsidR="00DB7FAE" w:rsidRPr="002A13E4" w:rsidRDefault="00F147F7">
            <w:pPr>
              <w:rPr>
                <w:color w:val="000000" w:themeColor="text1"/>
                <w:sz w:val="18"/>
                <w:szCs w:val="18"/>
              </w:rPr>
            </w:pPr>
            <w:r w:rsidRPr="002A13E4">
              <w:rPr>
                <w:color w:val="000000" w:themeColor="text1"/>
                <w:sz w:val="18"/>
                <w:szCs w:val="18"/>
              </w:rPr>
              <w:t>Apology</w:t>
            </w:r>
          </w:p>
          <w:p w14:paraId="23710896" w14:textId="77777777" w:rsidR="00DB7FAE" w:rsidRPr="002A13E4" w:rsidRDefault="00F147F7">
            <w:pPr>
              <w:rPr>
                <w:color w:val="000000" w:themeColor="text1"/>
                <w:sz w:val="18"/>
                <w:szCs w:val="18"/>
              </w:rPr>
            </w:pPr>
            <w:r w:rsidRPr="002A13E4">
              <w:rPr>
                <w:color w:val="000000" w:themeColor="text1"/>
                <w:sz w:val="18"/>
                <w:szCs w:val="18"/>
              </w:rPr>
              <w:t>(Internal)</w:t>
            </w:r>
          </w:p>
        </w:tc>
        <w:tc>
          <w:tcPr>
            <w:tcW w:w="810" w:type="dxa"/>
            <w:tcBorders>
              <w:top w:val="single" w:sz="4" w:space="0" w:color="000000"/>
              <w:bottom w:val="single" w:sz="4" w:space="0" w:color="000000"/>
            </w:tcBorders>
          </w:tcPr>
          <w:p w14:paraId="42631572"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bottom w:val="single" w:sz="4" w:space="0" w:color="000000"/>
            </w:tcBorders>
          </w:tcPr>
          <w:p w14:paraId="6E3A7DAB" w14:textId="1229A4EC" w:rsidR="00DB7FAE" w:rsidRPr="002A13E4" w:rsidRDefault="00F147F7">
            <w:pPr>
              <w:jc w:val="center"/>
              <w:rPr>
                <w:color w:val="000000" w:themeColor="text1"/>
                <w:sz w:val="18"/>
                <w:szCs w:val="18"/>
              </w:rPr>
            </w:pPr>
            <w:r w:rsidRPr="002A13E4">
              <w:rPr>
                <w:color w:val="000000" w:themeColor="text1"/>
                <w:sz w:val="18"/>
                <w:szCs w:val="18"/>
              </w:rPr>
              <w:t>0.</w:t>
            </w:r>
            <w:r w:rsidR="008E2B11" w:rsidRPr="002A13E4">
              <w:rPr>
                <w:color w:val="000000" w:themeColor="text1"/>
                <w:sz w:val="18"/>
                <w:szCs w:val="18"/>
              </w:rPr>
              <w:t>60</w:t>
            </w:r>
            <w:r w:rsidR="00BC0658" w:rsidRPr="00BC0658">
              <w:rPr>
                <w:color w:val="000000" w:themeColor="text1"/>
                <w:sz w:val="18"/>
                <w:szCs w:val="18"/>
                <w:vertAlign w:val="superscript"/>
              </w:rPr>
              <w:t>**</w:t>
            </w:r>
          </w:p>
        </w:tc>
        <w:tc>
          <w:tcPr>
            <w:tcW w:w="990" w:type="dxa"/>
            <w:tcBorders>
              <w:top w:val="single" w:sz="4" w:space="0" w:color="000000"/>
              <w:bottom w:val="single" w:sz="4" w:space="0" w:color="000000"/>
            </w:tcBorders>
          </w:tcPr>
          <w:p w14:paraId="54F3FF5B" w14:textId="1A27976D" w:rsidR="00DB7FAE" w:rsidRPr="002A13E4" w:rsidRDefault="00F147F7">
            <w:pPr>
              <w:jc w:val="center"/>
              <w:rPr>
                <w:color w:val="000000" w:themeColor="text1"/>
                <w:sz w:val="18"/>
                <w:szCs w:val="18"/>
              </w:rPr>
            </w:pPr>
            <w:r w:rsidRPr="002A13E4">
              <w:rPr>
                <w:color w:val="000000" w:themeColor="text1"/>
                <w:sz w:val="18"/>
                <w:szCs w:val="18"/>
              </w:rPr>
              <w:t>0.</w:t>
            </w:r>
            <w:r w:rsidR="008E2B11" w:rsidRPr="002A13E4">
              <w:rPr>
                <w:color w:val="000000" w:themeColor="text1"/>
                <w:sz w:val="18"/>
                <w:szCs w:val="18"/>
              </w:rPr>
              <w:t>20</w:t>
            </w:r>
          </w:p>
        </w:tc>
        <w:tc>
          <w:tcPr>
            <w:tcW w:w="630" w:type="dxa"/>
            <w:tcBorders>
              <w:top w:val="single" w:sz="4" w:space="0" w:color="000000"/>
              <w:bottom w:val="single" w:sz="4" w:space="0" w:color="000000"/>
            </w:tcBorders>
          </w:tcPr>
          <w:p w14:paraId="2F98382D" w14:textId="6681A58A" w:rsidR="00DB7FAE" w:rsidRPr="002A13E4" w:rsidRDefault="00F147F7">
            <w:pPr>
              <w:jc w:val="center"/>
              <w:rPr>
                <w:color w:val="000000" w:themeColor="text1"/>
                <w:sz w:val="18"/>
                <w:szCs w:val="18"/>
              </w:rPr>
            </w:pPr>
            <w:r w:rsidRPr="002A13E4">
              <w:rPr>
                <w:color w:val="000000" w:themeColor="text1"/>
                <w:sz w:val="18"/>
                <w:szCs w:val="18"/>
              </w:rPr>
              <w:t>.0</w:t>
            </w:r>
            <w:r w:rsidR="00DD6189" w:rsidRPr="002A13E4">
              <w:rPr>
                <w:color w:val="000000" w:themeColor="text1"/>
                <w:sz w:val="18"/>
                <w:szCs w:val="18"/>
              </w:rPr>
              <w:t>0</w:t>
            </w:r>
            <w:r w:rsidR="00031053" w:rsidRPr="002A13E4">
              <w:rPr>
                <w:color w:val="000000" w:themeColor="text1"/>
                <w:sz w:val="18"/>
                <w:szCs w:val="18"/>
              </w:rPr>
              <w:t>3</w:t>
            </w:r>
          </w:p>
        </w:tc>
        <w:tc>
          <w:tcPr>
            <w:tcW w:w="1350" w:type="dxa"/>
            <w:tcBorders>
              <w:top w:val="single" w:sz="4" w:space="0" w:color="000000"/>
              <w:bottom w:val="single" w:sz="4" w:space="0" w:color="000000"/>
            </w:tcBorders>
          </w:tcPr>
          <w:p w14:paraId="7DAFE252" w14:textId="49891F2B" w:rsidR="00DB7FAE" w:rsidRPr="002A13E4" w:rsidRDefault="00DD6189">
            <w:pPr>
              <w:jc w:val="center"/>
              <w:rPr>
                <w:color w:val="000000" w:themeColor="text1"/>
                <w:sz w:val="18"/>
                <w:szCs w:val="18"/>
              </w:rPr>
            </w:pPr>
            <w:r w:rsidRPr="002A13E4">
              <w:rPr>
                <w:color w:val="000000" w:themeColor="text1"/>
                <w:sz w:val="18"/>
                <w:szCs w:val="18"/>
              </w:rPr>
              <w:t>0.</w:t>
            </w:r>
            <w:r w:rsidR="00031053" w:rsidRPr="002A13E4">
              <w:rPr>
                <w:color w:val="000000" w:themeColor="text1"/>
                <w:sz w:val="18"/>
                <w:szCs w:val="18"/>
              </w:rPr>
              <w:t>21</w:t>
            </w:r>
          </w:p>
        </w:tc>
        <w:tc>
          <w:tcPr>
            <w:tcW w:w="1350" w:type="dxa"/>
            <w:tcBorders>
              <w:top w:val="single" w:sz="4" w:space="0" w:color="000000"/>
              <w:bottom w:val="single" w:sz="4" w:space="0" w:color="000000"/>
            </w:tcBorders>
          </w:tcPr>
          <w:p w14:paraId="5F8A6B08" w14:textId="01BA2C9F" w:rsidR="00DB7FAE" w:rsidRPr="002A13E4" w:rsidRDefault="00031053">
            <w:pPr>
              <w:jc w:val="center"/>
              <w:rPr>
                <w:color w:val="000000" w:themeColor="text1"/>
                <w:sz w:val="18"/>
                <w:szCs w:val="18"/>
              </w:rPr>
            </w:pPr>
            <w:r w:rsidRPr="002A13E4">
              <w:rPr>
                <w:color w:val="000000" w:themeColor="text1"/>
                <w:sz w:val="18"/>
                <w:szCs w:val="18"/>
              </w:rPr>
              <w:t>0.99</w:t>
            </w:r>
          </w:p>
        </w:tc>
      </w:tr>
      <w:tr w:rsidR="00DB7FAE" w:rsidRPr="002A13E4" w14:paraId="4CB54F78" w14:textId="77777777" w:rsidTr="00DD6189">
        <w:trPr>
          <w:trHeight w:val="57"/>
        </w:trPr>
        <w:tc>
          <w:tcPr>
            <w:tcW w:w="1440" w:type="dxa"/>
            <w:tcBorders>
              <w:top w:val="single" w:sz="4" w:space="0" w:color="000000"/>
            </w:tcBorders>
          </w:tcPr>
          <w:p w14:paraId="13AF56E6" w14:textId="77777777" w:rsidR="00DB7FAE" w:rsidRPr="002A13E4" w:rsidRDefault="00F147F7">
            <w:pPr>
              <w:rPr>
                <w:color w:val="000000" w:themeColor="text1"/>
                <w:sz w:val="18"/>
                <w:szCs w:val="18"/>
              </w:rPr>
            </w:pPr>
            <w:r w:rsidRPr="002A13E4">
              <w:rPr>
                <w:color w:val="000000" w:themeColor="text1"/>
                <w:sz w:val="18"/>
                <w:szCs w:val="18"/>
              </w:rPr>
              <w:t>Competence-Based Trust</w:t>
            </w:r>
          </w:p>
        </w:tc>
        <w:tc>
          <w:tcPr>
            <w:tcW w:w="900" w:type="dxa"/>
            <w:tcBorders>
              <w:top w:val="single" w:sz="4" w:space="0" w:color="000000"/>
            </w:tcBorders>
          </w:tcPr>
          <w:p w14:paraId="48A57C83" w14:textId="77777777" w:rsidR="00DB7FAE" w:rsidRPr="002A13E4" w:rsidRDefault="00F147F7">
            <w:pPr>
              <w:rPr>
                <w:color w:val="000000" w:themeColor="text1"/>
                <w:sz w:val="18"/>
                <w:szCs w:val="18"/>
              </w:rPr>
            </w:pPr>
            <w:r w:rsidRPr="002A13E4">
              <w:rPr>
                <w:color w:val="000000" w:themeColor="text1"/>
                <w:sz w:val="18"/>
                <w:szCs w:val="18"/>
              </w:rPr>
              <w:t>Semantic</w:t>
            </w:r>
          </w:p>
        </w:tc>
        <w:tc>
          <w:tcPr>
            <w:tcW w:w="900" w:type="dxa"/>
            <w:tcBorders>
              <w:top w:val="single" w:sz="4" w:space="0" w:color="000000"/>
            </w:tcBorders>
          </w:tcPr>
          <w:p w14:paraId="0FA687F5" w14:textId="77777777" w:rsidR="00DB7FAE" w:rsidRPr="002A13E4" w:rsidRDefault="00F147F7">
            <w:pPr>
              <w:rPr>
                <w:color w:val="000000" w:themeColor="text1"/>
                <w:sz w:val="18"/>
                <w:szCs w:val="18"/>
              </w:rPr>
            </w:pPr>
            <w:r w:rsidRPr="002A13E4">
              <w:rPr>
                <w:color w:val="000000" w:themeColor="text1"/>
                <w:sz w:val="18"/>
                <w:szCs w:val="18"/>
              </w:rPr>
              <w:t>Apology</w:t>
            </w:r>
          </w:p>
          <w:p w14:paraId="02BA77BB" w14:textId="77777777" w:rsidR="00DB7FAE" w:rsidRPr="002A13E4" w:rsidRDefault="00F147F7">
            <w:pPr>
              <w:rPr>
                <w:color w:val="000000" w:themeColor="text1"/>
                <w:sz w:val="18"/>
                <w:szCs w:val="18"/>
              </w:rPr>
            </w:pPr>
            <w:r w:rsidRPr="002A13E4">
              <w:rPr>
                <w:color w:val="000000" w:themeColor="text1"/>
                <w:sz w:val="18"/>
                <w:szCs w:val="18"/>
              </w:rPr>
              <w:t>(Internal)</w:t>
            </w:r>
          </w:p>
        </w:tc>
        <w:tc>
          <w:tcPr>
            <w:tcW w:w="810" w:type="dxa"/>
            <w:tcBorders>
              <w:top w:val="single" w:sz="4" w:space="0" w:color="000000"/>
            </w:tcBorders>
          </w:tcPr>
          <w:p w14:paraId="468FFD7A"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tcBorders>
          </w:tcPr>
          <w:p w14:paraId="1CFC022C" w14:textId="4A439297" w:rsidR="00DB7FAE" w:rsidRPr="002A13E4" w:rsidRDefault="00F147F7">
            <w:pPr>
              <w:jc w:val="center"/>
              <w:rPr>
                <w:color w:val="000000" w:themeColor="text1"/>
                <w:sz w:val="18"/>
                <w:szCs w:val="18"/>
              </w:rPr>
            </w:pPr>
            <w:r w:rsidRPr="002A13E4">
              <w:rPr>
                <w:color w:val="000000" w:themeColor="text1"/>
                <w:sz w:val="18"/>
                <w:szCs w:val="18"/>
              </w:rPr>
              <w:t>0.</w:t>
            </w:r>
            <w:r w:rsidR="007E5D41" w:rsidRPr="002A13E4">
              <w:rPr>
                <w:color w:val="000000" w:themeColor="text1"/>
                <w:sz w:val="18"/>
                <w:szCs w:val="18"/>
              </w:rPr>
              <w:t>51</w:t>
            </w:r>
          </w:p>
        </w:tc>
        <w:tc>
          <w:tcPr>
            <w:tcW w:w="990" w:type="dxa"/>
            <w:tcBorders>
              <w:top w:val="single" w:sz="4" w:space="0" w:color="000000"/>
            </w:tcBorders>
          </w:tcPr>
          <w:p w14:paraId="0AEC1C18" w14:textId="1B81C423" w:rsidR="00DB7FAE" w:rsidRPr="002A13E4" w:rsidRDefault="007E5D41">
            <w:pPr>
              <w:jc w:val="center"/>
              <w:rPr>
                <w:color w:val="000000" w:themeColor="text1"/>
                <w:sz w:val="18"/>
                <w:szCs w:val="18"/>
              </w:rPr>
            </w:pPr>
            <w:r w:rsidRPr="002A13E4">
              <w:rPr>
                <w:color w:val="000000" w:themeColor="text1"/>
                <w:sz w:val="18"/>
                <w:szCs w:val="18"/>
              </w:rPr>
              <w:t>0.35</w:t>
            </w:r>
          </w:p>
        </w:tc>
        <w:tc>
          <w:tcPr>
            <w:tcW w:w="630" w:type="dxa"/>
            <w:tcBorders>
              <w:top w:val="single" w:sz="4" w:space="0" w:color="000000"/>
            </w:tcBorders>
          </w:tcPr>
          <w:p w14:paraId="1EFE6A7C" w14:textId="6FD35626" w:rsidR="00DB7FAE" w:rsidRPr="002A13E4" w:rsidRDefault="007E5D41">
            <w:pPr>
              <w:jc w:val="center"/>
              <w:rPr>
                <w:color w:val="000000" w:themeColor="text1"/>
                <w:sz w:val="18"/>
                <w:szCs w:val="18"/>
              </w:rPr>
            </w:pPr>
            <w:r w:rsidRPr="002A13E4">
              <w:rPr>
                <w:color w:val="000000" w:themeColor="text1"/>
                <w:sz w:val="18"/>
                <w:szCs w:val="18"/>
              </w:rPr>
              <w:t>.15</w:t>
            </w:r>
          </w:p>
        </w:tc>
        <w:tc>
          <w:tcPr>
            <w:tcW w:w="1350" w:type="dxa"/>
            <w:tcBorders>
              <w:top w:val="single" w:sz="4" w:space="0" w:color="000000"/>
            </w:tcBorders>
          </w:tcPr>
          <w:p w14:paraId="2147DF81" w14:textId="7E4070CE" w:rsidR="00DB7FAE" w:rsidRPr="002A13E4" w:rsidRDefault="007E5D41">
            <w:pPr>
              <w:jc w:val="center"/>
              <w:rPr>
                <w:color w:val="000000" w:themeColor="text1"/>
                <w:sz w:val="18"/>
                <w:szCs w:val="18"/>
              </w:rPr>
            </w:pPr>
            <w:r w:rsidRPr="002A13E4">
              <w:rPr>
                <w:color w:val="000000" w:themeColor="text1"/>
                <w:sz w:val="18"/>
                <w:szCs w:val="18"/>
              </w:rPr>
              <w:t>-</w:t>
            </w:r>
            <w:r w:rsidR="009400AD" w:rsidRPr="002A13E4">
              <w:rPr>
                <w:color w:val="000000" w:themeColor="text1"/>
                <w:sz w:val="18"/>
                <w:szCs w:val="18"/>
              </w:rPr>
              <w:t>0</w:t>
            </w:r>
            <w:r w:rsidRPr="002A13E4">
              <w:rPr>
                <w:color w:val="000000" w:themeColor="text1"/>
                <w:sz w:val="18"/>
                <w:szCs w:val="18"/>
              </w:rPr>
              <w:t>.18</w:t>
            </w:r>
          </w:p>
        </w:tc>
        <w:tc>
          <w:tcPr>
            <w:tcW w:w="1350" w:type="dxa"/>
            <w:tcBorders>
              <w:top w:val="single" w:sz="4" w:space="0" w:color="000000"/>
            </w:tcBorders>
          </w:tcPr>
          <w:p w14:paraId="5D562424" w14:textId="5B9FD27C" w:rsidR="00DB7FAE" w:rsidRPr="002A13E4" w:rsidRDefault="007E5D41">
            <w:pPr>
              <w:jc w:val="center"/>
              <w:rPr>
                <w:color w:val="000000" w:themeColor="text1"/>
                <w:sz w:val="18"/>
                <w:szCs w:val="18"/>
              </w:rPr>
            </w:pPr>
            <w:r w:rsidRPr="002A13E4">
              <w:rPr>
                <w:color w:val="000000" w:themeColor="text1"/>
                <w:sz w:val="18"/>
                <w:szCs w:val="18"/>
              </w:rPr>
              <w:t>1.20</w:t>
            </w:r>
          </w:p>
        </w:tc>
      </w:tr>
      <w:tr w:rsidR="00DB7FAE" w:rsidRPr="002A13E4" w14:paraId="4F3E73CC" w14:textId="77777777" w:rsidTr="00DD6189">
        <w:trPr>
          <w:trHeight w:val="57"/>
        </w:trPr>
        <w:tc>
          <w:tcPr>
            <w:tcW w:w="1440" w:type="dxa"/>
            <w:tcBorders>
              <w:top w:val="single" w:sz="4" w:space="0" w:color="000000"/>
              <w:bottom w:val="single" w:sz="4" w:space="0" w:color="000000"/>
            </w:tcBorders>
          </w:tcPr>
          <w:p w14:paraId="62B698FD" w14:textId="77777777" w:rsidR="00DB7FAE" w:rsidRPr="002A13E4" w:rsidRDefault="00F147F7">
            <w:pPr>
              <w:rPr>
                <w:color w:val="000000" w:themeColor="text1"/>
                <w:sz w:val="18"/>
                <w:szCs w:val="18"/>
              </w:rPr>
            </w:pPr>
            <w:r w:rsidRPr="002A13E4">
              <w:rPr>
                <w:color w:val="000000" w:themeColor="text1"/>
                <w:sz w:val="18"/>
                <w:szCs w:val="18"/>
              </w:rPr>
              <w:t>Integrity-Based Trust</w:t>
            </w:r>
          </w:p>
        </w:tc>
        <w:tc>
          <w:tcPr>
            <w:tcW w:w="900" w:type="dxa"/>
            <w:tcBorders>
              <w:top w:val="single" w:sz="4" w:space="0" w:color="000000"/>
              <w:bottom w:val="single" w:sz="4" w:space="0" w:color="000000"/>
            </w:tcBorders>
          </w:tcPr>
          <w:p w14:paraId="12181F6B" w14:textId="77777777" w:rsidR="00DB7FAE" w:rsidRPr="002A13E4" w:rsidRDefault="00F147F7">
            <w:pPr>
              <w:rPr>
                <w:color w:val="000000" w:themeColor="text1"/>
                <w:sz w:val="18"/>
                <w:szCs w:val="18"/>
              </w:rPr>
            </w:pPr>
            <w:r w:rsidRPr="002A13E4">
              <w:rPr>
                <w:color w:val="000000" w:themeColor="text1"/>
                <w:sz w:val="18"/>
                <w:szCs w:val="18"/>
              </w:rPr>
              <w:t>Semantic</w:t>
            </w:r>
          </w:p>
        </w:tc>
        <w:tc>
          <w:tcPr>
            <w:tcW w:w="900" w:type="dxa"/>
            <w:tcBorders>
              <w:top w:val="single" w:sz="4" w:space="0" w:color="000000"/>
              <w:bottom w:val="single" w:sz="4" w:space="0" w:color="000000"/>
            </w:tcBorders>
          </w:tcPr>
          <w:p w14:paraId="427A08DD" w14:textId="77777777" w:rsidR="00DB7FAE" w:rsidRPr="002A13E4" w:rsidRDefault="00F147F7">
            <w:pPr>
              <w:rPr>
                <w:color w:val="000000" w:themeColor="text1"/>
                <w:sz w:val="18"/>
                <w:szCs w:val="18"/>
              </w:rPr>
            </w:pPr>
            <w:r w:rsidRPr="002A13E4">
              <w:rPr>
                <w:color w:val="000000" w:themeColor="text1"/>
                <w:sz w:val="18"/>
                <w:szCs w:val="18"/>
              </w:rPr>
              <w:t>Apology</w:t>
            </w:r>
          </w:p>
          <w:p w14:paraId="5EB2DA94" w14:textId="77777777" w:rsidR="00DB7FAE" w:rsidRPr="002A13E4" w:rsidRDefault="00F147F7">
            <w:pPr>
              <w:rPr>
                <w:color w:val="000000" w:themeColor="text1"/>
                <w:sz w:val="18"/>
                <w:szCs w:val="18"/>
              </w:rPr>
            </w:pPr>
            <w:r w:rsidRPr="002A13E4">
              <w:rPr>
                <w:color w:val="000000" w:themeColor="text1"/>
                <w:sz w:val="18"/>
                <w:szCs w:val="18"/>
              </w:rPr>
              <w:t>(Internal)</w:t>
            </w:r>
          </w:p>
        </w:tc>
        <w:tc>
          <w:tcPr>
            <w:tcW w:w="810" w:type="dxa"/>
            <w:tcBorders>
              <w:top w:val="single" w:sz="4" w:space="0" w:color="000000"/>
              <w:bottom w:val="single" w:sz="4" w:space="0" w:color="000000"/>
            </w:tcBorders>
          </w:tcPr>
          <w:p w14:paraId="0E7846DF"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bottom w:val="single" w:sz="4" w:space="0" w:color="000000"/>
            </w:tcBorders>
          </w:tcPr>
          <w:p w14:paraId="37438A17" w14:textId="29653ACD" w:rsidR="00DB7FAE" w:rsidRPr="002A13E4" w:rsidRDefault="00F147F7">
            <w:pPr>
              <w:jc w:val="center"/>
              <w:rPr>
                <w:color w:val="000000" w:themeColor="text1"/>
                <w:sz w:val="18"/>
                <w:szCs w:val="18"/>
              </w:rPr>
            </w:pPr>
            <w:r w:rsidRPr="002A13E4">
              <w:rPr>
                <w:color w:val="000000" w:themeColor="text1"/>
                <w:sz w:val="18"/>
                <w:szCs w:val="18"/>
              </w:rPr>
              <w:t>0.4</w:t>
            </w:r>
            <w:r w:rsidR="007E5D41" w:rsidRPr="002A13E4">
              <w:rPr>
                <w:color w:val="000000" w:themeColor="text1"/>
                <w:sz w:val="18"/>
                <w:szCs w:val="18"/>
              </w:rPr>
              <w:t>6</w:t>
            </w:r>
            <w:r w:rsidR="00BC0658" w:rsidRPr="00BC0658">
              <w:rPr>
                <w:color w:val="000000" w:themeColor="text1"/>
                <w:sz w:val="18"/>
                <w:szCs w:val="18"/>
                <w:vertAlign w:val="superscript"/>
              </w:rPr>
              <w:t>**</w:t>
            </w:r>
          </w:p>
        </w:tc>
        <w:tc>
          <w:tcPr>
            <w:tcW w:w="990" w:type="dxa"/>
            <w:tcBorders>
              <w:top w:val="single" w:sz="4" w:space="0" w:color="000000"/>
              <w:bottom w:val="single" w:sz="4" w:space="0" w:color="000000"/>
            </w:tcBorders>
          </w:tcPr>
          <w:p w14:paraId="35156D39" w14:textId="51A23A82" w:rsidR="00DB7FAE" w:rsidRPr="002A13E4" w:rsidRDefault="00F147F7">
            <w:pPr>
              <w:jc w:val="center"/>
              <w:rPr>
                <w:color w:val="000000" w:themeColor="text1"/>
                <w:sz w:val="18"/>
                <w:szCs w:val="18"/>
              </w:rPr>
            </w:pPr>
            <w:r w:rsidRPr="002A13E4">
              <w:rPr>
                <w:color w:val="000000" w:themeColor="text1"/>
                <w:sz w:val="18"/>
                <w:szCs w:val="18"/>
              </w:rPr>
              <w:t>0.</w:t>
            </w:r>
            <w:r w:rsidR="007E5D41" w:rsidRPr="002A13E4">
              <w:rPr>
                <w:color w:val="000000" w:themeColor="text1"/>
                <w:sz w:val="18"/>
                <w:szCs w:val="18"/>
              </w:rPr>
              <w:t>17</w:t>
            </w:r>
          </w:p>
        </w:tc>
        <w:tc>
          <w:tcPr>
            <w:tcW w:w="630" w:type="dxa"/>
            <w:tcBorders>
              <w:top w:val="single" w:sz="4" w:space="0" w:color="000000"/>
              <w:bottom w:val="single" w:sz="4" w:space="0" w:color="000000"/>
            </w:tcBorders>
          </w:tcPr>
          <w:p w14:paraId="120BE785" w14:textId="3EAC10E4" w:rsidR="00DB7FAE" w:rsidRPr="002A13E4" w:rsidRDefault="00F147F7">
            <w:pPr>
              <w:jc w:val="center"/>
              <w:rPr>
                <w:color w:val="000000" w:themeColor="text1"/>
                <w:sz w:val="18"/>
                <w:szCs w:val="18"/>
              </w:rPr>
            </w:pPr>
            <w:r w:rsidRPr="002A13E4">
              <w:rPr>
                <w:color w:val="000000" w:themeColor="text1"/>
                <w:sz w:val="18"/>
                <w:szCs w:val="18"/>
              </w:rPr>
              <w:t>.0</w:t>
            </w:r>
            <w:r w:rsidR="007E5D41" w:rsidRPr="002A13E4">
              <w:rPr>
                <w:color w:val="000000" w:themeColor="text1"/>
                <w:sz w:val="18"/>
                <w:szCs w:val="18"/>
              </w:rPr>
              <w:t>06</w:t>
            </w:r>
          </w:p>
        </w:tc>
        <w:tc>
          <w:tcPr>
            <w:tcW w:w="1350" w:type="dxa"/>
            <w:tcBorders>
              <w:top w:val="single" w:sz="4" w:space="0" w:color="000000"/>
              <w:bottom w:val="single" w:sz="4" w:space="0" w:color="000000"/>
            </w:tcBorders>
          </w:tcPr>
          <w:p w14:paraId="6DBD9B8D" w14:textId="0C732D8F" w:rsidR="00DB7FAE" w:rsidRPr="002A13E4" w:rsidRDefault="007E5D41">
            <w:pPr>
              <w:jc w:val="center"/>
              <w:rPr>
                <w:color w:val="000000" w:themeColor="text1"/>
                <w:sz w:val="18"/>
                <w:szCs w:val="18"/>
              </w:rPr>
            </w:pPr>
            <w:r w:rsidRPr="002A13E4">
              <w:rPr>
                <w:color w:val="000000" w:themeColor="text1"/>
                <w:sz w:val="18"/>
                <w:szCs w:val="18"/>
              </w:rPr>
              <w:t>0.13</w:t>
            </w:r>
          </w:p>
        </w:tc>
        <w:tc>
          <w:tcPr>
            <w:tcW w:w="1350" w:type="dxa"/>
            <w:tcBorders>
              <w:top w:val="single" w:sz="4" w:space="0" w:color="000000"/>
              <w:bottom w:val="single" w:sz="4" w:space="0" w:color="000000"/>
            </w:tcBorders>
          </w:tcPr>
          <w:p w14:paraId="1E055FF1" w14:textId="39A7878A" w:rsidR="00DB7FAE" w:rsidRPr="002A13E4" w:rsidRDefault="007E5D41">
            <w:pPr>
              <w:jc w:val="center"/>
              <w:rPr>
                <w:color w:val="000000" w:themeColor="text1"/>
                <w:sz w:val="18"/>
                <w:szCs w:val="18"/>
              </w:rPr>
            </w:pPr>
            <w:r w:rsidRPr="002A13E4">
              <w:rPr>
                <w:color w:val="000000" w:themeColor="text1"/>
                <w:sz w:val="18"/>
                <w:szCs w:val="18"/>
              </w:rPr>
              <w:t>0.79</w:t>
            </w:r>
          </w:p>
        </w:tc>
      </w:tr>
      <w:tr w:rsidR="00DB7FAE" w:rsidRPr="002A13E4" w14:paraId="344FBBF6" w14:textId="77777777" w:rsidTr="00DD6189">
        <w:trPr>
          <w:trHeight w:val="57"/>
        </w:trPr>
        <w:tc>
          <w:tcPr>
            <w:tcW w:w="1440" w:type="dxa"/>
            <w:tcBorders>
              <w:top w:val="single" w:sz="4" w:space="0" w:color="000000"/>
            </w:tcBorders>
          </w:tcPr>
          <w:p w14:paraId="29ED2B62" w14:textId="77777777" w:rsidR="00DB7FAE" w:rsidRPr="002A13E4" w:rsidRDefault="00F147F7">
            <w:pPr>
              <w:rPr>
                <w:color w:val="000000" w:themeColor="text1"/>
                <w:sz w:val="18"/>
                <w:szCs w:val="18"/>
              </w:rPr>
            </w:pPr>
            <w:r w:rsidRPr="002A13E4">
              <w:rPr>
                <w:color w:val="000000" w:themeColor="text1"/>
                <w:sz w:val="18"/>
                <w:szCs w:val="18"/>
              </w:rPr>
              <w:t>Competence-Based Trust</w:t>
            </w:r>
          </w:p>
        </w:tc>
        <w:tc>
          <w:tcPr>
            <w:tcW w:w="900" w:type="dxa"/>
            <w:tcBorders>
              <w:top w:val="single" w:sz="4" w:space="0" w:color="000000"/>
            </w:tcBorders>
          </w:tcPr>
          <w:p w14:paraId="0AA61304" w14:textId="77777777" w:rsidR="00DB7FAE" w:rsidRPr="002A13E4" w:rsidRDefault="00F147F7">
            <w:pPr>
              <w:rPr>
                <w:color w:val="000000" w:themeColor="text1"/>
                <w:sz w:val="18"/>
                <w:szCs w:val="18"/>
              </w:rPr>
            </w:pPr>
            <w:r w:rsidRPr="002A13E4">
              <w:rPr>
                <w:color w:val="000000" w:themeColor="text1"/>
                <w:sz w:val="18"/>
                <w:szCs w:val="18"/>
              </w:rPr>
              <w:t>Syntax</w:t>
            </w:r>
          </w:p>
        </w:tc>
        <w:tc>
          <w:tcPr>
            <w:tcW w:w="900" w:type="dxa"/>
            <w:tcBorders>
              <w:top w:val="single" w:sz="4" w:space="0" w:color="000000"/>
            </w:tcBorders>
          </w:tcPr>
          <w:p w14:paraId="20342DB6" w14:textId="77777777" w:rsidR="00DB7FAE" w:rsidRPr="002A13E4" w:rsidRDefault="00F147F7">
            <w:pPr>
              <w:rPr>
                <w:color w:val="000000" w:themeColor="text1"/>
                <w:sz w:val="18"/>
                <w:szCs w:val="18"/>
              </w:rPr>
            </w:pPr>
            <w:r w:rsidRPr="002A13E4">
              <w:rPr>
                <w:color w:val="000000" w:themeColor="text1"/>
                <w:sz w:val="18"/>
                <w:szCs w:val="18"/>
              </w:rPr>
              <w:t>Apology</w:t>
            </w:r>
          </w:p>
          <w:p w14:paraId="0CCA6DDF" w14:textId="77777777" w:rsidR="00DB7FAE" w:rsidRPr="002A13E4" w:rsidRDefault="00F147F7">
            <w:pPr>
              <w:rPr>
                <w:color w:val="000000" w:themeColor="text1"/>
                <w:sz w:val="18"/>
                <w:szCs w:val="18"/>
              </w:rPr>
            </w:pPr>
            <w:r w:rsidRPr="002A13E4">
              <w:rPr>
                <w:color w:val="000000" w:themeColor="text1"/>
                <w:sz w:val="18"/>
                <w:szCs w:val="18"/>
              </w:rPr>
              <w:t>(Internal)</w:t>
            </w:r>
          </w:p>
        </w:tc>
        <w:tc>
          <w:tcPr>
            <w:tcW w:w="810" w:type="dxa"/>
            <w:tcBorders>
              <w:top w:val="single" w:sz="4" w:space="0" w:color="000000"/>
            </w:tcBorders>
          </w:tcPr>
          <w:p w14:paraId="4CE5B3D1"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tcBorders>
          </w:tcPr>
          <w:p w14:paraId="23302E6C" w14:textId="6AD0BC15" w:rsidR="00DB7FAE" w:rsidRPr="002A13E4" w:rsidRDefault="00491FDD">
            <w:pPr>
              <w:jc w:val="center"/>
              <w:rPr>
                <w:color w:val="000000" w:themeColor="text1"/>
                <w:sz w:val="18"/>
                <w:szCs w:val="18"/>
              </w:rPr>
            </w:pPr>
            <w:r w:rsidRPr="002A13E4">
              <w:rPr>
                <w:color w:val="000000" w:themeColor="text1"/>
                <w:sz w:val="18"/>
                <w:szCs w:val="18"/>
              </w:rPr>
              <w:t>-0.02</w:t>
            </w:r>
          </w:p>
        </w:tc>
        <w:tc>
          <w:tcPr>
            <w:tcW w:w="990" w:type="dxa"/>
            <w:tcBorders>
              <w:top w:val="single" w:sz="4" w:space="0" w:color="000000"/>
            </w:tcBorders>
          </w:tcPr>
          <w:p w14:paraId="0A71A261" w14:textId="7F8D26E5" w:rsidR="00DB7FAE" w:rsidRPr="002A13E4" w:rsidRDefault="00F147F7">
            <w:pPr>
              <w:jc w:val="center"/>
              <w:rPr>
                <w:color w:val="000000" w:themeColor="text1"/>
                <w:sz w:val="18"/>
                <w:szCs w:val="18"/>
              </w:rPr>
            </w:pPr>
            <w:r w:rsidRPr="002A13E4">
              <w:rPr>
                <w:color w:val="000000" w:themeColor="text1"/>
                <w:sz w:val="18"/>
                <w:szCs w:val="18"/>
              </w:rPr>
              <w:t>0.</w:t>
            </w:r>
            <w:r w:rsidR="00491FDD" w:rsidRPr="002A13E4">
              <w:rPr>
                <w:color w:val="000000" w:themeColor="text1"/>
                <w:sz w:val="18"/>
                <w:szCs w:val="18"/>
              </w:rPr>
              <w:t>18</w:t>
            </w:r>
          </w:p>
        </w:tc>
        <w:tc>
          <w:tcPr>
            <w:tcW w:w="630" w:type="dxa"/>
            <w:tcBorders>
              <w:top w:val="single" w:sz="4" w:space="0" w:color="000000"/>
            </w:tcBorders>
          </w:tcPr>
          <w:p w14:paraId="446F1F1B" w14:textId="42EBEC41" w:rsidR="00DB7FAE" w:rsidRPr="002A13E4" w:rsidRDefault="00F147F7">
            <w:pPr>
              <w:jc w:val="center"/>
              <w:rPr>
                <w:color w:val="000000" w:themeColor="text1"/>
                <w:sz w:val="18"/>
                <w:szCs w:val="18"/>
              </w:rPr>
            </w:pPr>
            <w:r w:rsidRPr="002A13E4">
              <w:rPr>
                <w:color w:val="000000" w:themeColor="text1"/>
                <w:sz w:val="18"/>
                <w:szCs w:val="18"/>
              </w:rPr>
              <w:t>.</w:t>
            </w:r>
            <w:r w:rsidR="00491FDD" w:rsidRPr="002A13E4">
              <w:rPr>
                <w:color w:val="000000" w:themeColor="text1"/>
                <w:sz w:val="18"/>
                <w:szCs w:val="18"/>
              </w:rPr>
              <w:t>96</w:t>
            </w:r>
          </w:p>
        </w:tc>
        <w:tc>
          <w:tcPr>
            <w:tcW w:w="1350" w:type="dxa"/>
            <w:tcBorders>
              <w:top w:val="single" w:sz="4" w:space="0" w:color="000000"/>
            </w:tcBorders>
          </w:tcPr>
          <w:p w14:paraId="76092DAA" w14:textId="72B522DF" w:rsidR="00DB7FAE" w:rsidRPr="002A13E4" w:rsidRDefault="00491FDD">
            <w:pPr>
              <w:jc w:val="center"/>
              <w:rPr>
                <w:color w:val="000000" w:themeColor="text1"/>
                <w:sz w:val="18"/>
                <w:szCs w:val="18"/>
              </w:rPr>
            </w:pPr>
            <w:r w:rsidRPr="002A13E4">
              <w:rPr>
                <w:color w:val="000000" w:themeColor="text1"/>
                <w:sz w:val="18"/>
                <w:szCs w:val="18"/>
              </w:rPr>
              <w:t>-0.64</w:t>
            </w:r>
          </w:p>
        </w:tc>
        <w:tc>
          <w:tcPr>
            <w:tcW w:w="1350" w:type="dxa"/>
            <w:tcBorders>
              <w:top w:val="single" w:sz="4" w:space="0" w:color="000000"/>
            </w:tcBorders>
          </w:tcPr>
          <w:p w14:paraId="5929D14F" w14:textId="42758610" w:rsidR="00DB7FAE" w:rsidRPr="002A13E4" w:rsidRDefault="00491FDD">
            <w:pPr>
              <w:jc w:val="center"/>
              <w:rPr>
                <w:color w:val="000000" w:themeColor="text1"/>
                <w:sz w:val="18"/>
                <w:szCs w:val="18"/>
              </w:rPr>
            </w:pPr>
            <w:r w:rsidRPr="002A13E4">
              <w:rPr>
                <w:color w:val="000000" w:themeColor="text1"/>
                <w:sz w:val="18"/>
                <w:szCs w:val="18"/>
              </w:rPr>
              <w:t>0.61</w:t>
            </w:r>
          </w:p>
        </w:tc>
      </w:tr>
      <w:tr w:rsidR="00DB7FAE" w:rsidRPr="002A13E4" w14:paraId="66D6E32E" w14:textId="77777777" w:rsidTr="00DD6189">
        <w:trPr>
          <w:trHeight w:val="57"/>
        </w:trPr>
        <w:tc>
          <w:tcPr>
            <w:tcW w:w="1440" w:type="dxa"/>
            <w:tcBorders>
              <w:top w:val="single" w:sz="4" w:space="0" w:color="000000"/>
            </w:tcBorders>
          </w:tcPr>
          <w:p w14:paraId="71EA944C" w14:textId="77777777" w:rsidR="00DB7FAE" w:rsidRPr="002A13E4" w:rsidRDefault="00F147F7">
            <w:pPr>
              <w:rPr>
                <w:color w:val="000000" w:themeColor="text1"/>
                <w:sz w:val="18"/>
                <w:szCs w:val="18"/>
              </w:rPr>
            </w:pPr>
            <w:r w:rsidRPr="002A13E4">
              <w:rPr>
                <w:color w:val="000000" w:themeColor="text1"/>
                <w:sz w:val="18"/>
                <w:szCs w:val="18"/>
              </w:rPr>
              <w:t>Integrity-Based Trust</w:t>
            </w:r>
          </w:p>
        </w:tc>
        <w:tc>
          <w:tcPr>
            <w:tcW w:w="900" w:type="dxa"/>
            <w:tcBorders>
              <w:top w:val="single" w:sz="4" w:space="0" w:color="000000"/>
            </w:tcBorders>
          </w:tcPr>
          <w:p w14:paraId="4F480FD6" w14:textId="77777777" w:rsidR="00DB7FAE" w:rsidRPr="002A13E4" w:rsidRDefault="00F147F7">
            <w:pPr>
              <w:rPr>
                <w:color w:val="000000" w:themeColor="text1"/>
                <w:sz w:val="18"/>
                <w:szCs w:val="18"/>
              </w:rPr>
            </w:pPr>
            <w:r w:rsidRPr="002A13E4">
              <w:rPr>
                <w:color w:val="000000" w:themeColor="text1"/>
                <w:sz w:val="18"/>
                <w:szCs w:val="18"/>
              </w:rPr>
              <w:t xml:space="preserve">Syntax </w:t>
            </w:r>
          </w:p>
        </w:tc>
        <w:tc>
          <w:tcPr>
            <w:tcW w:w="900" w:type="dxa"/>
            <w:tcBorders>
              <w:top w:val="single" w:sz="4" w:space="0" w:color="000000"/>
            </w:tcBorders>
          </w:tcPr>
          <w:p w14:paraId="1A9451B2" w14:textId="77777777" w:rsidR="00DB7FAE" w:rsidRPr="002A13E4" w:rsidRDefault="00F147F7">
            <w:pPr>
              <w:rPr>
                <w:color w:val="000000" w:themeColor="text1"/>
                <w:sz w:val="18"/>
                <w:szCs w:val="18"/>
              </w:rPr>
            </w:pPr>
            <w:r w:rsidRPr="002A13E4">
              <w:rPr>
                <w:color w:val="000000" w:themeColor="text1"/>
                <w:sz w:val="18"/>
                <w:szCs w:val="18"/>
              </w:rPr>
              <w:t>Apology</w:t>
            </w:r>
          </w:p>
          <w:p w14:paraId="470EE20B" w14:textId="77777777" w:rsidR="00DB7FAE" w:rsidRPr="002A13E4" w:rsidRDefault="00F147F7">
            <w:pPr>
              <w:rPr>
                <w:color w:val="000000" w:themeColor="text1"/>
                <w:sz w:val="18"/>
                <w:szCs w:val="18"/>
              </w:rPr>
            </w:pPr>
            <w:r w:rsidRPr="002A13E4">
              <w:rPr>
                <w:color w:val="000000" w:themeColor="text1"/>
                <w:sz w:val="18"/>
                <w:szCs w:val="18"/>
              </w:rPr>
              <w:t>(Internal)</w:t>
            </w:r>
          </w:p>
        </w:tc>
        <w:tc>
          <w:tcPr>
            <w:tcW w:w="810" w:type="dxa"/>
            <w:tcBorders>
              <w:top w:val="single" w:sz="4" w:space="0" w:color="000000"/>
            </w:tcBorders>
          </w:tcPr>
          <w:p w14:paraId="2102ABAC" w14:textId="77777777" w:rsidR="00DB7FAE" w:rsidRPr="002A13E4" w:rsidRDefault="00F147F7">
            <w:pPr>
              <w:jc w:val="center"/>
              <w:rPr>
                <w:color w:val="000000" w:themeColor="text1"/>
                <w:sz w:val="18"/>
                <w:szCs w:val="18"/>
              </w:rPr>
            </w:pPr>
            <w:r w:rsidRPr="002A13E4">
              <w:rPr>
                <w:color w:val="000000" w:themeColor="text1"/>
                <w:sz w:val="18"/>
                <w:szCs w:val="18"/>
              </w:rPr>
              <w:t>Denial</w:t>
            </w:r>
          </w:p>
        </w:tc>
        <w:tc>
          <w:tcPr>
            <w:tcW w:w="990" w:type="dxa"/>
            <w:tcBorders>
              <w:top w:val="single" w:sz="4" w:space="0" w:color="000000"/>
            </w:tcBorders>
          </w:tcPr>
          <w:p w14:paraId="7E8099A2" w14:textId="745230C9" w:rsidR="00DB7FAE" w:rsidRPr="002A13E4" w:rsidRDefault="00491FDD">
            <w:pPr>
              <w:jc w:val="center"/>
              <w:rPr>
                <w:color w:val="000000" w:themeColor="text1"/>
                <w:sz w:val="18"/>
                <w:szCs w:val="18"/>
              </w:rPr>
            </w:pPr>
            <w:r w:rsidRPr="002A13E4">
              <w:rPr>
                <w:color w:val="000000" w:themeColor="text1"/>
                <w:sz w:val="18"/>
                <w:szCs w:val="18"/>
              </w:rPr>
              <w:t>0.36</w:t>
            </w:r>
          </w:p>
        </w:tc>
        <w:tc>
          <w:tcPr>
            <w:tcW w:w="990" w:type="dxa"/>
            <w:tcBorders>
              <w:top w:val="single" w:sz="4" w:space="0" w:color="000000"/>
            </w:tcBorders>
          </w:tcPr>
          <w:p w14:paraId="2692C5E1" w14:textId="34D9FF12" w:rsidR="00DB7FAE" w:rsidRPr="002A13E4" w:rsidRDefault="00491FDD">
            <w:pPr>
              <w:jc w:val="center"/>
              <w:rPr>
                <w:color w:val="000000" w:themeColor="text1"/>
                <w:sz w:val="18"/>
                <w:szCs w:val="18"/>
              </w:rPr>
            </w:pPr>
            <w:r w:rsidRPr="002A13E4">
              <w:rPr>
                <w:color w:val="000000" w:themeColor="text1"/>
                <w:sz w:val="18"/>
                <w:szCs w:val="18"/>
              </w:rPr>
              <w:t>.18</w:t>
            </w:r>
          </w:p>
        </w:tc>
        <w:tc>
          <w:tcPr>
            <w:tcW w:w="630" w:type="dxa"/>
            <w:tcBorders>
              <w:top w:val="single" w:sz="4" w:space="0" w:color="000000"/>
            </w:tcBorders>
          </w:tcPr>
          <w:p w14:paraId="67BDFD1C" w14:textId="144837BA" w:rsidR="00DB7FAE" w:rsidRPr="002A13E4" w:rsidRDefault="00491FDD">
            <w:pPr>
              <w:jc w:val="center"/>
              <w:rPr>
                <w:color w:val="000000" w:themeColor="text1"/>
                <w:sz w:val="18"/>
                <w:szCs w:val="18"/>
              </w:rPr>
            </w:pPr>
            <w:r w:rsidRPr="002A13E4">
              <w:rPr>
                <w:color w:val="000000" w:themeColor="text1"/>
                <w:sz w:val="18"/>
                <w:szCs w:val="18"/>
              </w:rPr>
              <w:t>.06</w:t>
            </w:r>
          </w:p>
        </w:tc>
        <w:tc>
          <w:tcPr>
            <w:tcW w:w="1350" w:type="dxa"/>
            <w:tcBorders>
              <w:top w:val="single" w:sz="4" w:space="0" w:color="000000"/>
            </w:tcBorders>
          </w:tcPr>
          <w:p w14:paraId="7EA41A19" w14:textId="44A212A6" w:rsidR="00DB7FAE" w:rsidRPr="002A13E4" w:rsidRDefault="00F147F7">
            <w:pPr>
              <w:jc w:val="center"/>
              <w:rPr>
                <w:color w:val="000000" w:themeColor="text1"/>
                <w:sz w:val="18"/>
                <w:szCs w:val="18"/>
              </w:rPr>
            </w:pPr>
            <w:r w:rsidRPr="002A13E4">
              <w:rPr>
                <w:color w:val="000000" w:themeColor="text1"/>
                <w:sz w:val="18"/>
                <w:szCs w:val="18"/>
              </w:rPr>
              <w:t>-0.</w:t>
            </w:r>
            <w:r w:rsidR="00491FDD" w:rsidRPr="002A13E4">
              <w:rPr>
                <w:color w:val="000000" w:themeColor="text1"/>
                <w:sz w:val="18"/>
                <w:szCs w:val="18"/>
              </w:rPr>
              <w:t>01</w:t>
            </w:r>
          </w:p>
        </w:tc>
        <w:tc>
          <w:tcPr>
            <w:tcW w:w="1350" w:type="dxa"/>
            <w:tcBorders>
              <w:top w:val="single" w:sz="4" w:space="0" w:color="000000"/>
            </w:tcBorders>
          </w:tcPr>
          <w:p w14:paraId="788A25BE" w14:textId="396AEF39" w:rsidR="00DB7FAE" w:rsidRPr="002A13E4" w:rsidRDefault="00491FDD">
            <w:pPr>
              <w:jc w:val="center"/>
              <w:rPr>
                <w:color w:val="000000" w:themeColor="text1"/>
                <w:sz w:val="18"/>
                <w:szCs w:val="18"/>
              </w:rPr>
            </w:pPr>
            <w:r w:rsidRPr="002A13E4">
              <w:rPr>
                <w:color w:val="000000" w:themeColor="text1"/>
                <w:sz w:val="18"/>
                <w:szCs w:val="18"/>
              </w:rPr>
              <w:t>0.72</w:t>
            </w:r>
          </w:p>
        </w:tc>
      </w:tr>
    </w:tbl>
    <w:p w14:paraId="5CD650F9" w14:textId="2B9A4516" w:rsidR="00DB7FAE" w:rsidRPr="002A13E4" w:rsidRDefault="00F147F7">
      <w:pPr>
        <w:rPr>
          <w:color w:val="000000" w:themeColor="text1"/>
          <w:sz w:val="22"/>
          <w:szCs w:val="22"/>
        </w:rPr>
      </w:pPr>
      <w:r w:rsidRPr="00BC0658">
        <w:rPr>
          <w:color w:val="000000" w:themeColor="text1"/>
          <w:sz w:val="22"/>
          <w:szCs w:val="22"/>
          <w:vertAlign w:val="superscript"/>
        </w:rPr>
        <w:t xml:space="preserve">* </w:t>
      </w:r>
      <w:r w:rsidRPr="002A13E4">
        <w:rPr>
          <w:color w:val="000000" w:themeColor="text1"/>
          <w:sz w:val="22"/>
          <w:szCs w:val="22"/>
        </w:rPr>
        <w:t>The mean difference is significant at the .05 level.</w:t>
      </w:r>
    </w:p>
    <w:p w14:paraId="58592A3E" w14:textId="26DBF9F8" w:rsidR="007E5D41" w:rsidRPr="002A13E4" w:rsidRDefault="007E5D41">
      <w:pPr>
        <w:rPr>
          <w:color w:val="000000" w:themeColor="text1"/>
          <w:sz w:val="22"/>
          <w:szCs w:val="22"/>
        </w:rPr>
      </w:pPr>
      <w:r w:rsidRPr="00BC0658">
        <w:rPr>
          <w:color w:val="000000" w:themeColor="text1"/>
          <w:sz w:val="22"/>
          <w:szCs w:val="22"/>
          <w:vertAlign w:val="superscript"/>
        </w:rPr>
        <w:t xml:space="preserve">** </w:t>
      </w:r>
      <w:r w:rsidRPr="002A13E4">
        <w:rPr>
          <w:color w:val="000000" w:themeColor="text1"/>
          <w:sz w:val="22"/>
          <w:szCs w:val="22"/>
        </w:rPr>
        <w:t>The mean difference is significant at the .01 level.</w:t>
      </w:r>
    </w:p>
    <w:p w14:paraId="24ED4490" w14:textId="29EC55A1" w:rsidR="00DB7FAE" w:rsidRPr="002A13E4" w:rsidRDefault="000B5DFB">
      <w:pPr>
        <w:rPr>
          <w:color w:val="000000" w:themeColor="text1"/>
          <w:sz w:val="22"/>
          <w:szCs w:val="22"/>
        </w:rPr>
      </w:pPr>
      <w:r>
        <w:rPr>
          <w:color w:val="000000" w:themeColor="text1"/>
          <w:sz w:val="22"/>
          <w:szCs w:val="22"/>
          <w:vertAlign w:val="superscript"/>
        </w:rPr>
        <w:t>b</w:t>
      </w:r>
      <w:r>
        <w:rPr>
          <w:color w:val="000000" w:themeColor="text1"/>
          <w:sz w:val="22"/>
          <w:szCs w:val="22"/>
        </w:rPr>
        <w:t xml:space="preserve"> </w:t>
      </w:r>
      <w:r w:rsidR="00F147F7" w:rsidRPr="002A13E4">
        <w:rPr>
          <w:color w:val="000000" w:themeColor="text1"/>
          <w:sz w:val="22"/>
          <w:szCs w:val="22"/>
        </w:rPr>
        <w:t>Adjustment for multiple comparisons: Bonferroni.</w:t>
      </w:r>
    </w:p>
    <w:bookmarkEnd w:id="27"/>
    <w:bookmarkEnd w:id="28"/>
    <w:p w14:paraId="15FC8D20" w14:textId="77777777" w:rsidR="00134428" w:rsidRPr="002A13E4" w:rsidRDefault="00134428">
      <w:pPr>
        <w:rPr>
          <w:color w:val="000000" w:themeColor="text1"/>
          <w:sz w:val="22"/>
          <w:szCs w:val="22"/>
        </w:rPr>
      </w:pPr>
    </w:p>
    <w:p w14:paraId="3D6C1590" w14:textId="60F7970B" w:rsidR="00DB7FAE" w:rsidRPr="002A13E4" w:rsidRDefault="00134428" w:rsidP="004C78F5">
      <w:pPr>
        <w:spacing w:line="480" w:lineRule="auto"/>
        <w:ind w:firstLine="720"/>
        <w:rPr>
          <w:color w:val="000000" w:themeColor="text1"/>
        </w:rPr>
      </w:pPr>
      <w:r w:rsidRPr="002A13E4">
        <w:rPr>
          <w:color w:val="000000" w:themeColor="text1"/>
        </w:rPr>
        <w:t xml:space="preserve">Following a similar procedure, another MANCOVA was conducted to investigate syntax failures. Covariances were equal across groups, Box’s M = </w:t>
      </w:r>
      <w:r w:rsidR="00491FDD" w:rsidRPr="002A13E4">
        <w:rPr>
          <w:color w:val="000000" w:themeColor="text1"/>
        </w:rPr>
        <w:t>2.00</w:t>
      </w:r>
      <w:r w:rsidRPr="002A13E4">
        <w:rPr>
          <w:color w:val="000000" w:themeColor="text1"/>
        </w:rPr>
        <w:t xml:space="preserve">, </w:t>
      </w:r>
      <w:r w:rsidRPr="002A13E4">
        <w:rPr>
          <w:i/>
          <w:iCs/>
          <w:color w:val="000000" w:themeColor="text1"/>
        </w:rPr>
        <w:t>F</w:t>
      </w:r>
      <w:r w:rsidRPr="002A13E4">
        <w:rPr>
          <w:color w:val="000000" w:themeColor="text1"/>
        </w:rPr>
        <w:t xml:space="preserve">(3, </w:t>
      </w:r>
      <w:r w:rsidR="00491FDD" w:rsidRPr="002A13E4">
        <w:rPr>
          <w:color w:val="000000" w:themeColor="text1"/>
        </w:rPr>
        <w:t>2403279</w:t>
      </w:r>
      <w:r w:rsidRPr="002A13E4">
        <w:rPr>
          <w:color w:val="000000" w:themeColor="text1"/>
        </w:rPr>
        <w:t xml:space="preserve">) = </w:t>
      </w:r>
      <w:r w:rsidR="00491FDD" w:rsidRPr="002A13E4">
        <w:rPr>
          <w:color w:val="000000" w:themeColor="text1"/>
        </w:rPr>
        <w:t>0.65</w:t>
      </w:r>
      <w:r w:rsidRPr="002A13E4">
        <w:rPr>
          <w:color w:val="000000" w:themeColor="text1"/>
        </w:rPr>
        <w:t xml:space="preserve">, </w:t>
      </w:r>
      <w:r w:rsidRPr="002A13E4">
        <w:rPr>
          <w:i/>
          <w:iCs/>
          <w:color w:val="000000" w:themeColor="text1"/>
        </w:rPr>
        <w:t xml:space="preserve">p </w:t>
      </w:r>
      <w:r w:rsidRPr="002A13E4">
        <w:rPr>
          <w:color w:val="000000" w:themeColor="text1"/>
        </w:rPr>
        <w:t>= .</w:t>
      </w:r>
      <w:r w:rsidR="00491FDD" w:rsidRPr="002A13E4">
        <w:rPr>
          <w:color w:val="000000" w:themeColor="text1"/>
        </w:rPr>
        <w:t>58</w:t>
      </w:r>
      <w:r w:rsidRPr="002A13E4">
        <w:rPr>
          <w:color w:val="000000" w:themeColor="text1"/>
        </w:rPr>
        <w:t xml:space="preserve">, and error variances were equal </w:t>
      </w:r>
      <w:r w:rsidR="004C78F5" w:rsidRPr="002A13E4">
        <w:rPr>
          <w:color w:val="000000" w:themeColor="text1"/>
        </w:rPr>
        <w:t>between</w:t>
      </w:r>
      <w:r w:rsidRPr="002A13E4">
        <w:rPr>
          <w:color w:val="000000" w:themeColor="text1"/>
        </w:rPr>
        <w:t xml:space="preserve"> groups for both competence-based trust</w:t>
      </w:r>
      <w:r w:rsidR="007736D7">
        <w:rPr>
          <w:color w:val="000000" w:themeColor="text1"/>
        </w:rPr>
        <w:t xml:space="preserve">, </w:t>
      </w:r>
      <w:r w:rsidRPr="002A13E4">
        <w:rPr>
          <w:i/>
          <w:iCs/>
          <w:color w:val="000000" w:themeColor="text1"/>
        </w:rPr>
        <w:t>F</w:t>
      </w:r>
      <w:r w:rsidRPr="002A13E4">
        <w:rPr>
          <w:color w:val="000000" w:themeColor="text1"/>
        </w:rPr>
        <w:t xml:space="preserve">(1, </w:t>
      </w:r>
      <w:r w:rsidR="00491FDD" w:rsidRPr="002A13E4">
        <w:rPr>
          <w:color w:val="000000" w:themeColor="text1"/>
        </w:rPr>
        <w:t>115</w:t>
      </w:r>
      <w:r w:rsidRPr="002A13E4">
        <w:rPr>
          <w:color w:val="000000" w:themeColor="text1"/>
        </w:rPr>
        <w:t xml:space="preserve">) = </w:t>
      </w:r>
      <w:r w:rsidR="00DD6189" w:rsidRPr="002A13E4">
        <w:rPr>
          <w:color w:val="000000" w:themeColor="text1"/>
        </w:rPr>
        <w:t>0.</w:t>
      </w:r>
      <w:r w:rsidRPr="002A13E4">
        <w:rPr>
          <w:color w:val="000000" w:themeColor="text1"/>
        </w:rPr>
        <w:t>1</w:t>
      </w:r>
      <w:r w:rsidR="00DD6189" w:rsidRPr="002A13E4">
        <w:rPr>
          <w:color w:val="000000" w:themeColor="text1"/>
        </w:rPr>
        <w:t>2</w:t>
      </w:r>
      <w:r w:rsidRPr="002A13E4">
        <w:rPr>
          <w:color w:val="000000" w:themeColor="text1"/>
        </w:rPr>
        <w:t xml:space="preserve">, </w:t>
      </w:r>
      <w:r w:rsidRPr="002A13E4">
        <w:rPr>
          <w:i/>
          <w:iCs/>
          <w:color w:val="000000" w:themeColor="text1"/>
        </w:rPr>
        <w:t>p</w:t>
      </w:r>
      <w:r w:rsidRPr="002A13E4">
        <w:rPr>
          <w:color w:val="000000" w:themeColor="text1"/>
        </w:rPr>
        <w:t xml:space="preserve"> = .</w:t>
      </w:r>
      <w:r w:rsidR="00DD6189" w:rsidRPr="002A13E4">
        <w:rPr>
          <w:color w:val="000000" w:themeColor="text1"/>
        </w:rPr>
        <w:t>73</w:t>
      </w:r>
      <w:r w:rsidR="007736D7">
        <w:rPr>
          <w:color w:val="000000" w:themeColor="text1"/>
        </w:rPr>
        <w:t>,</w:t>
      </w:r>
      <w:r w:rsidRPr="002A13E4">
        <w:rPr>
          <w:color w:val="000000" w:themeColor="text1"/>
        </w:rPr>
        <w:t xml:space="preserve"> and integrity-based trust</w:t>
      </w:r>
      <w:r w:rsidR="007736D7">
        <w:rPr>
          <w:color w:val="000000" w:themeColor="text1"/>
        </w:rPr>
        <w:t xml:space="preserve">, </w:t>
      </w:r>
      <w:r w:rsidRPr="002A13E4">
        <w:rPr>
          <w:i/>
          <w:iCs/>
          <w:color w:val="000000" w:themeColor="text1"/>
        </w:rPr>
        <w:t>F</w:t>
      </w:r>
      <w:r w:rsidRPr="002A13E4">
        <w:rPr>
          <w:color w:val="000000" w:themeColor="text1"/>
        </w:rPr>
        <w:t xml:space="preserve">(1, </w:t>
      </w:r>
      <w:r w:rsidR="00491FDD" w:rsidRPr="002A13E4">
        <w:rPr>
          <w:color w:val="000000" w:themeColor="text1"/>
        </w:rPr>
        <w:t>115</w:t>
      </w:r>
      <w:r w:rsidRPr="002A13E4">
        <w:rPr>
          <w:color w:val="000000" w:themeColor="text1"/>
        </w:rPr>
        <w:t xml:space="preserve">) = </w:t>
      </w:r>
      <w:r w:rsidR="00491FDD" w:rsidRPr="002A13E4">
        <w:rPr>
          <w:color w:val="000000" w:themeColor="text1"/>
        </w:rPr>
        <w:t>0.09</w:t>
      </w:r>
      <w:r w:rsidRPr="002A13E4">
        <w:rPr>
          <w:color w:val="000000" w:themeColor="text1"/>
        </w:rPr>
        <w:t xml:space="preserve">, </w:t>
      </w:r>
      <w:r w:rsidRPr="002A13E4">
        <w:rPr>
          <w:i/>
          <w:iCs/>
          <w:color w:val="000000" w:themeColor="text1"/>
        </w:rPr>
        <w:t>p</w:t>
      </w:r>
      <w:r w:rsidRPr="002A13E4">
        <w:rPr>
          <w:color w:val="000000" w:themeColor="text1"/>
        </w:rPr>
        <w:t xml:space="preserve"> = .</w:t>
      </w:r>
      <w:r w:rsidR="00491FDD" w:rsidRPr="002A13E4">
        <w:rPr>
          <w:color w:val="000000" w:themeColor="text1"/>
        </w:rPr>
        <w:t>77</w:t>
      </w:r>
      <w:r w:rsidR="007736D7">
        <w:rPr>
          <w:color w:val="000000" w:themeColor="text1"/>
        </w:rPr>
        <w:t>,</w:t>
      </w:r>
      <w:r w:rsidR="004C78F5" w:rsidRPr="002A13E4">
        <w:rPr>
          <w:color w:val="000000" w:themeColor="text1"/>
        </w:rPr>
        <w:t xml:space="preserve"> based on </w:t>
      </w:r>
      <w:proofErr w:type="spellStart"/>
      <w:r w:rsidR="004C78F5" w:rsidRPr="002A13E4">
        <w:rPr>
          <w:color w:val="000000" w:themeColor="text1"/>
        </w:rPr>
        <w:t>Levene’s</w:t>
      </w:r>
      <w:proofErr w:type="spellEnd"/>
      <w:r w:rsidR="004C78F5" w:rsidRPr="002A13E4">
        <w:rPr>
          <w:color w:val="000000" w:themeColor="text1"/>
        </w:rPr>
        <w:t xml:space="preserve"> test</w:t>
      </w:r>
      <w:r w:rsidR="001E37C8" w:rsidRPr="002A13E4">
        <w:rPr>
          <w:color w:val="000000" w:themeColor="text1"/>
        </w:rPr>
        <w:t>s</w:t>
      </w:r>
      <w:r w:rsidRPr="002A13E4">
        <w:rPr>
          <w:color w:val="000000" w:themeColor="text1"/>
        </w:rPr>
        <w:t>. The main effects were not significant on the multivariate level, Wilks’ Lambda (λ) = .</w:t>
      </w:r>
      <w:r w:rsidR="00491FDD" w:rsidRPr="002A13E4">
        <w:rPr>
          <w:color w:val="000000" w:themeColor="text1"/>
        </w:rPr>
        <w:t>96</w:t>
      </w:r>
      <w:r w:rsidRPr="002A13E4">
        <w:rPr>
          <w:color w:val="000000" w:themeColor="text1"/>
        </w:rPr>
        <w:t xml:space="preserve">, </w:t>
      </w:r>
      <w:proofErr w:type="gramStart"/>
      <w:r w:rsidRPr="002A13E4">
        <w:rPr>
          <w:i/>
          <w:color w:val="000000" w:themeColor="text1"/>
        </w:rPr>
        <w:t>F</w:t>
      </w:r>
      <w:r w:rsidRPr="002A13E4">
        <w:rPr>
          <w:color w:val="000000" w:themeColor="text1"/>
        </w:rPr>
        <w:t>(</w:t>
      </w:r>
      <w:proofErr w:type="gramEnd"/>
      <w:r w:rsidRPr="002A13E4">
        <w:rPr>
          <w:color w:val="000000" w:themeColor="text1"/>
        </w:rPr>
        <w:t xml:space="preserve">2, </w:t>
      </w:r>
      <w:r w:rsidR="00491FDD" w:rsidRPr="002A13E4">
        <w:rPr>
          <w:color w:val="000000" w:themeColor="text1"/>
        </w:rPr>
        <w:t>112</w:t>
      </w:r>
      <w:r w:rsidRPr="002A13E4">
        <w:rPr>
          <w:color w:val="000000" w:themeColor="text1"/>
        </w:rPr>
        <w:t xml:space="preserve">) = </w:t>
      </w:r>
      <w:r w:rsidR="00491FDD" w:rsidRPr="002A13E4">
        <w:rPr>
          <w:color w:val="000000" w:themeColor="text1"/>
        </w:rPr>
        <w:t>2.67</w:t>
      </w:r>
      <w:r w:rsidRPr="002A13E4">
        <w:rPr>
          <w:color w:val="000000" w:themeColor="text1"/>
        </w:rPr>
        <w:t xml:space="preserve">, </w:t>
      </w:r>
      <w:r w:rsidRPr="002A13E4">
        <w:rPr>
          <w:i/>
          <w:color w:val="000000" w:themeColor="text1"/>
        </w:rPr>
        <w:t>p</w:t>
      </w:r>
      <w:r w:rsidRPr="002A13E4">
        <w:rPr>
          <w:color w:val="000000" w:themeColor="text1"/>
        </w:rPr>
        <w:t xml:space="preserve"> = .</w:t>
      </w:r>
      <w:r w:rsidR="00491FDD" w:rsidRPr="002A13E4">
        <w:rPr>
          <w:color w:val="000000" w:themeColor="text1"/>
        </w:rPr>
        <w:t>07</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491FDD" w:rsidRPr="002A13E4">
        <w:rPr>
          <w:color w:val="000000" w:themeColor="text1"/>
        </w:rPr>
        <w:t>05</w:t>
      </w:r>
      <w:r w:rsidRPr="002A13E4">
        <w:rPr>
          <w:color w:val="000000" w:themeColor="text1"/>
        </w:rPr>
        <w:t xml:space="preserve">. Moreover, there were no significant differences (see the last two rows in Table 4 and 5 </w:t>
      </w:r>
      <w:bookmarkStart w:id="31" w:name="OLE_LINK13"/>
      <w:bookmarkStart w:id="32" w:name="OLE_LINK14"/>
      <w:r w:rsidRPr="002A13E4">
        <w:rPr>
          <w:color w:val="000000" w:themeColor="text1"/>
        </w:rPr>
        <w:t>for mean estimates and differences</w:t>
      </w:r>
      <w:bookmarkEnd w:id="31"/>
      <w:bookmarkEnd w:id="32"/>
      <w:r w:rsidRPr="002A13E4">
        <w:rPr>
          <w:color w:val="000000" w:themeColor="text1"/>
        </w:rPr>
        <w:t xml:space="preserve">) found on either competence-based trust, </w:t>
      </w:r>
      <w:r w:rsidRPr="002A13E4">
        <w:rPr>
          <w:i/>
          <w:color w:val="000000" w:themeColor="text1"/>
        </w:rPr>
        <w:t>F</w:t>
      </w:r>
      <w:r w:rsidRPr="002A13E4">
        <w:rPr>
          <w:color w:val="000000" w:themeColor="text1"/>
        </w:rPr>
        <w:t xml:space="preserve">(1, </w:t>
      </w:r>
      <w:r w:rsidR="00491FDD" w:rsidRPr="002A13E4">
        <w:rPr>
          <w:color w:val="000000" w:themeColor="text1"/>
        </w:rPr>
        <w:t>113</w:t>
      </w:r>
      <w:r w:rsidRPr="002A13E4">
        <w:rPr>
          <w:color w:val="000000" w:themeColor="text1"/>
        </w:rPr>
        <w:t xml:space="preserve">) = </w:t>
      </w:r>
      <w:r w:rsidR="00491FDD" w:rsidRPr="002A13E4">
        <w:rPr>
          <w:color w:val="000000" w:themeColor="text1"/>
        </w:rPr>
        <w:t>0.002</w:t>
      </w:r>
      <w:r w:rsidRPr="002A13E4">
        <w:rPr>
          <w:color w:val="000000" w:themeColor="text1"/>
        </w:rPr>
        <w:t xml:space="preserve">, </w:t>
      </w:r>
      <w:r w:rsidRPr="002A13E4">
        <w:rPr>
          <w:i/>
          <w:color w:val="000000" w:themeColor="text1"/>
        </w:rPr>
        <w:t>p</w:t>
      </w:r>
      <w:r w:rsidRPr="002A13E4">
        <w:rPr>
          <w:color w:val="000000" w:themeColor="text1"/>
        </w:rPr>
        <w:t xml:space="preserve"> = .</w:t>
      </w:r>
      <w:r w:rsidR="00491FDD" w:rsidRPr="002A13E4">
        <w:rPr>
          <w:color w:val="000000" w:themeColor="text1"/>
        </w:rPr>
        <w:t>96</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491FDD" w:rsidRPr="002A13E4">
        <w:rPr>
          <w:color w:val="000000" w:themeColor="text1"/>
        </w:rPr>
        <w:t>000</w:t>
      </w:r>
      <w:r w:rsidRPr="002A13E4">
        <w:rPr>
          <w:color w:val="000000" w:themeColor="text1"/>
        </w:rPr>
        <w:t xml:space="preserve">2, or integrity-based trust, </w:t>
      </w:r>
      <w:r w:rsidRPr="002A13E4">
        <w:rPr>
          <w:i/>
          <w:color w:val="000000" w:themeColor="text1"/>
        </w:rPr>
        <w:t>F</w:t>
      </w:r>
      <w:r w:rsidRPr="002A13E4">
        <w:rPr>
          <w:color w:val="000000" w:themeColor="text1"/>
        </w:rPr>
        <w:t xml:space="preserve">(1, </w:t>
      </w:r>
      <w:r w:rsidR="00491FDD" w:rsidRPr="002A13E4">
        <w:rPr>
          <w:color w:val="000000" w:themeColor="text1"/>
        </w:rPr>
        <w:t>113</w:t>
      </w:r>
      <w:r w:rsidRPr="002A13E4">
        <w:rPr>
          <w:color w:val="000000" w:themeColor="text1"/>
        </w:rPr>
        <w:t xml:space="preserve">) = </w:t>
      </w:r>
      <w:r w:rsidR="00491FDD" w:rsidRPr="002A13E4">
        <w:rPr>
          <w:color w:val="000000" w:themeColor="text1"/>
        </w:rPr>
        <w:t>3.74</w:t>
      </w:r>
      <w:r w:rsidRPr="002A13E4">
        <w:rPr>
          <w:color w:val="000000" w:themeColor="text1"/>
        </w:rPr>
        <w:t xml:space="preserve">, </w:t>
      </w:r>
      <w:r w:rsidRPr="002A13E4">
        <w:rPr>
          <w:i/>
          <w:color w:val="000000" w:themeColor="text1"/>
        </w:rPr>
        <w:t>p</w:t>
      </w:r>
      <w:r w:rsidRPr="002A13E4">
        <w:rPr>
          <w:color w:val="000000" w:themeColor="text1"/>
        </w:rPr>
        <w:t xml:space="preserve"> = .</w:t>
      </w:r>
      <w:r w:rsidR="00491FDD" w:rsidRPr="002A13E4">
        <w:rPr>
          <w:color w:val="000000" w:themeColor="text1"/>
        </w:rPr>
        <w:t>06</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491FDD" w:rsidRPr="002A13E4">
        <w:rPr>
          <w:color w:val="000000" w:themeColor="text1"/>
        </w:rPr>
        <w:t>3</w:t>
      </w:r>
      <w:r w:rsidRPr="002A13E4">
        <w:rPr>
          <w:color w:val="000000" w:themeColor="text1"/>
        </w:rPr>
        <w:t xml:space="preserve">, after controlling for two covariates, so H1c was not supported. Overall, H1 was partially supported by the test results. </w:t>
      </w:r>
    </w:p>
    <w:p w14:paraId="15FBF0AA" w14:textId="2C343507" w:rsidR="000B5DFB" w:rsidRDefault="00F147F7" w:rsidP="00F4372C">
      <w:pPr>
        <w:spacing w:line="480" w:lineRule="auto"/>
        <w:ind w:firstLine="720"/>
        <w:rPr>
          <w:color w:val="000000" w:themeColor="text1"/>
        </w:rPr>
      </w:pPr>
      <w:r w:rsidRPr="002A13E4">
        <w:rPr>
          <w:color w:val="000000" w:themeColor="text1"/>
        </w:rPr>
        <w:t xml:space="preserve">The first research question inquired about the effects of different failure types on participants’ perceptions and </w:t>
      </w:r>
      <w:r w:rsidR="00F40A32" w:rsidRPr="002A13E4">
        <w:rPr>
          <w:color w:val="000000" w:themeColor="text1"/>
        </w:rPr>
        <w:t>post-interaction</w:t>
      </w:r>
      <w:r w:rsidRPr="002A13E4">
        <w:rPr>
          <w:color w:val="000000" w:themeColor="text1"/>
        </w:rPr>
        <w:t xml:space="preserve"> trust under the circumstances in which NAO initiated no trust repair attempts. In response to RQ1a, a one-way analysis of covariance (ANCOVA) was computed in which propensity to trust and </w:t>
      </w:r>
      <w:r w:rsidR="001C19EF" w:rsidRPr="002A13E4">
        <w:rPr>
          <w:color w:val="000000" w:themeColor="text1"/>
        </w:rPr>
        <w:t>entity beliefs</w:t>
      </w:r>
      <w:r w:rsidRPr="002A13E4">
        <w:rPr>
          <w:color w:val="000000" w:themeColor="text1"/>
        </w:rPr>
        <w:t xml:space="preserve"> were entered as covariates, and perceived competence was entered as </w:t>
      </w:r>
      <w:r w:rsidR="004C78F5" w:rsidRPr="002A13E4">
        <w:rPr>
          <w:color w:val="000000" w:themeColor="text1"/>
        </w:rPr>
        <w:t>a</w:t>
      </w:r>
      <w:r w:rsidRPr="002A13E4">
        <w:rPr>
          <w:color w:val="000000" w:themeColor="text1"/>
        </w:rPr>
        <w:t xml:space="preserve"> dependent variable.</w:t>
      </w:r>
      <w:r w:rsidR="00A04914" w:rsidRPr="002A13E4">
        <w:rPr>
          <w:color w:val="000000" w:themeColor="text1"/>
        </w:rPr>
        <w:t xml:space="preserve"> </w:t>
      </w:r>
      <w:r w:rsidR="00F4372C" w:rsidRPr="002A13E4">
        <w:rPr>
          <w:color w:val="000000" w:themeColor="text1"/>
        </w:rPr>
        <w:t xml:space="preserve">Because the effects of propensity to trust, </w:t>
      </w:r>
      <w:r w:rsidR="00F4372C" w:rsidRPr="002A13E4">
        <w:rPr>
          <w:i/>
          <w:iCs/>
          <w:color w:val="000000" w:themeColor="text1"/>
        </w:rPr>
        <w:t>p</w:t>
      </w:r>
      <w:r w:rsidR="00F4372C" w:rsidRPr="002A13E4">
        <w:rPr>
          <w:color w:val="000000" w:themeColor="text1"/>
        </w:rPr>
        <w:t xml:space="preserve"> = .39, and entity beliefs, </w:t>
      </w:r>
      <w:r w:rsidR="00F4372C" w:rsidRPr="002A13E4">
        <w:rPr>
          <w:i/>
          <w:iCs/>
          <w:color w:val="000000" w:themeColor="text1"/>
        </w:rPr>
        <w:t>p</w:t>
      </w:r>
      <w:r w:rsidR="00F4372C" w:rsidRPr="002A13E4">
        <w:rPr>
          <w:color w:val="000000" w:themeColor="text1"/>
        </w:rPr>
        <w:t xml:space="preserve"> = .99, </w:t>
      </w:r>
      <w:r w:rsidR="009400AD" w:rsidRPr="002A13E4">
        <w:rPr>
          <w:color w:val="000000" w:themeColor="text1"/>
        </w:rPr>
        <w:t xml:space="preserve">were insignificant, </w:t>
      </w:r>
      <w:r w:rsidR="00F4372C" w:rsidRPr="002A13E4">
        <w:rPr>
          <w:color w:val="000000" w:themeColor="text1"/>
        </w:rPr>
        <w:t xml:space="preserve">an analysis of variance (ANOVA) test was implemented instead. </w:t>
      </w:r>
      <w:r w:rsidR="00A04914" w:rsidRPr="002A13E4">
        <w:rPr>
          <w:color w:val="000000" w:themeColor="text1"/>
        </w:rPr>
        <w:t xml:space="preserve">The assumption of homogeneity was met, </w:t>
      </w:r>
      <w:proofErr w:type="gramStart"/>
      <w:r w:rsidR="00A04914" w:rsidRPr="002A13E4">
        <w:rPr>
          <w:i/>
          <w:iCs/>
          <w:color w:val="000000" w:themeColor="text1"/>
        </w:rPr>
        <w:t>F</w:t>
      </w:r>
      <w:r w:rsidR="00A04914" w:rsidRPr="002A13E4">
        <w:rPr>
          <w:color w:val="000000" w:themeColor="text1"/>
        </w:rPr>
        <w:t>(</w:t>
      </w:r>
      <w:proofErr w:type="gramEnd"/>
      <w:r w:rsidR="00A04914" w:rsidRPr="002A13E4">
        <w:rPr>
          <w:color w:val="000000" w:themeColor="text1"/>
        </w:rPr>
        <w:t xml:space="preserve">2, </w:t>
      </w:r>
      <w:r w:rsidR="00F4372C" w:rsidRPr="002A13E4">
        <w:rPr>
          <w:color w:val="000000" w:themeColor="text1"/>
        </w:rPr>
        <w:t>164</w:t>
      </w:r>
      <w:r w:rsidR="00A04914" w:rsidRPr="002A13E4">
        <w:rPr>
          <w:color w:val="000000" w:themeColor="text1"/>
        </w:rPr>
        <w:t>) =</w:t>
      </w:r>
      <w:r w:rsidR="00F4372C" w:rsidRPr="002A13E4">
        <w:rPr>
          <w:color w:val="000000" w:themeColor="text1"/>
        </w:rPr>
        <w:t xml:space="preserve"> 0.49</w:t>
      </w:r>
      <w:r w:rsidR="00A04914" w:rsidRPr="002A13E4">
        <w:rPr>
          <w:color w:val="000000" w:themeColor="text1"/>
        </w:rPr>
        <w:t xml:space="preserve">, </w:t>
      </w:r>
      <w:r w:rsidR="00A04914" w:rsidRPr="002A13E4">
        <w:rPr>
          <w:i/>
          <w:iCs/>
          <w:color w:val="000000" w:themeColor="text1"/>
        </w:rPr>
        <w:t>p</w:t>
      </w:r>
      <w:r w:rsidR="00A04914" w:rsidRPr="002A13E4">
        <w:rPr>
          <w:color w:val="000000" w:themeColor="text1"/>
        </w:rPr>
        <w:t xml:space="preserve"> = .</w:t>
      </w:r>
      <w:r w:rsidR="00F4372C" w:rsidRPr="002A13E4">
        <w:rPr>
          <w:color w:val="000000" w:themeColor="text1"/>
        </w:rPr>
        <w:t>61, and</w:t>
      </w:r>
      <w:r w:rsidRPr="002A13E4">
        <w:rPr>
          <w:color w:val="000000" w:themeColor="text1"/>
        </w:rPr>
        <w:t xml:space="preserve"> the group differences had insignificant impacts on perceived competence, </w:t>
      </w:r>
      <w:r w:rsidRPr="002A13E4">
        <w:rPr>
          <w:i/>
          <w:color w:val="000000" w:themeColor="text1"/>
        </w:rPr>
        <w:t>F</w:t>
      </w:r>
      <w:r w:rsidRPr="002A13E4">
        <w:rPr>
          <w:color w:val="000000" w:themeColor="text1"/>
        </w:rPr>
        <w:t>(2,</w:t>
      </w:r>
      <w:r w:rsidR="00F4372C" w:rsidRPr="002A13E4">
        <w:rPr>
          <w:color w:val="000000" w:themeColor="text1"/>
        </w:rPr>
        <w:t xml:space="preserve"> 164</w:t>
      </w:r>
      <w:r w:rsidRPr="002A13E4">
        <w:rPr>
          <w:color w:val="000000" w:themeColor="text1"/>
        </w:rPr>
        <w:t xml:space="preserve">) = </w:t>
      </w:r>
      <w:r w:rsidR="00F4372C" w:rsidRPr="002A13E4">
        <w:rPr>
          <w:color w:val="000000" w:themeColor="text1"/>
        </w:rPr>
        <w:t>0.62</w:t>
      </w:r>
      <w:r w:rsidRPr="002A13E4">
        <w:rPr>
          <w:color w:val="000000" w:themeColor="text1"/>
        </w:rPr>
        <w:t xml:space="preserve">, </w:t>
      </w:r>
      <w:r w:rsidRPr="002A13E4">
        <w:rPr>
          <w:i/>
          <w:color w:val="000000" w:themeColor="text1"/>
        </w:rPr>
        <w:t>p</w:t>
      </w:r>
      <w:r w:rsidRPr="002A13E4">
        <w:rPr>
          <w:color w:val="000000" w:themeColor="text1"/>
        </w:rPr>
        <w:t xml:space="preserve"> = .</w:t>
      </w:r>
      <w:r w:rsidR="00F4372C" w:rsidRPr="002A13E4">
        <w:rPr>
          <w:color w:val="000000" w:themeColor="text1"/>
        </w:rPr>
        <w:t>54</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.00</w:t>
      </w:r>
      <w:r w:rsidR="00F4372C" w:rsidRPr="002A13E4">
        <w:rPr>
          <w:color w:val="000000" w:themeColor="text1"/>
        </w:rPr>
        <w:t>7</w:t>
      </w:r>
      <w:r w:rsidRPr="002A13E4">
        <w:rPr>
          <w:color w:val="000000" w:themeColor="text1"/>
        </w:rPr>
        <w:t>. In response to RQ1b, a similar ANOVA was con</w:t>
      </w:r>
      <w:r w:rsidR="00B6161F" w:rsidRPr="002A13E4">
        <w:rPr>
          <w:color w:val="000000" w:themeColor="text1"/>
        </w:rPr>
        <w:t>ducted</w:t>
      </w:r>
      <w:r w:rsidRPr="002A13E4">
        <w:rPr>
          <w:color w:val="000000" w:themeColor="text1"/>
        </w:rPr>
        <w:t xml:space="preserve"> with perceived integrity as the test variable</w:t>
      </w:r>
      <w:r w:rsidR="00F4372C" w:rsidRPr="002A13E4">
        <w:rPr>
          <w:color w:val="000000" w:themeColor="text1"/>
        </w:rPr>
        <w:t xml:space="preserve"> after excluding two insignificant covariates, propensity to trust, </w:t>
      </w:r>
      <w:r w:rsidR="00F4372C" w:rsidRPr="002A13E4">
        <w:rPr>
          <w:i/>
          <w:iCs/>
          <w:color w:val="000000" w:themeColor="text1"/>
        </w:rPr>
        <w:t>p</w:t>
      </w:r>
      <w:r w:rsidR="00F4372C" w:rsidRPr="002A13E4">
        <w:rPr>
          <w:color w:val="000000" w:themeColor="text1"/>
        </w:rPr>
        <w:t xml:space="preserve"> = .25</w:t>
      </w:r>
      <w:r w:rsidRPr="002A13E4">
        <w:rPr>
          <w:color w:val="000000" w:themeColor="text1"/>
        </w:rPr>
        <w:t>,</w:t>
      </w:r>
      <w:r w:rsidR="00F4372C" w:rsidRPr="002A13E4">
        <w:rPr>
          <w:color w:val="000000" w:themeColor="text1"/>
        </w:rPr>
        <w:t xml:space="preserve"> and entity beliefs, </w:t>
      </w:r>
      <w:r w:rsidR="00F4372C" w:rsidRPr="002A13E4">
        <w:rPr>
          <w:i/>
          <w:iCs/>
          <w:color w:val="000000" w:themeColor="text1"/>
        </w:rPr>
        <w:t xml:space="preserve">p </w:t>
      </w:r>
      <w:r w:rsidR="00F4372C" w:rsidRPr="002A13E4">
        <w:rPr>
          <w:color w:val="000000" w:themeColor="text1"/>
        </w:rPr>
        <w:t>= .70,</w:t>
      </w:r>
      <w:r w:rsidRPr="002A13E4">
        <w:rPr>
          <w:color w:val="000000" w:themeColor="text1"/>
        </w:rPr>
        <w:t xml:space="preserve"> and </w:t>
      </w:r>
      <w:r w:rsidR="00A04914" w:rsidRPr="002A13E4">
        <w:rPr>
          <w:color w:val="000000" w:themeColor="text1"/>
        </w:rPr>
        <w:t xml:space="preserve">the assumption of homogeneity was </w:t>
      </w:r>
      <w:r w:rsidR="00A14F32" w:rsidRPr="002A13E4">
        <w:rPr>
          <w:color w:val="000000" w:themeColor="text1"/>
        </w:rPr>
        <w:t xml:space="preserve">met, </w:t>
      </w:r>
      <w:r w:rsidR="00A14F32" w:rsidRPr="002A13E4">
        <w:rPr>
          <w:i/>
          <w:iCs/>
          <w:color w:val="000000" w:themeColor="text1"/>
        </w:rPr>
        <w:t>F</w:t>
      </w:r>
      <w:r w:rsidR="00A14F32" w:rsidRPr="002A13E4">
        <w:rPr>
          <w:color w:val="000000" w:themeColor="text1"/>
        </w:rPr>
        <w:t xml:space="preserve">(2, </w:t>
      </w:r>
      <w:r w:rsidR="00F4372C" w:rsidRPr="002A13E4">
        <w:rPr>
          <w:color w:val="000000" w:themeColor="text1"/>
        </w:rPr>
        <w:t>164</w:t>
      </w:r>
      <w:r w:rsidR="00A14F32" w:rsidRPr="002A13E4">
        <w:rPr>
          <w:color w:val="000000" w:themeColor="text1"/>
        </w:rPr>
        <w:t>) =</w:t>
      </w:r>
      <w:r w:rsidR="00F4372C" w:rsidRPr="002A13E4">
        <w:rPr>
          <w:color w:val="000000" w:themeColor="text1"/>
        </w:rPr>
        <w:t xml:space="preserve"> </w:t>
      </w:r>
      <w:r w:rsidR="00DE23BB" w:rsidRPr="002A13E4">
        <w:rPr>
          <w:color w:val="000000" w:themeColor="text1"/>
        </w:rPr>
        <w:t>0.63</w:t>
      </w:r>
      <w:r w:rsidR="00A14F32" w:rsidRPr="002A13E4">
        <w:rPr>
          <w:color w:val="000000" w:themeColor="text1"/>
        </w:rPr>
        <w:t xml:space="preserve">, </w:t>
      </w:r>
      <w:r w:rsidR="00A14F32" w:rsidRPr="002A13E4">
        <w:rPr>
          <w:i/>
          <w:iCs/>
          <w:color w:val="000000" w:themeColor="text1"/>
        </w:rPr>
        <w:t>p</w:t>
      </w:r>
      <w:r w:rsidR="00A14F32" w:rsidRPr="002A13E4">
        <w:rPr>
          <w:color w:val="000000" w:themeColor="text1"/>
        </w:rPr>
        <w:t xml:space="preserve"> = .</w:t>
      </w:r>
      <w:r w:rsidR="00DE23BB" w:rsidRPr="002A13E4">
        <w:rPr>
          <w:color w:val="000000" w:themeColor="text1"/>
        </w:rPr>
        <w:t>54</w:t>
      </w:r>
      <w:r w:rsidR="00A04914" w:rsidRPr="002A13E4">
        <w:rPr>
          <w:color w:val="000000" w:themeColor="text1"/>
        </w:rPr>
        <w:t>. T</w:t>
      </w:r>
      <w:r w:rsidRPr="002A13E4">
        <w:rPr>
          <w:color w:val="000000" w:themeColor="text1"/>
        </w:rPr>
        <w:t xml:space="preserve">he grouping effects were also insignificant, </w:t>
      </w:r>
      <w:proofErr w:type="gramStart"/>
      <w:r w:rsidRPr="002A13E4">
        <w:rPr>
          <w:i/>
          <w:color w:val="000000" w:themeColor="text1"/>
        </w:rPr>
        <w:t>F</w:t>
      </w:r>
      <w:r w:rsidRPr="002A13E4">
        <w:rPr>
          <w:color w:val="000000" w:themeColor="text1"/>
        </w:rPr>
        <w:t>(</w:t>
      </w:r>
      <w:proofErr w:type="gramEnd"/>
      <w:r w:rsidR="00DE23BB" w:rsidRPr="002A13E4">
        <w:rPr>
          <w:color w:val="000000" w:themeColor="text1"/>
        </w:rPr>
        <w:t>2</w:t>
      </w:r>
      <w:r w:rsidRPr="002A13E4">
        <w:rPr>
          <w:color w:val="000000" w:themeColor="text1"/>
        </w:rPr>
        <w:t>,</w:t>
      </w:r>
      <w:r w:rsidR="00DE23BB" w:rsidRPr="002A13E4">
        <w:rPr>
          <w:color w:val="000000" w:themeColor="text1"/>
        </w:rPr>
        <w:t xml:space="preserve"> 164</w:t>
      </w:r>
      <w:r w:rsidRPr="002A13E4">
        <w:rPr>
          <w:color w:val="000000" w:themeColor="text1"/>
        </w:rPr>
        <w:t xml:space="preserve">) = </w:t>
      </w:r>
      <w:r w:rsidR="00DE23BB" w:rsidRPr="002A13E4">
        <w:rPr>
          <w:color w:val="000000" w:themeColor="text1"/>
        </w:rPr>
        <w:t>0.34</w:t>
      </w:r>
      <w:r w:rsidRPr="002A13E4">
        <w:rPr>
          <w:color w:val="000000" w:themeColor="text1"/>
        </w:rPr>
        <w:t xml:space="preserve">, </w:t>
      </w:r>
      <w:r w:rsidRPr="002A13E4">
        <w:rPr>
          <w:i/>
          <w:color w:val="000000" w:themeColor="text1"/>
        </w:rPr>
        <w:t>p</w:t>
      </w:r>
      <w:r w:rsidRPr="002A13E4">
        <w:rPr>
          <w:color w:val="000000" w:themeColor="text1"/>
        </w:rPr>
        <w:t xml:space="preserve"> = .</w:t>
      </w:r>
      <w:r w:rsidR="00DE23BB" w:rsidRPr="002A13E4">
        <w:rPr>
          <w:color w:val="000000" w:themeColor="text1"/>
        </w:rPr>
        <w:t>71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w:t>
      </w:r>
      <w:r w:rsidR="00DE23BB" w:rsidRPr="002A13E4">
        <w:rPr>
          <w:color w:val="000000" w:themeColor="text1"/>
        </w:rPr>
        <w:t>004</w:t>
      </w:r>
      <w:r w:rsidR="00A04914" w:rsidRPr="002A13E4">
        <w:rPr>
          <w:color w:val="000000" w:themeColor="text1"/>
        </w:rPr>
        <w:t xml:space="preserve">. </w:t>
      </w:r>
      <w:r w:rsidRPr="002A13E4">
        <w:rPr>
          <w:color w:val="000000" w:themeColor="text1"/>
        </w:rPr>
        <w:t xml:space="preserve">For RQ1c, </w:t>
      </w:r>
      <w:r w:rsidR="00DE23BB" w:rsidRPr="002A13E4">
        <w:rPr>
          <w:color w:val="000000" w:themeColor="text1"/>
        </w:rPr>
        <w:t xml:space="preserve">the ANCOVA test was reconducted after </w:t>
      </w:r>
      <w:r w:rsidR="00DE23BB" w:rsidRPr="002A13E4">
        <w:rPr>
          <w:color w:val="000000" w:themeColor="text1"/>
        </w:rPr>
        <w:lastRenderedPageBreak/>
        <w:t xml:space="preserve">excluding </w:t>
      </w:r>
      <w:r w:rsidR="009400AD" w:rsidRPr="002A13E4">
        <w:rPr>
          <w:color w:val="000000" w:themeColor="text1"/>
        </w:rPr>
        <w:t>an</w:t>
      </w:r>
      <w:r w:rsidR="00DE23BB" w:rsidRPr="002A13E4">
        <w:rPr>
          <w:color w:val="000000" w:themeColor="text1"/>
        </w:rPr>
        <w:t xml:space="preserve"> insignificant covariate, propensity to trust, </w:t>
      </w:r>
      <w:r w:rsidR="00DE23BB" w:rsidRPr="002A13E4">
        <w:rPr>
          <w:i/>
          <w:iCs/>
          <w:color w:val="000000" w:themeColor="text1"/>
        </w:rPr>
        <w:t>p</w:t>
      </w:r>
      <w:r w:rsidR="00DE23BB" w:rsidRPr="002A13E4">
        <w:rPr>
          <w:color w:val="000000" w:themeColor="text1"/>
        </w:rPr>
        <w:t xml:space="preserve"> = .79. </w:t>
      </w:r>
      <w:proofErr w:type="spellStart"/>
      <w:r w:rsidR="00A14F32" w:rsidRPr="002A13E4">
        <w:rPr>
          <w:color w:val="000000" w:themeColor="text1"/>
        </w:rPr>
        <w:t>Levene’s</w:t>
      </w:r>
      <w:proofErr w:type="spellEnd"/>
      <w:r w:rsidR="00A14F32" w:rsidRPr="002A13E4">
        <w:rPr>
          <w:color w:val="000000" w:themeColor="text1"/>
        </w:rPr>
        <w:t xml:space="preserve"> test of equality of error variances was </w:t>
      </w:r>
      <w:r w:rsidR="00797E92" w:rsidRPr="002A13E4">
        <w:rPr>
          <w:color w:val="000000" w:themeColor="text1"/>
        </w:rPr>
        <w:t>in</w:t>
      </w:r>
      <w:r w:rsidR="00A14F32" w:rsidRPr="002A13E4">
        <w:rPr>
          <w:color w:val="000000" w:themeColor="text1"/>
        </w:rPr>
        <w:t xml:space="preserve">significant, </w:t>
      </w:r>
      <w:proofErr w:type="gramStart"/>
      <w:r w:rsidR="00A14F32" w:rsidRPr="002A13E4">
        <w:rPr>
          <w:i/>
          <w:iCs/>
          <w:color w:val="000000" w:themeColor="text1"/>
        </w:rPr>
        <w:t>F</w:t>
      </w:r>
      <w:r w:rsidR="00A14F32" w:rsidRPr="002A13E4">
        <w:rPr>
          <w:color w:val="000000" w:themeColor="text1"/>
        </w:rPr>
        <w:t>(</w:t>
      </w:r>
      <w:proofErr w:type="gramEnd"/>
      <w:r w:rsidR="00A14F32" w:rsidRPr="002A13E4">
        <w:rPr>
          <w:color w:val="000000" w:themeColor="text1"/>
        </w:rPr>
        <w:t xml:space="preserve">2, </w:t>
      </w:r>
      <w:r w:rsidR="00DE23BB" w:rsidRPr="002A13E4">
        <w:rPr>
          <w:color w:val="000000" w:themeColor="text1"/>
        </w:rPr>
        <w:t>164</w:t>
      </w:r>
      <w:r w:rsidR="00A14F32" w:rsidRPr="002A13E4">
        <w:rPr>
          <w:color w:val="000000" w:themeColor="text1"/>
        </w:rPr>
        <w:t>) =</w:t>
      </w:r>
      <w:r w:rsidR="00DE23BB" w:rsidRPr="002A13E4">
        <w:rPr>
          <w:color w:val="000000" w:themeColor="text1"/>
        </w:rPr>
        <w:t xml:space="preserve"> .60.</w:t>
      </w:r>
      <w:r w:rsidR="00A14F32" w:rsidRPr="002A13E4">
        <w:rPr>
          <w:color w:val="000000" w:themeColor="text1"/>
        </w:rPr>
        <w:t xml:space="preserve"> </w:t>
      </w:r>
      <w:r w:rsidR="00A14F32" w:rsidRPr="002A13E4">
        <w:rPr>
          <w:i/>
          <w:iCs/>
          <w:color w:val="000000" w:themeColor="text1"/>
        </w:rPr>
        <w:t>p</w:t>
      </w:r>
      <w:r w:rsidR="00A14F32" w:rsidRPr="002A13E4">
        <w:rPr>
          <w:color w:val="000000" w:themeColor="text1"/>
        </w:rPr>
        <w:t xml:space="preserve"> = .</w:t>
      </w:r>
      <w:r w:rsidR="00DE23BB" w:rsidRPr="002A13E4">
        <w:rPr>
          <w:color w:val="000000" w:themeColor="text1"/>
        </w:rPr>
        <w:t xml:space="preserve">55. Entity beliefs was a significant covariate in the model, </w:t>
      </w:r>
      <w:r w:rsidR="00DE23BB" w:rsidRPr="002A13E4">
        <w:rPr>
          <w:i/>
          <w:color w:val="000000" w:themeColor="text1"/>
        </w:rPr>
        <w:t>F</w:t>
      </w:r>
      <w:r w:rsidR="00DE23BB" w:rsidRPr="002A13E4">
        <w:rPr>
          <w:color w:val="000000" w:themeColor="text1"/>
        </w:rPr>
        <w:t xml:space="preserve">(1, 163) = 4.50, </w:t>
      </w:r>
      <w:r w:rsidR="00DE23BB" w:rsidRPr="002A13E4">
        <w:rPr>
          <w:i/>
          <w:color w:val="000000" w:themeColor="text1"/>
        </w:rPr>
        <w:t>p</w:t>
      </w:r>
      <w:r w:rsidR="00DE23BB" w:rsidRPr="002A13E4">
        <w:rPr>
          <w:color w:val="000000" w:themeColor="text1"/>
        </w:rPr>
        <w:t xml:space="preserve"> &lt; .05, partial </w:t>
      </w:r>
      <w:r w:rsidR="00DE23BB" w:rsidRPr="002A13E4">
        <w:rPr>
          <w:i/>
          <w:color w:val="000000" w:themeColor="text1"/>
        </w:rPr>
        <w:t>η</w:t>
      </w:r>
      <w:r w:rsidR="00DE23BB" w:rsidRPr="002A13E4">
        <w:rPr>
          <w:i/>
          <w:color w:val="000000" w:themeColor="text1"/>
          <w:vertAlign w:val="superscript"/>
        </w:rPr>
        <w:t>2</w:t>
      </w:r>
      <w:r w:rsidR="00DE23BB" w:rsidRPr="002A13E4">
        <w:rPr>
          <w:i/>
          <w:color w:val="000000" w:themeColor="text1"/>
        </w:rPr>
        <w:t xml:space="preserve"> </w:t>
      </w:r>
      <w:r w:rsidR="00DE23BB" w:rsidRPr="002A13E4">
        <w:rPr>
          <w:color w:val="000000" w:themeColor="text1"/>
        </w:rPr>
        <w:t>= .03,</w:t>
      </w:r>
      <w:r w:rsidR="00A14F32" w:rsidRPr="002A13E4">
        <w:rPr>
          <w:color w:val="000000" w:themeColor="text1"/>
        </w:rPr>
        <w:t xml:space="preserve"> </w:t>
      </w:r>
      <w:r w:rsidR="00DE23BB" w:rsidRPr="002A13E4">
        <w:rPr>
          <w:color w:val="000000" w:themeColor="text1"/>
        </w:rPr>
        <w:t>but</w:t>
      </w:r>
      <w:r w:rsidR="00A14F32" w:rsidRPr="002A13E4">
        <w:rPr>
          <w:color w:val="000000" w:themeColor="text1"/>
        </w:rPr>
        <w:t xml:space="preserve"> </w:t>
      </w:r>
      <w:r w:rsidRPr="002A13E4">
        <w:rPr>
          <w:color w:val="000000" w:themeColor="text1"/>
        </w:rPr>
        <w:t xml:space="preserve">the effects of failure types were insignificant in the ANCOVA test, </w:t>
      </w:r>
      <w:r w:rsidRPr="002A13E4">
        <w:rPr>
          <w:i/>
          <w:color w:val="000000" w:themeColor="text1"/>
        </w:rPr>
        <w:t>F</w:t>
      </w:r>
      <w:r w:rsidRPr="002A13E4">
        <w:rPr>
          <w:color w:val="000000" w:themeColor="text1"/>
        </w:rPr>
        <w:t xml:space="preserve">(2, </w:t>
      </w:r>
      <w:r w:rsidR="00DE23BB" w:rsidRPr="002A13E4">
        <w:rPr>
          <w:color w:val="000000" w:themeColor="text1"/>
        </w:rPr>
        <w:t>163</w:t>
      </w:r>
      <w:r w:rsidRPr="002A13E4">
        <w:rPr>
          <w:color w:val="000000" w:themeColor="text1"/>
        </w:rPr>
        <w:t xml:space="preserve">) = </w:t>
      </w:r>
      <w:r w:rsidR="00DE23BB" w:rsidRPr="002A13E4">
        <w:rPr>
          <w:color w:val="000000" w:themeColor="text1"/>
        </w:rPr>
        <w:t>2.35</w:t>
      </w:r>
      <w:r w:rsidRPr="002A13E4">
        <w:rPr>
          <w:color w:val="000000" w:themeColor="text1"/>
        </w:rPr>
        <w:t xml:space="preserve">, </w:t>
      </w:r>
      <w:r w:rsidRPr="002A13E4">
        <w:rPr>
          <w:i/>
          <w:color w:val="000000" w:themeColor="text1"/>
        </w:rPr>
        <w:t>p</w:t>
      </w:r>
      <w:r w:rsidRPr="002A13E4">
        <w:rPr>
          <w:color w:val="000000" w:themeColor="text1"/>
        </w:rPr>
        <w:t xml:space="preserve"> = .</w:t>
      </w:r>
      <w:r w:rsidR="00DE23BB" w:rsidRPr="002A13E4">
        <w:rPr>
          <w:color w:val="000000" w:themeColor="text1"/>
        </w:rPr>
        <w:t>10</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.03, with competence-based trust as the dependent variable</w:t>
      </w:r>
      <w:r w:rsidR="00A04914" w:rsidRPr="002A13E4">
        <w:rPr>
          <w:color w:val="000000" w:themeColor="text1"/>
        </w:rPr>
        <w:t xml:space="preserve">. </w:t>
      </w:r>
    </w:p>
    <w:p w14:paraId="76841990" w14:textId="487F2263" w:rsidR="00DB7FAE" w:rsidRPr="002A13E4" w:rsidRDefault="00F147F7" w:rsidP="00F4372C">
      <w:pPr>
        <w:spacing w:line="480" w:lineRule="auto"/>
        <w:ind w:firstLine="720"/>
        <w:rPr>
          <w:color w:val="000000" w:themeColor="text1"/>
        </w:rPr>
      </w:pPr>
      <w:r w:rsidRPr="002A13E4">
        <w:rPr>
          <w:color w:val="000000" w:themeColor="text1"/>
        </w:rPr>
        <w:t>For RQ1d,</w:t>
      </w:r>
      <w:r w:rsidR="00DE23BB" w:rsidRPr="002A13E4">
        <w:rPr>
          <w:color w:val="000000" w:themeColor="text1"/>
        </w:rPr>
        <w:t xml:space="preserve"> another ANOVA test with integrity-based trust as the dependent variable was run after removing two insignificant covariates, propensity to trust, </w:t>
      </w:r>
      <w:r w:rsidR="00DE23BB" w:rsidRPr="002A13E4">
        <w:rPr>
          <w:i/>
          <w:iCs/>
          <w:color w:val="000000" w:themeColor="text1"/>
        </w:rPr>
        <w:t>p</w:t>
      </w:r>
      <w:r w:rsidR="00DE23BB" w:rsidRPr="002A13E4">
        <w:rPr>
          <w:color w:val="000000" w:themeColor="text1"/>
        </w:rPr>
        <w:t xml:space="preserve"> = .16, and entity beliefs, </w:t>
      </w:r>
      <w:r w:rsidR="00DE23BB" w:rsidRPr="002A13E4">
        <w:rPr>
          <w:i/>
          <w:iCs/>
          <w:color w:val="000000" w:themeColor="text1"/>
        </w:rPr>
        <w:t>p</w:t>
      </w:r>
      <w:r w:rsidR="00DE23BB" w:rsidRPr="002A13E4">
        <w:rPr>
          <w:color w:val="000000" w:themeColor="text1"/>
        </w:rPr>
        <w:t xml:space="preserve"> = .15. </w:t>
      </w:r>
      <w:proofErr w:type="spellStart"/>
      <w:r w:rsidR="00A14F32" w:rsidRPr="002A13E4">
        <w:rPr>
          <w:color w:val="000000" w:themeColor="text1"/>
        </w:rPr>
        <w:t>Levene’s</w:t>
      </w:r>
      <w:proofErr w:type="spellEnd"/>
      <w:r w:rsidR="00A14F32" w:rsidRPr="002A13E4">
        <w:rPr>
          <w:color w:val="000000" w:themeColor="text1"/>
        </w:rPr>
        <w:t xml:space="preserve"> test of equality of error variances was insignificant, </w:t>
      </w:r>
      <w:proofErr w:type="gramStart"/>
      <w:r w:rsidR="00A14F32" w:rsidRPr="002A13E4">
        <w:rPr>
          <w:i/>
          <w:iCs/>
          <w:color w:val="000000" w:themeColor="text1"/>
        </w:rPr>
        <w:t>F</w:t>
      </w:r>
      <w:r w:rsidR="00A14F32" w:rsidRPr="002A13E4">
        <w:rPr>
          <w:color w:val="000000" w:themeColor="text1"/>
        </w:rPr>
        <w:t>(</w:t>
      </w:r>
      <w:proofErr w:type="gramEnd"/>
      <w:r w:rsidR="00A14F32" w:rsidRPr="002A13E4">
        <w:rPr>
          <w:color w:val="000000" w:themeColor="text1"/>
        </w:rPr>
        <w:t xml:space="preserve">2, </w:t>
      </w:r>
      <w:r w:rsidR="00BB4149" w:rsidRPr="002A13E4">
        <w:rPr>
          <w:color w:val="000000" w:themeColor="text1"/>
        </w:rPr>
        <w:t>164</w:t>
      </w:r>
      <w:r w:rsidR="00A14F32" w:rsidRPr="002A13E4">
        <w:rPr>
          <w:color w:val="000000" w:themeColor="text1"/>
        </w:rPr>
        <w:t>) =.</w:t>
      </w:r>
      <w:r w:rsidR="00BB4149" w:rsidRPr="002A13E4">
        <w:rPr>
          <w:color w:val="000000" w:themeColor="text1"/>
        </w:rPr>
        <w:t>29</w:t>
      </w:r>
      <w:r w:rsidR="00A14F32" w:rsidRPr="002A13E4">
        <w:rPr>
          <w:color w:val="000000" w:themeColor="text1"/>
        </w:rPr>
        <w:t xml:space="preserve">, </w:t>
      </w:r>
      <w:r w:rsidR="00A14F32" w:rsidRPr="002A13E4">
        <w:rPr>
          <w:i/>
          <w:iCs/>
          <w:color w:val="000000" w:themeColor="text1"/>
        </w:rPr>
        <w:t>p</w:t>
      </w:r>
      <w:r w:rsidR="00A14F32" w:rsidRPr="002A13E4">
        <w:rPr>
          <w:color w:val="000000" w:themeColor="text1"/>
        </w:rPr>
        <w:t xml:space="preserve"> = .</w:t>
      </w:r>
      <w:r w:rsidR="00BB4149" w:rsidRPr="002A13E4">
        <w:rPr>
          <w:color w:val="000000" w:themeColor="text1"/>
        </w:rPr>
        <w:t>75</w:t>
      </w:r>
      <w:r w:rsidR="00A14F32" w:rsidRPr="002A13E4">
        <w:rPr>
          <w:color w:val="000000" w:themeColor="text1"/>
        </w:rPr>
        <w:t xml:space="preserve">, and </w:t>
      </w:r>
      <w:r w:rsidRPr="002A13E4">
        <w:rPr>
          <w:color w:val="000000" w:themeColor="text1"/>
        </w:rPr>
        <w:t xml:space="preserve">the effects of failure types were also insignificant, </w:t>
      </w:r>
      <w:r w:rsidRPr="002A13E4">
        <w:rPr>
          <w:i/>
          <w:color w:val="000000" w:themeColor="text1"/>
        </w:rPr>
        <w:t>F</w:t>
      </w:r>
      <w:r w:rsidRPr="002A13E4">
        <w:rPr>
          <w:color w:val="000000" w:themeColor="text1"/>
        </w:rPr>
        <w:t>(</w:t>
      </w:r>
      <w:r w:rsidR="00BB4149" w:rsidRPr="002A13E4">
        <w:rPr>
          <w:color w:val="000000" w:themeColor="text1"/>
        </w:rPr>
        <w:t>2, 164</w:t>
      </w:r>
      <w:r w:rsidRPr="002A13E4">
        <w:rPr>
          <w:color w:val="000000" w:themeColor="text1"/>
        </w:rPr>
        <w:t xml:space="preserve">) = </w:t>
      </w:r>
      <w:r w:rsidR="00BB4149" w:rsidRPr="002A13E4">
        <w:rPr>
          <w:color w:val="000000" w:themeColor="text1"/>
        </w:rPr>
        <w:t>2.45</w:t>
      </w:r>
      <w:r w:rsidRPr="002A13E4">
        <w:rPr>
          <w:color w:val="000000" w:themeColor="text1"/>
        </w:rPr>
        <w:t xml:space="preserve">, </w:t>
      </w:r>
      <w:r w:rsidRPr="002A13E4">
        <w:rPr>
          <w:i/>
          <w:color w:val="000000" w:themeColor="text1"/>
        </w:rPr>
        <w:t>p</w:t>
      </w:r>
      <w:r w:rsidRPr="002A13E4">
        <w:rPr>
          <w:color w:val="000000" w:themeColor="text1"/>
        </w:rPr>
        <w:t xml:space="preserve"> = .</w:t>
      </w:r>
      <w:r w:rsidR="00BB4149" w:rsidRPr="002A13E4">
        <w:rPr>
          <w:color w:val="000000" w:themeColor="text1"/>
        </w:rPr>
        <w:t>09</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xml:space="preserve">= .03. For RQ1e, </w:t>
      </w:r>
      <w:r w:rsidR="00BB4149" w:rsidRPr="002A13E4">
        <w:rPr>
          <w:color w:val="000000" w:themeColor="text1"/>
        </w:rPr>
        <w:t xml:space="preserve">the effects of propensity to trust, </w:t>
      </w:r>
      <w:r w:rsidR="00BB4149" w:rsidRPr="002A13E4">
        <w:rPr>
          <w:i/>
          <w:iCs/>
          <w:color w:val="000000" w:themeColor="text1"/>
        </w:rPr>
        <w:t>p</w:t>
      </w:r>
      <w:r w:rsidR="00BB4149" w:rsidRPr="002A13E4">
        <w:rPr>
          <w:color w:val="000000" w:themeColor="text1"/>
        </w:rPr>
        <w:t xml:space="preserve"> = .26, and entity beliefs, </w:t>
      </w:r>
      <w:r w:rsidR="00BB4149" w:rsidRPr="002A13E4">
        <w:rPr>
          <w:i/>
          <w:iCs/>
          <w:color w:val="000000" w:themeColor="text1"/>
        </w:rPr>
        <w:t xml:space="preserve">p </w:t>
      </w:r>
      <w:r w:rsidR="00BB4149" w:rsidRPr="002A13E4">
        <w:rPr>
          <w:color w:val="000000" w:themeColor="text1"/>
        </w:rPr>
        <w:t>= .54, were insignificant in the initial ANCOVA model, so an ANOVA test was performed instead. E</w:t>
      </w:r>
      <w:r w:rsidR="00A14F32" w:rsidRPr="002A13E4">
        <w:rPr>
          <w:color w:val="000000" w:themeColor="text1"/>
        </w:rPr>
        <w:t>rror variances w</w:t>
      </w:r>
      <w:r w:rsidR="00F4165D" w:rsidRPr="002A13E4">
        <w:rPr>
          <w:color w:val="000000" w:themeColor="text1"/>
        </w:rPr>
        <w:t xml:space="preserve">ere equal </w:t>
      </w:r>
      <w:r w:rsidR="00797E92" w:rsidRPr="002A13E4">
        <w:rPr>
          <w:color w:val="000000" w:themeColor="text1"/>
        </w:rPr>
        <w:t>between</w:t>
      </w:r>
      <w:r w:rsidR="00F4165D" w:rsidRPr="002A13E4">
        <w:rPr>
          <w:color w:val="000000" w:themeColor="text1"/>
        </w:rPr>
        <w:t xml:space="preserve"> groups</w:t>
      </w:r>
      <w:r w:rsidR="00FC4F95" w:rsidRPr="002A13E4">
        <w:rPr>
          <w:color w:val="000000" w:themeColor="text1"/>
        </w:rPr>
        <w:t xml:space="preserve"> based on </w:t>
      </w:r>
      <w:proofErr w:type="spellStart"/>
      <w:r w:rsidR="00FC4F95" w:rsidRPr="002A13E4">
        <w:rPr>
          <w:color w:val="000000" w:themeColor="text1"/>
        </w:rPr>
        <w:t>Levene’s</w:t>
      </w:r>
      <w:proofErr w:type="spellEnd"/>
      <w:r w:rsidR="00FC4F95" w:rsidRPr="002A13E4">
        <w:rPr>
          <w:color w:val="000000" w:themeColor="text1"/>
        </w:rPr>
        <w:t xml:space="preserve"> test</w:t>
      </w:r>
      <w:r w:rsidR="00A14F32" w:rsidRPr="002A13E4">
        <w:rPr>
          <w:color w:val="000000" w:themeColor="text1"/>
        </w:rPr>
        <w:t xml:space="preserve">, </w:t>
      </w:r>
      <w:r w:rsidR="00A14F32" w:rsidRPr="002A13E4">
        <w:rPr>
          <w:i/>
          <w:iCs/>
          <w:color w:val="000000" w:themeColor="text1"/>
        </w:rPr>
        <w:t>F</w:t>
      </w:r>
      <w:r w:rsidR="00A14F32" w:rsidRPr="002A13E4">
        <w:rPr>
          <w:color w:val="000000" w:themeColor="text1"/>
        </w:rPr>
        <w:t xml:space="preserve">(2, </w:t>
      </w:r>
      <w:r w:rsidR="00BB4149" w:rsidRPr="002A13E4">
        <w:rPr>
          <w:color w:val="000000" w:themeColor="text1"/>
        </w:rPr>
        <w:t>164</w:t>
      </w:r>
      <w:r w:rsidR="00A14F32" w:rsidRPr="002A13E4">
        <w:rPr>
          <w:color w:val="000000" w:themeColor="text1"/>
        </w:rPr>
        <w:t>) =</w:t>
      </w:r>
      <w:r w:rsidR="00BB4149" w:rsidRPr="002A13E4">
        <w:rPr>
          <w:color w:val="000000" w:themeColor="text1"/>
        </w:rPr>
        <w:t xml:space="preserve"> 0.</w:t>
      </w:r>
      <w:r w:rsidR="00BF7627" w:rsidRPr="002A13E4">
        <w:rPr>
          <w:color w:val="000000" w:themeColor="text1"/>
        </w:rPr>
        <w:t>10</w:t>
      </w:r>
      <w:r w:rsidR="00A14F32" w:rsidRPr="002A13E4">
        <w:rPr>
          <w:color w:val="000000" w:themeColor="text1"/>
        </w:rPr>
        <w:t xml:space="preserve">, </w:t>
      </w:r>
      <w:r w:rsidR="00A14F32" w:rsidRPr="002A13E4">
        <w:rPr>
          <w:i/>
          <w:iCs/>
          <w:color w:val="000000" w:themeColor="text1"/>
        </w:rPr>
        <w:t>p</w:t>
      </w:r>
      <w:r w:rsidR="00A14F32" w:rsidRPr="002A13E4">
        <w:rPr>
          <w:color w:val="000000" w:themeColor="text1"/>
        </w:rPr>
        <w:t xml:space="preserve"> = .</w:t>
      </w:r>
      <w:r w:rsidR="00BF7627" w:rsidRPr="002A13E4">
        <w:rPr>
          <w:color w:val="000000" w:themeColor="text1"/>
        </w:rPr>
        <w:t>91</w:t>
      </w:r>
      <w:r w:rsidR="00A14F32" w:rsidRPr="002A13E4">
        <w:rPr>
          <w:color w:val="000000" w:themeColor="text1"/>
        </w:rPr>
        <w:t xml:space="preserve">, and </w:t>
      </w:r>
      <w:r w:rsidRPr="002A13E4">
        <w:rPr>
          <w:color w:val="000000" w:themeColor="text1"/>
        </w:rPr>
        <w:t xml:space="preserve">the analysis indicated there were no significant </w:t>
      </w:r>
      <w:r w:rsidR="00BF7627" w:rsidRPr="002A13E4">
        <w:rPr>
          <w:color w:val="000000" w:themeColor="text1"/>
        </w:rPr>
        <w:t>group</w:t>
      </w:r>
      <w:r w:rsidRPr="002A13E4">
        <w:rPr>
          <w:color w:val="000000" w:themeColor="text1"/>
        </w:rPr>
        <w:t xml:space="preserve"> effects on perceived severity of violations, </w:t>
      </w:r>
      <w:r w:rsidRPr="002A13E4">
        <w:rPr>
          <w:i/>
          <w:color w:val="000000" w:themeColor="text1"/>
        </w:rPr>
        <w:t>F</w:t>
      </w:r>
      <w:r w:rsidRPr="002A13E4">
        <w:rPr>
          <w:color w:val="000000" w:themeColor="text1"/>
        </w:rPr>
        <w:t xml:space="preserve">(2, </w:t>
      </w:r>
      <w:r w:rsidR="00BB4149" w:rsidRPr="002A13E4">
        <w:rPr>
          <w:color w:val="000000" w:themeColor="text1"/>
        </w:rPr>
        <w:t>16</w:t>
      </w:r>
      <w:r w:rsidR="00BF7627" w:rsidRPr="002A13E4">
        <w:rPr>
          <w:color w:val="000000" w:themeColor="text1"/>
        </w:rPr>
        <w:t>4</w:t>
      </w:r>
      <w:r w:rsidRPr="002A13E4">
        <w:rPr>
          <w:color w:val="000000" w:themeColor="text1"/>
        </w:rPr>
        <w:t xml:space="preserve">) = </w:t>
      </w:r>
      <w:r w:rsidR="00BB4149" w:rsidRPr="002A13E4">
        <w:rPr>
          <w:color w:val="000000" w:themeColor="text1"/>
        </w:rPr>
        <w:t>0.</w:t>
      </w:r>
      <w:r w:rsidR="00BF7627" w:rsidRPr="002A13E4">
        <w:rPr>
          <w:color w:val="000000" w:themeColor="text1"/>
        </w:rPr>
        <w:t>60</w:t>
      </w:r>
      <w:r w:rsidRPr="002A13E4">
        <w:rPr>
          <w:color w:val="000000" w:themeColor="text1"/>
        </w:rPr>
        <w:t xml:space="preserve">, </w:t>
      </w:r>
      <w:r w:rsidRPr="002A13E4">
        <w:rPr>
          <w:i/>
          <w:color w:val="000000" w:themeColor="text1"/>
        </w:rPr>
        <w:t>p</w:t>
      </w:r>
      <w:r w:rsidRPr="002A13E4">
        <w:rPr>
          <w:color w:val="000000" w:themeColor="text1"/>
        </w:rPr>
        <w:t xml:space="preserve"> =</w:t>
      </w:r>
      <w:r w:rsidR="00BB4149" w:rsidRPr="002A13E4">
        <w:rPr>
          <w:color w:val="000000" w:themeColor="text1"/>
        </w:rPr>
        <w:t xml:space="preserve"> 0</w:t>
      </w:r>
      <w:r w:rsidRPr="002A13E4">
        <w:rPr>
          <w:color w:val="000000" w:themeColor="text1"/>
        </w:rPr>
        <w:t>.</w:t>
      </w:r>
      <w:r w:rsidR="00BB4149" w:rsidRPr="002A13E4">
        <w:rPr>
          <w:color w:val="000000" w:themeColor="text1"/>
        </w:rPr>
        <w:t>5</w:t>
      </w:r>
      <w:r w:rsidR="00BF7627" w:rsidRPr="002A13E4">
        <w:rPr>
          <w:color w:val="000000" w:themeColor="text1"/>
        </w:rPr>
        <w:t>5</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BB4149" w:rsidRPr="002A13E4">
        <w:rPr>
          <w:color w:val="000000" w:themeColor="text1"/>
        </w:rPr>
        <w:t>07</w:t>
      </w:r>
      <w:r w:rsidRPr="002A13E4">
        <w:rPr>
          <w:color w:val="000000" w:themeColor="text1"/>
        </w:rPr>
        <w:t xml:space="preserve">. To recapitulate, three types of failures did not elicit significantly different levels of perceived competence, perceived integrity, and </w:t>
      </w:r>
      <w:r w:rsidR="00F40A32" w:rsidRPr="002A13E4">
        <w:rPr>
          <w:color w:val="000000" w:themeColor="text1"/>
        </w:rPr>
        <w:t>post-interaction</w:t>
      </w:r>
      <w:r w:rsidRPr="002A13E4">
        <w:rPr>
          <w:color w:val="000000" w:themeColor="text1"/>
        </w:rPr>
        <w:t xml:space="preserve"> trust without trust repairs, when compared with </w:t>
      </w:r>
      <w:r w:rsidR="00B6161F" w:rsidRPr="002A13E4">
        <w:rPr>
          <w:color w:val="000000" w:themeColor="text1"/>
        </w:rPr>
        <w:t>one another</w:t>
      </w:r>
      <w:r w:rsidRPr="002A13E4">
        <w:rPr>
          <w:color w:val="000000" w:themeColor="text1"/>
        </w:rPr>
        <w:t xml:space="preserve">.  </w:t>
      </w:r>
    </w:p>
    <w:p w14:paraId="254B860B" w14:textId="4718D2C1" w:rsidR="000B5DFB" w:rsidRDefault="00F147F7">
      <w:pPr>
        <w:spacing w:line="480" w:lineRule="auto"/>
        <w:ind w:firstLine="720"/>
        <w:rPr>
          <w:color w:val="000000" w:themeColor="text1"/>
        </w:rPr>
      </w:pPr>
      <w:r w:rsidRPr="002A13E4">
        <w:rPr>
          <w:color w:val="000000" w:themeColor="text1"/>
        </w:rPr>
        <w:t>The second research question asked which type of failures generated the strongest negative effects on participants’ trust in robots overall. To answer RQ2, twelve experimental conditions were collapsed into three categories of failure types</w:t>
      </w:r>
      <w:r w:rsidR="00774516" w:rsidRPr="002A13E4">
        <w:rPr>
          <w:color w:val="000000" w:themeColor="text1"/>
        </w:rPr>
        <w:t xml:space="preserve"> (i.e., logic, semantic, and syntax)</w:t>
      </w:r>
      <w:r w:rsidR="00F4165D" w:rsidRPr="002A13E4">
        <w:rPr>
          <w:color w:val="000000" w:themeColor="text1"/>
        </w:rPr>
        <w:t xml:space="preserve">, and two multivariate outliers were removed, </w:t>
      </w:r>
      <w:r w:rsidR="00F4165D" w:rsidRPr="002A13E4">
        <w:rPr>
          <w:i/>
          <w:iCs/>
          <w:color w:val="000000" w:themeColor="text1"/>
        </w:rPr>
        <w:t>p</w:t>
      </w:r>
      <w:r w:rsidR="00F4165D" w:rsidRPr="002A13E4">
        <w:rPr>
          <w:color w:val="000000" w:themeColor="text1"/>
        </w:rPr>
        <w:t xml:space="preserve"> &lt; .001</w:t>
      </w:r>
      <w:r w:rsidRPr="002A13E4">
        <w:rPr>
          <w:color w:val="000000" w:themeColor="text1"/>
        </w:rPr>
        <w:t>.</w:t>
      </w:r>
      <w:r w:rsidR="00E127F2" w:rsidRPr="002A13E4">
        <w:rPr>
          <w:color w:val="000000" w:themeColor="text1"/>
        </w:rPr>
        <w:t xml:space="preserve"> Both propensity to trust, </w:t>
      </w:r>
      <w:r w:rsidR="00E127F2" w:rsidRPr="002A13E4">
        <w:rPr>
          <w:i/>
          <w:iCs/>
          <w:color w:val="000000" w:themeColor="text1"/>
        </w:rPr>
        <w:t>p</w:t>
      </w:r>
      <w:r w:rsidR="00E127F2" w:rsidRPr="002A13E4">
        <w:rPr>
          <w:color w:val="000000" w:themeColor="text1"/>
        </w:rPr>
        <w:t xml:space="preserve"> &lt;</w:t>
      </w:r>
      <w:r w:rsidR="00FA0A9F" w:rsidRPr="002A13E4">
        <w:rPr>
          <w:color w:val="000000" w:themeColor="text1"/>
        </w:rPr>
        <w:t xml:space="preserve"> </w:t>
      </w:r>
      <w:r w:rsidR="00E127F2" w:rsidRPr="002A13E4">
        <w:rPr>
          <w:color w:val="000000" w:themeColor="text1"/>
        </w:rPr>
        <w:t>.001, and entity beliefs,</w:t>
      </w:r>
      <w:r w:rsidR="00E127F2" w:rsidRPr="002A13E4">
        <w:rPr>
          <w:i/>
          <w:iCs/>
          <w:color w:val="000000" w:themeColor="text1"/>
        </w:rPr>
        <w:t xml:space="preserve"> p</w:t>
      </w:r>
      <w:r w:rsidR="00E127F2" w:rsidRPr="002A13E4">
        <w:rPr>
          <w:color w:val="000000" w:themeColor="text1"/>
        </w:rPr>
        <w:t xml:space="preserve"> &lt; .01, were significant covariates in the MANCOVA model.</w:t>
      </w:r>
      <w:r w:rsidRPr="002A13E4">
        <w:rPr>
          <w:color w:val="000000" w:themeColor="text1"/>
        </w:rPr>
        <w:t xml:space="preserve"> </w:t>
      </w:r>
      <w:r w:rsidR="00B623A1" w:rsidRPr="002A13E4">
        <w:rPr>
          <w:color w:val="000000" w:themeColor="text1"/>
        </w:rPr>
        <w:t xml:space="preserve">Covariances were equal across groups, Box’s </w:t>
      </w:r>
      <w:r w:rsidR="00B623A1" w:rsidRPr="002A13E4">
        <w:rPr>
          <w:i/>
          <w:iCs/>
          <w:color w:val="000000" w:themeColor="text1"/>
        </w:rPr>
        <w:t>M</w:t>
      </w:r>
      <w:r w:rsidR="00B623A1" w:rsidRPr="002A13E4">
        <w:rPr>
          <w:color w:val="000000" w:themeColor="text1"/>
        </w:rPr>
        <w:t xml:space="preserve"> = </w:t>
      </w:r>
      <w:r w:rsidR="00BF7627" w:rsidRPr="002A13E4">
        <w:rPr>
          <w:color w:val="000000" w:themeColor="text1"/>
        </w:rPr>
        <w:t>3.07</w:t>
      </w:r>
      <w:r w:rsidR="00B623A1" w:rsidRPr="002A13E4">
        <w:rPr>
          <w:color w:val="000000" w:themeColor="text1"/>
        </w:rPr>
        <w:t xml:space="preserve">, </w:t>
      </w:r>
      <w:r w:rsidR="00B623A1" w:rsidRPr="002A13E4">
        <w:rPr>
          <w:i/>
          <w:iCs/>
          <w:color w:val="000000" w:themeColor="text1"/>
        </w:rPr>
        <w:t>F</w:t>
      </w:r>
      <w:r w:rsidR="00B623A1" w:rsidRPr="002A13E4">
        <w:rPr>
          <w:color w:val="000000" w:themeColor="text1"/>
        </w:rPr>
        <w:t>(</w:t>
      </w:r>
      <w:r w:rsidR="00BF7627" w:rsidRPr="002A13E4">
        <w:rPr>
          <w:color w:val="000000" w:themeColor="text1"/>
        </w:rPr>
        <w:t>6</w:t>
      </w:r>
      <w:r w:rsidR="00B623A1" w:rsidRPr="002A13E4">
        <w:rPr>
          <w:color w:val="000000" w:themeColor="text1"/>
        </w:rPr>
        <w:t xml:space="preserve">, </w:t>
      </w:r>
      <w:r w:rsidR="00BF7627" w:rsidRPr="002A13E4">
        <w:rPr>
          <w:color w:val="000000" w:themeColor="text1"/>
        </w:rPr>
        <w:t>11235870</w:t>
      </w:r>
      <w:r w:rsidR="00B623A1" w:rsidRPr="002A13E4">
        <w:rPr>
          <w:color w:val="000000" w:themeColor="text1"/>
        </w:rPr>
        <w:t xml:space="preserve">) = </w:t>
      </w:r>
      <w:r w:rsidR="00BF7627" w:rsidRPr="002A13E4">
        <w:rPr>
          <w:color w:val="000000" w:themeColor="text1"/>
        </w:rPr>
        <w:t>0.51</w:t>
      </w:r>
      <w:r w:rsidR="00B623A1" w:rsidRPr="002A13E4">
        <w:rPr>
          <w:color w:val="000000" w:themeColor="text1"/>
        </w:rPr>
        <w:t xml:space="preserve">, </w:t>
      </w:r>
      <w:r w:rsidR="00B623A1" w:rsidRPr="002A13E4">
        <w:rPr>
          <w:i/>
          <w:iCs/>
          <w:color w:val="000000" w:themeColor="text1"/>
        </w:rPr>
        <w:t xml:space="preserve">p </w:t>
      </w:r>
      <w:r w:rsidR="00B623A1" w:rsidRPr="002A13E4">
        <w:rPr>
          <w:color w:val="000000" w:themeColor="text1"/>
        </w:rPr>
        <w:t>= .</w:t>
      </w:r>
      <w:r w:rsidR="00BF7627" w:rsidRPr="002A13E4">
        <w:rPr>
          <w:color w:val="000000" w:themeColor="text1"/>
        </w:rPr>
        <w:t>80</w:t>
      </w:r>
      <w:r w:rsidR="00B623A1" w:rsidRPr="002A13E4">
        <w:rPr>
          <w:color w:val="000000" w:themeColor="text1"/>
        </w:rPr>
        <w:t xml:space="preserve">, </w:t>
      </w:r>
      <w:r w:rsidR="00457B6C" w:rsidRPr="002A13E4">
        <w:rPr>
          <w:color w:val="000000" w:themeColor="text1"/>
        </w:rPr>
        <w:t>and</w:t>
      </w:r>
      <w:r w:rsidR="00B623A1" w:rsidRPr="002A13E4">
        <w:rPr>
          <w:color w:val="000000" w:themeColor="text1"/>
        </w:rPr>
        <w:t xml:space="preserve"> </w:t>
      </w:r>
      <w:r w:rsidR="00797E92" w:rsidRPr="002A13E4">
        <w:rPr>
          <w:color w:val="000000" w:themeColor="text1"/>
        </w:rPr>
        <w:t xml:space="preserve">the results of </w:t>
      </w:r>
      <w:proofErr w:type="spellStart"/>
      <w:r w:rsidR="00797E92" w:rsidRPr="002A13E4">
        <w:rPr>
          <w:color w:val="000000" w:themeColor="text1"/>
        </w:rPr>
        <w:t>Levene’s</w:t>
      </w:r>
      <w:proofErr w:type="spellEnd"/>
      <w:r w:rsidR="00797E92" w:rsidRPr="002A13E4">
        <w:rPr>
          <w:color w:val="000000" w:themeColor="text1"/>
        </w:rPr>
        <w:t xml:space="preserve"> tests were insignificant at the .01 level</w:t>
      </w:r>
      <w:r w:rsidR="00B623A1" w:rsidRPr="002A13E4">
        <w:rPr>
          <w:color w:val="000000" w:themeColor="text1"/>
        </w:rPr>
        <w:t xml:space="preserve"> for</w:t>
      </w:r>
      <w:r w:rsidR="00797E92" w:rsidRPr="002A13E4">
        <w:rPr>
          <w:color w:val="000000" w:themeColor="text1"/>
        </w:rPr>
        <w:t xml:space="preserve"> competence-based trust</w:t>
      </w:r>
      <w:r w:rsidR="00BA3284">
        <w:rPr>
          <w:color w:val="000000" w:themeColor="text1"/>
        </w:rPr>
        <w:t>,</w:t>
      </w:r>
      <w:r w:rsidR="00797E92" w:rsidRPr="002A13E4">
        <w:rPr>
          <w:color w:val="000000" w:themeColor="text1"/>
        </w:rPr>
        <w:t xml:space="preserve"> </w:t>
      </w:r>
      <w:r w:rsidR="00797E92" w:rsidRPr="002A13E4">
        <w:rPr>
          <w:i/>
          <w:iCs/>
          <w:color w:val="000000" w:themeColor="text1"/>
        </w:rPr>
        <w:t>F</w:t>
      </w:r>
      <w:r w:rsidR="00797E92" w:rsidRPr="002A13E4">
        <w:rPr>
          <w:color w:val="000000" w:themeColor="text1"/>
        </w:rPr>
        <w:t xml:space="preserve">(2, </w:t>
      </w:r>
      <w:r w:rsidR="00BF7627" w:rsidRPr="002A13E4">
        <w:rPr>
          <w:color w:val="000000" w:themeColor="text1"/>
        </w:rPr>
        <w:t>685</w:t>
      </w:r>
      <w:r w:rsidR="00797E92" w:rsidRPr="002A13E4">
        <w:rPr>
          <w:color w:val="000000" w:themeColor="text1"/>
        </w:rPr>
        <w:t xml:space="preserve">) = </w:t>
      </w:r>
      <w:r w:rsidR="00BF7627" w:rsidRPr="002A13E4">
        <w:rPr>
          <w:color w:val="000000" w:themeColor="text1"/>
        </w:rPr>
        <w:t>.43</w:t>
      </w:r>
      <w:r w:rsidR="00797E92" w:rsidRPr="002A13E4">
        <w:rPr>
          <w:color w:val="000000" w:themeColor="text1"/>
        </w:rPr>
        <w:t xml:space="preserve">, </w:t>
      </w:r>
      <w:r w:rsidR="00797E92" w:rsidRPr="002A13E4">
        <w:rPr>
          <w:i/>
          <w:iCs/>
          <w:color w:val="000000" w:themeColor="text1"/>
        </w:rPr>
        <w:t>p</w:t>
      </w:r>
      <w:r w:rsidR="00797E92" w:rsidRPr="002A13E4">
        <w:rPr>
          <w:color w:val="000000" w:themeColor="text1"/>
        </w:rPr>
        <w:t xml:space="preserve"> = .</w:t>
      </w:r>
      <w:r w:rsidR="00BF7627" w:rsidRPr="002A13E4">
        <w:rPr>
          <w:color w:val="000000" w:themeColor="text1"/>
        </w:rPr>
        <w:t>65</w:t>
      </w:r>
      <w:r w:rsidR="00BA3284">
        <w:rPr>
          <w:color w:val="000000" w:themeColor="text1"/>
        </w:rPr>
        <w:t>,</w:t>
      </w:r>
      <w:r w:rsidR="00797E92" w:rsidRPr="002A13E4">
        <w:rPr>
          <w:color w:val="000000" w:themeColor="text1"/>
        </w:rPr>
        <w:t xml:space="preserve"> and</w:t>
      </w:r>
      <w:r w:rsidR="00B623A1" w:rsidRPr="002A13E4">
        <w:rPr>
          <w:color w:val="000000" w:themeColor="text1"/>
        </w:rPr>
        <w:t xml:space="preserve"> </w:t>
      </w:r>
      <w:r w:rsidR="00B623A1" w:rsidRPr="002A13E4">
        <w:rPr>
          <w:color w:val="000000" w:themeColor="text1"/>
        </w:rPr>
        <w:lastRenderedPageBreak/>
        <w:t>integrity-based trust</w:t>
      </w:r>
      <w:r w:rsidR="00BA3284">
        <w:rPr>
          <w:color w:val="000000" w:themeColor="text1"/>
        </w:rPr>
        <w:t xml:space="preserve">, </w:t>
      </w:r>
      <w:r w:rsidR="00B623A1" w:rsidRPr="002A13E4">
        <w:rPr>
          <w:i/>
          <w:iCs/>
          <w:color w:val="000000" w:themeColor="text1"/>
        </w:rPr>
        <w:t>F</w:t>
      </w:r>
      <w:r w:rsidR="00B623A1" w:rsidRPr="002A13E4">
        <w:rPr>
          <w:color w:val="000000" w:themeColor="text1"/>
        </w:rPr>
        <w:t xml:space="preserve">(2, </w:t>
      </w:r>
      <w:r w:rsidR="00BF7627" w:rsidRPr="002A13E4">
        <w:rPr>
          <w:color w:val="000000" w:themeColor="text1"/>
        </w:rPr>
        <w:t>685</w:t>
      </w:r>
      <w:r w:rsidR="00B623A1" w:rsidRPr="002A13E4">
        <w:rPr>
          <w:color w:val="000000" w:themeColor="text1"/>
        </w:rPr>
        <w:t xml:space="preserve">) = </w:t>
      </w:r>
      <w:r w:rsidR="00BF7627" w:rsidRPr="002A13E4">
        <w:rPr>
          <w:color w:val="000000" w:themeColor="text1"/>
        </w:rPr>
        <w:t>1.18</w:t>
      </w:r>
      <w:r w:rsidR="00B623A1" w:rsidRPr="002A13E4">
        <w:rPr>
          <w:color w:val="000000" w:themeColor="text1"/>
        </w:rPr>
        <w:t xml:space="preserve">, </w:t>
      </w:r>
      <w:r w:rsidR="00B623A1" w:rsidRPr="002A13E4">
        <w:rPr>
          <w:i/>
          <w:iCs/>
          <w:color w:val="000000" w:themeColor="text1"/>
        </w:rPr>
        <w:t>p</w:t>
      </w:r>
      <w:r w:rsidR="00B623A1" w:rsidRPr="002A13E4">
        <w:rPr>
          <w:color w:val="000000" w:themeColor="text1"/>
        </w:rPr>
        <w:t xml:space="preserve"> = .</w:t>
      </w:r>
      <w:r w:rsidR="00BF7627" w:rsidRPr="002A13E4">
        <w:rPr>
          <w:color w:val="000000" w:themeColor="text1"/>
        </w:rPr>
        <w:t>31</w:t>
      </w:r>
      <w:r w:rsidR="00797E92" w:rsidRPr="002A13E4">
        <w:rPr>
          <w:color w:val="000000" w:themeColor="text1"/>
        </w:rPr>
        <w:t>.</w:t>
      </w:r>
      <w:r w:rsidR="00B623A1" w:rsidRPr="002A13E4">
        <w:rPr>
          <w:color w:val="000000" w:themeColor="text1"/>
        </w:rPr>
        <w:t xml:space="preserve"> </w:t>
      </w:r>
      <w:r w:rsidRPr="002A13E4">
        <w:rPr>
          <w:color w:val="000000" w:themeColor="text1"/>
        </w:rPr>
        <w:t xml:space="preserve">Different failure types </w:t>
      </w:r>
      <w:r w:rsidR="00FA0A9F" w:rsidRPr="002A13E4">
        <w:rPr>
          <w:color w:val="000000" w:themeColor="text1"/>
        </w:rPr>
        <w:t>were associated with</w:t>
      </w:r>
      <w:r w:rsidR="00774516" w:rsidRPr="002A13E4">
        <w:rPr>
          <w:color w:val="000000" w:themeColor="text1"/>
        </w:rPr>
        <w:t xml:space="preserve"> </w:t>
      </w:r>
      <w:r w:rsidRPr="002A13E4">
        <w:rPr>
          <w:color w:val="000000" w:themeColor="text1"/>
        </w:rPr>
        <w:t xml:space="preserve">significantly different levels of </w:t>
      </w:r>
      <w:r w:rsidR="00F40A32" w:rsidRPr="002A13E4">
        <w:rPr>
          <w:color w:val="000000" w:themeColor="text1"/>
        </w:rPr>
        <w:t>post-interaction</w:t>
      </w:r>
      <w:r w:rsidRPr="002A13E4">
        <w:rPr>
          <w:color w:val="000000" w:themeColor="text1"/>
        </w:rPr>
        <w:t xml:space="preserve"> trust in the MANCOVA</w:t>
      </w:r>
      <w:r w:rsidR="00FA0A9F" w:rsidRPr="002A13E4">
        <w:rPr>
          <w:color w:val="000000" w:themeColor="text1"/>
        </w:rPr>
        <w:t xml:space="preserve"> model</w:t>
      </w:r>
      <w:r w:rsidRPr="002A13E4">
        <w:rPr>
          <w:color w:val="000000" w:themeColor="text1"/>
        </w:rPr>
        <w:t xml:space="preserve"> with both types of trust </w:t>
      </w:r>
      <w:r w:rsidR="00774516" w:rsidRPr="002A13E4">
        <w:rPr>
          <w:color w:val="000000" w:themeColor="text1"/>
        </w:rPr>
        <w:t xml:space="preserve">(i.e., competence and integrity) </w:t>
      </w:r>
      <w:r w:rsidRPr="002A13E4">
        <w:rPr>
          <w:color w:val="000000" w:themeColor="text1"/>
        </w:rPr>
        <w:t xml:space="preserve">as dependent variables and propensity to trust and </w:t>
      </w:r>
      <w:r w:rsidR="001C19EF" w:rsidRPr="002A13E4">
        <w:rPr>
          <w:color w:val="000000" w:themeColor="text1"/>
        </w:rPr>
        <w:t>entity beliefs</w:t>
      </w:r>
      <w:r w:rsidRPr="002A13E4">
        <w:rPr>
          <w:color w:val="000000" w:themeColor="text1"/>
        </w:rPr>
        <w:t xml:space="preserve"> as covariates, Wilks’ Lambda (λ) = .</w:t>
      </w:r>
      <w:r w:rsidR="00BF7627" w:rsidRPr="002A13E4">
        <w:rPr>
          <w:color w:val="000000" w:themeColor="text1"/>
        </w:rPr>
        <w:t>96</w:t>
      </w:r>
      <w:r w:rsidRPr="002A13E4">
        <w:rPr>
          <w:color w:val="000000" w:themeColor="text1"/>
        </w:rPr>
        <w:t xml:space="preserve">, </w:t>
      </w:r>
      <w:r w:rsidRPr="002A13E4">
        <w:rPr>
          <w:i/>
          <w:color w:val="000000" w:themeColor="text1"/>
        </w:rPr>
        <w:t>F</w:t>
      </w:r>
      <w:r w:rsidRPr="002A13E4">
        <w:rPr>
          <w:color w:val="000000" w:themeColor="text1"/>
        </w:rPr>
        <w:t xml:space="preserve">(4, </w:t>
      </w:r>
      <w:r w:rsidR="00BF7627" w:rsidRPr="002A13E4">
        <w:rPr>
          <w:color w:val="000000" w:themeColor="text1"/>
        </w:rPr>
        <w:t>1364</w:t>
      </w:r>
      <w:r w:rsidRPr="002A13E4">
        <w:rPr>
          <w:color w:val="000000" w:themeColor="text1"/>
        </w:rPr>
        <w:t xml:space="preserve">) = </w:t>
      </w:r>
      <w:r w:rsidR="00BF7627" w:rsidRPr="002A13E4">
        <w:rPr>
          <w:color w:val="000000" w:themeColor="text1"/>
        </w:rPr>
        <w:t>7.67</w:t>
      </w:r>
      <w:r w:rsidRPr="002A13E4">
        <w:rPr>
          <w:color w:val="000000" w:themeColor="text1"/>
        </w:rPr>
        <w:t xml:space="preserve">, </w:t>
      </w:r>
      <w:r w:rsidRPr="002A13E4">
        <w:rPr>
          <w:i/>
          <w:color w:val="000000" w:themeColor="text1"/>
        </w:rPr>
        <w:t>p</w:t>
      </w:r>
      <w:r w:rsidRPr="002A13E4">
        <w:rPr>
          <w:color w:val="000000" w:themeColor="text1"/>
        </w:rPr>
        <w:t xml:space="preserve"> &lt; .05,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BF7627" w:rsidRPr="002A13E4">
        <w:rPr>
          <w:color w:val="000000" w:themeColor="text1"/>
        </w:rPr>
        <w:t>02</w:t>
      </w:r>
      <w:r w:rsidRPr="002A13E4">
        <w:rPr>
          <w:color w:val="000000" w:themeColor="text1"/>
        </w:rPr>
        <w:t xml:space="preserve">. </w:t>
      </w:r>
    </w:p>
    <w:p w14:paraId="44D5AADD" w14:textId="6EC3ABFC" w:rsidR="00DB7FAE" w:rsidRPr="002A13E4" w:rsidRDefault="00F147F7">
      <w:pPr>
        <w:spacing w:line="480" w:lineRule="auto"/>
        <w:ind w:firstLine="720"/>
        <w:rPr>
          <w:color w:val="000000" w:themeColor="text1"/>
        </w:rPr>
      </w:pPr>
      <w:r w:rsidRPr="002A13E4">
        <w:rPr>
          <w:color w:val="000000" w:themeColor="text1"/>
        </w:rPr>
        <w:t xml:space="preserve">Test of between subjects effects revealed there were no significant main effects of failure types on competence-based </w:t>
      </w:r>
      <w:r w:rsidR="00F40A32" w:rsidRPr="002A13E4">
        <w:rPr>
          <w:color w:val="000000" w:themeColor="text1"/>
        </w:rPr>
        <w:t>post-interaction</w:t>
      </w:r>
      <w:r w:rsidRPr="002A13E4">
        <w:rPr>
          <w:color w:val="000000" w:themeColor="text1"/>
        </w:rPr>
        <w:t xml:space="preserve"> trust, </w:t>
      </w:r>
      <w:proofErr w:type="gramStart"/>
      <w:r w:rsidRPr="002A13E4">
        <w:rPr>
          <w:i/>
          <w:color w:val="000000" w:themeColor="text1"/>
        </w:rPr>
        <w:t>F</w:t>
      </w:r>
      <w:r w:rsidRPr="002A13E4">
        <w:rPr>
          <w:color w:val="000000" w:themeColor="text1"/>
        </w:rPr>
        <w:t>(</w:t>
      </w:r>
      <w:proofErr w:type="gramEnd"/>
      <w:r w:rsidR="00BF7627" w:rsidRPr="002A13E4">
        <w:rPr>
          <w:color w:val="000000" w:themeColor="text1"/>
        </w:rPr>
        <w:t>1</w:t>
      </w:r>
      <w:r w:rsidRPr="002A13E4">
        <w:rPr>
          <w:color w:val="000000" w:themeColor="text1"/>
        </w:rPr>
        <w:t xml:space="preserve">, </w:t>
      </w:r>
      <w:r w:rsidR="00BF7627" w:rsidRPr="002A13E4">
        <w:rPr>
          <w:color w:val="000000" w:themeColor="text1"/>
        </w:rPr>
        <w:t>68</w:t>
      </w:r>
      <w:r w:rsidRPr="002A13E4">
        <w:rPr>
          <w:color w:val="000000" w:themeColor="text1"/>
        </w:rPr>
        <w:t xml:space="preserve">3) = </w:t>
      </w:r>
      <w:r w:rsidR="00E127F2" w:rsidRPr="002A13E4">
        <w:rPr>
          <w:color w:val="000000" w:themeColor="text1"/>
        </w:rPr>
        <w:t>1.85</w:t>
      </w:r>
      <w:r w:rsidRPr="002A13E4">
        <w:rPr>
          <w:color w:val="000000" w:themeColor="text1"/>
        </w:rPr>
        <w:t xml:space="preserve">, </w:t>
      </w:r>
      <w:r w:rsidRPr="002A13E4">
        <w:rPr>
          <w:i/>
          <w:color w:val="000000" w:themeColor="text1"/>
        </w:rPr>
        <w:t>p</w:t>
      </w:r>
      <w:r w:rsidRPr="002A13E4">
        <w:rPr>
          <w:color w:val="000000" w:themeColor="text1"/>
        </w:rPr>
        <w:t xml:space="preserve"> = .</w:t>
      </w:r>
      <w:r w:rsidR="00E127F2" w:rsidRPr="002A13E4">
        <w:rPr>
          <w:color w:val="000000" w:themeColor="text1"/>
        </w:rPr>
        <w:t>16</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.00</w:t>
      </w:r>
      <w:r w:rsidR="00E127F2" w:rsidRPr="002A13E4">
        <w:rPr>
          <w:color w:val="000000" w:themeColor="text1"/>
        </w:rPr>
        <w:t>5</w:t>
      </w:r>
      <w:r w:rsidRPr="002A13E4">
        <w:rPr>
          <w:color w:val="000000" w:themeColor="text1"/>
        </w:rPr>
        <w:t>. But for integrity-based trust, the main effects were significant,</w:t>
      </w:r>
      <w:r w:rsidRPr="002A13E4">
        <w:rPr>
          <w:i/>
          <w:color w:val="000000" w:themeColor="text1"/>
        </w:rPr>
        <w:t xml:space="preserve"> F</w:t>
      </w:r>
      <w:r w:rsidRPr="002A13E4">
        <w:rPr>
          <w:color w:val="000000" w:themeColor="text1"/>
        </w:rPr>
        <w:t>(</w:t>
      </w:r>
      <w:r w:rsidR="00E127F2" w:rsidRPr="002A13E4">
        <w:rPr>
          <w:color w:val="000000" w:themeColor="text1"/>
        </w:rPr>
        <w:t>1</w:t>
      </w:r>
      <w:r w:rsidRPr="002A13E4">
        <w:rPr>
          <w:color w:val="000000" w:themeColor="text1"/>
        </w:rPr>
        <w:t xml:space="preserve">, </w:t>
      </w:r>
      <w:r w:rsidR="00E127F2" w:rsidRPr="002A13E4">
        <w:rPr>
          <w:color w:val="000000" w:themeColor="text1"/>
        </w:rPr>
        <w:t>683</w:t>
      </w:r>
      <w:r w:rsidRPr="002A13E4">
        <w:rPr>
          <w:color w:val="000000" w:themeColor="text1"/>
        </w:rPr>
        <w:t xml:space="preserve">) = </w:t>
      </w:r>
      <w:r w:rsidR="00E127F2" w:rsidRPr="002A13E4">
        <w:rPr>
          <w:color w:val="000000" w:themeColor="text1"/>
        </w:rPr>
        <w:t>7.99</w:t>
      </w:r>
      <w:r w:rsidRPr="002A13E4">
        <w:rPr>
          <w:color w:val="000000" w:themeColor="text1"/>
        </w:rPr>
        <w:t xml:space="preserve">, </w:t>
      </w:r>
      <w:r w:rsidRPr="002A13E4">
        <w:rPr>
          <w:i/>
          <w:color w:val="000000" w:themeColor="text1"/>
        </w:rPr>
        <w:t>p</w:t>
      </w:r>
      <w:r w:rsidRPr="002A13E4">
        <w:rPr>
          <w:color w:val="000000" w:themeColor="text1"/>
        </w:rPr>
        <w:t xml:space="preserve"> &lt; .0</w:t>
      </w:r>
      <w:r w:rsidR="00E127F2" w:rsidRPr="002A13E4">
        <w:rPr>
          <w:color w:val="000000" w:themeColor="text1"/>
        </w:rPr>
        <w:t>01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xml:space="preserve">= .02, </w:t>
      </w:r>
      <w:r w:rsidR="00E127F2" w:rsidRPr="002A13E4">
        <w:rPr>
          <w:color w:val="000000" w:themeColor="text1"/>
        </w:rPr>
        <w:t>with</w:t>
      </w:r>
      <w:r w:rsidRPr="002A13E4">
        <w:rPr>
          <w:color w:val="000000" w:themeColor="text1"/>
        </w:rPr>
        <w:t xml:space="preserve"> propensity to trust</w:t>
      </w:r>
      <w:r w:rsidR="00E127F2" w:rsidRPr="002A13E4">
        <w:rPr>
          <w:color w:val="000000" w:themeColor="text1"/>
        </w:rPr>
        <w:t xml:space="preserve">, </w:t>
      </w:r>
      <w:r w:rsidR="00E127F2" w:rsidRPr="002A13E4">
        <w:rPr>
          <w:i/>
          <w:color w:val="000000" w:themeColor="text1"/>
        </w:rPr>
        <w:t>F</w:t>
      </w:r>
      <w:r w:rsidR="00E127F2" w:rsidRPr="002A13E4">
        <w:rPr>
          <w:color w:val="000000" w:themeColor="text1"/>
        </w:rPr>
        <w:t xml:space="preserve">(1, 683) = 17.12, </w:t>
      </w:r>
      <w:r w:rsidR="00E127F2" w:rsidRPr="002A13E4">
        <w:rPr>
          <w:i/>
          <w:color w:val="000000" w:themeColor="text1"/>
        </w:rPr>
        <w:t>p</w:t>
      </w:r>
      <w:r w:rsidR="00E127F2" w:rsidRPr="002A13E4">
        <w:rPr>
          <w:color w:val="000000" w:themeColor="text1"/>
        </w:rPr>
        <w:t xml:space="preserve"> &lt; .001, partial </w:t>
      </w:r>
      <w:r w:rsidR="00E127F2" w:rsidRPr="002A13E4">
        <w:rPr>
          <w:i/>
          <w:color w:val="000000" w:themeColor="text1"/>
        </w:rPr>
        <w:t>η</w:t>
      </w:r>
      <w:r w:rsidR="00E127F2" w:rsidRPr="002A13E4">
        <w:rPr>
          <w:i/>
          <w:color w:val="000000" w:themeColor="text1"/>
          <w:vertAlign w:val="superscript"/>
        </w:rPr>
        <w:t>2</w:t>
      </w:r>
      <w:r w:rsidR="00E127F2" w:rsidRPr="002A13E4">
        <w:rPr>
          <w:i/>
          <w:color w:val="000000" w:themeColor="text1"/>
        </w:rPr>
        <w:t xml:space="preserve"> </w:t>
      </w:r>
      <w:r w:rsidR="00E127F2" w:rsidRPr="002A13E4">
        <w:rPr>
          <w:color w:val="000000" w:themeColor="text1"/>
        </w:rPr>
        <w:t xml:space="preserve">= .02, and entity beliefs, </w:t>
      </w:r>
      <w:r w:rsidR="00E127F2" w:rsidRPr="002A13E4">
        <w:rPr>
          <w:i/>
          <w:color w:val="000000" w:themeColor="text1"/>
        </w:rPr>
        <w:t>F</w:t>
      </w:r>
      <w:r w:rsidR="00E127F2" w:rsidRPr="002A13E4">
        <w:rPr>
          <w:color w:val="000000" w:themeColor="text1"/>
        </w:rPr>
        <w:t xml:space="preserve">(1, 683) = 10.75, </w:t>
      </w:r>
      <w:r w:rsidR="00E127F2" w:rsidRPr="002A13E4">
        <w:rPr>
          <w:i/>
          <w:color w:val="000000" w:themeColor="text1"/>
        </w:rPr>
        <w:t>p</w:t>
      </w:r>
      <w:r w:rsidR="00E127F2" w:rsidRPr="002A13E4">
        <w:rPr>
          <w:color w:val="000000" w:themeColor="text1"/>
        </w:rPr>
        <w:t xml:space="preserve"> &lt; .01, partial </w:t>
      </w:r>
      <w:r w:rsidR="00E127F2" w:rsidRPr="002A13E4">
        <w:rPr>
          <w:i/>
          <w:color w:val="000000" w:themeColor="text1"/>
        </w:rPr>
        <w:t>η</w:t>
      </w:r>
      <w:r w:rsidR="00E127F2" w:rsidRPr="002A13E4">
        <w:rPr>
          <w:i/>
          <w:color w:val="000000" w:themeColor="text1"/>
          <w:vertAlign w:val="superscript"/>
        </w:rPr>
        <w:t>2</w:t>
      </w:r>
      <w:r w:rsidR="00E127F2" w:rsidRPr="002A13E4">
        <w:rPr>
          <w:i/>
          <w:color w:val="000000" w:themeColor="text1"/>
        </w:rPr>
        <w:t xml:space="preserve"> </w:t>
      </w:r>
      <w:r w:rsidR="00E127F2" w:rsidRPr="002A13E4">
        <w:rPr>
          <w:color w:val="000000" w:themeColor="text1"/>
        </w:rPr>
        <w:t>= .02,</w:t>
      </w:r>
      <w:r w:rsidRPr="002A13E4">
        <w:rPr>
          <w:color w:val="000000" w:themeColor="text1"/>
        </w:rPr>
        <w:t xml:space="preserve"> </w:t>
      </w:r>
      <w:r w:rsidR="00E127F2" w:rsidRPr="002A13E4">
        <w:rPr>
          <w:color w:val="000000" w:themeColor="text1"/>
        </w:rPr>
        <w:t>being</w:t>
      </w:r>
      <w:r w:rsidRPr="002A13E4">
        <w:rPr>
          <w:color w:val="000000" w:themeColor="text1"/>
        </w:rPr>
        <w:t xml:space="preserve"> significant covariate</w:t>
      </w:r>
      <w:r w:rsidR="00E127F2" w:rsidRPr="002A13E4">
        <w:rPr>
          <w:color w:val="000000" w:themeColor="text1"/>
        </w:rPr>
        <w:t>s</w:t>
      </w:r>
      <w:r w:rsidRPr="002A13E4">
        <w:rPr>
          <w:color w:val="000000" w:themeColor="text1"/>
        </w:rPr>
        <w:t xml:space="preserve"> in the model. Pairwise comparisons indicated </w:t>
      </w:r>
      <w:r w:rsidR="00440C05" w:rsidRPr="002A13E4">
        <w:rPr>
          <w:color w:val="000000" w:themeColor="text1"/>
        </w:rPr>
        <w:t xml:space="preserve">only </w:t>
      </w:r>
      <w:r w:rsidRPr="002A13E4">
        <w:rPr>
          <w:color w:val="000000" w:themeColor="text1"/>
        </w:rPr>
        <w:t>the mean difference</w:t>
      </w:r>
      <w:r w:rsidR="00440C05" w:rsidRPr="002A13E4">
        <w:rPr>
          <w:color w:val="000000" w:themeColor="text1"/>
        </w:rPr>
        <w:t xml:space="preserve"> </w:t>
      </w:r>
      <w:r w:rsidR="00BA3284">
        <w:rPr>
          <w:color w:val="000000" w:themeColor="text1"/>
        </w:rPr>
        <w:t xml:space="preserve">in integrity-based trust </w:t>
      </w:r>
      <w:r w:rsidRPr="002A13E4">
        <w:rPr>
          <w:color w:val="000000" w:themeColor="text1"/>
        </w:rPr>
        <w:t xml:space="preserve">between logic and syntax </w:t>
      </w:r>
      <w:r w:rsidR="00774516" w:rsidRPr="002A13E4">
        <w:rPr>
          <w:color w:val="000000" w:themeColor="text1"/>
        </w:rPr>
        <w:t>failures</w:t>
      </w:r>
      <w:r w:rsidR="00797E92" w:rsidRPr="002A13E4">
        <w:rPr>
          <w:color w:val="000000" w:themeColor="text1"/>
        </w:rPr>
        <w:t xml:space="preserve"> (</w:t>
      </w:r>
      <w:r w:rsidR="00440C05" w:rsidRPr="002A13E4">
        <w:rPr>
          <w:color w:val="000000" w:themeColor="text1"/>
        </w:rPr>
        <w:t xml:space="preserve">see </w:t>
      </w:r>
      <w:r w:rsidR="00797E92" w:rsidRPr="002A13E4">
        <w:rPr>
          <w:color w:val="000000" w:themeColor="text1"/>
        </w:rPr>
        <w:t>Table 6 and 7</w:t>
      </w:r>
      <w:r w:rsidR="00440C05" w:rsidRPr="002A13E4">
        <w:rPr>
          <w:color w:val="000000" w:themeColor="text1"/>
        </w:rPr>
        <w:t xml:space="preserve"> for mean estimates and differences</w:t>
      </w:r>
      <w:r w:rsidR="00797E92" w:rsidRPr="002A13E4">
        <w:rPr>
          <w:color w:val="000000" w:themeColor="text1"/>
        </w:rPr>
        <w:t>)</w:t>
      </w:r>
      <w:r w:rsidR="00440C05" w:rsidRPr="002A13E4">
        <w:rPr>
          <w:color w:val="000000" w:themeColor="text1"/>
        </w:rPr>
        <w:t xml:space="preserve"> was significant, </w:t>
      </w:r>
      <w:r w:rsidR="00440C05" w:rsidRPr="002A13E4">
        <w:rPr>
          <w:i/>
          <w:iCs/>
          <w:color w:val="000000" w:themeColor="text1"/>
        </w:rPr>
        <w:t>p</w:t>
      </w:r>
      <w:r w:rsidR="00440C05" w:rsidRPr="002A13E4">
        <w:rPr>
          <w:color w:val="000000" w:themeColor="text1"/>
        </w:rPr>
        <w:t xml:space="preserve"> &lt; .0</w:t>
      </w:r>
      <w:r w:rsidR="00E127F2" w:rsidRPr="002A13E4">
        <w:rPr>
          <w:color w:val="000000" w:themeColor="text1"/>
        </w:rPr>
        <w:t>0</w:t>
      </w:r>
      <w:r w:rsidR="00440C05" w:rsidRPr="002A13E4">
        <w:rPr>
          <w:color w:val="000000" w:themeColor="text1"/>
        </w:rPr>
        <w:t>1</w:t>
      </w:r>
      <w:r w:rsidR="00797E92" w:rsidRPr="002A13E4">
        <w:rPr>
          <w:color w:val="000000" w:themeColor="text1"/>
        </w:rPr>
        <w:t xml:space="preserve">. </w:t>
      </w:r>
      <w:r w:rsidRPr="002A13E4">
        <w:rPr>
          <w:color w:val="000000" w:themeColor="text1"/>
        </w:rPr>
        <w:t>Therefore, logical failures were comparatively the most detrimental failure type as far as integrity-based trust was concerned.</w:t>
      </w:r>
    </w:p>
    <w:p w14:paraId="78EA62A9" w14:textId="0EC92144" w:rsidR="00797E92" w:rsidRPr="002A13E4" w:rsidRDefault="00797E92" w:rsidP="00797E92">
      <w:pPr>
        <w:spacing w:line="480" w:lineRule="auto"/>
        <w:rPr>
          <w:b/>
          <w:color w:val="000000" w:themeColor="text1"/>
        </w:rPr>
      </w:pPr>
      <w:r w:rsidRPr="002A13E4">
        <w:rPr>
          <w:b/>
          <w:color w:val="000000" w:themeColor="text1"/>
        </w:rPr>
        <w:t>Table 6</w:t>
      </w:r>
    </w:p>
    <w:p w14:paraId="52D7DACA" w14:textId="74367784" w:rsidR="00797E92" w:rsidRPr="002A13E4" w:rsidRDefault="00797E92" w:rsidP="00797E92">
      <w:pPr>
        <w:spacing w:line="480" w:lineRule="auto"/>
        <w:rPr>
          <w:i/>
          <w:color w:val="000000" w:themeColor="text1"/>
        </w:rPr>
      </w:pPr>
      <w:r w:rsidRPr="002A13E4">
        <w:rPr>
          <w:i/>
          <w:color w:val="000000" w:themeColor="text1"/>
        </w:rPr>
        <w:t>Mean Estimates for Two Types of Trust Under Three Failure Types</w:t>
      </w:r>
    </w:p>
    <w:tbl>
      <w:tblPr>
        <w:tblStyle w:val="a2"/>
        <w:tblW w:w="8215" w:type="dxa"/>
        <w:tblLayout w:type="fixed"/>
        <w:tblLook w:val="0400" w:firstRow="0" w:lastRow="0" w:firstColumn="0" w:lastColumn="0" w:noHBand="0" w:noVBand="1"/>
      </w:tblPr>
      <w:tblGrid>
        <w:gridCol w:w="2245"/>
        <w:gridCol w:w="1082"/>
        <w:gridCol w:w="885"/>
        <w:gridCol w:w="1076"/>
        <w:gridCol w:w="1463"/>
        <w:gridCol w:w="1464"/>
      </w:tblGrid>
      <w:tr w:rsidR="00E53644" w:rsidRPr="002A13E4" w14:paraId="52ABFEFD" w14:textId="77777777" w:rsidTr="00816292">
        <w:trPr>
          <w:trHeight w:val="249"/>
        </w:trPr>
        <w:tc>
          <w:tcPr>
            <w:tcW w:w="2245" w:type="dxa"/>
            <w:vMerge w:val="restart"/>
            <w:tcBorders>
              <w:top w:val="single" w:sz="4" w:space="0" w:color="auto"/>
            </w:tcBorders>
          </w:tcPr>
          <w:p w14:paraId="3DF158B7" w14:textId="77777777" w:rsidR="00797E92" w:rsidRPr="002A13E4" w:rsidRDefault="00797E92" w:rsidP="00797E92">
            <w:pPr>
              <w:jc w:val="center"/>
              <w:rPr>
                <w:color w:val="000000" w:themeColor="text1"/>
                <w:sz w:val="20"/>
                <w:szCs w:val="20"/>
              </w:rPr>
            </w:pPr>
          </w:p>
          <w:p w14:paraId="6EE53C72" w14:textId="77777777" w:rsidR="00797E92" w:rsidRPr="002A13E4" w:rsidRDefault="00797E92" w:rsidP="00797E92">
            <w:pPr>
              <w:jc w:val="center"/>
              <w:rPr>
                <w:color w:val="000000" w:themeColor="text1"/>
                <w:sz w:val="20"/>
                <w:szCs w:val="20"/>
              </w:rPr>
            </w:pPr>
            <w:r w:rsidRPr="002A13E4">
              <w:rPr>
                <w:color w:val="000000" w:themeColor="text1"/>
                <w:sz w:val="20"/>
                <w:szCs w:val="20"/>
              </w:rPr>
              <w:t>Dependent Variable</w:t>
            </w:r>
          </w:p>
        </w:tc>
        <w:tc>
          <w:tcPr>
            <w:tcW w:w="1082" w:type="dxa"/>
            <w:vMerge w:val="restart"/>
            <w:tcBorders>
              <w:top w:val="single" w:sz="4" w:space="0" w:color="auto"/>
            </w:tcBorders>
          </w:tcPr>
          <w:p w14:paraId="6B4CC4B1" w14:textId="77777777" w:rsidR="00797E92" w:rsidRPr="002A13E4" w:rsidRDefault="00797E92" w:rsidP="00797E92">
            <w:pPr>
              <w:jc w:val="center"/>
              <w:rPr>
                <w:color w:val="000000" w:themeColor="text1"/>
                <w:sz w:val="20"/>
                <w:szCs w:val="20"/>
              </w:rPr>
            </w:pPr>
          </w:p>
          <w:p w14:paraId="7B22AE10" w14:textId="77777777" w:rsidR="00797E92" w:rsidRPr="002A13E4" w:rsidRDefault="00797E92" w:rsidP="00797E92">
            <w:pPr>
              <w:jc w:val="center"/>
              <w:rPr>
                <w:color w:val="000000" w:themeColor="text1"/>
                <w:sz w:val="20"/>
                <w:szCs w:val="20"/>
              </w:rPr>
            </w:pPr>
            <w:r w:rsidRPr="002A13E4">
              <w:rPr>
                <w:color w:val="000000" w:themeColor="text1"/>
                <w:sz w:val="20"/>
                <w:szCs w:val="20"/>
              </w:rPr>
              <w:t xml:space="preserve">Failure </w:t>
            </w:r>
          </w:p>
        </w:tc>
        <w:tc>
          <w:tcPr>
            <w:tcW w:w="885" w:type="dxa"/>
            <w:vMerge w:val="restart"/>
            <w:tcBorders>
              <w:top w:val="single" w:sz="4" w:space="0" w:color="auto"/>
            </w:tcBorders>
          </w:tcPr>
          <w:p w14:paraId="6EAFF04B" w14:textId="77777777" w:rsidR="00797E92" w:rsidRPr="002A13E4" w:rsidRDefault="00797E92" w:rsidP="00797E92">
            <w:pPr>
              <w:jc w:val="center"/>
              <w:rPr>
                <w:color w:val="000000" w:themeColor="text1"/>
                <w:sz w:val="20"/>
                <w:szCs w:val="20"/>
              </w:rPr>
            </w:pPr>
          </w:p>
          <w:p w14:paraId="6EA26BB9" w14:textId="77777777" w:rsidR="00797E92" w:rsidRPr="002A13E4" w:rsidRDefault="00797E92" w:rsidP="00797E92">
            <w:pPr>
              <w:jc w:val="center"/>
              <w:rPr>
                <w:color w:val="000000" w:themeColor="text1"/>
                <w:sz w:val="20"/>
                <w:szCs w:val="20"/>
              </w:rPr>
            </w:pPr>
            <w:r w:rsidRPr="002A13E4">
              <w:rPr>
                <w:color w:val="000000" w:themeColor="text1"/>
                <w:sz w:val="20"/>
                <w:szCs w:val="20"/>
              </w:rPr>
              <w:t>Mean</w:t>
            </w:r>
          </w:p>
        </w:tc>
        <w:tc>
          <w:tcPr>
            <w:tcW w:w="1076" w:type="dxa"/>
            <w:vMerge w:val="restart"/>
            <w:tcBorders>
              <w:top w:val="single" w:sz="4" w:space="0" w:color="auto"/>
            </w:tcBorders>
          </w:tcPr>
          <w:p w14:paraId="680B896C" w14:textId="77777777" w:rsidR="00797E92" w:rsidRPr="002A13E4" w:rsidRDefault="00797E92" w:rsidP="00797E92">
            <w:pPr>
              <w:jc w:val="center"/>
              <w:rPr>
                <w:color w:val="000000" w:themeColor="text1"/>
                <w:sz w:val="20"/>
                <w:szCs w:val="20"/>
              </w:rPr>
            </w:pPr>
          </w:p>
          <w:p w14:paraId="1DA3DFC2" w14:textId="77777777" w:rsidR="00797E92" w:rsidRPr="002A13E4" w:rsidRDefault="00797E92" w:rsidP="00797E92">
            <w:pPr>
              <w:jc w:val="center"/>
              <w:rPr>
                <w:color w:val="000000" w:themeColor="text1"/>
                <w:sz w:val="20"/>
                <w:szCs w:val="20"/>
              </w:rPr>
            </w:pPr>
            <w:r w:rsidRPr="002A13E4">
              <w:rPr>
                <w:color w:val="000000" w:themeColor="text1"/>
                <w:sz w:val="20"/>
                <w:szCs w:val="20"/>
              </w:rPr>
              <w:t>Std. Error</w:t>
            </w:r>
          </w:p>
        </w:tc>
        <w:tc>
          <w:tcPr>
            <w:tcW w:w="2927" w:type="dxa"/>
            <w:gridSpan w:val="2"/>
            <w:tcBorders>
              <w:top w:val="single" w:sz="4" w:space="0" w:color="auto"/>
              <w:bottom w:val="single" w:sz="4" w:space="0" w:color="auto"/>
            </w:tcBorders>
          </w:tcPr>
          <w:p w14:paraId="32CBE20E" w14:textId="77777777" w:rsidR="00797E92" w:rsidRPr="002A13E4" w:rsidRDefault="00797E92" w:rsidP="00797E92">
            <w:pPr>
              <w:jc w:val="center"/>
              <w:rPr>
                <w:color w:val="000000" w:themeColor="text1"/>
                <w:sz w:val="20"/>
                <w:szCs w:val="20"/>
              </w:rPr>
            </w:pPr>
            <w:r w:rsidRPr="002A13E4">
              <w:rPr>
                <w:color w:val="000000" w:themeColor="text1"/>
                <w:sz w:val="20"/>
                <w:szCs w:val="20"/>
              </w:rPr>
              <w:t>95% Confidence Interval</w:t>
            </w:r>
          </w:p>
        </w:tc>
      </w:tr>
      <w:tr w:rsidR="00E53644" w:rsidRPr="002A13E4" w14:paraId="224E95D2" w14:textId="77777777" w:rsidTr="00816292">
        <w:trPr>
          <w:trHeight w:val="261"/>
        </w:trPr>
        <w:tc>
          <w:tcPr>
            <w:tcW w:w="2245" w:type="dxa"/>
            <w:vMerge/>
            <w:tcBorders>
              <w:bottom w:val="single" w:sz="4" w:space="0" w:color="auto"/>
            </w:tcBorders>
          </w:tcPr>
          <w:p w14:paraId="2B6209D3"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082" w:type="dxa"/>
            <w:vMerge/>
            <w:tcBorders>
              <w:bottom w:val="single" w:sz="4" w:space="0" w:color="auto"/>
            </w:tcBorders>
          </w:tcPr>
          <w:p w14:paraId="6B1FBC4A"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885" w:type="dxa"/>
            <w:vMerge/>
            <w:tcBorders>
              <w:bottom w:val="single" w:sz="4" w:space="0" w:color="auto"/>
            </w:tcBorders>
          </w:tcPr>
          <w:p w14:paraId="5341BCB4"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076" w:type="dxa"/>
            <w:vMerge/>
            <w:tcBorders>
              <w:bottom w:val="single" w:sz="4" w:space="0" w:color="auto"/>
            </w:tcBorders>
          </w:tcPr>
          <w:p w14:paraId="1BF11B90"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463" w:type="dxa"/>
            <w:tcBorders>
              <w:top w:val="single" w:sz="4" w:space="0" w:color="auto"/>
              <w:bottom w:val="single" w:sz="4" w:space="0" w:color="auto"/>
            </w:tcBorders>
          </w:tcPr>
          <w:p w14:paraId="0BBB1272" w14:textId="77777777" w:rsidR="00797E92" w:rsidRPr="002A13E4" w:rsidRDefault="00797E92" w:rsidP="00797E92">
            <w:pPr>
              <w:jc w:val="center"/>
              <w:rPr>
                <w:color w:val="000000" w:themeColor="text1"/>
                <w:sz w:val="20"/>
                <w:szCs w:val="20"/>
              </w:rPr>
            </w:pPr>
            <w:r w:rsidRPr="002A13E4">
              <w:rPr>
                <w:color w:val="000000" w:themeColor="text1"/>
                <w:sz w:val="20"/>
                <w:szCs w:val="20"/>
              </w:rPr>
              <w:t>Lower Bound</w:t>
            </w:r>
          </w:p>
        </w:tc>
        <w:tc>
          <w:tcPr>
            <w:tcW w:w="1464" w:type="dxa"/>
            <w:tcBorders>
              <w:top w:val="single" w:sz="4" w:space="0" w:color="auto"/>
              <w:bottom w:val="single" w:sz="4" w:space="0" w:color="auto"/>
            </w:tcBorders>
          </w:tcPr>
          <w:p w14:paraId="22BF5C8F" w14:textId="77777777" w:rsidR="00797E92" w:rsidRPr="002A13E4" w:rsidRDefault="00797E92" w:rsidP="00797E92">
            <w:pPr>
              <w:jc w:val="center"/>
              <w:rPr>
                <w:color w:val="000000" w:themeColor="text1"/>
                <w:sz w:val="20"/>
                <w:szCs w:val="20"/>
              </w:rPr>
            </w:pPr>
            <w:r w:rsidRPr="002A13E4">
              <w:rPr>
                <w:color w:val="000000" w:themeColor="text1"/>
                <w:sz w:val="20"/>
                <w:szCs w:val="20"/>
              </w:rPr>
              <w:t>Upper Bound</w:t>
            </w:r>
          </w:p>
        </w:tc>
      </w:tr>
      <w:tr w:rsidR="00E53644" w:rsidRPr="002A13E4" w14:paraId="51AEF723" w14:textId="77777777" w:rsidTr="00816292">
        <w:trPr>
          <w:trHeight w:val="272"/>
        </w:trPr>
        <w:tc>
          <w:tcPr>
            <w:tcW w:w="2245" w:type="dxa"/>
            <w:vMerge w:val="restart"/>
            <w:tcBorders>
              <w:top w:val="single" w:sz="4" w:space="0" w:color="auto"/>
              <w:bottom w:val="single" w:sz="4" w:space="0" w:color="auto"/>
            </w:tcBorders>
          </w:tcPr>
          <w:p w14:paraId="58C9FD6A" w14:textId="77777777" w:rsidR="00797E92" w:rsidRPr="002A13E4" w:rsidRDefault="00797E92" w:rsidP="00797E92">
            <w:pPr>
              <w:rPr>
                <w:color w:val="000000" w:themeColor="text1"/>
                <w:sz w:val="20"/>
                <w:szCs w:val="20"/>
              </w:rPr>
            </w:pPr>
            <w:r w:rsidRPr="002A13E4">
              <w:rPr>
                <w:color w:val="000000" w:themeColor="text1"/>
                <w:sz w:val="20"/>
                <w:szCs w:val="20"/>
              </w:rPr>
              <w:t>Competence-Based Trust</w:t>
            </w:r>
          </w:p>
          <w:p w14:paraId="280C6436" w14:textId="62D71F91" w:rsidR="00797E92" w:rsidRPr="002A13E4" w:rsidRDefault="00797E92" w:rsidP="00797E92">
            <w:pPr>
              <w:rPr>
                <w:color w:val="000000" w:themeColor="text1"/>
                <w:sz w:val="20"/>
                <w:szCs w:val="20"/>
              </w:rPr>
            </w:pPr>
          </w:p>
        </w:tc>
        <w:tc>
          <w:tcPr>
            <w:tcW w:w="1082" w:type="dxa"/>
            <w:tcBorders>
              <w:top w:val="single" w:sz="4" w:space="0" w:color="auto"/>
              <w:bottom w:val="single" w:sz="4" w:space="0" w:color="auto"/>
            </w:tcBorders>
          </w:tcPr>
          <w:p w14:paraId="7E6D3D6F" w14:textId="52C48E24" w:rsidR="00797E92" w:rsidRPr="002A13E4" w:rsidRDefault="00797E92" w:rsidP="00797E92">
            <w:pPr>
              <w:rPr>
                <w:color w:val="000000" w:themeColor="text1"/>
                <w:sz w:val="20"/>
                <w:szCs w:val="20"/>
              </w:rPr>
            </w:pPr>
            <w:r w:rsidRPr="002A13E4">
              <w:rPr>
                <w:color w:val="000000" w:themeColor="text1"/>
                <w:sz w:val="20"/>
                <w:szCs w:val="20"/>
              </w:rPr>
              <w:t xml:space="preserve">Logic </w:t>
            </w:r>
          </w:p>
        </w:tc>
        <w:tc>
          <w:tcPr>
            <w:tcW w:w="885" w:type="dxa"/>
            <w:tcBorders>
              <w:top w:val="single" w:sz="4" w:space="0" w:color="auto"/>
              <w:bottom w:val="single" w:sz="4" w:space="0" w:color="auto"/>
            </w:tcBorders>
          </w:tcPr>
          <w:p w14:paraId="071F5910" w14:textId="4BE56C28"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69</w:t>
            </w:r>
          </w:p>
        </w:tc>
        <w:tc>
          <w:tcPr>
            <w:tcW w:w="1076" w:type="dxa"/>
            <w:tcBorders>
              <w:top w:val="single" w:sz="4" w:space="0" w:color="auto"/>
              <w:bottom w:val="single" w:sz="4" w:space="0" w:color="auto"/>
            </w:tcBorders>
          </w:tcPr>
          <w:p w14:paraId="58A87BA0" w14:textId="48B35441" w:rsidR="00797E92" w:rsidRPr="002A13E4" w:rsidRDefault="00797E92" w:rsidP="00797E92">
            <w:pPr>
              <w:jc w:val="center"/>
              <w:rPr>
                <w:color w:val="000000" w:themeColor="text1"/>
                <w:sz w:val="20"/>
                <w:szCs w:val="20"/>
              </w:rPr>
            </w:pPr>
            <w:r w:rsidRPr="002A13E4">
              <w:rPr>
                <w:color w:val="000000" w:themeColor="text1"/>
                <w:sz w:val="20"/>
                <w:szCs w:val="20"/>
              </w:rPr>
              <w:t>0.1</w:t>
            </w:r>
            <w:r w:rsidR="00E127F2" w:rsidRPr="002A13E4">
              <w:rPr>
                <w:color w:val="000000" w:themeColor="text1"/>
                <w:sz w:val="20"/>
                <w:szCs w:val="20"/>
              </w:rPr>
              <w:t>2</w:t>
            </w:r>
          </w:p>
        </w:tc>
        <w:tc>
          <w:tcPr>
            <w:tcW w:w="1463" w:type="dxa"/>
            <w:tcBorders>
              <w:top w:val="single" w:sz="4" w:space="0" w:color="auto"/>
              <w:bottom w:val="single" w:sz="4" w:space="0" w:color="auto"/>
            </w:tcBorders>
          </w:tcPr>
          <w:p w14:paraId="529B8789" w14:textId="5B096686"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46</w:t>
            </w:r>
          </w:p>
        </w:tc>
        <w:tc>
          <w:tcPr>
            <w:tcW w:w="1464" w:type="dxa"/>
            <w:tcBorders>
              <w:top w:val="single" w:sz="4" w:space="0" w:color="auto"/>
              <w:bottom w:val="single" w:sz="4" w:space="0" w:color="auto"/>
            </w:tcBorders>
          </w:tcPr>
          <w:p w14:paraId="33AB6784" w14:textId="20A0BED4"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92</w:t>
            </w:r>
          </w:p>
        </w:tc>
      </w:tr>
      <w:tr w:rsidR="00E53644" w:rsidRPr="002A13E4" w14:paraId="3E4F926C" w14:textId="77777777" w:rsidTr="00816292">
        <w:trPr>
          <w:trHeight w:val="272"/>
        </w:trPr>
        <w:tc>
          <w:tcPr>
            <w:tcW w:w="2245" w:type="dxa"/>
            <w:vMerge/>
            <w:tcBorders>
              <w:top w:val="single" w:sz="4" w:space="0" w:color="auto"/>
              <w:bottom w:val="single" w:sz="4" w:space="0" w:color="auto"/>
            </w:tcBorders>
          </w:tcPr>
          <w:p w14:paraId="5D074667" w14:textId="6CB3DFB3" w:rsidR="00797E92" w:rsidRPr="002A13E4" w:rsidRDefault="00797E92" w:rsidP="00797E92">
            <w:pPr>
              <w:rPr>
                <w:color w:val="000000" w:themeColor="text1"/>
                <w:sz w:val="20"/>
                <w:szCs w:val="20"/>
              </w:rPr>
            </w:pPr>
          </w:p>
        </w:tc>
        <w:tc>
          <w:tcPr>
            <w:tcW w:w="1082" w:type="dxa"/>
            <w:tcBorders>
              <w:top w:val="single" w:sz="4" w:space="0" w:color="auto"/>
              <w:bottom w:val="single" w:sz="4" w:space="0" w:color="auto"/>
            </w:tcBorders>
          </w:tcPr>
          <w:p w14:paraId="7B24C052" w14:textId="30FA4F5F" w:rsidR="00797E92" w:rsidRPr="002A13E4" w:rsidRDefault="00797E92" w:rsidP="00797E92">
            <w:pPr>
              <w:rPr>
                <w:color w:val="000000" w:themeColor="text1"/>
                <w:sz w:val="20"/>
                <w:szCs w:val="20"/>
              </w:rPr>
            </w:pPr>
            <w:r w:rsidRPr="002A13E4">
              <w:rPr>
                <w:color w:val="000000" w:themeColor="text1"/>
                <w:sz w:val="20"/>
                <w:szCs w:val="20"/>
              </w:rPr>
              <w:t>Semantic</w:t>
            </w:r>
          </w:p>
        </w:tc>
        <w:tc>
          <w:tcPr>
            <w:tcW w:w="885" w:type="dxa"/>
            <w:tcBorders>
              <w:top w:val="single" w:sz="4" w:space="0" w:color="auto"/>
              <w:bottom w:val="single" w:sz="4" w:space="0" w:color="auto"/>
            </w:tcBorders>
          </w:tcPr>
          <w:p w14:paraId="1F8B284C" w14:textId="21E058F7"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37</w:t>
            </w:r>
          </w:p>
        </w:tc>
        <w:tc>
          <w:tcPr>
            <w:tcW w:w="1076" w:type="dxa"/>
            <w:tcBorders>
              <w:top w:val="single" w:sz="4" w:space="0" w:color="auto"/>
              <w:bottom w:val="single" w:sz="4" w:space="0" w:color="auto"/>
            </w:tcBorders>
          </w:tcPr>
          <w:p w14:paraId="3895AF1F" w14:textId="140D485D" w:rsidR="00797E92" w:rsidRPr="002A13E4" w:rsidRDefault="00797E92" w:rsidP="00797E92">
            <w:pPr>
              <w:jc w:val="center"/>
              <w:rPr>
                <w:color w:val="000000" w:themeColor="text1"/>
                <w:sz w:val="20"/>
                <w:szCs w:val="20"/>
              </w:rPr>
            </w:pPr>
            <w:r w:rsidRPr="002A13E4">
              <w:rPr>
                <w:color w:val="000000" w:themeColor="text1"/>
                <w:sz w:val="20"/>
                <w:szCs w:val="20"/>
              </w:rPr>
              <w:t>0.1</w:t>
            </w:r>
            <w:r w:rsidR="00E127F2" w:rsidRPr="002A13E4">
              <w:rPr>
                <w:color w:val="000000" w:themeColor="text1"/>
                <w:sz w:val="20"/>
                <w:szCs w:val="20"/>
              </w:rPr>
              <w:t>2</w:t>
            </w:r>
          </w:p>
        </w:tc>
        <w:tc>
          <w:tcPr>
            <w:tcW w:w="1463" w:type="dxa"/>
            <w:tcBorders>
              <w:top w:val="single" w:sz="4" w:space="0" w:color="auto"/>
              <w:bottom w:val="single" w:sz="4" w:space="0" w:color="auto"/>
            </w:tcBorders>
          </w:tcPr>
          <w:p w14:paraId="616C04FD" w14:textId="3813AEAC" w:rsidR="00797E92" w:rsidRPr="002A13E4" w:rsidRDefault="00797E92" w:rsidP="00797E92">
            <w:pPr>
              <w:jc w:val="center"/>
              <w:rPr>
                <w:color w:val="000000" w:themeColor="text1"/>
                <w:sz w:val="20"/>
                <w:szCs w:val="20"/>
              </w:rPr>
            </w:pPr>
            <w:r w:rsidRPr="002A13E4">
              <w:rPr>
                <w:color w:val="000000" w:themeColor="text1"/>
                <w:sz w:val="20"/>
                <w:szCs w:val="20"/>
              </w:rPr>
              <w:t>7.1</w:t>
            </w:r>
            <w:r w:rsidR="00E127F2" w:rsidRPr="002A13E4">
              <w:rPr>
                <w:color w:val="000000" w:themeColor="text1"/>
                <w:sz w:val="20"/>
                <w:szCs w:val="20"/>
              </w:rPr>
              <w:t>3</w:t>
            </w:r>
          </w:p>
        </w:tc>
        <w:tc>
          <w:tcPr>
            <w:tcW w:w="1464" w:type="dxa"/>
            <w:tcBorders>
              <w:top w:val="single" w:sz="4" w:space="0" w:color="auto"/>
              <w:bottom w:val="single" w:sz="4" w:space="0" w:color="auto"/>
            </w:tcBorders>
          </w:tcPr>
          <w:p w14:paraId="080837C1" w14:textId="20533787"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61</w:t>
            </w:r>
          </w:p>
        </w:tc>
      </w:tr>
      <w:tr w:rsidR="00E53644" w:rsidRPr="002A13E4" w14:paraId="4DFF4FC6" w14:textId="77777777" w:rsidTr="00816292">
        <w:trPr>
          <w:trHeight w:val="272"/>
        </w:trPr>
        <w:tc>
          <w:tcPr>
            <w:tcW w:w="2245" w:type="dxa"/>
            <w:vMerge/>
            <w:tcBorders>
              <w:top w:val="single" w:sz="4" w:space="0" w:color="auto"/>
              <w:bottom w:val="single" w:sz="4" w:space="0" w:color="auto"/>
            </w:tcBorders>
          </w:tcPr>
          <w:p w14:paraId="5239B8CA" w14:textId="4B99B58F" w:rsidR="00797E92" w:rsidRPr="002A13E4" w:rsidRDefault="00797E92" w:rsidP="00797E92">
            <w:pPr>
              <w:rPr>
                <w:color w:val="000000" w:themeColor="text1"/>
                <w:sz w:val="20"/>
                <w:szCs w:val="20"/>
              </w:rPr>
            </w:pPr>
          </w:p>
        </w:tc>
        <w:tc>
          <w:tcPr>
            <w:tcW w:w="1082" w:type="dxa"/>
            <w:tcBorders>
              <w:top w:val="single" w:sz="4" w:space="0" w:color="auto"/>
              <w:bottom w:val="single" w:sz="4" w:space="0" w:color="auto"/>
            </w:tcBorders>
          </w:tcPr>
          <w:p w14:paraId="0B72F979" w14:textId="2A9D588B" w:rsidR="00797E92" w:rsidRPr="002A13E4" w:rsidRDefault="00797E92" w:rsidP="00797E92">
            <w:pPr>
              <w:rPr>
                <w:color w:val="000000" w:themeColor="text1"/>
                <w:sz w:val="20"/>
                <w:szCs w:val="20"/>
              </w:rPr>
            </w:pPr>
            <w:r w:rsidRPr="002A13E4">
              <w:rPr>
                <w:color w:val="000000" w:themeColor="text1"/>
                <w:sz w:val="20"/>
                <w:szCs w:val="20"/>
              </w:rPr>
              <w:t>Syntax</w:t>
            </w:r>
          </w:p>
        </w:tc>
        <w:tc>
          <w:tcPr>
            <w:tcW w:w="885" w:type="dxa"/>
            <w:tcBorders>
              <w:top w:val="single" w:sz="4" w:space="0" w:color="auto"/>
              <w:bottom w:val="single" w:sz="4" w:space="0" w:color="auto"/>
            </w:tcBorders>
          </w:tcPr>
          <w:p w14:paraId="337CFDCC" w14:textId="23973767"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50</w:t>
            </w:r>
          </w:p>
        </w:tc>
        <w:tc>
          <w:tcPr>
            <w:tcW w:w="1076" w:type="dxa"/>
            <w:tcBorders>
              <w:top w:val="single" w:sz="4" w:space="0" w:color="auto"/>
              <w:bottom w:val="single" w:sz="4" w:space="0" w:color="auto"/>
            </w:tcBorders>
          </w:tcPr>
          <w:p w14:paraId="5D21504D" w14:textId="2CFE95D7" w:rsidR="00797E92" w:rsidRPr="002A13E4" w:rsidRDefault="00797E92" w:rsidP="00797E92">
            <w:pPr>
              <w:jc w:val="center"/>
              <w:rPr>
                <w:color w:val="000000" w:themeColor="text1"/>
                <w:sz w:val="20"/>
                <w:szCs w:val="20"/>
              </w:rPr>
            </w:pPr>
            <w:r w:rsidRPr="002A13E4">
              <w:rPr>
                <w:color w:val="000000" w:themeColor="text1"/>
                <w:sz w:val="20"/>
                <w:szCs w:val="20"/>
              </w:rPr>
              <w:t>0.1</w:t>
            </w:r>
            <w:r w:rsidR="00E127F2" w:rsidRPr="002A13E4">
              <w:rPr>
                <w:color w:val="000000" w:themeColor="text1"/>
                <w:sz w:val="20"/>
                <w:szCs w:val="20"/>
              </w:rPr>
              <w:t>2</w:t>
            </w:r>
          </w:p>
        </w:tc>
        <w:tc>
          <w:tcPr>
            <w:tcW w:w="1463" w:type="dxa"/>
            <w:tcBorders>
              <w:top w:val="single" w:sz="4" w:space="0" w:color="auto"/>
              <w:bottom w:val="single" w:sz="4" w:space="0" w:color="auto"/>
            </w:tcBorders>
          </w:tcPr>
          <w:p w14:paraId="621287F7" w14:textId="7CF5084D"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27</w:t>
            </w:r>
          </w:p>
        </w:tc>
        <w:tc>
          <w:tcPr>
            <w:tcW w:w="1464" w:type="dxa"/>
            <w:tcBorders>
              <w:top w:val="single" w:sz="4" w:space="0" w:color="auto"/>
              <w:bottom w:val="single" w:sz="4" w:space="0" w:color="auto"/>
            </w:tcBorders>
          </w:tcPr>
          <w:p w14:paraId="7BF70171" w14:textId="5EE3564E" w:rsidR="00797E92" w:rsidRPr="002A13E4" w:rsidRDefault="00797E92" w:rsidP="00797E92">
            <w:pPr>
              <w:jc w:val="center"/>
              <w:rPr>
                <w:color w:val="000000" w:themeColor="text1"/>
                <w:sz w:val="20"/>
                <w:szCs w:val="20"/>
              </w:rPr>
            </w:pPr>
            <w:r w:rsidRPr="002A13E4">
              <w:rPr>
                <w:color w:val="000000" w:themeColor="text1"/>
                <w:sz w:val="20"/>
                <w:szCs w:val="20"/>
              </w:rPr>
              <w:t>7.</w:t>
            </w:r>
            <w:r w:rsidR="00E127F2" w:rsidRPr="002A13E4">
              <w:rPr>
                <w:color w:val="000000" w:themeColor="text1"/>
                <w:sz w:val="20"/>
                <w:szCs w:val="20"/>
              </w:rPr>
              <w:t>74</w:t>
            </w:r>
          </w:p>
        </w:tc>
      </w:tr>
      <w:tr w:rsidR="00E53644" w:rsidRPr="002A13E4" w14:paraId="207C247B" w14:textId="77777777" w:rsidTr="00816292">
        <w:trPr>
          <w:trHeight w:val="272"/>
        </w:trPr>
        <w:tc>
          <w:tcPr>
            <w:tcW w:w="2245" w:type="dxa"/>
            <w:vMerge w:val="restart"/>
            <w:tcBorders>
              <w:top w:val="single" w:sz="4" w:space="0" w:color="auto"/>
              <w:bottom w:val="single" w:sz="4" w:space="0" w:color="auto"/>
            </w:tcBorders>
          </w:tcPr>
          <w:p w14:paraId="6B013FC5" w14:textId="00D8F447" w:rsidR="00797E92" w:rsidRPr="002A13E4" w:rsidRDefault="00797E92" w:rsidP="00797E92">
            <w:pPr>
              <w:rPr>
                <w:color w:val="000000" w:themeColor="text1"/>
                <w:sz w:val="20"/>
                <w:szCs w:val="20"/>
              </w:rPr>
            </w:pPr>
            <w:r w:rsidRPr="002A13E4">
              <w:rPr>
                <w:color w:val="000000" w:themeColor="text1"/>
                <w:sz w:val="20"/>
                <w:szCs w:val="20"/>
              </w:rPr>
              <w:t>Integrity-Based Trust</w:t>
            </w:r>
          </w:p>
          <w:p w14:paraId="447E6BB7"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082" w:type="dxa"/>
            <w:tcBorders>
              <w:top w:val="single" w:sz="4" w:space="0" w:color="auto"/>
              <w:bottom w:val="single" w:sz="4" w:space="0" w:color="auto"/>
            </w:tcBorders>
          </w:tcPr>
          <w:p w14:paraId="40F7118A" w14:textId="30049249"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r w:rsidRPr="002A13E4">
              <w:rPr>
                <w:color w:val="000000" w:themeColor="text1"/>
                <w:sz w:val="20"/>
                <w:szCs w:val="20"/>
              </w:rPr>
              <w:t xml:space="preserve">Logic </w:t>
            </w:r>
          </w:p>
        </w:tc>
        <w:tc>
          <w:tcPr>
            <w:tcW w:w="885" w:type="dxa"/>
            <w:tcBorders>
              <w:top w:val="single" w:sz="4" w:space="0" w:color="auto"/>
              <w:bottom w:val="single" w:sz="4" w:space="0" w:color="auto"/>
            </w:tcBorders>
          </w:tcPr>
          <w:p w14:paraId="07FF3120" w14:textId="6B41EC05"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35</w:t>
            </w:r>
          </w:p>
        </w:tc>
        <w:tc>
          <w:tcPr>
            <w:tcW w:w="1076" w:type="dxa"/>
            <w:tcBorders>
              <w:top w:val="single" w:sz="4" w:space="0" w:color="auto"/>
              <w:bottom w:val="single" w:sz="4" w:space="0" w:color="auto"/>
            </w:tcBorders>
          </w:tcPr>
          <w:p w14:paraId="640C50AB" w14:textId="3999B94C" w:rsidR="00797E92" w:rsidRPr="002A13E4" w:rsidRDefault="00797E92" w:rsidP="00797E92">
            <w:pPr>
              <w:jc w:val="center"/>
              <w:rPr>
                <w:color w:val="000000" w:themeColor="text1"/>
                <w:sz w:val="20"/>
                <w:szCs w:val="20"/>
              </w:rPr>
            </w:pPr>
            <w:r w:rsidRPr="002A13E4">
              <w:rPr>
                <w:color w:val="000000" w:themeColor="text1"/>
                <w:sz w:val="20"/>
                <w:szCs w:val="20"/>
              </w:rPr>
              <w:t>0.</w:t>
            </w:r>
            <w:r w:rsidR="00E127F2" w:rsidRPr="002A13E4">
              <w:rPr>
                <w:color w:val="000000" w:themeColor="text1"/>
                <w:sz w:val="20"/>
                <w:szCs w:val="20"/>
              </w:rPr>
              <w:t>06</w:t>
            </w:r>
          </w:p>
        </w:tc>
        <w:tc>
          <w:tcPr>
            <w:tcW w:w="1463" w:type="dxa"/>
            <w:tcBorders>
              <w:top w:val="single" w:sz="4" w:space="0" w:color="auto"/>
              <w:bottom w:val="single" w:sz="4" w:space="0" w:color="auto"/>
            </w:tcBorders>
          </w:tcPr>
          <w:p w14:paraId="477FAB3A" w14:textId="25358CF9"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22</w:t>
            </w:r>
          </w:p>
        </w:tc>
        <w:tc>
          <w:tcPr>
            <w:tcW w:w="1464" w:type="dxa"/>
            <w:tcBorders>
              <w:top w:val="single" w:sz="4" w:space="0" w:color="auto"/>
              <w:bottom w:val="single" w:sz="4" w:space="0" w:color="auto"/>
            </w:tcBorders>
          </w:tcPr>
          <w:p w14:paraId="07D8BA9F" w14:textId="2EC658DD" w:rsidR="00797E92" w:rsidRPr="002A13E4" w:rsidRDefault="00797E92" w:rsidP="00797E92">
            <w:pPr>
              <w:jc w:val="center"/>
              <w:rPr>
                <w:color w:val="000000" w:themeColor="text1"/>
                <w:sz w:val="20"/>
                <w:szCs w:val="20"/>
              </w:rPr>
            </w:pPr>
            <w:r w:rsidRPr="002A13E4">
              <w:rPr>
                <w:color w:val="000000" w:themeColor="text1"/>
                <w:sz w:val="20"/>
                <w:szCs w:val="20"/>
              </w:rPr>
              <w:t>4.4</w:t>
            </w:r>
            <w:r w:rsidR="00E127F2" w:rsidRPr="002A13E4">
              <w:rPr>
                <w:color w:val="000000" w:themeColor="text1"/>
                <w:sz w:val="20"/>
                <w:szCs w:val="20"/>
              </w:rPr>
              <w:t>7</w:t>
            </w:r>
          </w:p>
        </w:tc>
      </w:tr>
      <w:tr w:rsidR="00E53644" w:rsidRPr="002A13E4" w14:paraId="71A2BC6E" w14:textId="77777777" w:rsidTr="00816292">
        <w:trPr>
          <w:trHeight w:val="272"/>
        </w:trPr>
        <w:tc>
          <w:tcPr>
            <w:tcW w:w="2245" w:type="dxa"/>
            <w:vMerge/>
            <w:tcBorders>
              <w:top w:val="single" w:sz="4" w:space="0" w:color="auto"/>
              <w:bottom w:val="single" w:sz="4" w:space="0" w:color="auto"/>
            </w:tcBorders>
          </w:tcPr>
          <w:p w14:paraId="0E3F2B14"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082" w:type="dxa"/>
            <w:tcBorders>
              <w:top w:val="single" w:sz="4" w:space="0" w:color="auto"/>
              <w:bottom w:val="single" w:sz="4" w:space="0" w:color="auto"/>
            </w:tcBorders>
          </w:tcPr>
          <w:p w14:paraId="28645DA8" w14:textId="3A6CCE3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r w:rsidRPr="002A13E4">
              <w:rPr>
                <w:color w:val="000000" w:themeColor="text1"/>
                <w:sz w:val="20"/>
                <w:szCs w:val="20"/>
              </w:rPr>
              <w:t>Semantic</w:t>
            </w:r>
          </w:p>
        </w:tc>
        <w:tc>
          <w:tcPr>
            <w:tcW w:w="885" w:type="dxa"/>
            <w:tcBorders>
              <w:top w:val="single" w:sz="4" w:space="0" w:color="auto"/>
              <w:bottom w:val="single" w:sz="4" w:space="0" w:color="auto"/>
            </w:tcBorders>
          </w:tcPr>
          <w:p w14:paraId="4D6FC5AB" w14:textId="2F3DE308"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54</w:t>
            </w:r>
          </w:p>
        </w:tc>
        <w:tc>
          <w:tcPr>
            <w:tcW w:w="1076" w:type="dxa"/>
            <w:tcBorders>
              <w:top w:val="single" w:sz="4" w:space="0" w:color="auto"/>
              <w:bottom w:val="single" w:sz="4" w:space="0" w:color="auto"/>
            </w:tcBorders>
          </w:tcPr>
          <w:p w14:paraId="53FF148D" w14:textId="4B808918" w:rsidR="00797E92" w:rsidRPr="002A13E4" w:rsidRDefault="00797E92" w:rsidP="00797E92">
            <w:pPr>
              <w:jc w:val="center"/>
              <w:rPr>
                <w:color w:val="000000" w:themeColor="text1"/>
                <w:sz w:val="20"/>
                <w:szCs w:val="20"/>
              </w:rPr>
            </w:pPr>
            <w:r w:rsidRPr="002A13E4">
              <w:rPr>
                <w:color w:val="000000" w:themeColor="text1"/>
                <w:sz w:val="20"/>
                <w:szCs w:val="20"/>
              </w:rPr>
              <w:t>0.0</w:t>
            </w:r>
            <w:r w:rsidR="00E127F2" w:rsidRPr="002A13E4">
              <w:rPr>
                <w:color w:val="000000" w:themeColor="text1"/>
                <w:sz w:val="20"/>
                <w:szCs w:val="20"/>
              </w:rPr>
              <w:t>7</w:t>
            </w:r>
          </w:p>
        </w:tc>
        <w:tc>
          <w:tcPr>
            <w:tcW w:w="1463" w:type="dxa"/>
            <w:tcBorders>
              <w:top w:val="single" w:sz="4" w:space="0" w:color="auto"/>
              <w:bottom w:val="single" w:sz="4" w:space="0" w:color="auto"/>
            </w:tcBorders>
          </w:tcPr>
          <w:p w14:paraId="7BC4407B" w14:textId="3DF951AF"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41</w:t>
            </w:r>
          </w:p>
        </w:tc>
        <w:tc>
          <w:tcPr>
            <w:tcW w:w="1464" w:type="dxa"/>
            <w:tcBorders>
              <w:top w:val="single" w:sz="4" w:space="0" w:color="auto"/>
              <w:bottom w:val="single" w:sz="4" w:space="0" w:color="auto"/>
            </w:tcBorders>
          </w:tcPr>
          <w:p w14:paraId="32EAB807" w14:textId="4896F7CD"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67</w:t>
            </w:r>
          </w:p>
        </w:tc>
      </w:tr>
      <w:tr w:rsidR="00E53644" w:rsidRPr="002A13E4" w14:paraId="084766ED" w14:textId="77777777" w:rsidTr="00816292">
        <w:trPr>
          <w:trHeight w:val="272"/>
        </w:trPr>
        <w:tc>
          <w:tcPr>
            <w:tcW w:w="2245" w:type="dxa"/>
            <w:vMerge/>
            <w:tcBorders>
              <w:top w:val="single" w:sz="4" w:space="0" w:color="auto"/>
              <w:bottom w:val="single" w:sz="4" w:space="0" w:color="auto"/>
            </w:tcBorders>
          </w:tcPr>
          <w:p w14:paraId="44ADD99D" w14:textId="77777777"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p>
        </w:tc>
        <w:tc>
          <w:tcPr>
            <w:tcW w:w="1082" w:type="dxa"/>
            <w:tcBorders>
              <w:top w:val="single" w:sz="4" w:space="0" w:color="auto"/>
              <w:bottom w:val="single" w:sz="4" w:space="0" w:color="auto"/>
            </w:tcBorders>
          </w:tcPr>
          <w:p w14:paraId="5C82435C" w14:textId="7B2FE9B2" w:rsidR="00797E92" w:rsidRPr="002A13E4" w:rsidRDefault="00797E92" w:rsidP="00797E92">
            <w:pPr>
              <w:widowControl w:val="0"/>
              <w:pBdr>
                <w:top w:val="nil"/>
                <w:left w:val="nil"/>
                <w:bottom w:val="nil"/>
                <w:right w:val="nil"/>
                <w:between w:val="nil"/>
              </w:pBdr>
              <w:spacing w:line="276" w:lineRule="auto"/>
              <w:rPr>
                <w:color w:val="000000" w:themeColor="text1"/>
                <w:sz w:val="20"/>
                <w:szCs w:val="20"/>
              </w:rPr>
            </w:pPr>
            <w:r w:rsidRPr="002A13E4">
              <w:rPr>
                <w:color w:val="000000" w:themeColor="text1"/>
                <w:sz w:val="20"/>
                <w:szCs w:val="20"/>
              </w:rPr>
              <w:t>Syntax</w:t>
            </w:r>
          </w:p>
        </w:tc>
        <w:tc>
          <w:tcPr>
            <w:tcW w:w="885" w:type="dxa"/>
            <w:tcBorders>
              <w:top w:val="single" w:sz="4" w:space="0" w:color="auto"/>
              <w:bottom w:val="single" w:sz="4" w:space="0" w:color="auto"/>
            </w:tcBorders>
          </w:tcPr>
          <w:p w14:paraId="3579AE12" w14:textId="2623B723" w:rsidR="00797E92" w:rsidRPr="002A13E4" w:rsidRDefault="00797E92" w:rsidP="00797E92">
            <w:pPr>
              <w:jc w:val="center"/>
              <w:rPr>
                <w:color w:val="000000" w:themeColor="text1"/>
                <w:sz w:val="20"/>
                <w:szCs w:val="20"/>
              </w:rPr>
            </w:pPr>
            <w:r w:rsidRPr="002A13E4">
              <w:rPr>
                <w:color w:val="000000" w:themeColor="text1"/>
                <w:sz w:val="20"/>
                <w:szCs w:val="20"/>
              </w:rPr>
              <w:t>4.7</w:t>
            </w:r>
            <w:r w:rsidR="00E127F2" w:rsidRPr="002A13E4">
              <w:rPr>
                <w:color w:val="000000" w:themeColor="text1"/>
                <w:sz w:val="20"/>
                <w:szCs w:val="20"/>
              </w:rPr>
              <w:t>1</w:t>
            </w:r>
          </w:p>
        </w:tc>
        <w:tc>
          <w:tcPr>
            <w:tcW w:w="1076" w:type="dxa"/>
            <w:tcBorders>
              <w:top w:val="single" w:sz="4" w:space="0" w:color="auto"/>
              <w:bottom w:val="single" w:sz="4" w:space="0" w:color="auto"/>
            </w:tcBorders>
          </w:tcPr>
          <w:p w14:paraId="1817AD7A" w14:textId="1D0DE321" w:rsidR="00797E92" w:rsidRPr="002A13E4" w:rsidRDefault="00797E92" w:rsidP="00797E92">
            <w:pPr>
              <w:jc w:val="center"/>
              <w:rPr>
                <w:color w:val="000000" w:themeColor="text1"/>
                <w:sz w:val="20"/>
                <w:szCs w:val="20"/>
              </w:rPr>
            </w:pPr>
            <w:r w:rsidRPr="002A13E4">
              <w:rPr>
                <w:color w:val="000000" w:themeColor="text1"/>
                <w:sz w:val="20"/>
                <w:szCs w:val="20"/>
              </w:rPr>
              <w:t>0.0</w:t>
            </w:r>
            <w:r w:rsidR="00E127F2" w:rsidRPr="002A13E4">
              <w:rPr>
                <w:color w:val="000000" w:themeColor="text1"/>
                <w:sz w:val="20"/>
                <w:szCs w:val="20"/>
              </w:rPr>
              <w:t>7</w:t>
            </w:r>
          </w:p>
        </w:tc>
        <w:tc>
          <w:tcPr>
            <w:tcW w:w="1463" w:type="dxa"/>
            <w:tcBorders>
              <w:top w:val="single" w:sz="4" w:space="0" w:color="auto"/>
              <w:bottom w:val="single" w:sz="4" w:space="0" w:color="auto"/>
            </w:tcBorders>
          </w:tcPr>
          <w:p w14:paraId="5F66D8FE" w14:textId="7EBD9F8C" w:rsidR="00797E92" w:rsidRPr="002A13E4" w:rsidRDefault="00797E92" w:rsidP="00797E92">
            <w:pPr>
              <w:jc w:val="center"/>
              <w:rPr>
                <w:color w:val="000000" w:themeColor="text1"/>
                <w:sz w:val="20"/>
                <w:szCs w:val="20"/>
              </w:rPr>
            </w:pPr>
            <w:r w:rsidRPr="002A13E4">
              <w:rPr>
                <w:color w:val="000000" w:themeColor="text1"/>
                <w:sz w:val="20"/>
                <w:szCs w:val="20"/>
              </w:rPr>
              <w:t>4.</w:t>
            </w:r>
            <w:r w:rsidR="00E127F2" w:rsidRPr="002A13E4">
              <w:rPr>
                <w:color w:val="000000" w:themeColor="text1"/>
                <w:sz w:val="20"/>
                <w:szCs w:val="20"/>
              </w:rPr>
              <w:t>58</w:t>
            </w:r>
          </w:p>
        </w:tc>
        <w:tc>
          <w:tcPr>
            <w:tcW w:w="1464" w:type="dxa"/>
            <w:tcBorders>
              <w:top w:val="single" w:sz="4" w:space="0" w:color="auto"/>
              <w:bottom w:val="single" w:sz="4" w:space="0" w:color="auto"/>
            </w:tcBorders>
          </w:tcPr>
          <w:p w14:paraId="079F608B" w14:textId="254FCDBB" w:rsidR="00797E92" w:rsidRPr="002A13E4" w:rsidRDefault="00797E92" w:rsidP="00797E92">
            <w:pPr>
              <w:jc w:val="center"/>
              <w:rPr>
                <w:color w:val="000000" w:themeColor="text1"/>
                <w:sz w:val="20"/>
                <w:szCs w:val="20"/>
              </w:rPr>
            </w:pPr>
            <w:r w:rsidRPr="002A13E4">
              <w:rPr>
                <w:color w:val="000000" w:themeColor="text1"/>
                <w:sz w:val="20"/>
                <w:szCs w:val="20"/>
              </w:rPr>
              <w:t>4.8</w:t>
            </w:r>
            <w:r w:rsidR="00E127F2" w:rsidRPr="002A13E4">
              <w:rPr>
                <w:color w:val="000000" w:themeColor="text1"/>
                <w:sz w:val="20"/>
                <w:szCs w:val="20"/>
              </w:rPr>
              <w:t>4</w:t>
            </w:r>
          </w:p>
        </w:tc>
      </w:tr>
    </w:tbl>
    <w:p w14:paraId="36444EF1" w14:textId="598A2ECF" w:rsidR="00797E92" w:rsidRPr="002A13E4" w:rsidRDefault="00797E92" w:rsidP="00797E92">
      <w:pPr>
        <w:rPr>
          <w:color w:val="000000" w:themeColor="text1"/>
          <w:sz w:val="22"/>
          <w:szCs w:val="22"/>
        </w:rPr>
      </w:pPr>
      <w:r w:rsidRPr="002A13E4">
        <w:rPr>
          <w:i/>
          <w:iCs/>
          <w:color w:val="000000" w:themeColor="text1"/>
          <w:sz w:val="22"/>
          <w:szCs w:val="22"/>
        </w:rPr>
        <w:t>Notes.</w:t>
      </w:r>
      <w:r w:rsidRPr="002A13E4">
        <w:rPr>
          <w:color w:val="000000" w:themeColor="text1"/>
          <w:sz w:val="22"/>
          <w:szCs w:val="22"/>
        </w:rPr>
        <w:t xml:space="preserve"> </w:t>
      </w:r>
      <w:r w:rsidR="00816292" w:rsidRPr="002A13E4">
        <w:rPr>
          <w:color w:val="000000" w:themeColor="text1"/>
          <w:sz w:val="22"/>
          <w:szCs w:val="22"/>
        </w:rPr>
        <w:t>C</w:t>
      </w:r>
      <w:r w:rsidRPr="002A13E4">
        <w:rPr>
          <w:color w:val="000000" w:themeColor="text1"/>
          <w:sz w:val="22"/>
          <w:szCs w:val="22"/>
        </w:rPr>
        <w:t>ovariates appearing in the model are evaluated at the following values: propensity to trust = 3.</w:t>
      </w:r>
      <w:r w:rsidR="00E127F2" w:rsidRPr="002A13E4">
        <w:rPr>
          <w:color w:val="000000" w:themeColor="text1"/>
          <w:sz w:val="22"/>
          <w:szCs w:val="22"/>
        </w:rPr>
        <w:t>25</w:t>
      </w:r>
      <w:r w:rsidRPr="002A13E4">
        <w:rPr>
          <w:color w:val="000000" w:themeColor="text1"/>
          <w:sz w:val="22"/>
          <w:szCs w:val="22"/>
        </w:rPr>
        <w:t>, entity beliefs = 2.</w:t>
      </w:r>
      <w:r w:rsidR="00816292" w:rsidRPr="002A13E4">
        <w:rPr>
          <w:color w:val="000000" w:themeColor="text1"/>
          <w:sz w:val="22"/>
          <w:szCs w:val="22"/>
        </w:rPr>
        <w:t>96</w:t>
      </w:r>
      <w:r w:rsidRPr="002A13E4">
        <w:rPr>
          <w:color w:val="000000" w:themeColor="text1"/>
          <w:sz w:val="22"/>
          <w:szCs w:val="22"/>
        </w:rPr>
        <w:t xml:space="preserve">. </w:t>
      </w:r>
    </w:p>
    <w:p w14:paraId="759539E8" w14:textId="660F08B3" w:rsidR="00982B0A" w:rsidRDefault="00982B0A">
      <w:pPr>
        <w:rPr>
          <w:color w:val="000000" w:themeColor="text1"/>
          <w:sz w:val="22"/>
          <w:szCs w:val="22"/>
        </w:rPr>
      </w:pPr>
      <w:r>
        <w:rPr>
          <w:color w:val="000000" w:themeColor="text1"/>
          <w:sz w:val="22"/>
          <w:szCs w:val="22"/>
        </w:rPr>
        <w:br w:type="page"/>
      </w:r>
    </w:p>
    <w:p w14:paraId="78DB689F" w14:textId="3E8031F3" w:rsidR="00797E92" w:rsidRPr="002A13E4" w:rsidRDefault="00797E92" w:rsidP="00797E92">
      <w:pPr>
        <w:spacing w:line="480" w:lineRule="auto"/>
        <w:rPr>
          <w:b/>
          <w:color w:val="000000" w:themeColor="text1"/>
        </w:rPr>
      </w:pPr>
      <w:r w:rsidRPr="002A13E4">
        <w:rPr>
          <w:b/>
          <w:color w:val="000000" w:themeColor="text1"/>
        </w:rPr>
        <w:lastRenderedPageBreak/>
        <w:t>Table 7</w:t>
      </w:r>
    </w:p>
    <w:p w14:paraId="144998F8" w14:textId="6FD99482" w:rsidR="00797E92" w:rsidRPr="002A13E4" w:rsidRDefault="00797E92" w:rsidP="00797E92">
      <w:pPr>
        <w:spacing w:line="480" w:lineRule="auto"/>
        <w:rPr>
          <w:i/>
          <w:color w:val="000000" w:themeColor="text1"/>
        </w:rPr>
      </w:pPr>
      <w:r w:rsidRPr="002A13E4">
        <w:rPr>
          <w:i/>
          <w:color w:val="000000" w:themeColor="text1"/>
        </w:rPr>
        <w:t xml:space="preserve">Pairwise Comparisons for </w:t>
      </w:r>
      <w:r w:rsidR="00816292" w:rsidRPr="002A13E4">
        <w:rPr>
          <w:i/>
          <w:color w:val="000000" w:themeColor="text1"/>
        </w:rPr>
        <w:t xml:space="preserve">Two Types of Trust </w:t>
      </w:r>
      <w:r w:rsidRPr="002A13E4">
        <w:rPr>
          <w:i/>
          <w:color w:val="000000" w:themeColor="text1"/>
        </w:rPr>
        <w:t>Under Three Failure Types</w:t>
      </w:r>
    </w:p>
    <w:tbl>
      <w:tblPr>
        <w:tblStyle w:val="a3"/>
        <w:tblW w:w="9029"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350"/>
        <w:gridCol w:w="990"/>
        <w:gridCol w:w="1020"/>
        <w:gridCol w:w="1057"/>
        <w:gridCol w:w="893"/>
        <w:gridCol w:w="836"/>
        <w:gridCol w:w="1441"/>
        <w:gridCol w:w="1442"/>
      </w:tblGrid>
      <w:tr w:rsidR="00E53644" w:rsidRPr="002A13E4" w14:paraId="69E976D4" w14:textId="77777777" w:rsidTr="00BA3284">
        <w:trPr>
          <w:trHeight w:val="237"/>
        </w:trPr>
        <w:tc>
          <w:tcPr>
            <w:tcW w:w="1350" w:type="dxa"/>
            <w:vMerge w:val="restart"/>
            <w:tcBorders>
              <w:top w:val="single" w:sz="4" w:space="0" w:color="000000"/>
            </w:tcBorders>
          </w:tcPr>
          <w:p w14:paraId="667E29A6" w14:textId="77777777" w:rsidR="00816292" w:rsidRPr="002A13E4" w:rsidRDefault="00816292" w:rsidP="00797E92">
            <w:pPr>
              <w:jc w:val="center"/>
              <w:rPr>
                <w:color w:val="000000" w:themeColor="text1"/>
                <w:sz w:val="20"/>
                <w:szCs w:val="20"/>
              </w:rPr>
            </w:pPr>
          </w:p>
          <w:p w14:paraId="1110B10E" w14:textId="77777777" w:rsidR="00816292" w:rsidRPr="002A13E4" w:rsidRDefault="00816292" w:rsidP="00797E92">
            <w:pPr>
              <w:jc w:val="center"/>
              <w:rPr>
                <w:color w:val="000000" w:themeColor="text1"/>
                <w:sz w:val="20"/>
                <w:szCs w:val="20"/>
              </w:rPr>
            </w:pPr>
            <w:r w:rsidRPr="002A13E4">
              <w:rPr>
                <w:color w:val="000000" w:themeColor="text1"/>
                <w:sz w:val="20"/>
                <w:szCs w:val="20"/>
              </w:rPr>
              <w:t>Dependent Variable</w:t>
            </w:r>
          </w:p>
        </w:tc>
        <w:tc>
          <w:tcPr>
            <w:tcW w:w="990" w:type="dxa"/>
            <w:vMerge w:val="restart"/>
            <w:tcBorders>
              <w:top w:val="single" w:sz="4" w:space="0" w:color="000000"/>
            </w:tcBorders>
          </w:tcPr>
          <w:p w14:paraId="5E373018" w14:textId="77777777" w:rsidR="00816292" w:rsidRPr="002A13E4" w:rsidRDefault="00816292" w:rsidP="00797E92">
            <w:pPr>
              <w:jc w:val="center"/>
              <w:rPr>
                <w:color w:val="000000" w:themeColor="text1"/>
                <w:sz w:val="20"/>
                <w:szCs w:val="20"/>
              </w:rPr>
            </w:pPr>
          </w:p>
          <w:p w14:paraId="063CECE7" w14:textId="77777777" w:rsidR="00816292" w:rsidRPr="002A13E4" w:rsidRDefault="00816292" w:rsidP="00797E92">
            <w:pPr>
              <w:jc w:val="center"/>
              <w:rPr>
                <w:color w:val="000000" w:themeColor="text1"/>
                <w:sz w:val="20"/>
                <w:szCs w:val="20"/>
              </w:rPr>
            </w:pPr>
          </w:p>
          <w:p w14:paraId="6A5907C6" w14:textId="0FFC31A5" w:rsidR="00816292" w:rsidRPr="002A13E4" w:rsidRDefault="00816292" w:rsidP="00797E92">
            <w:pPr>
              <w:jc w:val="center"/>
              <w:rPr>
                <w:color w:val="000000" w:themeColor="text1"/>
                <w:sz w:val="20"/>
                <w:szCs w:val="20"/>
              </w:rPr>
            </w:pPr>
            <w:r w:rsidRPr="002A13E4">
              <w:rPr>
                <w:color w:val="000000" w:themeColor="text1"/>
                <w:sz w:val="20"/>
                <w:szCs w:val="20"/>
              </w:rPr>
              <w:t xml:space="preserve">(I) Failure </w:t>
            </w:r>
          </w:p>
        </w:tc>
        <w:tc>
          <w:tcPr>
            <w:tcW w:w="1020" w:type="dxa"/>
            <w:vMerge w:val="restart"/>
            <w:tcBorders>
              <w:top w:val="single" w:sz="4" w:space="0" w:color="000000"/>
            </w:tcBorders>
          </w:tcPr>
          <w:p w14:paraId="748C170F" w14:textId="77777777" w:rsidR="00816292" w:rsidRPr="002A13E4" w:rsidRDefault="00816292" w:rsidP="00797E92">
            <w:pPr>
              <w:jc w:val="center"/>
              <w:rPr>
                <w:color w:val="000000" w:themeColor="text1"/>
                <w:sz w:val="20"/>
                <w:szCs w:val="20"/>
              </w:rPr>
            </w:pPr>
          </w:p>
          <w:p w14:paraId="3D5D9C60" w14:textId="77777777" w:rsidR="00816292" w:rsidRPr="002A13E4" w:rsidRDefault="00816292" w:rsidP="00797E92">
            <w:pPr>
              <w:jc w:val="center"/>
              <w:rPr>
                <w:color w:val="000000" w:themeColor="text1"/>
                <w:sz w:val="20"/>
                <w:szCs w:val="20"/>
              </w:rPr>
            </w:pPr>
          </w:p>
          <w:p w14:paraId="4B44E784" w14:textId="2B6D1BF4" w:rsidR="00816292" w:rsidRPr="002A13E4" w:rsidRDefault="00816292" w:rsidP="00797E92">
            <w:pPr>
              <w:jc w:val="center"/>
              <w:rPr>
                <w:color w:val="000000" w:themeColor="text1"/>
                <w:sz w:val="20"/>
                <w:szCs w:val="20"/>
              </w:rPr>
            </w:pPr>
            <w:r w:rsidRPr="002A13E4">
              <w:rPr>
                <w:color w:val="000000" w:themeColor="text1"/>
                <w:sz w:val="20"/>
                <w:szCs w:val="20"/>
              </w:rPr>
              <w:t>(J) Failure</w:t>
            </w:r>
          </w:p>
        </w:tc>
        <w:tc>
          <w:tcPr>
            <w:tcW w:w="1057" w:type="dxa"/>
            <w:vMerge w:val="restart"/>
            <w:tcBorders>
              <w:top w:val="single" w:sz="4" w:space="0" w:color="000000"/>
            </w:tcBorders>
          </w:tcPr>
          <w:p w14:paraId="2D728839" w14:textId="77777777" w:rsidR="00816292" w:rsidRPr="002A13E4" w:rsidRDefault="00816292" w:rsidP="00797E92">
            <w:pPr>
              <w:jc w:val="center"/>
              <w:rPr>
                <w:rFonts w:ascii="SimSun" w:eastAsia="SimSun" w:hAnsi="SimSun" w:cs="SimSun"/>
                <w:color w:val="000000" w:themeColor="text1"/>
                <w:sz w:val="20"/>
                <w:szCs w:val="20"/>
              </w:rPr>
            </w:pPr>
            <w:r w:rsidRPr="002A13E4">
              <w:rPr>
                <w:color w:val="000000" w:themeColor="text1"/>
                <w:sz w:val="20"/>
                <w:szCs w:val="20"/>
              </w:rPr>
              <w:t xml:space="preserve">Mean Difference </w:t>
            </w:r>
            <w:r w:rsidRPr="002A13E4">
              <w:rPr>
                <w:rFonts w:ascii="SimSun" w:eastAsia="SimSun" w:hAnsi="SimSun" w:cs="SimSun"/>
                <w:color w:val="000000" w:themeColor="text1"/>
                <w:sz w:val="20"/>
                <w:szCs w:val="20"/>
              </w:rPr>
              <w:t>（</w:t>
            </w:r>
            <w:r w:rsidRPr="002A13E4">
              <w:rPr>
                <w:color w:val="000000" w:themeColor="text1"/>
                <w:sz w:val="20"/>
                <w:szCs w:val="20"/>
              </w:rPr>
              <w:t>I-J</w:t>
            </w:r>
            <w:r w:rsidRPr="002A13E4">
              <w:rPr>
                <w:rFonts w:ascii="SimSun" w:eastAsia="SimSun" w:hAnsi="SimSun" w:cs="SimSun"/>
                <w:color w:val="000000" w:themeColor="text1"/>
                <w:sz w:val="20"/>
                <w:szCs w:val="20"/>
              </w:rPr>
              <w:t>）</w:t>
            </w:r>
          </w:p>
        </w:tc>
        <w:tc>
          <w:tcPr>
            <w:tcW w:w="893" w:type="dxa"/>
            <w:vMerge w:val="restart"/>
            <w:tcBorders>
              <w:top w:val="single" w:sz="4" w:space="0" w:color="000000"/>
            </w:tcBorders>
          </w:tcPr>
          <w:p w14:paraId="1DE0C14F" w14:textId="77777777" w:rsidR="00816292" w:rsidRPr="002A13E4" w:rsidRDefault="00816292" w:rsidP="00797E92">
            <w:pPr>
              <w:jc w:val="center"/>
              <w:rPr>
                <w:color w:val="000000" w:themeColor="text1"/>
                <w:sz w:val="20"/>
                <w:szCs w:val="20"/>
              </w:rPr>
            </w:pPr>
          </w:p>
          <w:p w14:paraId="5264BBEE" w14:textId="77777777" w:rsidR="00816292" w:rsidRPr="002A13E4" w:rsidRDefault="00816292" w:rsidP="00797E92">
            <w:pPr>
              <w:jc w:val="center"/>
              <w:rPr>
                <w:color w:val="000000" w:themeColor="text1"/>
                <w:sz w:val="20"/>
                <w:szCs w:val="20"/>
              </w:rPr>
            </w:pPr>
          </w:p>
          <w:p w14:paraId="7D8A7731" w14:textId="77777777" w:rsidR="00816292" w:rsidRPr="002A13E4" w:rsidRDefault="00816292" w:rsidP="00797E92">
            <w:pPr>
              <w:jc w:val="center"/>
              <w:rPr>
                <w:color w:val="000000" w:themeColor="text1"/>
                <w:sz w:val="20"/>
                <w:szCs w:val="20"/>
              </w:rPr>
            </w:pPr>
            <w:r w:rsidRPr="002A13E4">
              <w:rPr>
                <w:color w:val="000000" w:themeColor="text1"/>
                <w:sz w:val="20"/>
                <w:szCs w:val="20"/>
              </w:rPr>
              <w:t>Std. Error</w:t>
            </w:r>
          </w:p>
        </w:tc>
        <w:tc>
          <w:tcPr>
            <w:tcW w:w="836" w:type="dxa"/>
            <w:vMerge w:val="restart"/>
            <w:tcBorders>
              <w:top w:val="single" w:sz="4" w:space="0" w:color="000000"/>
            </w:tcBorders>
          </w:tcPr>
          <w:p w14:paraId="440B9BEB" w14:textId="77777777" w:rsidR="00816292" w:rsidRPr="002A13E4" w:rsidRDefault="00816292" w:rsidP="00797E92">
            <w:pPr>
              <w:jc w:val="center"/>
              <w:rPr>
                <w:color w:val="000000" w:themeColor="text1"/>
                <w:sz w:val="20"/>
                <w:szCs w:val="20"/>
              </w:rPr>
            </w:pPr>
          </w:p>
          <w:p w14:paraId="0C696FCC" w14:textId="77777777" w:rsidR="00816292" w:rsidRPr="002A13E4" w:rsidRDefault="00816292" w:rsidP="00797E92">
            <w:pPr>
              <w:jc w:val="center"/>
              <w:rPr>
                <w:color w:val="000000" w:themeColor="text1"/>
                <w:sz w:val="20"/>
                <w:szCs w:val="20"/>
              </w:rPr>
            </w:pPr>
          </w:p>
          <w:p w14:paraId="43F2AE64" w14:textId="77777777" w:rsidR="00816292" w:rsidRPr="002A13E4" w:rsidRDefault="00816292" w:rsidP="00797E92">
            <w:pPr>
              <w:jc w:val="center"/>
              <w:rPr>
                <w:color w:val="000000" w:themeColor="text1"/>
                <w:sz w:val="20"/>
                <w:szCs w:val="20"/>
              </w:rPr>
            </w:pPr>
            <w:proofErr w:type="spellStart"/>
            <w:r w:rsidRPr="002A13E4">
              <w:rPr>
                <w:color w:val="000000" w:themeColor="text1"/>
                <w:sz w:val="20"/>
                <w:szCs w:val="20"/>
              </w:rPr>
              <w:t>Sig.</w:t>
            </w:r>
            <w:r w:rsidRPr="002A13E4">
              <w:rPr>
                <w:color w:val="000000" w:themeColor="text1"/>
                <w:sz w:val="20"/>
                <w:szCs w:val="20"/>
                <w:vertAlign w:val="superscript"/>
              </w:rPr>
              <w:t>b</w:t>
            </w:r>
            <w:proofErr w:type="spellEnd"/>
          </w:p>
        </w:tc>
        <w:tc>
          <w:tcPr>
            <w:tcW w:w="2883" w:type="dxa"/>
            <w:gridSpan w:val="2"/>
            <w:tcBorders>
              <w:top w:val="single" w:sz="4" w:space="0" w:color="000000"/>
              <w:bottom w:val="single" w:sz="4" w:space="0" w:color="000000"/>
            </w:tcBorders>
          </w:tcPr>
          <w:p w14:paraId="5018FE88" w14:textId="77777777" w:rsidR="00816292" w:rsidRPr="002A13E4" w:rsidRDefault="00816292" w:rsidP="00797E92">
            <w:pPr>
              <w:jc w:val="center"/>
              <w:rPr>
                <w:color w:val="000000" w:themeColor="text1"/>
                <w:sz w:val="20"/>
                <w:szCs w:val="20"/>
              </w:rPr>
            </w:pPr>
            <w:r w:rsidRPr="002A13E4">
              <w:rPr>
                <w:color w:val="000000" w:themeColor="text1"/>
                <w:sz w:val="20"/>
                <w:szCs w:val="20"/>
              </w:rPr>
              <w:t>95% Confidence Interval for Differences</w:t>
            </w:r>
          </w:p>
        </w:tc>
      </w:tr>
      <w:tr w:rsidR="00E53644" w:rsidRPr="002A13E4" w14:paraId="7737673A" w14:textId="77777777" w:rsidTr="00BA3284">
        <w:trPr>
          <w:trHeight w:val="285"/>
        </w:trPr>
        <w:tc>
          <w:tcPr>
            <w:tcW w:w="1350" w:type="dxa"/>
            <w:vMerge/>
            <w:tcBorders>
              <w:top w:val="single" w:sz="4" w:space="0" w:color="000000"/>
            </w:tcBorders>
          </w:tcPr>
          <w:p w14:paraId="3C809189"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990" w:type="dxa"/>
            <w:vMerge/>
            <w:tcBorders>
              <w:top w:val="single" w:sz="4" w:space="0" w:color="000000"/>
            </w:tcBorders>
          </w:tcPr>
          <w:p w14:paraId="05336DA6"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1020" w:type="dxa"/>
            <w:vMerge/>
            <w:tcBorders>
              <w:top w:val="single" w:sz="4" w:space="0" w:color="000000"/>
            </w:tcBorders>
          </w:tcPr>
          <w:p w14:paraId="21023BD8"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1057" w:type="dxa"/>
            <w:vMerge/>
            <w:tcBorders>
              <w:top w:val="single" w:sz="4" w:space="0" w:color="000000"/>
            </w:tcBorders>
          </w:tcPr>
          <w:p w14:paraId="6DBE8C55"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893" w:type="dxa"/>
            <w:vMerge/>
            <w:tcBorders>
              <w:top w:val="single" w:sz="4" w:space="0" w:color="000000"/>
            </w:tcBorders>
          </w:tcPr>
          <w:p w14:paraId="421A81EE"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836" w:type="dxa"/>
            <w:vMerge/>
            <w:tcBorders>
              <w:top w:val="single" w:sz="4" w:space="0" w:color="000000"/>
            </w:tcBorders>
          </w:tcPr>
          <w:p w14:paraId="0DF7546A" w14:textId="77777777" w:rsidR="00816292" w:rsidRPr="002A13E4" w:rsidRDefault="00816292" w:rsidP="00797E92">
            <w:pPr>
              <w:widowControl w:val="0"/>
              <w:pBdr>
                <w:top w:val="nil"/>
                <w:left w:val="nil"/>
                <w:bottom w:val="nil"/>
                <w:right w:val="nil"/>
                <w:between w:val="nil"/>
              </w:pBdr>
              <w:spacing w:line="276" w:lineRule="auto"/>
              <w:rPr>
                <w:color w:val="000000" w:themeColor="text1"/>
                <w:sz w:val="20"/>
                <w:szCs w:val="20"/>
              </w:rPr>
            </w:pPr>
          </w:p>
        </w:tc>
        <w:tc>
          <w:tcPr>
            <w:tcW w:w="1441" w:type="dxa"/>
            <w:tcBorders>
              <w:top w:val="single" w:sz="4" w:space="0" w:color="000000"/>
              <w:bottom w:val="single" w:sz="4" w:space="0" w:color="000000"/>
            </w:tcBorders>
          </w:tcPr>
          <w:p w14:paraId="646E2EE3" w14:textId="77777777" w:rsidR="00816292" w:rsidRPr="002A13E4" w:rsidRDefault="00816292" w:rsidP="00797E92">
            <w:pPr>
              <w:jc w:val="center"/>
              <w:rPr>
                <w:color w:val="000000" w:themeColor="text1"/>
                <w:sz w:val="20"/>
                <w:szCs w:val="20"/>
              </w:rPr>
            </w:pPr>
            <w:r w:rsidRPr="002A13E4">
              <w:rPr>
                <w:color w:val="000000" w:themeColor="text1"/>
                <w:sz w:val="20"/>
                <w:szCs w:val="20"/>
              </w:rPr>
              <w:t>Lower Bound</w:t>
            </w:r>
          </w:p>
        </w:tc>
        <w:tc>
          <w:tcPr>
            <w:tcW w:w="1442" w:type="dxa"/>
            <w:tcBorders>
              <w:top w:val="single" w:sz="4" w:space="0" w:color="000000"/>
              <w:bottom w:val="single" w:sz="4" w:space="0" w:color="000000"/>
            </w:tcBorders>
          </w:tcPr>
          <w:p w14:paraId="7209A622" w14:textId="77777777" w:rsidR="00816292" w:rsidRPr="002A13E4" w:rsidRDefault="00816292" w:rsidP="00797E92">
            <w:pPr>
              <w:jc w:val="center"/>
              <w:rPr>
                <w:color w:val="000000" w:themeColor="text1"/>
                <w:sz w:val="20"/>
                <w:szCs w:val="20"/>
              </w:rPr>
            </w:pPr>
            <w:r w:rsidRPr="002A13E4">
              <w:rPr>
                <w:color w:val="000000" w:themeColor="text1"/>
                <w:sz w:val="20"/>
                <w:szCs w:val="20"/>
              </w:rPr>
              <w:t>Upper Bound</w:t>
            </w:r>
          </w:p>
        </w:tc>
      </w:tr>
      <w:tr w:rsidR="00E53644" w:rsidRPr="002A13E4" w14:paraId="516167DF" w14:textId="77777777" w:rsidTr="00BA3284">
        <w:trPr>
          <w:trHeight w:val="237"/>
        </w:trPr>
        <w:tc>
          <w:tcPr>
            <w:tcW w:w="1350" w:type="dxa"/>
            <w:vMerge w:val="restart"/>
            <w:tcBorders>
              <w:top w:val="single" w:sz="4" w:space="0" w:color="000000"/>
            </w:tcBorders>
          </w:tcPr>
          <w:p w14:paraId="0176A176" w14:textId="02AA49E5" w:rsidR="00816292" w:rsidRPr="002A13E4" w:rsidRDefault="00816292" w:rsidP="00797E92">
            <w:pPr>
              <w:rPr>
                <w:color w:val="000000" w:themeColor="text1"/>
                <w:sz w:val="20"/>
                <w:szCs w:val="20"/>
              </w:rPr>
            </w:pPr>
            <w:r w:rsidRPr="002A13E4">
              <w:rPr>
                <w:color w:val="000000" w:themeColor="text1"/>
                <w:sz w:val="20"/>
                <w:szCs w:val="20"/>
              </w:rPr>
              <w:t>Competence-Based Trust</w:t>
            </w:r>
          </w:p>
        </w:tc>
        <w:tc>
          <w:tcPr>
            <w:tcW w:w="990" w:type="dxa"/>
            <w:tcBorders>
              <w:top w:val="single" w:sz="4" w:space="0" w:color="000000"/>
              <w:bottom w:val="single" w:sz="4" w:space="0" w:color="000000"/>
            </w:tcBorders>
          </w:tcPr>
          <w:p w14:paraId="3C5EE44A" w14:textId="2520EE8A" w:rsidR="00816292" w:rsidRPr="002A13E4" w:rsidRDefault="00816292" w:rsidP="00797E92">
            <w:pPr>
              <w:rPr>
                <w:color w:val="000000" w:themeColor="text1"/>
                <w:sz w:val="20"/>
                <w:szCs w:val="20"/>
              </w:rPr>
            </w:pPr>
            <w:r w:rsidRPr="002A13E4">
              <w:rPr>
                <w:color w:val="000000" w:themeColor="text1"/>
                <w:sz w:val="20"/>
                <w:szCs w:val="20"/>
              </w:rPr>
              <w:t>Logic</w:t>
            </w:r>
          </w:p>
        </w:tc>
        <w:tc>
          <w:tcPr>
            <w:tcW w:w="1020" w:type="dxa"/>
            <w:tcBorders>
              <w:top w:val="single" w:sz="4" w:space="0" w:color="000000"/>
              <w:bottom w:val="single" w:sz="4" w:space="0" w:color="000000"/>
            </w:tcBorders>
          </w:tcPr>
          <w:p w14:paraId="1F68D116" w14:textId="0D6271CD" w:rsidR="00816292" w:rsidRPr="002A13E4" w:rsidRDefault="00816292" w:rsidP="00797E92">
            <w:pPr>
              <w:jc w:val="center"/>
              <w:rPr>
                <w:color w:val="000000" w:themeColor="text1"/>
                <w:sz w:val="20"/>
                <w:szCs w:val="20"/>
              </w:rPr>
            </w:pPr>
            <w:r w:rsidRPr="002A13E4">
              <w:rPr>
                <w:color w:val="000000" w:themeColor="text1"/>
                <w:sz w:val="20"/>
                <w:szCs w:val="20"/>
              </w:rPr>
              <w:t>Semantic</w:t>
            </w:r>
          </w:p>
        </w:tc>
        <w:tc>
          <w:tcPr>
            <w:tcW w:w="1057" w:type="dxa"/>
            <w:tcBorders>
              <w:top w:val="single" w:sz="4" w:space="0" w:color="000000"/>
              <w:bottom w:val="single" w:sz="4" w:space="0" w:color="000000"/>
            </w:tcBorders>
          </w:tcPr>
          <w:p w14:paraId="132A098B" w14:textId="045C1949"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.32</w:t>
            </w:r>
          </w:p>
        </w:tc>
        <w:tc>
          <w:tcPr>
            <w:tcW w:w="893" w:type="dxa"/>
            <w:tcBorders>
              <w:top w:val="single" w:sz="4" w:space="0" w:color="000000"/>
              <w:bottom w:val="single" w:sz="4" w:space="0" w:color="000000"/>
            </w:tcBorders>
          </w:tcPr>
          <w:p w14:paraId="4EBCD716" w14:textId="17F7C7A0"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17</w:t>
            </w:r>
          </w:p>
        </w:tc>
        <w:tc>
          <w:tcPr>
            <w:tcW w:w="836" w:type="dxa"/>
            <w:tcBorders>
              <w:top w:val="single" w:sz="4" w:space="0" w:color="000000"/>
              <w:bottom w:val="single" w:sz="4" w:space="0" w:color="000000"/>
            </w:tcBorders>
          </w:tcPr>
          <w:p w14:paraId="3D944CAC" w14:textId="779C9E49" w:rsidR="00816292" w:rsidRPr="002A13E4" w:rsidRDefault="00C75CCC" w:rsidP="00797E92">
            <w:pPr>
              <w:jc w:val="center"/>
              <w:rPr>
                <w:color w:val="000000" w:themeColor="text1"/>
                <w:sz w:val="20"/>
                <w:szCs w:val="20"/>
              </w:rPr>
            </w:pPr>
            <w:r w:rsidRPr="002A13E4">
              <w:rPr>
                <w:color w:val="000000" w:themeColor="text1"/>
                <w:sz w:val="20"/>
                <w:szCs w:val="20"/>
              </w:rPr>
              <w:t>.17</w:t>
            </w:r>
          </w:p>
        </w:tc>
        <w:tc>
          <w:tcPr>
            <w:tcW w:w="1441" w:type="dxa"/>
            <w:tcBorders>
              <w:top w:val="single" w:sz="4" w:space="0" w:color="000000"/>
              <w:bottom w:val="single" w:sz="4" w:space="0" w:color="000000"/>
            </w:tcBorders>
          </w:tcPr>
          <w:p w14:paraId="7D4E289D" w14:textId="5F16A63C"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08</w:t>
            </w:r>
          </w:p>
        </w:tc>
        <w:tc>
          <w:tcPr>
            <w:tcW w:w="1442" w:type="dxa"/>
            <w:tcBorders>
              <w:top w:val="single" w:sz="4" w:space="0" w:color="000000"/>
              <w:bottom w:val="single" w:sz="4" w:space="0" w:color="000000"/>
            </w:tcBorders>
          </w:tcPr>
          <w:p w14:paraId="3A790FD6" w14:textId="34E5FBF3"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73</w:t>
            </w:r>
          </w:p>
        </w:tc>
      </w:tr>
      <w:tr w:rsidR="00E53644" w:rsidRPr="002A13E4" w14:paraId="2EE9938C" w14:textId="77777777" w:rsidTr="00BA3284">
        <w:trPr>
          <w:trHeight w:val="57"/>
        </w:trPr>
        <w:tc>
          <w:tcPr>
            <w:tcW w:w="1350" w:type="dxa"/>
            <w:vMerge/>
          </w:tcPr>
          <w:p w14:paraId="20DABBC4" w14:textId="3B96805E" w:rsidR="00816292" w:rsidRPr="002A13E4" w:rsidRDefault="00816292" w:rsidP="00797E92">
            <w:pPr>
              <w:rPr>
                <w:color w:val="000000" w:themeColor="text1"/>
                <w:sz w:val="20"/>
                <w:szCs w:val="20"/>
              </w:rPr>
            </w:pPr>
          </w:p>
        </w:tc>
        <w:tc>
          <w:tcPr>
            <w:tcW w:w="990" w:type="dxa"/>
            <w:tcBorders>
              <w:top w:val="single" w:sz="4" w:space="0" w:color="000000"/>
              <w:bottom w:val="single" w:sz="4" w:space="0" w:color="000000"/>
            </w:tcBorders>
          </w:tcPr>
          <w:p w14:paraId="08E8CB1B" w14:textId="1744AE23" w:rsidR="00816292" w:rsidRPr="002A13E4" w:rsidRDefault="00816292" w:rsidP="00797E92">
            <w:pPr>
              <w:rPr>
                <w:color w:val="000000" w:themeColor="text1"/>
                <w:sz w:val="20"/>
                <w:szCs w:val="20"/>
              </w:rPr>
            </w:pPr>
            <w:r w:rsidRPr="002A13E4">
              <w:rPr>
                <w:color w:val="000000" w:themeColor="text1"/>
                <w:sz w:val="20"/>
                <w:szCs w:val="20"/>
              </w:rPr>
              <w:t>Logic</w:t>
            </w:r>
          </w:p>
        </w:tc>
        <w:tc>
          <w:tcPr>
            <w:tcW w:w="1020" w:type="dxa"/>
            <w:tcBorders>
              <w:top w:val="single" w:sz="4" w:space="0" w:color="000000"/>
              <w:bottom w:val="single" w:sz="4" w:space="0" w:color="000000"/>
            </w:tcBorders>
          </w:tcPr>
          <w:p w14:paraId="65C47056" w14:textId="53676DBA" w:rsidR="00816292" w:rsidRPr="002A13E4" w:rsidRDefault="00816292" w:rsidP="00797E92">
            <w:pPr>
              <w:jc w:val="center"/>
              <w:rPr>
                <w:color w:val="000000" w:themeColor="text1"/>
                <w:sz w:val="20"/>
                <w:szCs w:val="20"/>
              </w:rPr>
            </w:pPr>
            <w:r w:rsidRPr="002A13E4">
              <w:rPr>
                <w:color w:val="000000" w:themeColor="text1"/>
                <w:sz w:val="20"/>
                <w:szCs w:val="20"/>
              </w:rPr>
              <w:t>Syntax</w:t>
            </w:r>
          </w:p>
        </w:tc>
        <w:tc>
          <w:tcPr>
            <w:tcW w:w="1057" w:type="dxa"/>
            <w:tcBorders>
              <w:top w:val="single" w:sz="4" w:space="0" w:color="000000"/>
              <w:bottom w:val="single" w:sz="4" w:space="0" w:color="000000"/>
            </w:tcBorders>
          </w:tcPr>
          <w:p w14:paraId="3C168443" w14:textId="003BAA1B" w:rsidR="00816292" w:rsidRPr="002A13E4" w:rsidRDefault="00816292" w:rsidP="00797E92">
            <w:pPr>
              <w:jc w:val="center"/>
              <w:rPr>
                <w:color w:val="000000" w:themeColor="text1"/>
                <w:sz w:val="20"/>
                <w:szCs w:val="20"/>
              </w:rPr>
            </w:pPr>
            <w:r w:rsidRPr="002A13E4">
              <w:rPr>
                <w:color w:val="000000" w:themeColor="text1"/>
                <w:sz w:val="20"/>
                <w:szCs w:val="20"/>
              </w:rPr>
              <w:t>0.1</w:t>
            </w:r>
            <w:r w:rsidR="00C75CCC" w:rsidRPr="002A13E4">
              <w:rPr>
                <w:color w:val="000000" w:themeColor="text1"/>
                <w:sz w:val="20"/>
                <w:szCs w:val="20"/>
              </w:rPr>
              <w:t>9</w:t>
            </w:r>
          </w:p>
        </w:tc>
        <w:tc>
          <w:tcPr>
            <w:tcW w:w="893" w:type="dxa"/>
            <w:tcBorders>
              <w:top w:val="single" w:sz="4" w:space="0" w:color="000000"/>
              <w:bottom w:val="single" w:sz="4" w:space="0" w:color="000000"/>
            </w:tcBorders>
          </w:tcPr>
          <w:p w14:paraId="46DCDC4D" w14:textId="69847936"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17</w:t>
            </w:r>
          </w:p>
        </w:tc>
        <w:tc>
          <w:tcPr>
            <w:tcW w:w="836" w:type="dxa"/>
            <w:tcBorders>
              <w:top w:val="single" w:sz="4" w:space="0" w:color="000000"/>
              <w:bottom w:val="single" w:sz="4" w:space="0" w:color="000000"/>
            </w:tcBorders>
          </w:tcPr>
          <w:p w14:paraId="21FC4746" w14:textId="4E714E41" w:rsidR="00816292" w:rsidRPr="002A13E4" w:rsidRDefault="00C75CCC" w:rsidP="00797E92">
            <w:pPr>
              <w:jc w:val="center"/>
              <w:rPr>
                <w:color w:val="000000" w:themeColor="text1"/>
                <w:sz w:val="20"/>
                <w:szCs w:val="20"/>
              </w:rPr>
            </w:pPr>
            <w:r w:rsidRPr="002A13E4">
              <w:rPr>
                <w:color w:val="000000" w:themeColor="text1"/>
                <w:sz w:val="20"/>
                <w:szCs w:val="20"/>
              </w:rPr>
              <w:t>.78</w:t>
            </w:r>
          </w:p>
        </w:tc>
        <w:tc>
          <w:tcPr>
            <w:tcW w:w="1441" w:type="dxa"/>
            <w:tcBorders>
              <w:top w:val="single" w:sz="4" w:space="0" w:color="000000"/>
              <w:bottom w:val="single" w:sz="4" w:space="0" w:color="000000"/>
            </w:tcBorders>
          </w:tcPr>
          <w:p w14:paraId="6646FEFA" w14:textId="3021D6E5"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22</w:t>
            </w:r>
          </w:p>
        </w:tc>
        <w:tc>
          <w:tcPr>
            <w:tcW w:w="1442" w:type="dxa"/>
            <w:tcBorders>
              <w:top w:val="single" w:sz="4" w:space="0" w:color="000000"/>
              <w:bottom w:val="single" w:sz="4" w:space="0" w:color="000000"/>
            </w:tcBorders>
          </w:tcPr>
          <w:p w14:paraId="4CB09FA6" w14:textId="74B16AA1"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60</w:t>
            </w:r>
          </w:p>
        </w:tc>
      </w:tr>
      <w:tr w:rsidR="00E53644" w:rsidRPr="002A13E4" w14:paraId="758A295F" w14:textId="77777777" w:rsidTr="00BA3284">
        <w:trPr>
          <w:trHeight w:val="57"/>
        </w:trPr>
        <w:tc>
          <w:tcPr>
            <w:tcW w:w="1350" w:type="dxa"/>
            <w:vMerge/>
          </w:tcPr>
          <w:p w14:paraId="51CE3F72" w14:textId="59E1841F" w:rsidR="00816292" w:rsidRPr="002A13E4" w:rsidRDefault="00816292" w:rsidP="00797E92">
            <w:pPr>
              <w:rPr>
                <w:color w:val="000000" w:themeColor="text1"/>
                <w:sz w:val="20"/>
                <w:szCs w:val="20"/>
              </w:rPr>
            </w:pPr>
          </w:p>
        </w:tc>
        <w:tc>
          <w:tcPr>
            <w:tcW w:w="990" w:type="dxa"/>
            <w:tcBorders>
              <w:top w:val="single" w:sz="4" w:space="0" w:color="000000"/>
            </w:tcBorders>
          </w:tcPr>
          <w:p w14:paraId="4B48E84F" w14:textId="51739997" w:rsidR="00816292" w:rsidRPr="002A13E4" w:rsidRDefault="00816292" w:rsidP="00797E92">
            <w:pPr>
              <w:rPr>
                <w:color w:val="000000" w:themeColor="text1"/>
                <w:sz w:val="20"/>
                <w:szCs w:val="20"/>
              </w:rPr>
            </w:pPr>
            <w:r w:rsidRPr="002A13E4">
              <w:rPr>
                <w:color w:val="000000" w:themeColor="text1"/>
                <w:sz w:val="20"/>
                <w:szCs w:val="20"/>
              </w:rPr>
              <w:t>Semantic</w:t>
            </w:r>
          </w:p>
        </w:tc>
        <w:tc>
          <w:tcPr>
            <w:tcW w:w="1020" w:type="dxa"/>
            <w:tcBorders>
              <w:top w:val="single" w:sz="4" w:space="0" w:color="000000"/>
            </w:tcBorders>
          </w:tcPr>
          <w:p w14:paraId="47050128" w14:textId="3FE9C378" w:rsidR="00816292" w:rsidRPr="002A13E4" w:rsidRDefault="00816292" w:rsidP="00797E92">
            <w:pPr>
              <w:jc w:val="center"/>
              <w:rPr>
                <w:color w:val="000000" w:themeColor="text1"/>
                <w:sz w:val="20"/>
                <w:szCs w:val="20"/>
              </w:rPr>
            </w:pPr>
            <w:r w:rsidRPr="002A13E4">
              <w:rPr>
                <w:color w:val="000000" w:themeColor="text1"/>
                <w:sz w:val="20"/>
                <w:szCs w:val="20"/>
              </w:rPr>
              <w:t>Syntax</w:t>
            </w:r>
          </w:p>
        </w:tc>
        <w:tc>
          <w:tcPr>
            <w:tcW w:w="1057" w:type="dxa"/>
            <w:tcBorders>
              <w:top w:val="single" w:sz="4" w:space="0" w:color="000000"/>
            </w:tcBorders>
          </w:tcPr>
          <w:p w14:paraId="260A28EF" w14:textId="7D998426" w:rsidR="00816292" w:rsidRPr="002A13E4" w:rsidRDefault="00C75CCC" w:rsidP="00797E92">
            <w:pPr>
              <w:jc w:val="center"/>
              <w:rPr>
                <w:color w:val="000000" w:themeColor="text1"/>
                <w:sz w:val="20"/>
                <w:szCs w:val="20"/>
              </w:rPr>
            </w:pPr>
            <w:r w:rsidRPr="002A13E4">
              <w:rPr>
                <w:color w:val="000000" w:themeColor="text1"/>
                <w:sz w:val="20"/>
                <w:szCs w:val="20"/>
              </w:rPr>
              <w:t>-0.13</w:t>
            </w:r>
          </w:p>
        </w:tc>
        <w:tc>
          <w:tcPr>
            <w:tcW w:w="893" w:type="dxa"/>
            <w:tcBorders>
              <w:top w:val="single" w:sz="4" w:space="0" w:color="000000"/>
            </w:tcBorders>
          </w:tcPr>
          <w:p w14:paraId="6ED124A6" w14:textId="51A018C4"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17</w:t>
            </w:r>
          </w:p>
        </w:tc>
        <w:tc>
          <w:tcPr>
            <w:tcW w:w="836" w:type="dxa"/>
            <w:tcBorders>
              <w:top w:val="single" w:sz="4" w:space="0" w:color="000000"/>
            </w:tcBorders>
          </w:tcPr>
          <w:p w14:paraId="6877ED9D" w14:textId="6CE47493" w:rsidR="00816292" w:rsidRPr="002A13E4" w:rsidRDefault="00816292" w:rsidP="00797E92">
            <w:pPr>
              <w:jc w:val="center"/>
              <w:rPr>
                <w:color w:val="000000" w:themeColor="text1"/>
                <w:sz w:val="20"/>
                <w:szCs w:val="20"/>
              </w:rPr>
            </w:pPr>
            <w:r w:rsidRPr="002A13E4">
              <w:rPr>
                <w:color w:val="000000" w:themeColor="text1"/>
                <w:sz w:val="20"/>
                <w:szCs w:val="20"/>
              </w:rPr>
              <w:t>1.0</w:t>
            </w:r>
            <w:r w:rsidR="00C75CCC" w:rsidRPr="002A13E4">
              <w:rPr>
                <w:color w:val="000000" w:themeColor="text1"/>
                <w:sz w:val="20"/>
                <w:szCs w:val="20"/>
              </w:rPr>
              <w:t>0</w:t>
            </w:r>
          </w:p>
        </w:tc>
        <w:tc>
          <w:tcPr>
            <w:tcW w:w="1441" w:type="dxa"/>
            <w:tcBorders>
              <w:top w:val="single" w:sz="4" w:space="0" w:color="000000"/>
            </w:tcBorders>
          </w:tcPr>
          <w:p w14:paraId="5BE37CDF" w14:textId="2329F182"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.55</w:t>
            </w:r>
          </w:p>
        </w:tc>
        <w:tc>
          <w:tcPr>
            <w:tcW w:w="1442" w:type="dxa"/>
            <w:tcBorders>
              <w:top w:val="single" w:sz="4" w:space="0" w:color="000000"/>
            </w:tcBorders>
          </w:tcPr>
          <w:p w14:paraId="413A52E0" w14:textId="1005C484"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28</w:t>
            </w:r>
          </w:p>
        </w:tc>
      </w:tr>
      <w:tr w:rsidR="00E53644" w:rsidRPr="002A13E4" w14:paraId="00A2301D" w14:textId="77777777" w:rsidTr="00BA3284">
        <w:trPr>
          <w:trHeight w:val="57"/>
        </w:trPr>
        <w:tc>
          <w:tcPr>
            <w:tcW w:w="1350" w:type="dxa"/>
            <w:vMerge w:val="restart"/>
            <w:tcBorders>
              <w:top w:val="single" w:sz="4" w:space="0" w:color="000000"/>
            </w:tcBorders>
          </w:tcPr>
          <w:p w14:paraId="50622516" w14:textId="77777777" w:rsidR="00816292" w:rsidRPr="002A13E4" w:rsidRDefault="00816292" w:rsidP="00797E92">
            <w:pPr>
              <w:rPr>
                <w:color w:val="000000" w:themeColor="text1"/>
                <w:sz w:val="20"/>
                <w:szCs w:val="20"/>
              </w:rPr>
            </w:pPr>
            <w:r w:rsidRPr="002A13E4">
              <w:rPr>
                <w:color w:val="000000" w:themeColor="text1"/>
                <w:sz w:val="20"/>
                <w:szCs w:val="20"/>
              </w:rPr>
              <w:t>Integrity-Based Trust</w:t>
            </w:r>
          </w:p>
        </w:tc>
        <w:tc>
          <w:tcPr>
            <w:tcW w:w="990" w:type="dxa"/>
            <w:tcBorders>
              <w:top w:val="single" w:sz="4" w:space="0" w:color="000000"/>
              <w:bottom w:val="single" w:sz="4" w:space="0" w:color="000000"/>
            </w:tcBorders>
          </w:tcPr>
          <w:p w14:paraId="04ADF54E" w14:textId="3479C9EC" w:rsidR="00816292" w:rsidRPr="002A13E4" w:rsidRDefault="00816292" w:rsidP="00797E92">
            <w:pPr>
              <w:rPr>
                <w:color w:val="000000" w:themeColor="text1"/>
                <w:sz w:val="20"/>
                <w:szCs w:val="20"/>
              </w:rPr>
            </w:pPr>
            <w:r w:rsidRPr="002A13E4">
              <w:rPr>
                <w:color w:val="000000" w:themeColor="text1"/>
                <w:sz w:val="20"/>
                <w:szCs w:val="20"/>
              </w:rPr>
              <w:t>Logic</w:t>
            </w:r>
          </w:p>
        </w:tc>
        <w:tc>
          <w:tcPr>
            <w:tcW w:w="1020" w:type="dxa"/>
            <w:tcBorders>
              <w:top w:val="single" w:sz="4" w:space="0" w:color="000000"/>
              <w:bottom w:val="single" w:sz="4" w:space="0" w:color="000000"/>
            </w:tcBorders>
          </w:tcPr>
          <w:p w14:paraId="20A851B6" w14:textId="6994CDED" w:rsidR="00816292" w:rsidRPr="002A13E4" w:rsidRDefault="00816292" w:rsidP="00797E92">
            <w:pPr>
              <w:jc w:val="center"/>
              <w:rPr>
                <w:color w:val="000000" w:themeColor="text1"/>
                <w:sz w:val="20"/>
                <w:szCs w:val="20"/>
              </w:rPr>
            </w:pPr>
            <w:r w:rsidRPr="002A13E4">
              <w:rPr>
                <w:color w:val="000000" w:themeColor="text1"/>
                <w:sz w:val="20"/>
                <w:szCs w:val="20"/>
              </w:rPr>
              <w:t>Semantic</w:t>
            </w:r>
          </w:p>
        </w:tc>
        <w:tc>
          <w:tcPr>
            <w:tcW w:w="1057" w:type="dxa"/>
            <w:tcBorders>
              <w:top w:val="single" w:sz="4" w:space="0" w:color="000000"/>
              <w:bottom w:val="single" w:sz="4" w:space="0" w:color="000000"/>
            </w:tcBorders>
          </w:tcPr>
          <w:p w14:paraId="74536934" w14:textId="5B1358DF" w:rsidR="00816292" w:rsidRPr="002A13E4" w:rsidRDefault="00816292" w:rsidP="00797E92">
            <w:pPr>
              <w:jc w:val="center"/>
              <w:rPr>
                <w:color w:val="000000" w:themeColor="text1"/>
                <w:sz w:val="20"/>
                <w:szCs w:val="20"/>
              </w:rPr>
            </w:pPr>
            <w:r w:rsidRPr="002A13E4">
              <w:rPr>
                <w:color w:val="000000" w:themeColor="text1"/>
                <w:sz w:val="20"/>
                <w:szCs w:val="20"/>
              </w:rPr>
              <w:t>-0.1</w:t>
            </w:r>
            <w:r w:rsidR="00C75CCC" w:rsidRPr="002A13E4">
              <w:rPr>
                <w:color w:val="000000" w:themeColor="text1"/>
                <w:sz w:val="20"/>
                <w:szCs w:val="20"/>
              </w:rPr>
              <w:t>9</w:t>
            </w:r>
          </w:p>
        </w:tc>
        <w:tc>
          <w:tcPr>
            <w:tcW w:w="893" w:type="dxa"/>
            <w:tcBorders>
              <w:top w:val="single" w:sz="4" w:space="0" w:color="000000"/>
              <w:bottom w:val="single" w:sz="4" w:space="0" w:color="000000"/>
            </w:tcBorders>
          </w:tcPr>
          <w:p w14:paraId="3EF7E664" w14:textId="339ED43A"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09</w:t>
            </w:r>
          </w:p>
        </w:tc>
        <w:tc>
          <w:tcPr>
            <w:tcW w:w="836" w:type="dxa"/>
            <w:tcBorders>
              <w:top w:val="single" w:sz="4" w:space="0" w:color="000000"/>
              <w:bottom w:val="single" w:sz="4" w:space="0" w:color="000000"/>
            </w:tcBorders>
          </w:tcPr>
          <w:p w14:paraId="474E5B2D" w14:textId="6BD3F7A4" w:rsidR="00816292" w:rsidRPr="002A13E4" w:rsidRDefault="00816292" w:rsidP="00797E92">
            <w:pPr>
              <w:jc w:val="center"/>
              <w:rPr>
                <w:color w:val="000000" w:themeColor="text1"/>
                <w:sz w:val="20"/>
                <w:szCs w:val="20"/>
              </w:rPr>
            </w:pPr>
            <w:r w:rsidRPr="002A13E4">
              <w:rPr>
                <w:color w:val="000000" w:themeColor="text1"/>
                <w:sz w:val="20"/>
                <w:szCs w:val="20"/>
              </w:rPr>
              <w:t>.</w:t>
            </w:r>
            <w:r w:rsidR="00C75CCC" w:rsidRPr="002A13E4">
              <w:rPr>
                <w:color w:val="000000" w:themeColor="text1"/>
                <w:sz w:val="20"/>
                <w:szCs w:val="20"/>
              </w:rPr>
              <w:t>11</w:t>
            </w:r>
          </w:p>
        </w:tc>
        <w:tc>
          <w:tcPr>
            <w:tcW w:w="1441" w:type="dxa"/>
            <w:tcBorders>
              <w:top w:val="single" w:sz="4" w:space="0" w:color="000000"/>
              <w:bottom w:val="single" w:sz="4" w:space="0" w:color="000000"/>
            </w:tcBorders>
          </w:tcPr>
          <w:p w14:paraId="240CA6D0" w14:textId="787CE23B" w:rsidR="00816292" w:rsidRPr="002A13E4" w:rsidRDefault="00816292" w:rsidP="00797E92">
            <w:pPr>
              <w:jc w:val="center"/>
              <w:rPr>
                <w:color w:val="000000" w:themeColor="text1"/>
                <w:sz w:val="20"/>
                <w:szCs w:val="20"/>
              </w:rPr>
            </w:pPr>
            <w:r w:rsidRPr="002A13E4">
              <w:rPr>
                <w:color w:val="000000" w:themeColor="text1"/>
                <w:sz w:val="20"/>
                <w:szCs w:val="20"/>
              </w:rPr>
              <w:t>-0.4</w:t>
            </w:r>
            <w:r w:rsidR="00C75CCC" w:rsidRPr="002A13E4">
              <w:rPr>
                <w:color w:val="000000" w:themeColor="text1"/>
                <w:sz w:val="20"/>
                <w:szCs w:val="20"/>
              </w:rPr>
              <w:t>1</w:t>
            </w:r>
          </w:p>
        </w:tc>
        <w:tc>
          <w:tcPr>
            <w:tcW w:w="1442" w:type="dxa"/>
            <w:tcBorders>
              <w:top w:val="single" w:sz="4" w:space="0" w:color="000000"/>
              <w:bottom w:val="single" w:sz="4" w:space="0" w:color="000000"/>
            </w:tcBorders>
          </w:tcPr>
          <w:p w14:paraId="14684EC2" w14:textId="7E8C1018"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03</w:t>
            </w:r>
          </w:p>
        </w:tc>
      </w:tr>
      <w:tr w:rsidR="00E53644" w:rsidRPr="002A13E4" w14:paraId="705FE12F" w14:textId="77777777" w:rsidTr="00BA3284">
        <w:trPr>
          <w:trHeight w:val="57"/>
        </w:trPr>
        <w:tc>
          <w:tcPr>
            <w:tcW w:w="1350" w:type="dxa"/>
            <w:vMerge/>
          </w:tcPr>
          <w:p w14:paraId="691C6E86" w14:textId="5A7CA9DE" w:rsidR="00816292" w:rsidRPr="002A13E4" w:rsidRDefault="00816292" w:rsidP="00797E92">
            <w:pPr>
              <w:rPr>
                <w:color w:val="000000" w:themeColor="text1"/>
                <w:sz w:val="20"/>
                <w:szCs w:val="20"/>
              </w:rPr>
            </w:pPr>
          </w:p>
        </w:tc>
        <w:tc>
          <w:tcPr>
            <w:tcW w:w="990" w:type="dxa"/>
            <w:tcBorders>
              <w:top w:val="single" w:sz="4" w:space="0" w:color="000000"/>
            </w:tcBorders>
          </w:tcPr>
          <w:p w14:paraId="2F266761" w14:textId="2B4B95D0" w:rsidR="00816292" w:rsidRPr="002A13E4" w:rsidRDefault="00816292" w:rsidP="00797E92">
            <w:pPr>
              <w:rPr>
                <w:color w:val="000000" w:themeColor="text1"/>
                <w:sz w:val="20"/>
                <w:szCs w:val="20"/>
              </w:rPr>
            </w:pPr>
            <w:r w:rsidRPr="002A13E4">
              <w:rPr>
                <w:color w:val="000000" w:themeColor="text1"/>
                <w:sz w:val="20"/>
                <w:szCs w:val="20"/>
              </w:rPr>
              <w:t>Logic</w:t>
            </w:r>
          </w:p>
        </w:tc>
        <w:tc>
          <w:tcPr>
            <w:tcW w:w="1020" w:type="dxa"/>
            <w:tcBorders>
              <w:top w:val="single" w:sz="4" w:space="0" w:color="000000"/>
            </w:tcBorders>
          </w:tcPr>
          <w:p w14:paraId="6F58B400" w14:textId="3644812A" w:rsidR="00816292" w:rsidRPr="002A13E4" w:rsidRDefault="00816292" w:rsidP="00797E92">
            <w:pPr>
              <w:jc w:val="center"/>
              <w:rPr>
                <w:color w:val="000000" w:themeColor="text1"/>
                <w:sz w:val="20"/>
                <w:szCs w:val="20"/>
              </w:rPr>
            </w:pPr>
            <w:r w:rsidRPr="002A13E4">
              <w:rPr>
                <w:color w:val="000000" w:themeColor="text1"/>
                <w:sz w:val="20"/>
                <w:szCs w:val="20"/>
              </w:rPr>
              <w:t>Syntax</w:t>
            </w:r>
          </w:p>
        </w:tc>
        <w:tc>
          <w:tcPr>
            <w:tcW w:w="1057" w:type="dxa"/>
            <w:tcBorders>
              <w:top w:val="single" w:sz="4" w:space="0" w:color="000000"/>
            </w:tcBorders>
          </w:tcPr>
          <w:p w14:paraId="38FE53F2" w14:textId="69950503" w:rsidR="00816292" w:rsidRPr="002A13E4" w:rsidRDefault="00816292" w:rsidP="00797E92">
            <w:pPr>
              <w:jc w:val="center"/>
              <w:rPr>
                <w:color w:val="000000" w:themeColor="text1"/>
                <w:sz w:val="20"/>
                <w:szCs w:val="20"/>
              </w:rPr>
            </w:pPr>
            <w:r w:rsidRPr="002A13E4">
              <w:rPr>
                <w:color w:val="000000" w:themeColor="text1"/>
                <w:sz w:val="20"/>
                <w:szCs w:val="20"/>
              </w:rPr>
              <w:t>-0.3</w:t>
            </w:r>
            <w:r w:rsidR="00C75CCC" w:rsidRPr="002A13E4">
              <w:rPr>
                <w:color w:val="000000" w:themeColor="text1"/>
                <w:sz w:val="20"/>
                <w:szCs w:val="20"/>
              </w:rPr>
              <w:t>6</w:t>
            </w:r>
            <w:r w:rsidR="00BC0658" w:rsidRPr="00BC0658">
              <w:rPr>
                <w:color w:val="000000" w:themeColor="text1"/>
                <w:sz w:val="18"/>
                <w:szCs w:val="18"/>
                <w:vertAlign w:val="superscript"/>
              </w:rPr>
              <w:t>*</w:t>
            </w:r>
          </w:p>
        </w:tc>
        <w:tc>
          <w:tcPr>
            <w:tcW w:w="893" w:type="dxa"/>
            <w:tcBorders>
              <w:top w:val="single" w:sz="4" w:space="0" w:color="000000"/>
            </w:tcBorders>
          </w:tcPr>
          <w:p w14:paraId="0FE72CC7" w14:textId="27D0C3EE"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09</w:t>
            </w:r>
          </w:p>
        </w:tc>
        <w:tc>
          <w:tcPr>
            <w:tcW w:w="836" w:type="dxa"/>
            <w:tcBorders>
              <w:top w:val="single" w:sz="4" w:space="0" w:color="000000"/>
            </w:tcBorders>
          </w:tcPr>
          <w:p w14:paraId="32AD9B2C" w14:textId="7150407A" w:rsidR="00816292" w:rsidRPr="002A13E4" w:rsidRDefault="00816292" w:rsidP="00797E92">
            <w:pPr>
              <w:jc w:val="center"/>
              <w:rPr>
                <w:color w:val="000000" w:themeColor="text1"/>
                <w:sz w:val="20"/>
                <w:szCs w:val="20"/>
              </w:rPr>
            </w:pPr>
            <w:r w:rsidRPr="002A13E4">
              <w:rPr>
                <w:color w:val="000000" w:themeColor="text1"/>
                <w:sz w:val="20"/>
                <w:szCs w:val="20"/>
              </w:rPr>
              <w:t>.</w:t>
            </w:r>
            <w:r w:rsidR="00C75CCC" w:rsidRPr="002A13E4">
              <w:rPr>
                <w:color w:val="000000" w:themeColor="text1"/>
                <w:sz w:val="20"/>
                <w:szCs w:val="20"/>
              </w:rPr>
              <w:t>0002</w:t>
            </w:r>
          </w:p>
        </w:tc>
        <w:tc>
          <w:tcPr>
            <w:tcW w:w="1441" w:type="dxa"/>
            <w:tcBorders>
              <w:top w:val="single" w:sz="4" w:space="0" w:color="000000"/>
            </w:tcBorders>
          </w:tcPr>
          <w:p w14:paraId="4926A866" w14:textId="31FE11F6"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58</w:t>
            </w:r>
          </w:p>
        </w:tc>
        <w:tc>
          <w:tcPr>
            <w:tcW w:w="1442" w:type="dxa"/>
            <w:tcBorders>
              <w:top w:val="single" w:sz="4" w:space="0" w:color="000000"/>
            </w:tcBorders>
          </w:tcPr>
          <w:p w14:paraId="6B171A7B" w14:textId="12AA342D"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15</w:t>
            </w:r>
          </w:p>
        </w:tc>
      </w:tr>
      <w:tr w:rsidR="00E53644" w:rsidRPr="002A13E4" w14:paraId="5A0A888D" w14:textId="77777777" w:rsidTr="00BA3284">
        <w:trPr>
          <w:trHeight w:val="57"/>
        </w:trPr>
        <w:tc>
          <w:tcPr>
            <w:tcW w:w="1350" w:type="dxa"/>
            <w:vMerge/>
          </w:tcPr>
          <w:p w14:paraId="294EB5B2" w14:textId="7B8D9C6F" w:rsidR="00816292" w:rsidRPr="002A13E4" w:rsidRDefault="00816292" w:rsidP="00797E92">
            <w:pPr>
              <w:rPr>
                <w:color w:val="000000" w:themeColor="text1"/>
                <w:sz w:val="20"/>
                <w:szCs w:val="20"/>
              </w:rPr>
            </w:pPr>
          </w:p>
        </w:tc>
        <w:tc>
          <w:tcPr>
            <w:tcW w:w="990" w:type="dxa"/>
            <w:tcBorders>
              <w:top w:val="single" w:sz="4" w:space="0" w:color="000000"/>
            </w:tcBorders>
          </w:tcPr>
          <w:p w14:paraId="540C5497" w14:textId="42066BB8" w:rsidR="00816292" w:rsidRPr="002A13E4" w:rsidRDefault="00816292" w:rsidP="00797E92">
            <w:pPr>
              <w:rPr>
                <w:color w:val="000000" w:themeColor="text1"/>
                <w:sz w:val="20"/>
                <w:szCs w:val="20"/>
              </w:rPr>
            </w:pPr>
            <w:r w:rsidRPr="002A13E4">
              <w:rPr>
                <w:color w:val="000000" w:themeColor="text1"/>
                <w:sz w:val="20"/>
                <w:szCs w:val="20"/>
              </w:rPr>
              <w:t>Semantic</w:t>
            </w:r>
          </w:p>
        </w:tc>
        <w:tc>
          <w:tcPr>
            <w:tcW w:w="1020" w:type="dxa"/>
            <w:tcBorders>
              <w:top w:val="single" w:sz="4" w:space="0" w:color="000000"/>
            </w:tcBorders>
          </w:tcPr>
          <w:p w14:paraId="78160E5A" w14:textId="0E291E50" w:rsidR="00816292" w:rsidRPr="002A13E4" w:rsidRDefault="00816292" w:rsidP="00797E92">
            <w:pPr>
              <w:jc w:val="center"/>
              <w:rPr>
                <w:color w:val="000000" w:themeColor="text1"/>
                <w:sz w:val="20"/>
                <w:szCs w:val="20"/>
              </w:rPr>
            </w:pPr>
            <w:r w:rsidRPr="002A13E4">
              <w:rPr>
                <w:color w:val="000000" w:themeColor="text1"/>
                <w:sz w:val="20"/>
                <w:szCs w:val="20"/>
              </w:rPr>
              <w:t>Syntax</w:t>
            </w:r>
          </w:p>
        </w:tc>
        <w:tc>
          <w:tcPr>
            <w:tcW w:w="1057" w:type="dxa"/>
            <w:tcBorders>
              <w:top w:val="single" w:sz="4" w:space="0" w:color="000000"/>
            </w:tcBorders>
          </w:tcPr>
          <w:p w14:paraId="01318950" w14:textId="48D56485"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17</w:t>
            </w:r>
          </w:p>
        </w:tc>
        <w:tc>
          <w:tcPr>
            <w:tcW w:w="893" w:type="dxa"/>
            <w:tcBorders>
              <w:top w:val="single" w:sz="4" w:space="0" w:color="000000"/>
            </w:tcBorders>
          </w:tcPr>
          <w:p w14:paraId="646D63DA" w14:textId="2927C867" w:rsidR="00816292" w:rsidRPr="002A13E4" w:rsidRDefault="00816292" w:rsidP="008162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09</w:t>
            </w:r>
          </w:p>
        </w:tc>
        <w:tc>
          <w:tcPr>
            <w:tcW w:w="836" w:type="dxa"/>
            <w:tcBorders>
              <w:top w:val="single" w:sz="4" w:space="0" w:color="000000"/>
            </w:tcBorders>
          </w:tcPr>
          <w:p w14:paraId="539C9F53" w14:textId="0A880BA6" w:rsidR="00816292" w:rsidRPr="002A13E4" w:rsidRDefault="00816292" w:rsidP="00797E92">
            <w:pPr>
              <w:jc w:val="center"/>
              <w:rPr>
                <w:color w:val="000000" w:themeColor="text1"/>
                <w:sz w:val="20"/>
                <w:szCs w:val="20"/>
              </w:rPr>
            </w:pPr>
            <w:r w:rsidRPr="002A13E4">
              <w:rPr>
                <w:color w:val="000000" w:themeColor="text1"/>
                <w:sz w:val="20"/>
                <w:szCs w:val="20"/>
              </w:rPr>
              <w:t>.1</w:t>
            </w:r>
            <w:r w:rsidR="00C75CCC" w:rsidRPr="002A13E4">
              <w:rPr>
                <w:color w:val="000000" w:themeColor="text1"/>
                <w:sz w:val="20"/>
                <w:szCs w:val="20"/>
              </w:rPr>
              <w:t>9</w:t>
            </w:r>
          </w:p>
        </w:tc>
        <w:tc>
          <w:tcPr>
            <w:tcW w:w="1441" w:type="dxa"/>
            <w:tcBorders>
              <w:top w:val="single" w:sz="4" w:space="0" w:color="000000"/>
            </w:tcBorders>
          </w:tcPr>
          <w:p w14:paraId="3A99257E" w14:textId="65423E0A" w:rsidR="00816292" w:rsidRPr="002A13E4" w:rsidRDefault="00816292"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40</w:t>
            </w:r>
          </w:p>
        </w:tc>
        <w:tc>
          <w:tcPr>
            <w:tcW w:w="1442" w:type="dxa"/>
            <w:tcBorders>
              <w:top w:val="single" w:sz="4" w:space="0" w:color="000000"/>
            </w:tcBorders>
          </w:tcPr>
          <w:p w14:paraId="204033A8" w14:textId="4E70A37D" w:rsidR="00816292" w:rsidRPr="002A13E4" w:rsidRDefault="00440C05" w:rsidP="00797E92">
            <w:pPr>
              <w:jc w:val="center"/>
              <w:rPr>
                <w:color w:val="000000" w:themeColor="text1"/>
                <w:sz w:val="20"/>
                <w:szCs w:val="20"/>
              </w:rPr>
            </w:pPr>
            <w:r w:rsidRPr="002A13E4">
              <w:rPr>
                <w:color w:val="000000" w:themeColor="text1"/>
                <w:sz w:val="20"/>
                <w:szCs w:val="20"/>
              </w:rPr>
              <w:t>0.</w:t>
            </w:r>
            <w:r w:rsidR="00C75CCC" w:rsidRPr="002A13E4">
              <w:rPr>
                <w:color w:val="000000" w:themeColor="text1"/>
                <w:sz w:val="20"/>
                <w:szCs w:val="20"/>
              </w:rPr>
              <w:t>05</w:t>
            </w:r>
          </w:p>
        </w:tc>
      </w:tr>
    </w:tbl>
    <w:p w14:paraId="61255EDD" w14:textId="4589CD76" w:rsidR="00797E92" w:rsidRPr="002A13E4" w:rsidRDefault="00797E92" w:rsidP="00797E92">
      <w:pPr>
        <w:rPr>
          <w:color w:val="000000" w:themeColor="text1"/>
          <w:sz w:val="22"/>
          <w:szCs w:val="22"/>
        </w:rPr>
      </w:pPr>
      <w:r w:rsidRPr="00BC0658">
        <w:rPr>
          <w:color w:val="000000" w:themeColor="text1"/>
          <w:sz w:val="22"/>
          <w:szCs w:val="22"/>
          <w:vertAlign w:val="superscript"/>
        </w:rPr>
        <w:t xml:space="preserve">* </w:t>
      </w:r>
      <w:r w:rsidRPr="002A13E4">
        <w:rPr>
          <w:color w:val="000000" w:themeColor="text1"/>
          <w:sz w:val="22"/>
          <w:szCs w:val="22"/>
        </w:rPr>
        <w:t>The mean difference is significant at the .</w:t>
      </w:r>
      <w:r w:rsidR="00C75CCC" w:rsidRPr="002A13E4">
        <w:rPr>
          <w:color w:val="000000" w:themeColor="text1"/>
          <w:sz w:val="22"/>
          <w:szCs w:val="22"/>
        </w:rPr>
        <w:t>0</w:t>
      </w:r>
      <w:r w:rsidRPr="002A13E4">
        <w:rPr>
          <w:color w:val="000000" w:themeColor="text1"/>
          <w:sz w:val="22"/>
          <w:szCs w:val="22"/>
        </w:rPr>
        <w:t>0</w:t>
      </w:r>
      <w:r w:rsidR="006173C4" w:rsidRPr="002A13E4">
        <w:rPr>
          <w:color w:val="000000" w:themeColor="text1"/>
          <w:sz w:val="22"/>
          <w:szCs w:val="22"/>
        </w:rPr>
        <w:t>1</w:t>
      </w:r>
      <w:r w:rsidRPr="002A13E4">
        <w:rPr>
          <w:color w:val="000000" w:themeColor="text1"/>
          <w:sz w:val="22"/>
          <w:szCs w:val="22"/>
        </w:rPr>
        <w:t xml:space="preserve"> level.</w:t>
      </w:r>
    </w:p>
    <w:p w14:paraId="3D517460" w14:textId="4BA38A17" w:rsidR="00797E92" w:rsidRPr="002A13E4" w:rsidRDefault="000B5DFB" w:rsidP="00440C05">
      <w:pPr>
        <w:rPr>
          <w:color w:val="000000" w:themeColor="text1"/>
          <w:sz w:val="22"/>
          <w:szCs w:val="22"/>
        </w:rPr>
      </w:pPr>
      <w:r>
        <w:rPr>
          <w:color w:val="000000" w:themeColor="text1"/>
          <w:sz w:val="22"/>
          <w:szCs w:val="22"/>
          <w:vertAlign w:val="superscript"/>
        </w:rPr>
        <w:t>b</w:t>
      </w:r>
      <w:r>
        <w:rPr>
          <w:color w:val="000000" w:themeColor="text1"/>
          <w:sz w:val="22"/>
          <w:szCs w:val="22"/>
        </w:rPr>
        <w:t xml:space="preserve"> </w:t>
      </w:r>
      <w:r w:rsidR="00797E92" w:rsidRPr="002A13E4">
        <w:rPr>
          <w:color w:val="000000" w:themeColor="text1"/>
          <w:sz w:val="22"/>
          <w:szCs w:val="22"/>
        </w:rPr>
        <w:t>Adjustment for multiple comparisons: Bonferroni.</w:t>
      </w:r>
    </w:p>
    <w:p w14:paraId="3C26199A" w14:textId="77777777" w:rsidR="00440C05" w:rsidRPr="002A13E4" w:rsidRDefault="00440C05" w:rsidP="00440C05">
      <w:pPr>
        <w:rPr>
          <w:color w:val="000000" w:themeColor="text1"/>
          <w:sz w:val="22"/>
          <w:szCs w:val="22"/>
        </w:rPr>
      </w:pPr>
    </w:p>
    <w:p w14:paraId="2A89A586" w14:textId="7CD9872B" w:rsidR="00373597" w:rsidRPr="00D64CA4" w:rsidRDefault="00373597" w:rsidP="00D64CA4">
      <w:pPr>
        <w:pStyle w:val="Heading2"/>
        <w:spacing w:before="0" w:line="480" w:lineRule="auto"/>
        <w:rPr>
          <w:color w:val="000000" w:themeColor="text1"/>
        </w:rPr>
      </w:pPr>
      <w:bookmarkStart w:id="33" w:name="_Toc73716036"/>
      <w:r w:rsidRPr="00D64CA4">
        <w:rPr>
          <w:color w:val="000000" w:themeColor="text1"/>
        </w:rPr>
        <w:t>Results of H2, H3, and H4</w:t>
      </w:r>
      <w:bookmarkEnd w:id="33"/>
    </w:p>
    <w:p w14:paraId="702A58DA" w14:textId="52C736CA" w:rsidR="00A37D22" w:rsidRPr="002A13E4" w:rsidRDefault="00373597">
      <w:pPr>
        <w:spacing w:line="480" w:lineRule="auto"/>
        <w:ind w:firstLine="720"/>
        <w:rPr>
          <w:color w:val="000000" w:themeColor="text1"/>
        </w:rPr>
      </w:pPr>
      <w:r w:rsidRPr="002A13E4">
        <w:rPr>
          <w:color w:val="000000" w:themeColor="text1"/>
        </w:rPr>
        <w:t xml:space="preserve">H2, H3, and H4 investigated the relationships between blame attributions and trust repair. </w:t>
      </w:r>
      <w:r w:rsidR="00F147F7" w:rsidRPr="002A13E4">
        <w:rPr>
          <w:color w:val="000000" w:themeColor="text1"/>
        </w:rPr>
        <w:t>H2 proposed that both competence- and integrity-based trust would be positively associated with (a) external</w:t>
      </w:r>
      <w:r w:rsidR="00872D91" w:rsidRPr="002A13E4">
        <w:rPr>
          <w:color w:val="000000" w:themeColor="text1"/>
        </w:rPr>
        <w:t xml:space="preserve"> locus of causality</w:t>
      </w:r>
      <w:r w:rsidR="00F147F7" w:rsidRPr="002A13E4">
        <w:rPr>
          <w:color w:val="000000" w:themeColor="text1"/>
        </w:rPr>
        <w:t>, (b) unstable, and (c) uncontrollable causal attributions after error occurrence</w:t>
      </w:r>
      <w:r w:rsidR="00872D91" w:rsidRPr="002A13E4">
        <w:rPr>
          <w:color w:val="000000" w:themeColor="text1"/>
        </w:rPr>
        <w:t xml:space="preserve">. In CDSII, </w:t>
      </w:r>
      <w:r w:rsidR="00A37D22" w:rsidRPr="002A13E4">
        <w:rPr>
          <w:color w:val="000000" w:themeColor="text1"/>
        </w:rPr>
        <w:t>controllability of causality was conceptualized with</w:t>
      </w:r>
      <w:r w:rsidR="00F147F7" w:rsidRPr="002A13E4">
        <w:rPr>
          <w:color w:val="000000" w:themeColor="text1"/>
        </w:rPr>
        <w:t xml:space="preserve"> two subdimensions</w:t>
      </w:r>
      <w:r w:rsidR="00A37D22" w:rsidRPr="002A13E4">
        <w:rPr>
          <w:color w:val="000000" w:themeColor="text1"/>
        </w:rPr>
        <w:t xml:space="preserve">, external control and personal control. </w:t>
      </w:r>
      <w:r w:rsidR="000F33EB" w:rsidRPr="002A13E4">
        <w:rPr>
          <w:color w:val="000000" w:themeColor="text1"/>
        </w:rPr>
        <w:t>Non</w:t>
      </w:r>
      <w:r w:rsidR="00A138CB" w:rsidRPr="002A13E4">
        <w:rPr>
          <w:color w:val="000000" w:themeColor="text1"/>
        </w:rPr>
        <w:t>-</w:t>
      </w:r>
      <w:r w:rsidR="000F33EB" w:rsidRPr="002A13E4">
        <w:rPr>
          <w:color w:val="000000" w:themeColor="text1"/>
        </w:rPr>
        <w:t>e</w:t>
      </w:r>
      <w:r w:rsidR="00A37D22" w:rsidRPr="002A13E4">
        <w:rPr>
          <w:color w:val="000000" w:themeColor="text1"/>
        </w:rPr>
        <w:t xml:space="preserve">xternal control (i.e., </w:t>
      </w:r>
      <w:bookmarkStart w:id="34" w:name="OLE_LINK17"/>
      <w:bookmarkStart w:id="35" w:name="OLE_LINK18"/>
      <w:r w:rsidR="00187C93" w:rsidRPr="002A13E4">
        <w:rPr>
          <w:color w:val="000000" w:themeColor="text1"/>
        </w:rPr>
        <w:t>the perception that</w:t>
      </w:r>
      <w:r w:rsidR="00A37D22" w:rsidRPr="002A13E4">
        <w:rPr>
          <w:color w:val="000000" w:themeColor="text1"/>
        </w:rPr>
        <w:t xml:space="preserve"> </w:t>
      </w:r>
      <w:bookmarkEnd w:id="34"/>
      <w:bookmarkEnd w:id="35"/>
      <w:r w:rsidR="00A37D22" w:rsidRPr="002A13E4">
        <w:rPr>
          <w:color w:val="000000" w:themeColor="text1"/>
        </w:rPr>
        <w:t xml:space="preserve">the </w:t>
      </w:r>
      <w:r w:rsidR="004C78F5" w:rsidRPr="002A13E4">
        <w:rPr>
          <w:color w:val="000000" w:themeColor="text1"/>
        </w:rPr>
        <w:t xml:space="preserve">failure </w:t>
      </w:r>
      <w:r w:rsidR="00A37D22" w:rsidRPr="002A13E4">
        <w:rPr>
          <w:color w:val="000000" w:themeColor="text1"/>
        </w:rPr>
        <w:t xml:space="preserve">cause </w:t>
      </w:r>
      <w:r w:rsidR="00882B8A" w:rsidRPr="002A13E4">
        <w:rPr>
          <w:color w:val="000000" w:themeColor="text1"/>
        </w:rPr>
        <w:t>was</w:t>
      </w:r>
      <w:r w:rsidR="000F33EB" w:rsidRPr="002A13E4">
        <w:rPr>
          <w:color w:val="000000" w:themeColor="text1"/>
        </w:rPr>
        <w:t xml:space="preserve"> not</w:t>
      </w:r>
      <w:r w:rsidR="00A37D22" w:rsidRPr="002A13E4">
        <w:rPr>
          <w:color w:val="000000" w:themeColor="text1"/>
        </w:rPr>
        <w:t xml:space="preserve"> </w:t>
      </w:r>
      <w:r w:rsidR="00882B8A" w:rsidRPr="002A13E4">
        <w:rPr>
          <w:color w:val="000000" w:themeColor="text1"/>
        </w:rPr>
        <w:t>under the control of the</w:t>
      </w:r>
      <w:r w:rsidR="00A37D22" w:rsidRPr="002A13E4">
        <w:rPr>
          <w:color w:val="000000" w:themeColor="text1"/>
        </w:rPr>
        <w:t xml:space="preserve"> NAO</w:t>
      </w:r>
      <w:r w:rsidR="00882B8A" w:rsidRPr="002A13E4">
        <w:rPr>
          <w:color w:val="000000" w:themeColor="text1"/>
        </w:rPr>
        <w:t xml:space="preserve"> robot</w:t>
      </w:r>
      <w:r w:rsidR="00A37D22" w:rsidRPr="002A13E4">
        <w:rPr>
          <w:color w:val="000000" w:themeColor="text1"/>
        </w:rPr>
        <w:t xml:space="preserve"> in the videos) should be </w:t>
      </w:r>
      <w:r w:rsidR="00A138CB" w:rsidRPr="002A13E4">
        <w:rPr>
          <w:color w:val="000000" w:themeColor="text1"/>
        </w:rPr>
        <w:t>positively</w:t>
      </w:r>
      <w:r w:rsidR="00A37D22" w:rsidRPr="002A13E4">
        <w:rPr>
          <w:color w:val="000000" w:themeColor="text1"/>
        </w:rPr>
        <w:t xml:space="preserve"> associated with benevolent attributions from the perspective of participants, whereas </w:t>
      </w:r>
      <w:r w:rsidR="004C78F5" w:rsidRPr="002A13E4">
        <w:rPr>
          <w:color w:val="000000" w:themeColor="text1"/>
        </w:rPr>
        <w:t>non-</w:t>
      </w:r>
      <w:r w:rsidR="00A37D22" w:rsidRPr="002A13E4">
        <w:rPr>
          <w:color w:val="000000" w:themeColor="text1"/>
        </w:rPr>
        <w:t xml:space="preserve">personal control </w:t>
      </w:r>
      <w:r w:rsidR="004856BC" w:rsidRPr="002A13E4">
        <w:rPr>
          <w:color w:val="000000" w:themeColor="text1"/>
        </w:rPr>
        <w:t xml:space="preserve">(i.e., </w:t>
      </w:r>
      <w:r w:rsidR="00187C93" w:rsidRPr="002A13E4">
        <w:rPr>
          <w:color w:val="000000" w:themeColor="text1"/>
        </w:rPr>
        <w:t>the perception that</w:t>
      </w:r>
      <w:r w:rsidR="004856BC" w:rsidRPr="002A13E4">
        <w:rPr>
          <w:color w:val="000000" w:themeColor="text1"/>
        </w:rPr>
        <w:t xml:space="preserve"> the cause of robotic failures was not under the control of the human actor) should </w:t>
      </w:r>
      <w:r w:rsidR="004C78F5" w:rsidRPr="002A13E4">
        <w:rPr>
          <w:color w:val="000000" w:themeColor="text1"/>
        </w:rPr>
        <w:t xml:space="preserve">be </w:t>
      </w:r>
      <w:r w:rsidR="004856BC" w:rsidRPr="002A13E4">
        <w:rPr>
          <w:color w:val="000000" w:themeColor="text1"/>
        </w:rPr>
        <w:t>negatively associated with trust in the robot, because when less blame is assigned to the actor, more blame is assigned to the robot</w:t>
      </w:r>
      <w:r w:rsidR="00A85737" w:rsidRPr="002A13E4">
        <w:rPr>
          <w:color w:val="000000" w:themeColor="text1"/>
        </w:rPr>
        <w:t xml:space="preserve"> (</w:t>
      </w:r>
      <w:proofErr w:type="spellStart"/>
      <w:r w:rsidR="00A85737" w:rsidRPr="002A13E4">
        <w:rPr>
          <w:color w:val="000000" w:themeColor="text1"/>
        </w:rPr>
        <w:t>Crant</w:t>
      </w:r>
      <w:proofErr w:type="spellEnd"/>
      <w:r w:rsidR="00A85737" w:rsidRPr="002A13E4">
        <w:rPr>
          <w:color w:val="000000" w:themeColor="text1"/>
        </w:rPr>
        <w:t xml:space="preserve"> &amp; Bateman, 1993)</w:t>
      </w:r>
      <w:r w:rsidR="004856BC" w:rsidRPr="002A13E4">
        <w:rPr>
          <w:color w:val="000000" w:themeColor="text1"/>
        </w:rPr>
        <w:t>. As a result,</w:t>
      </w:r>
      <w:r w:rsidR="00A37D22" w:rsidRPr="002A13E4">
        <w:rPr>
          <w:color w:val="000000" w:themeColor="text1"/>
        </w:rPr>
        <w:t xml:space="preserve"> </w:t>
      </w:r>
      <w:r w:rsidR="00F147F7" w:rsidRPr="002A13E4">
        <w:rPr>
          <w:color w:val="000000" w:themeColor="text1"/>
        </w:rPr>
        <w:t xml:space="preserve">H2c could be converted to the prediction that two types of trust should be positively associated with </w:t>
      </w:r>
      <w:r w:rsidR="000F33EB" w:rsidRPr="002A13E4">
        <w:rPr>
          <w:color w:val="000000" w:themeColor="text1"/>
        </w:rPr>
        <w:t>non-</w:t>
      </w:r>
      <w:r w:rsidR="00F147F7" w:rsidRPr="002A13E4">
        <w:rPr>
          <w:color w:val="000000" w:themeColor="text1"/>
        </w:rPr>
        <w:t xml:space="preserve">external control </w:t>
      </w:r>
      <w:r w:rsidR="00A37D22" w:rsidRPr="002A13E4">
        <w:rPr>
          <w:color w:val="000000" w:themeColor="text1"/>
        </w:rPr>
        <w:t>and/</w:t>
      </w:r>
      <w:r w:rsidR="00F147F7" w:rsidRPr="002A13E4">
        <w:rPr>
          <w:color w:val="000000" w:themeColor="text1"/>
        </w:rPr>
        <w:t xml:space="preserve">or negatively associated with </w:t>
      </w:r>
      <w:r w:rsidR="000F33EB" w:rsidRPr="002A13E4">
        <w:rPr>
          <w:color w:val="000000" w:themeColor="text1"/>
        </w:rPr>
        <w:t>non-</w:t>
      </w:r>
      <w:r w:rsidR="00F147F7" w:rsidRPr="002A13E4">
        <w:rPr>
          <w:color w:val="000000" w:themeColor="text1"/>
        </w:rPr>
        <w:t xml:space="preserve">personal control. </w:t>
      </w:r>
    </w:p>
    <w:p w14:paraId="5408BC5F" w14:textId="021D5383" w:rsidR="00DB7FAE" w:rsidRPr="002A13E4" w:rsidRDefault="00F147F7">
      <w:pPr>
        <w:spacing w:line="480" w:lineRule="auto"/>
        <w:ind w:firstLine="720"/>
        <w:rPr>
          <w:color w:val="000000" w:themeColor="text1"/>
        </w:rPr>
      </w:pPr>
      <w:r w:rsidRPr="002A13E4">
        <w:rPr>
          <w:color w:val="000000" w:themeColor="text1"/>
        </w:rPr>
        <w:t xml:space="preserve">A linear regression model was tested with </w:t>
      </w:r>
      <w:r w:rsidR="000F33EB" w:rsidRPr="002A13E4">
        <w:rPr>
          <w:color w:val="000000" w:themeColor="text1"/>
        </w:rPr>
        <w:t xml:space="preserve">external </w:t>
      </w:r>
      <w:r w:rsidRPr="002A13E4">
        <w:rPr>
          <w:color w:val="000000" w:themeColor="text1"/>
        </w:rPr>
        <w:t xml:space="preserve">locus of controllability, </w:t>
      </w:r>
      <w:r w:rsidR="000F33EB" w:rsidRPr="002A13E4">
        <w:rPr>
          <w:color w:val="000000" w:themeColor="text1"/>
        </w:rPr>
        <w:t>non-</w:t>
      </w:r>
      <w:r w:rsidRPr="002A13E4">
        <w:rPr>
          <w:color w:val="000000" w:themeColor="text1"/>
        </w:rPr>
        <w:t xml:space="preserve">external control, </w:t>
      </w:r>
      <w:r w:rsidR="000F33EB" w:rsidRPr="002A13E4">
        <w:rPr>
          <w:color w:val="000000" w:themeColor="text1"/>
        </w:rPr>
        <w:t>in</w:t>
      </w:r>
      <w:r w:rsidRPr="002A13E4">
        <w:rPr>
          <w:color w:val="000000" w:themeColor="text1"/>
        </w:rPr>
        <w:t xml:space="preserve">stability, and </w:t>
      </w:r>
      <w:r w:rsidR="000F33EB" w:rsidRPr="002A13E4">
        <w:rPr>
          <w:color w:val="000000" w:themeColor="text1"/>
        </w:rPr>
        <w:t>non-</w:t>
      </w:r>
      <w:r w:rsidRPr="002A13E4">
        <w:rPr>
          <w:color w:val="000000" w:themeColor="text1"/>
        </w:rPr>
        <w:t xml:space="preserve">personal control as independent variables and competence-based trust as the dependent variable, and the overall model was significant, </w:t>
      </w:r>
      <w:r w:rsidRPr="002A13E4">
        <w:rPr>
          <w:i/>
          <w:color w:val="000000" w:themeColor="text1"/>
        </w:rPr>
        <w:t>R</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3D5495" w:rsidRPr="002A13E4">
        <w:rPr>
          <w:color w:val="000000" w:themeColor="text1"/>
        </w:rPr>
        <w:t>9</w:t>
      </w:r>
      <w:r w:rsidRPr="002A13E4">
        <w:rPr>
          <w:color w:val="000000" w:themeColor="text1"/>
        </w:rPr>
        <w:t xml:space="preserve">, Adjusted </w:t>
      </w:r>
      <w:r w:rsidRPr="002A13E4">
        <w:rPr>
          <w:i/>
          <w:color w:val="000000" w:themeColor="text1"/>
        </w:rPr>
        <w:t>R</w:t>
      </w:r>
      <w:r w:rsidRPr="002A13E4">
        <w:rPr>
          <w:i/>
          <w:color w:val="000000" w:themeColor="text1"/>
          <w:vertAlign w:val="superscript"/>
        </w:rPr>
        <w:t>2</w:t>
      </w:r>
      <w:r w:rsidRPr="002A13E4">
        <w:rPr>
          <w:i/>
          <w:color w:val="000000" w:themeColor="text1"/>
        </w:rPr>
        <w:t xml:space="preserve"> </w:t>
      </w:r>
      <w:r w:rsidRPr="002A13E4">
        <w:rPr>
          <w:color w:val="000000" w:themeColor="text1"/>
        </w:rPr>
        <w:lastRenderedPageBreak/>
        <w:t>= .</w:t>
      </w:r>
      <w:r w:rsidR="0049646C" w:rsidRPr="002A13E4">
        <w:rPr>
          <w:color w:val="000000" w:themeColor="text1"/>
        </w:rPr>
        <w:t>08</w:t>
      </w:r>
      <w:r w:rsidRPr="002A13E4">
        <w:rPr>
          <w:color w:val="000000" w:themeColor="text1"/>
        </w:rPr>
        <w:t xml:space="preserve">, </w:t>
      </w:r>
      <w:r w:rsidRPr="002A13E4">
        <w:rPr>
          <w:i/>
          <w:color w:val="000000" w:themeColor="text1"/>
        </w:rPr>
        <w:t xml:space="preserve">p </w:t>
      </w:r>
      <w:r w:rsidR="00882B8A" w:rsidRPr="002A13E4">
        <w:rPr>
          <w:color w:val="000000" w:themeColor="text1"/>
        </w:rPr>
        <w:t>&lt;</w:t>
      </w:r>
      <w:r w:rsidRPr="002A13E4">
        <w:rPr>
          <w:color w:val="000000" w:themeColor="text1"/>
        </w:rPr>
        <w:t xml:space="preserve"> .</w:t>
      </w:r>
      <w:r w:rsidR="0049646C" w:rsidRPr="002A13E4">
        <w:rPr>
          <w:color w:val="000000" w:themeColor="text1"/>
        </w:rPr>
        <w:t>0</w:t>
      </w:r>
      <w:r w:rsidRPr="002A13E4">
        <w:rPr>
          <w:color w:val="000000" w:themeColor="text1"/>
        </w:rPr>
        <w:t>0</w:t>
      </w:r>
      <w:r w:rsidR="00882B8A" w:rsidRPr="002A13E4">
        <w:rPr>
          <w:color w:val="000000" w:themeColor="text1"/>
        </w:rPr>
        <w:t>1</w:t>
      </w:r>
      <w:r w:rsidRPr="002A13E4">
        <w:rPr>
          <w:color w:val="000000" w:themeColor="text1"/>
        </w:rPr>
        <w:t xml:space="preserve">, with </w:t>
      </w:r>
      <w:r w:rsidR="004856BC" w:rsidRPr="002A13E4">
        <w:rPr>
          <w:color w:val="000000" w:themeColor="text1"/>
        </w:rPr>
        <w:t>in</w:t>
      </w:r>
      <w:r w:rsidR="00882B8A" w:rsidRPr="002A13E4">
        <w:rPr>
          <w:color w:val="000000" w:themeColor="text1"/>
        </w:rPr>
        <w:t xml:space="preserve">stability </w:t>
      </w:r>
      <w:r w:rsidRPr="002A13E4">
        <w:rPr>
          <w:color w:val="000000" w:themeColor="text1"/>
        </w:rPr>
        <w:t xml:space="preserve">being the </w:t>
      </w:r>
      <w:r w:rsidR="0049646C" w:rsidRPr="002A13E4">
        <w:rPr>
          <w:color w:val="000000" w:themeColor="text1"/>
        </w:rPr>
        <w:t xml:space="preserve">only </w:t>
      </w:r>
      <w:r w:rsidRPr="002A13E4">
        <w:rPr>
          <w:color w:val="000000" w:themeColor="text1"/>
        </w:rPr>
        <w:t>significant predictor</w:t>
      </w:r>
      <w:r w:rsidR="00F01939" w:rsidRPr="002A13E4">
        <w:rPr>
          <w:color w:val="000000" w:themeColor="text1"/>
        </w:rPr>
        <w:t xml:space="preserve">, so a simple linear regression was performed </w:t>
      </w:r>
      <w:r w:rsidR="00457B6C" w:rsidRPr="002A13E4">
        <w:rPr>
          <w:color w:val="000000" w:themeColor="text1"/>
        </w:rPr>
        <w:t>in which</w:t>
      </w:r>
      <w:r w:rsidR="00F01939" w:rsidRPr="002A13E4">
        <w:rPr>
          <w:color w:val="000000" w:themeColor="text1"/>
        </w:rPr>
        <w:t xml:space="preserve"> instability (β = .29, </w:t>
      </w:r>
      <w:r w:rsidR="00F01939" w:rsidRPr="002A13E4">
        <w:rPr>
          <w:i/>
          <w:color w:val="000000" w:themeColor="text1"/>
        </w:rPr>
        <w:t>p</w:t>
      </w:r>
      <w:r w:rsidR="00F01939" w:rsidRPr="002A13E4">
        <w:rPr>
          <w:color w:val="000000" w:themeColor="text1"/>
        </w:rPr>
        <w:t xml:space="preserve"> &lt; .001) </w:t>
      </w:r>
      <w:r w:rsidR="00457B6C" w:rsidRPr="002A13E4">
        <w:rPr>
          <w:color w:val="000000" w:themeColor="text1"/>
        </w:rPr>
        <w:t>w</w:t>
      </w:r>
      <w:r w:rsidR="00F01939" w:rsidRPr="002A13E4">
        <w:rPr>
          <w:color w:val="000000" w:themeColor="text1"/>
        </w:rPr>
        <w:t xml:space="preserve">as </w:t>
      </w:r>
      <w:r w:rsidR="00457B6C" w:rsidRPr="002A13E4">
        <w:rPr>
          <w:color w:val="000000" w:themeColor="text1"/>
        </w:rPr>
        <w:t xml:space="preserve">entered as </w:t>
      </w:r>
      <w:r w:rsidR="00F01939" w:rsidRPr="002A13E4">
        <w:rPr>
          <w:color w:val="000000" w:themeColor="text1"/>
        </w:rPr>
        <w:t xml:space="preserve">the only explanatory variable, </w:t>
      </w:r>
      <w:r w:rsidR="00F01939" w:rsidRPr="002A13E4">
        <w:rPr>
          <w:i/>
          <w:color w:val="000000" w:themeColor="text1"/>
        </w:rPr>
        <w:t>R</w:t>
      </w:r>
      <w:r w:rsidR="00F01939" w:rsidRPr="002A13E4">
        <w:rPr>
          <w:i/>
          <w:color w:val="000000" w:themeColor="text1"/>
          <w:vertAlign w:val="superscript"/>
        </w:rPr>
        <w:t>2</w:t>
      </w:r>
      <w:r w:rsidR="00F01939" w:rsidRPr="002A13E4">
        <w:rPr>
          <w:i/>
          <w:color w:val="000000" w:themeColor="text1"/>
        </w:rPr>
        <w:t xml:space="preserve"> </w:t>
      </w:r>
      <w:r w:rsidR="00F01939" w:rsidRPr="002A13E4">
        <w:rPr>
          <w:color w:val="000000" w:themeColor="text1"/>
        </w:rPr>
        <w:t xml:space="preserve">= .08, Adjusted </w:t>
      </w:r>
      <w:r w:rsidR="00F01939" w:rsidRPr="002A13E4">
        <w:rPr>
          <w:i/>
          <w:color w:val="000000" w:themeColor="text1"/>
        </w:rPr>
        <w:t>R</w:t>
      </w:r>
      <w:r w:rsidR="00F01939" w:rsidRPr="002A13E4">
        <w:rPr>
          <w:i/>
          <w:color w:val="000000" w:themeColor="text1"/>
          <w:vertAlign w:val="superscript"/>
        </w:rPr>
        <w:t>2</w:t>
      </w:r>
      <w:r w:rsidR="00F01939" w:rsidRPr="002A13E4">
        <w:rPr>
          <w:i/>
          <w:color w:val="000000" w:themeColor="text1"/>
        </w:rPr>
        <w:t xml:space="preserve"> </w:t>
      </w:r>
      <w:r w:rsidR="00F01939" w:rsidRPr="002A13E4">
        <w:rPr>
          <w:color w:val="000000" w:themeColor="text1"/>
        </w:rPr>
        <w:t xml:space="preserve">= .08, </w:t>
      </w:r>
      <w:r w:rsidR="00F01939" w:rsidRPr="002A13E4">
        <w:rPr>
          <w:i/>
          <w:color w:val="000000" w:themeColor="text1"/>
        </w:rPr>
        <w:t xml:space="preserve">p </w:t>
      </w:r>
      <w:r w:rsidR="00F01939" w:rsidRPr="002A13E4">
        <w:rPr>
          <w:color w:val="000000" w:themeColor="text1"/>
        </w:rPr>
        <w:t>&lt; .001</w:t>
      </w:r>
      <w:r w:rsidRPr="002A13E4">
        <w:rPr>
          <w:color w:val="000000" w:themeColor="text1"/>
        </w:rPr>
        <w:t xml:space="preserve">. </w:t>
      </w:r>
      <w:r w:rsidR="00882B8A" w:rsidRPr="002A13E4">
        <w:rPr>
          <w:color w:val="000000" w:themeColor="text1"/>
        </w:rPr>
        <w:t xml:space="preserve">This means perceived </w:t>
      </w:r>
      <w:r w:rsidR="004856BC" w:rsidRPr="002A13E4">
        <w:rPr>
          <w:color w:val="000000" w:themeColor="text1"/>
        </w:rPr>
        <w:t>in</w:t>
      </w:r>
      <w:r w:rsidR="00882B8A" w:rsidRPr="002A13E4">
        <w:rPr>
          <w:color w:val="000000" w:themeColor="text1"/>
        </w:rPr>
        <w:t>stability of causality was positively associated with competence-based</w:t>
      </w:r>
      <w:r w:rsidR="0049646C" w:rsidRPr="002A13E4">
        <w:rPr>
          <w:color w:val="000000" w:themeColor="text1"/>
        </w:rPr>
        <w:t xml:space="preserve"> trust</w:t>
      </w:r>
      <w:r w:rsidR="00882B8A" w:rsidRPr="002A13E4">
        <w:rPr>
          <w:color w:val="000000" w:themeColor="text1"/>
        </w:rPr>
        <w:t>. Hence, H2b</w:t>
      </w:r>
      <w:r w:rsidR="0049646C" w:rsidRPr="002A13E4">
        <w:rPr>
          <w:color w:val="000000" w:themeColor="text1"/>
        </w:rPr>
        <w:t xml:space="preserve"> was </w:t>
      </w:r>
      <w:r w:rsidR="00882B8A" w:rsidRPr="002A13E4">
        <w:rPr>
          <w:color w:val="000000" w:themeColor="text1"/>
        </w:rPr>
        <w:t xml:space="preserve">supported for competence-based trust. </w:t>
      </w:r>
      <w:r w:rsidRPr="002A13E4">
        <w:rPr>
          <w:color w:val="000000" w:themeColor="text1"/>
        </w:rPr>
        <w:t xml:space="preserve">Another regression model was built with integrity-based trust as </w:t>
      </w:r>
      <w:r w:rsidR="003573AA" w:rsidRPr="002A13E4">
        <w:rPr>
          <w:color w:val="000000" w:themeColor="text1"/>
        </w:rPr>
        <w:t xml:space="preserve">a </w:t>
      </w:r>
      <w:r w:rsidRPr="002A13E4">
        <w:rPr>
          <w:color w:val="000000" w:themeColor="text1"/>
        </w:rPr>
        <w:t xml:space="preserve">dependent variable, and the model was significant, </w:t>
      </w:r>
      <w:r w:rsidRPr="002A13E4">
        <w:rPr>
          <w:i/>
          <w:color w:val="000000" w:themeColor="text1"/>
        </w:rPr>
        <w:t>R</w:t>
      </w:r>
      <w:r w:rsidRPr="002A13E4">
        <w:rPr>
          <w:i/>
          <w:color w:val="000000" w:themeColor="text1"/>
          <w:vertAlign w:val="superscript"/>
        </w:rPr>
        <w:t>2</w:t>
      </w:r>
      <w:r w:rsidRPr="002A13E4">
        <w:rPr>
          <w:i/>
          <w:color w:val="000000" w:themeColor="text1"/>
        </w:rPr>
        <w:t xml:space="preserve"> </w:t>
      </w:r>
      <w:r w:rsidRPr="002A13E4">
        <w:rPr>
          <w:color w:val="000000" w:themeColor="text1"/>
        </w:rPr>
        <w:t>= .</w:t>
      </w:r>
      <w:r w:rsidR="0049646C" w:rsidRPr="002A13E4">
        <w:rPr>
          <w:color w:val="000000" w:themeColor="text1"/>
        </w:rPr>
        <w:t>10</w:t>
      </w:r>
      <w:r w:rsidRPr="002A13E4">
        <w:rPr>
          <w:color w:val="000000" w:themeColor="text1"/>
        </w:rPr>
        <w:t xml:space="preserve">, Adjusted </w:t>
      </w:r>
      <w:r w:rsidRPr="002A13E4">
        <w:rPr>
          <w:i/>
          <w:color w:val="000000" w:themeColor="text1"/>
        </w:rPr>
        <w:t>R</w:t>
      </w:r>
      <w:r w:rsidRPr="002A13E4">
        <w:rPr>
          <w:i/>
          <w:color w:val="000000" w:themeColor="text1"/>
          <w:vertAlign w:val="superscript"/>
        </w:rPr>
        <w:t>2</w:t>
      </w:r>
      <w:r w:rsidRPr="002A13E4">
        <w:rPr>
          <w:i/>
          <w:color w:val="000000" w:themeColor="text1"/>
        </w:rPr>
        <w:t xml:space="preserve"> </w:t>
      </w:r>
      <w:r w:rsidRPr="002A13E4">
        <w:rPr>
          <w:color w:val="000000" w:themeColor="text1"/>
        </w:rPr>
        <w:t>= .</w:t>
      </w:r>
      <w:r w:rsidR="0049646C" w:rsidRPr="002A13E4">
        <w:rPr>
          <w:color w:val="000000" w:themeColor="text1"/>
        </w:rPr>
        <w:t>10</w:t>
      </w:r>
      <w:r w:rsidRPr="002A13E4">
        <w:rPr>
          <w:color w:val="000000" w:themeColor="text1"/>
        </w:rPr>
        <w:t xml:space="preserve">, </w:t>
      </w:r>
      <w:r w:rsidRPr="002A13E4">
        <w:rPr>
          <w:i/>
          <w:color w:val="000000" w:themeColor="text1"/>
        </w:rPr>
        <w:t xml:space="preserve">p </w:t>
      </w:r>
      <w:r w:rsidR="00882B8A" w:rsidRPr="002A13E4">
        <w:rPr>
          <w:color w:val="000000" w:themeColor="text1"/>
        </w:rPr>
        <w:t>&lt;</w:t>
      </w:r>
      <w:r w:rsidRPr="002A13E4">
        <w:rPr>
          <w:color w:val="000000" w:themeColor="text1"/>
        </w:rPr>
        <w:t xml:space="preserve"> .001, in which </w:t>
      </w:r>
      <w:r w:rsidR="004856BC" w:rsidRPr="002A13E4">
        <w:rPr>
          <w:color w:val="000000" w:themeColor="text1"/>
        </w:rPr>
        <w:t>in</w:t>
      </w:r>
      <w:r w:rsidR="00882B8A" w:rsidRPr="002A13E4">
        <w:rPr>
          <w:color w:val="000000" w:themeColor="text1"/>
        </w:rPr>
        <w:t xml:space="preserve">stability and </w:t>
      </w:r>
      <w:r w:rsidR="00A93469" w:rsidRPr="002A13E4">
        <w:rPr>
          <w:color w:val="000000" w:themeColor="text1"/>
        </w:rPr>
        <w:t>non-</w:t>
      </w:r>
      <w:r w:rsidRPr="002A13E4">
        <w:rPr>
          <w:color w:val="000000" w:themeColor="text1"/>
        </w:rPr>
        <w:t xml:space="preserve">personal control </w:t>
      </w:r>
      <w:r w:rsidR="00882B8A" w:rsidRPr="002A13E4">
        <w:rPr>
          <w:color w:val="000000" w:themeColor="text1"/>
        </w:rPr>
        <w:t xml:space="preserve">were </w:t>
      </w:r>
      <w:r w:rsidRPr="002A13E4">
        <w:rPr>
          <w:color w:val="000000" w:themeColor="text1"/>
        </w:rPr>
        <w:t>significant predictor</w:t>
      </w:r>
      <w:r w:rsidR="00882B8A" w:rsidRPr="002A13E4">
        <w:rPr>
          <w:color w:val="000000" w:themeColor="text1"/>
        </w:rPr>
        <w:t>s</w:t>
      </w:r>
      <w:r w:rsidRPr="002A13E4">
        <w:rPr>
          <w:color w:val="000000" w:themeColor="text1"/>
        </w:rPr>
        <w:t xml:space="preserve">. </w:t>
      </w:r>
      <w:r w:rsidR="00F01939" w:rsidRPr="002A13E4">
        <w:rPr>
          <w:color w:val="000000" w:themeColor="text1"/>
        </w:rPr>
        <w:t xml:space="preserve">Hence, the regression model was rebuilt with the two independent variables, (β = .28, </w:t>
      </w:r>
      <w:r w:rsidR="00F01939" w:rsidRPr="002A13E4">
        <w:rPr>
          <w:i/>
          <w:color w:val="000000" w:themeColor="text1"/>
        </w:rPr>
        <w:t>p</w:t>
      </w:r>
      <w:r w:rsidR="00F01939" w:rsidRPr="002A13E4">
        <w:rPr>
          <w:color w:val="000000" w:themeColor="text1"/>
        </w:rPr>
        <w:t xml:space="preserve"> &lt; .001) and non-personal control (β = - .05, </w:t>
      </w:r>
      <w:r w:rsidR="00F01939" w:rsidRPr="002A13E4">
        <w:rPr>
          <w:i/>
          <w:color w:val="000000" w:themeColor="text1"/>
        </w:rPr>
        <w:t>p</w:t>
      </w:r>
      <w:r w:rsidR="00F01939" w:rsidRPr="002A13E4">
        <w:rPr>
          <w:color w:val="000000" w:themeColor="text1"/>
        </w:rPr>
        <w:t xml:space="preserve"> &lt; .001), </w:t>
      </w:r>
      <w:r w:rsidR="00F01939" w:rsidRPr="002A13E4">
        <w:rPr>
          <w:i/>
          <w:color w:val="000000" w:themeColor="text1"/>
        </w:rPr>
        <w:t>R</w:t>
      </w:r>
      <w:r w:rsidR="00F01939" w:rsidRPr="002A13E4">
        <w:rPr>
          <w:i/>
          <w:color w:val="000000" w:themeColor="text1"/>
          <w:vertAlign w:val="superscript"/>
        </w:rPr>
        <w:t>2</w:t>
      </w:r>
      <w:r w:rsidR="00F01939" w:rsidRPr="002A13E4">
        <w:rPr>
          <w:i/>
          <w:color w:val="000000" w:themeColor="text1"/>
        </w:rPr>
        <w:t xml:space="preserve"> </w:t>
      </w:r>
      <w:r w:rsidR="00F01939" w:rsidRPr="002A13E4">
        <w:rPr>
          <w:color w:val="000000" w:themeColor="text1"/>
        </w:rPr>
        <w:t xml:space="preserve">= .09, Adjusted </w:t>
      </w:r>
      <w:r w:rsidR="00F01939" w:rsidRPr="002A13E4">
        <w:rPr>
          <w:i/>
          <w:color w:val="000000" w:themeColor="text1"/>
        </w:rPr>
        <w:t>R</w:t>
      </w:r>
      <w:r w:rsidR="00F01939" w:rsidRPr="002A13E4">
        <w:rPr>
          <w:i/>
          <w:color w:val="000000" w:themeColor="text1"/>
          <w:vertAlign w:val="superscript"/>
        </w:rPr>
        <w:t>2</w:t>
      </w:r>
      <w:r w:rsidR="00F01939" w:rsidRPr="002A13E4">
        <w:rPr>
          <w:i/>
          <w:color w:val="000000" w:themeColor="text1"/>
        </w:rPr>
        <w:t xml:space="preserve"> </w:t>
      </w:r>
      <w:r w:rsidR="00F01939" w:rsidRPr="002A13E4">
        <w:rPr>
          <w:color w:val="000000" w:themeColor="text1"/>
        </w:rPr>
        <w:t xml:space="preserve">= .08, </w:t>
      </w:r>
      <w:r w:rsidR="00F01939" w:rsidRPr="002A13E4">
        <w:rPr>
          <w:i/>
          <w:color w:val="000000" w:themeColor="text1"/>
        </w:rPr>
        <w:t xml:space="preserve">p </w:t>
      </w:r>
      <w:r w:rsidR="00F01939" w:rsidRPr="002A13E4">
        <w:rPr>
          <w:color w:val="000000" w:themeColor="text1"/>
        </w:rPr>
        <w:t xml:space="preserve">&lt; .001. </w:t>
      </w:r>
      <w:r w:rsidR="00882B8A" w:rsidRPr="002A13E4">
        <w:rPr>
          <w:color w:val="000000" w:themeColor="text1"/>
        </w:rPr>
        <w:t xml:space="preserve">This means perceived </w:t>
      </w:r>
      <w:r w:rsidR="00A93469" w:rsidRPr="002A13E4">
        <w:rPr>
          <w:color w:val="000000" w:themeColor="text1"/>
        </w:rPr>
        <w:t>in</w:t>
      </w:r>
      <w:r w:rsidR="00882B8A" w:rsidRPr="002A13E4">
        <w:rPr>
          <w:color w:val="000000" w:themeColor="text1"/>
        </w:rPr>
        <w:t xml:space="preserve">stability of causality was a positive indicator of integrity-based trust, while </w:t>
      </w:r>
      <w:r w:rsidR="00A93469" w:rsidRPr="002A13E4">
        <w:rPr>
          <w:color w:val="000000" w:themeColor="text1"/>
        </w:rPr>
        <w:t>non</w:t>
      </w:r>
      <w:r w:rsidR="00882B8A" w:rsidRPr="002A13E4">
        <w:rPr>
          <w:color w:val="000000" w:themeColor="text1"/>
        </w:rPr>
        <w:t xml:space="preserve">personal control was a negative indicator of </w:t>
      </w:r>
      <w:r w:rsidR="004856BC" w:rsidRPr="002A13E4">
        <w:rPr>
          <w:color w:val="000000" w:themeColor="text1"/>
        </w:rPr>
        <w:t>integrity</w:t>
      </w:r>
      <w:r w:rsidR="00882B8A" w:rsidRPr="002A13E4">
        <w:rPr>
          <w:color w:val="000000" w:themeColor="text1"/>
        </w:rPr>
        <w:t>-based trust</w:t>
      </w:r>
      <w:r w:rsidR="004C78F5" w:rsidRPr="002A13E4">
        <w:rPr>
          <w:color w:val="000000" w:themeColor="text1"/>
        </w:rPr>
        <w:t>.</w:t>
      </w:r>
      <w:r w:rsidR="00882B8A" w:rsidRPr="002A13E4">
        <w:rPr>
          <w:color w:val="000000" w:themeColor="text1"/>
        </w:rPr>
        <w:t xml:space="preserve"> </w:t>
      </w:r>
      <w:r w:rsidRPr="002A13E4">
        <w:rPr>
          <w:color w:val="000000" w:themeColor="text1"/>
        </w:rPr>
        <w:t xml:space="preserve">Therefore, </w:t>
      </w:r>
      <w:r w:rsidR="00882B8A" w:rsidRPr="002A13E4">
        <w:rPr>
          <w:color w:val="000000" w:themeColor="text1"/>
        </w:rPr>
        <w:t>H2b and H2c were supported for integrity-based trust</w:t>
      </w:r>
      <w:r w:rsidRPr="002A13E4">
        <w:rPr>
          <w:color w:val="000000" w:themeColor="text1"/>
        </w:rPr>
        <w:t>, with H2</w:t>
      </w:r>
      <w:r w:rsidR="00882B8A" w:rsidRPr="002A13E4">
        <w:rPr>
          <w:color w:val="000000" w:themeColor="text1"/>
        </w:rPr>
        <w:t>a</w:t>
      </w:r>
      <w:r w:rsidRPr="002A13E4">
        <w:rPr>
          <w:color w:val="000000" w:themeColor="text1"/>
        </w:rPr>
        <w:t xml:space="preserve"> failing to gain evidence from the data</w:t>
      </w:r>
      <w:r w:rsidR="00A93469" w:rsidRPr="002A13E4">
        <w:rPr>
          <w:color w:val="000000" w:themeColor="text1"/>
        </w:rPr>
        <w:t xml:space="preserve"> for </w:t>
      </w:r>
      <w:r w:rsidR="00F24F71" w:rsidRPr="002A13E4">
        <w:rPr>
          <w:color w:val="000000" w:themeColor="text1"/>
        </w:rPr>
        <w:t>either</w:t>
      </w:r>
      <w:r w:rsidR="00A93469" w:rsidRPr="002A13E4">
        <w:rPr>
          <w:color w:val="000000" w:themeColor="text1"/>
        </w:rPr>
        <w:t xml:space="preserve"> trust</w:t>
      </w:r>
      <w:r w:rsidR="00F24F71" w:rsidRPr="002A13E4">
        <w:rPr>
          <w:color w:val="000000" w:themeColor="text1"/>
        </w:rPr>
        <w:t xml:space="preserve"> type</w:t>
      </w:r>
      <w:r w:rsidRPr="002A13E4">
        <w:rPr>
          <w:color w:val="000000" w:themeColor="text1"/>
        </w:rPr>
        <w:t xml:space="preserve">, so </w:t>
      </w:r>
      <w:r w:rsidR="00365F9C" w:rsidRPr="002A13E4">
        <w:rPr>
          <w:color w:val="000000" w:themeColor="text1"/>
        </w:rPr>
        <w:t xml:space="preserve">overall </w:t>
      </w:r>
      <w:r w:rsidRPr="002A13E4">
        <w:rPr>
          <w:color w:val="000000" w:themeColor="text1"/>
        </w:rPr>
        <w:t>H2 was partially supported.</w:t>
      </w:r>
    </w:p>
    <w:p w14:paraId="16126E0A" w14:textId="4DF43A4A" w:rsidR="00B4117E" w:rsidRPr="002A13E4" w:rsidRDefault="00F147F7" w:rsidP="00DC42DA">
      <w:pPr>
        <w:spacing w:line="480" w:lineRule="auto"/>
        <w:ind w:firstLine="720"/>
        <w:rPr>
          <w:color w:val="000000" w:themeColor="text1"/>
        </w:rPr>
      </w:pPr>
      <w:r w:rsidRPr="002A13E4">
        <w:rPr>
          <w:color w:val="000000" w:themeColor="text1"/>
        </w:rPr>
        <w:t xml:space="preserve">H3 suggested apology with both-internal and external-attribution apology would intrigue more (a) unstable and (b) uncontrollable attributions after error occurrence than no repair, so different failure conditions were collapsed into three categories (i.e., internal-attribution apology, external-attribution apology, and no repair). Under the structure of CDSII, H3b could be translated to say that apology should be positively associated with </w:t>
      </w:r>
      <w:r w:rsidR="000F33EB" w:rsidRPr="002A13E4">
        <w:rPr>
          <w:color w:val="000000" w:themeColor="text1"/>
        </w:rPr>
        <w:t>non-</w:t>
      </w:r>
      <w:r w:rsidRPr="002A13E4">
        <w:rPr>
          <w:color w:val="000000" w:themeColor="text1"/>
        </w:rPr>
        <w:t xml:space="preserve">external control or negatively associated with </w:t>
      </w:r>
      <w:r w:rsidR="00A93469" w:rsidRPr="002A13E4">
        <w:rPr>
          <w:color w:val="000000" w:themeColor="text1"/>
        </w:rPr>
        <w:t>non-</w:t>
      </w:r>
      <w:r w:rsidRPr="002A13E4">
        <w:rPr>
          <w:color w:val="000000" w:themeColor="text1"/>
        </w:rPr>
        <w:t>personal control. For H3a,</w:t>
      </w:r>
      <w:r w:rsidR="0049646C" w:rsidRPr="002A13E4">
        <w:rPr>
          <w:color w:val="000000" w:themeColor="text1"/>
        </w:rPr>
        <w:t xml:space="preserve"> the assumption of homogeneity was met, </w:t>
      </w:r>
      <w:r w:rsidR="0049646C" w:rsidRPr="002A13E4">
        <w:rPr>
          <w:i/>
          <w:iCs/>
          <w:color w:val="000000" w:themeColor="text1"/>
        </w:rPr>
        <w:t>F</w:t>
      </w:r>
      <w:r w:rsidR="0049646C" w:rsidRPr="002A13E4">
        <w:rPr>
          <w:color w:val="000000" w:themeColor="text1"/>
        </w:rPr>
        <w:t>(2, 503)</w:t>
      </w:r>
      <w:r w:rsidRPr="002A13E4">
        <w:rPr>
          <w:color w:val="000000" w:themeColor="text1"/>
        </w:rPr>
        <w:t xml:space="preserve"> </w:t>
      </w:r>
      <w:r w:rsidR="00DC42DA" w:rsidRPr="002A13E4">
        <w:rPr>
          <w:color w:val="000000" w:themeColor="text1"/>
        </w:rPr>
        <w:t xml:space="preserve">= 0.83, </w:t>
      </w:r>
      <w:r w:rsidR="00DC42DA" w:rsidRPr="002A13E4">
        <w:rPr>
          <w:i/>
          <w:iCs/>
          <w:color w:val="000000" w:themeColor="text1"/>
        </w:rPr>
        <w:t>p</w:t>
      </w:r>
      <w:r w:rsidR="00DC42DA" w:rsidRPr="002A13E4">
        <w:rPr>
          <w:color w:val="000000" w:themeColor="text1"/>
        </w:rPr>
        <w:t xml:space="preserve"> = .44, and </w:t>
      </w:r>
      <w:r w:rsidRPr="002A13E4">
        <w:rPr>
          <w:color w:val="000000" w:themeColor="text1"/>
        </w:rPr>
        <w:t>the group difference</w:t>
      </w:r>
      <w:r w:rsidR="00F01939" w:rsidRPr="002A13E4">
        <w:rPr>
          <w:color w:val="000000" w:themeColor="text1"/>
        </w:rPr>
        <w:t>s</w:t>
      </w:r>
      <w:r w:rsidRPr="002A13E4">
        <w:rPr>
          <w:color w:val="000000" w:themeColor="text1"/>
        </w:rPr>
        <w:t xml:space="preserve"> in the ANCOVA model with propensity to trust</w:t>
      </w:r>
      <w:r w:rsidR="00DC42DA" w:rsidRPr="002A13E4">
        <w:rPr>
          <w:color w:val="000000" w:themeColor="text1"/>
        </w:rPr>
        <w:t xml:space="preserve"> (</w:t>
      </w:r>
      <w:r w:rsidR="00DC42DA" w:rsidRPr="002A13E4">
        <w:rPr>
          <w:i/>
          <w:iCs/>
          <w:color w:val="000000" w:themeColor="text1"/>
        </w:rPr>
        <w:t>p</w:t>
      </w:r>
      <w:r w:rsidR="00DC42DA" w:rsidRPr="002A13E4">
        <w:rPr>
          <w:color w:val="000000" w:themeColor="text1"/>
        </w:rPr>
        <w:t xml:space="preserve"> &lt; .01)</w:t>
      </w:r>
      <w:r w:rsidRPr="002A13E4">
        <w:rPr>
          <w:color w:val="000000" w:themeColor="text1"/>
        </w:rPr>
        <w:t xml:space="preserve"> and </w:t>
      </w:r>
      <w:r w:rsidR="001C19EF" w:rsidRPr="002A13E4">
        <w:rPr>
          <w:color w:val="000000" w:themeColor="text1"/>
        </w:rPr>
        <w:t>entity beliefs</w:t>
      </w:r>
      <w:r w:rsidR="00DC42DA" w:rsidRPr="002A13E4">
        <w:rPr>
          <w:color w:val="000000" w:themeColor="text1"/>
        </w:rPr>
        <w:t xml:space="preserve"> (</w:t>
      </w:r>
      <w:r w:rsidR="00DC42DA" w:rsidRPr="002A13E4">
        <w:rPr>
          <w:i/>
          <w:iCs/>
          <w:color w:val="000000" w:themeColor="text1"/>
        </w:rPr>
        <w:t>p</w:t>
      </w:r>
      <w:r w:rsidR="00DC42DA" w:rsidRPr="002A13E4">
        <w:rPr>
          <w:color w:val="000000" w:themeColor="text1"/>
        </w:rPr>
        <w:t xml:space="preserve"> &lt; .05)</w:t>
      </w:r>
      <w:r w:rsidRPr="002A13E4">
        <w:rPr>
          <w:color w:val="000000" w:themeColor="text1"/>
        </w:rPr>
        <w:t xml:space="preserve"> as</w:t>
      </w:r>
      <w:r w:rsidR="00DC42DA" w:rsidRPr="002A13E4">
        <w:rPr>
          <w:color w:val="000000" w:themeColor="text1"/>
        </w:rPr>
        <w:t xml:space="preserve"> significant</w:t>
      </w:r>
      <w:r w:rsidRPr="002A13E4">
        <w:rPr>
          <w:color w:val="000000" w:themeColor="text1"/>
        </w:rPr>
        <w:t xml:space="preserve"> covariates and </w:t>
      </w:r>
      <w:r w:rsidR="00187BAC" w:rsidRPr="002A13E4">
        <w:rPr>
          <w:color w:val="000000" w:themeColor="text1"/>
        </w:rPr>
        <w:t>instability</w:t>
      </w:r>
      <w:r w:rsidRPr="002A13E4">
        <w:rPr>
          <w:color w:val="000000" w:themeColor="text1"/>
        </w:rPr>
        <w:t xml:space="preserve"> as </w:t>
      </w:r>
      <w:r w:rsidR="00A93469" w:rsidRPr="002A13E4">
        <w:rPr>
          <w:color w:val="000000" w:themeColor="text1"/>
        </w:rPr>
        <w:t xml:space="preserve">a </w:t>
      </w:r>
      <w:r w:rsidRPr="002A13E4">
        <w:rPr>
          <w:color w:val="000000" w:themeColor="text1"/>
        </w:rPr>
        <w:t xml:space="preserve">dependent variable turned out to be insignificant, </w:t>
      </w:r>
      <w:r w:rsidRPr="002A13E4">
        <w:rPr>
          <w:i/>
          <w:color w:val="000000" w:themeColor="text1"/>
        </w:rPr>
        <w:t>F</w:t>
      </w:r>
      <w:r w:rsidRPr="002A13E4">
        <w:rPr>
          <w:color w:val="000000" w:themeColor="text1"/>
        </w:rPr>
        <w:t>(</w:t>
      </w:r>
      <w:r w:rsidR="00A93469" w:rsidRPr="002A13E4">
        <w:rPr>
          <w:color w:val="000000" w:themeColor="text1"/>
        </w:rPr>
        <w:t xml:space="preserve">2, </w:t>
      </w:r>
      <w:r w:rsidR="00DC42DA" w:rsidRPr="002A13E4">
        <w:rPr>
          <w:color w:val="000000" w:themeColor="text1"/>
        </w:rPr>
        <w:t>501</w:t>
      </w:r>
      <w:r w:rsidRPr="002A13E4">
        <w:rPr>
          <w:color w:val="000000" w:themeColor="text1"/>
        </w:rPr>
        <w:t xml:space="preserve">) = </w:t>
      </w:r>
      <w:r w:rsidR="00DC42DA" w:rsidRPr="002A13E4">
        <w:rPr>
          <w:color w:val="000000" w:themeColor="text1"/>
        </w:rPr>
        <w:t>0.21</w:t>
      </w:r>
      <w:r w:rsidRPr="002A13E4">
        <w:rPr>
          <w:color w:val="000000" w:themeColor="text1"/>
        </w:rPr>
        <w:t xml:space="preserve">, </w:t>
      </w:r>
      <w:r w:rsidRPr="002A13E4">
        <w:rPr>
          <w:i/>
          <w:color w:val="000000" w:themeColor="text1"/>
        </w:rPr>
        <w:t>p</w:t>
      </w:r>
      <w:r w:rsidRPr="002A13E4">
        <w:rPr>
          <w:color w:val="000000" w:themeColor="text1"/>
        </w:rPr>
        <w:t xml:space="preserve"> = .</w:t>
      </w:r>
      <w:r w:rsidR="00DC42DA" w:rsidRPr="002A13E4">
        <w:rPr>
          <w:color w:val="000000" w:themeColor="text1"/>
        </w:rPr>
        <w:t>81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w:t>
      </w:r>
      <w:r w:rsidR="00DC42DA" w:rsidRPr="002A13E4">
        <w:rPr>
          <w:color w:val="000000" w:themeColor="text1"/>
        </w:rPr>
        <w:t>0</w:t>
      </w:r>
      <w:r w:rsidRPr="002A13E4">
        <w:rPr>
          <w:color w:val="000000" w:themeColor="text1"/>
        </w:rPr>
        <w:t xml:space="preserve">01. </w:t>
      </w:r>
    </w:p>
    <w:p w14:paraId="4393B37D" w14:textId="47A4BDCE" w:rsidR="000442FD" w:rsidRPr="002A13E4" w:rsidRDefault="00F147F7" w:rsidP="00DC42DA">
      <w:pPr>
        <w:spacing w:line="480" w:lineRule="auto"/>
        <w:ind w:firstLine="720"/>
        <w:rPr>
          <w:color w:val="000000" w:themeColor="text1"/>
        </w:rPr>
      </w:pPr>
      <w:r w:rsidRPr="002A13E4">
        <w:rPr>
          <w:color w:val="000000" w:themeColor="text1"/>
        </w:rPr>
        <w:lastRenderedPageBreak/>
        <w:t>For H3b, another</w:t>
      </w:r>
      <w:r w:rsidR="00A93469" w:rsidRPr="002A13E4">
        <w:rPr>
          <w:color w:val="000000" w:themeColor="text1"/>
        </w:rPr>
        <w:t xml:space="preserve"> two</w:t>
      </w:r>
      <w:r w:rsidRPr="002A13E4">
        <w:rPr>
          <w:color w:val="000000" w:themeColor="text1"/>
        </w:rPr>
        <w:t xml:space="preserve"> ANCOVA </w:t>
      </w:r>
      <w:r w:rsidR="00A93469" w:rsidRPr="002A13E4">
        <w:rPr>
          <w:color w:val="000000" w:themeColor="text1"/>
        </w:rPr>
        <w:t xml:space="preserve">tests </w:t>
      </w:r>
      <w:r w:rsidRPr="002A13E4">
        <w:rPr>
          <w:color w:val="000000" w:themeColor="text1"/>
        </w:rPr>
        <w:t>w</w:t>
      </w:r>
      <w:r w:rsidR="00A93469" w:rsidRPr="002A13E4">
        <w:rPr>
          <w:color w:val="000000" w:themeColor="text1"/>
        </w:rPr>
        <w:t>ere</w:t>
      </w:r>
      <w:r w:rsidR="00DC42DA" w:rsidRPr="002A13E4">
        <w:rPr>
          <w:color w:val="000000" w:themeColor="text1"/>
        </w:rPr>
        <w:t xml:space="preserve"> first</w:t>
      </w:r>
      <w:r w:rsidRPr="002A13E4">
        <w:rPr>
          <w:color w:val="000000" w:themeColor="text1"/>
        </w:rPr>
        <w:t xml:space="preserve"> performed </w:t>
      </w:r>
      <w:r w:rsidR="00A93469" w:rsidRPr="002A13E4">
        <w:rPr>
          <w:color w:val="000000" w:themeColor="text1"/>
        </w:rPr>
        <w:t xml:space="preserve">first with </w:t>
      </w:r>
      <w:r w:rsidR="000F33EB" w:rsidRPr="002A13E4">
        <w:rPr>
          <w:color w:val="000000" w:themeColor="text1"/>
        </w:rPr>
        <w:t>non-</w:t>
      </w:r>
      <w:r w:rsidRPr="002A13E4">
        <w:rPr>
          <w:color w:val="000000" w:themeColor="text1"/>
        </w:rPr>
        <w:t>external</w:t>
      </w:r>
      <w:r w:rsidR="00A93469" w:rsidRPr="002A13E4">
        <w:rPr>
          <w:color w:val="000000" w:themeColor="text1"/>
        </w:rPr>
        <w:t xml:space="preserve"> control and then non-</w:t>
      </w:r>
      <w:r w:rsidRPr="002A13E4">
        <w:rPr>
          <w:color w:val="000000" w:themeColor="text1"/>
        </w:rPr>
        <w:t>personal control as</w:t>
      </w:r>
      <w:r w:rsidR="00DC42DA" w:rsidRPr="002A13E4">
        <w:rPr>
          <w:color w:val="000000" w:themeColor="text1"/>
        </w:rPr>
        <w:t xml:space="preserve"> the</w:t>
      </w:r>
      <w:r w:rsidRPr="002A13E4">
        <w:rPr>
          <w:color w:val="000000" w:themeColor="text1"/>
        </w:rPr>
        <w:t xml:space="preserve"> dependent variables</w:t>
      </w:r>
      <w:r w:rsidR="00DC42DA" w:rsidRPr="002A13E4">
        <w:rPr>
          <w:color w:val="000000" w:themeColor="text1"/>
        </w:rPr>
        <w:t>. Because both propensity to trust (</w:t>
      </w:r>
      <w:r w:rsidR="00DC42DA" w:rsidRPr="002A13E4">
        <w:rPr>
          <w:i/>
          <w:iCs/>
          <w:color w:val="000000" w:themeColor="text1"/>
        </w:rPr>
        <w:t>p</w:t>
      </w:r>
      <w:r w:rsidR="00DC42DA" w:rsidRPr="002A13E4">
        <w:rPr>
          <w:color w:val="000000" w:themeColor="text1"/>
        </w:rPr>
        <w:t xml:space="preserve"> = .12)</w:t>
      </w:r>
      <w:r w:rsidRPr="002A13E4">
        <w:rPr>
          <w:color w:val="000000" w:themeColor="text1"/>
        </w:rPr>
        <w:t xml:space="preserve"> and</w:t>
      </w:r>
      <w:r w:rsidR="00DC42DA" w:rsidRPr="002A13E4">
        <w:rPr>
          <w:color w:val="000000" w:themeColor="text1"/>
        </w:rPr>
        <w:t xml:space="preserve"> entity beliefs (</w:t>
      </w:r>
      <w:r w:rsidR="00DC42DA" w:rsidRPr="002A13E4">
        <w:rPr>
          <w:i/>
          <w:iCs/>
          <w:color w:val="000000" w:themeColor="text1"/>
        </w:rPr>
        <w:t>p</w:t>
      </w:r>
      <w:r w:rsidR="00DC42DA" w:rsidRPr="002A13E4">
        <w:rPr>
          <w:color w:val="000000" w:themeColor="text1"/>
        </w:rPr>
        <w:t xml:space="preserve"> = .60) were insignificant covariates in the first ANCOVA model, an ANOVA model with non-external control as the dependent variable was tested instead. The results of </w:t>
      </w:r>
      <w:proofErr w:type="spellStart"/>
      <w:r w:rsidR="00DC42DA" w:rsidRPr="002A13E4">
        <w:rPr>
          <w:color w:val="000000" w:themeColor="text1"/>
        </w:rPr>
        <w:t>Levene’s</w:t>
      </w:r>
      <w:proofErr w:type="spellEnd"/>
      <w:r w:rsidR="00DC42DA" w:rsidRPr="002A13E4">
        <w:rPr>
          <w:color w:val="000000" w:themeColor="text1"/>
        </w:rPr>
        <w:t xml:space="preserve"> test were insignificant,</w:t>
      </w:r>
      <w:r w:rsidR="006975D6" w:rsidRPr="002A13E4">
        <w:rPr>
          <w:color w:val="000000" w:themeColor="text1"/>
        </w:rPr>
        <w:t xml:space="preserve"> </w:t>
      </w:r>
      <w:r w:rsidR="006975D6" w:rsidRPr="002A13E4">
        <w:rPr>
          <w:i/>
          <w:iCs/>
          <w:color w:val="000000" w:themeColor="text1"/>
        </w:rPr>
        <w:t>F</w:t>
      </w:r>
      <w:r w:rsidR="006975D6" w:rsidRPr="002A13E4">
        <w:rPr>
          <w:color w:val="000000" w:themeColor="text1"/>
        </w:rPr>
        <w:t xml:space="preserve">(2, 503) = 1.57, </w:t>
      </w:r>
      <w:r w:rsidR="006975D6" w:rsidRPr="002A13E4">
        <w:rPr>
          <w:i/>
          <w:iCs/>
          <w:color w:val="000000" w:themeColor="text1"/>
        </w:rPr>
        <w:t>p</w:t>
      </w:r>
      <w:r w:rsidR="006975D6" w:rsidRPr="002A13E4">
        <w:rPr>
          <w:color w:val="000000" w:themeColor="text1"/>
        </w:rPr>
        <w:t xml:space="preserve"> = .21, and</w:t>
      </w:r>
      <w:r w:rsidR="00DC42DA" w:rsidRPr="002A13E4">
        <w:rPr>
          <w:color w:val="000000" w:themeColor="text1"/>
        </w:rPr>
        <w:t xml:space="preserve"> </w:t>
      </w:r>
      <w:r w:rsidR="006975D6" w:rsidRPr="002A13E4">
        <w:rPr>
          <w:color w:val="000000" w:themeColor="text1"/>
        </w:rPr>
        <w:t>t</w:t>
      </w:r>
      <w:r w:rsidRPr="002A13E4">
        <w:rPr>
          <w:color w:val="000000" w:themeColor="text1"/>
        </w:rPr>
        <w:t xml:space="preserve">he group differences </w:t>
      </w:r>
      <w:r w:rsidR="00DC42DA" w:rsidRPr="002A13E4">
        <w:rPr>
          <w:color w:val="000000" w:themeColor="text1"/>
        </w:rPr>
        <w:t>turned out to be</w:t>
      </w:r>
      <w:r w:rsidRPr="002A13E4">
        <w:rPr>
          <w:color w:val="000000" w:themeColor="text1"/>
        </w:rPr>
        <w:t xml:space="preserve"> insignificant for </w:t>
      </w:r>
      <w:r w:rsidR="000F33EB" w:rsidRPr="002A13E4">
        <w:rPr>
          <w:color w:val="000000" w:themeColor="text1"/>
        </w:rPr>
        <w:t>non-</w:t>
      </w:r>
      <w:r w:rsidRPr="002A13E4">
        <w:rPr>
          <w:color w:val="000000" w:themeColor="text1"/>
        </w:rPr>
        <w:t xml:space="preserve">external control, </w:t>
      </w:r>
      <w:r w:rsidRPr="002A13E4">
        <w:rPr>
          <w:i/>
          <w:color w:val="000000" w:themeColor="text1"/>
        </w:rPr>
        <w:t>F</w:t>
      </w:r>
      <w:r w:rsidRPr="002A13E4">
        <w:rPr>
          <w:color w:val="000000" w:themeColor="text1"/>
        </w:rPr>
        <w:t>(</w:t>
      </w:r>
      <w:r w:rsidR="00187BAC" w:rsidRPr="002A13E4">
        <w:rPr>
          <w:color w:val="000000" w:themeColor="text1"/>
        </w:rPr>
        <w:t>2</w:t>
      </w:r>
      <w:r w:rsidRPr="002A13E4">
        <w:rPr>
          <w:color w:val="000000" w:themeColor="text1"/>
        </w:rPr>
        <w:t xml:space="preserve">, </w:t>
      </w:r>
      <w:r w:rsidR="00DC42DA" w:rsidRPr="002A13E4">
        <w:rPr>
          <w:color w:val="000000" w:themeColor="text1"/>
        </w:rPr>
        <w:t>503</w:t>
      </w:r>
      <w:r w:rsidRPr="002A13E4">
        <w:rPr>
          <w:color w:val="000000" w:themeColor="text1"/>
        </w:rPr>
        <w:t xml:space="preserve">) = </w:t>
      </w:r>
      <w:r w:rsidR="00DC42DA" w:rsidRPr="002A13E4">
        <w:rPr>
          <w:color w:val="000000" w:themeColor="text1"/>
        </w:rPr>
        <w:t>1.52</w:t>
      </w:r>
      <w:r w:rsidRPr="002A13E4">
        <w:rPr>
          <w:color w:val="000000" w:themeColor="text1"/>
        </w:rPr>
        <w:t xml:space="preserve">, </w:t>
      </w:r>
      <w:r w:rsidRPr="002A13E4">
        <w:rPr>
          <w:i/>
          <w:color w:val="000000" w:themeColor="text1"/>
        </w:rPr>
        <w:t>p</w:t>
      </w:r>
      <w:r w:rsidRPr="002A13E4">
        <w:rPr>
          <w:color w:val="000000" w:themeColor="text1"/>
        </w:rPr>
        <w:t xml:space="preserve"> = .</w:t>
      </w:r>
      <w:r w:rsidR="00DC42DA" w:rsidRPr="002A13E4">
        <w:rPr>
          <w:color w:val="000000" w:themeColor="text1"/>
        </w:rPr>
        <w:t>22</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DC42DA" w:rsidRPr="002A13E4">
        <w:rPr>
          <w:color w:val="000000" w:themeColor="text1"/>
        </w:rPr>
        <w:t>1. In the ANCOVA model with non-personal control as the dependent variable,</w:t>
      </w:r>
      <w:r w:rsidRPr="002A13E4">
        <w:rPr>
          <w:color w:val="000000" w:themeColor="text1"/>
        </w:rPr>
        <w:t xml:space="preserve"> </w:t>
      </w:r>
      <w:r w:rsidR="006975D6" w:rsidRPr="002A13E4">
        <w:rPr>
          <w:color w:val="000000" w:themeColor="text1"/>
        </w:rPr>
        <w:t>propensity to trust (</w:t>
      </w:r>
      <w:r w:rsidR="006975D6" w:rsidRPr="002A13E4">
        <w:rPr>
          <w:i/>
          <w:iCs/>
          <w:color w:val="000000" w:themeColor="text1"/>
        </w:rPr>
        <w:t>p</w:t>
      </w:r>
      <w:r w:rsidR="006975D6" w:rsidRPr="002A13E4">
        <w:rPr>
          <w:color w:val="000000" w:themeColor="text1"/>
        </w:rPr>
        <w:t xml:space="preserve"> = .12) </w:t>
      </w:r>
      <w:r w:rsidRPr="002A13E4">
        <w:rPr>
          <w:color w:val="000000" w:themeColor="text1"/>
        </w:rPr>
        <w:t>and</w:t>
      </w:r>
      <w:r w:rsidR="006975D6" w:rsidRPr="002A13E4">
        <w:rPr>
          <w:color w:val="000000" w:themeColor="text1"/>
        </w:rPr>
        <w:t xml:space="preserve"> entity beliefs (</w:t>
      </w:r>
      <w:r w:rsidR="006975D6" w:rsidRPr="002A13E4">
        <w:rPr>
          <w:i/>
          <w:iCs/>
          <w:color w:val="000000" w:themeColor="text1"/>
        </w:rPr>
        <w:t>p</w:t>
      </w:r>
      <w:r w:rsidR="006975D6" w:rsidRPr="002A13E4">
        <w:rPr>
          <w:color w:val="000000" w:themeColor="text1"/>
        </w:rPr>
        <w:t xml:space="preserve"> = .47) were not significant covariates, so another ANOVA model was tested after excluding two covariates.</w:t>
      </w:r>
      <w:r w:rsidRPr="002A13E4">
        <w:rPr>
          <w:color w:val="000000" w:themeColor="text1"/>
        </w:rPr>
        <w:t xml:space="preserve"> </w:t>
      </w:r>
      <w:r w:rsidR="006975D6" w:rsidRPr="002A13E4">
        <w:rPr>
          <w:color w:val="000000" w:themeColor="text1"/>
        </w:rPr>
        <w:t>The group effects on n</w:t>
      </w:r>
      <w:r w:rsidR="00187BAC" w:rsidRPr="002A13E4">
        <w:rPr>
          <w:color w:val="000000" w:themeColor="text1"/>
        </w:rPr>
        <w:t>on-</w:t>
      </w:r>
      <w:r w:rsidRPr="002A13E4">
        <w:rPr>
          <w:color w:val="000000" w:themeColor="text1"/>
        </w:rPr>
        <w:t>personal control</w:t>
      </w:r>
      <w:r w:rsidR="006975D6" w:rsidRPr="002A13E4">
        <w:rPr>
          <w:color w:val="000000" w:themeColor="text1"/>
        </w:rPr>
        <w:t xml:space="preserve"> was insignificant</w:t>
      </w:r>
      <w:r w:rsidRPr="002A13E4">
        <w:rPr>
          <w:color w:val="000000" w:themeColor="text1"/>
        </w:rPr>
        <w:t xml:space="preserve">, </w:t>
      </w:r>
      <w:proofErr w:type="gramStart"/>
      <w:r w:rsidRPr="002A13E4">
        <w:rPr>
          <w:i/>
          <w:color w:val="000000" w:themeColor="text1"/>
        </w:rPr>
        <w:t>F</w:t>
      </w:r>
      <w:r w:rsidRPr="002A13E4">
        <w:rPr>
          <w:color w:val="000000" w:themeColor="text1"/>
        </w:rPr>
        <w:t>(</w:t>
      </w:r>
      <w:proofErr w:type="gramEnd"/>
      <w:r w:rsidR="00187BAC" w:rsidRPr="002A13E4">
        <w:rPr>
          <w:color w:val="000000" w:themeColor="text1"/>
        </w:rPr>
        <w:t>2</w:t>
      </w:r>
      <w:r w:rsidRPr="002A13E4">
        <w:rPr>
          <w:color w:val="000000" w:themeColor="text1"/>
        </w:rPr>
        <w:t xml:space="preserve">, </w:t>
      </w:r>
      <w:r w:rsidR="006975D6" w:rsidRPr="002A13E4">
        <w:rPr>
          <w:color w:val="000000" w:themeColor="text1"/>
        </w:rPr>
        <w:t>503</w:t>
      </w:r>
      <w:r w:rsidRPr="002A13E4">
        <w:rPr>
          <w:color w:val="000000" w:themeColor="text1"/>
        </w:rPr>
        <w:t>) = 0.</w:t>
      </w:r>
      <w:r w:rsidR="006975D6" w:rsidRPr="002A13E4">
        <w:rPr>
          <w:color w:val="000000" w:themeColor="text1"/>
        </w:rPr>
        <w:t>73</w:t>
      </w:r>
      <w:r w:rsidRPr="002A13E4">
        <w:rPr>
          <w:color w:val="000000" w:themeColor="text1"/>
        </w:rPr>
        <w:t xml:space="preserve">, </w:t>
      </w:r>
      <w:r w:rsidRPr="002A13E4">
        <w:rPr>
          <w:i/>
          <w:color w:val="000000" w:themeColor="text1"/>
        </w:rPr>
        <w:t>p</w:t>
      </w:r>
      <w:r w:rsidRPr="002A13E4">
        <w:rPr>
          <w:color w:val="000000" w:themeColor="text1"/>
        </w:rPr>
        <w:t xml:space="preserve"> = .</w:t>
      </w:r>
      <w:r w:rsidR="006975D6" w:rsidRPr="002A13E4">
        <w:rPr>
          <w:color w:val="000000" w:themeColor="text1"/>
        </w:rPr>
        <w:t>48</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.00</w:t>
      </w:r>
      <w:r w:rsidR="006975D6" w:rsidRPr="002A13E4">
        <w:rPr>
          <w:color w:val="000000" w:themeColor="text1"/>
        </w:rPr>
        <w:t xml:space="preserve">3, with the assumption of homogeneity met, </w:t>
      </w:r>
      <w:r w:rsidR="006975D6" w:rsidRPr="002A13E4">
        <w:rPr>
          <w:i/>
          <w:color w:val="000000" w:themeColor="text1"/>
        </w:rPr>
        <w:t>F</w:t>
      </w:r>
      <w:r w:rsidR="006975D6" w:rsidRPr="002A13E4">
        <w:rPr>
          <w:color w:val="000000" w:themeColor="text1"/>
        </w:rPr>
        <w:t xml:space="preserve">(2, 503) = 1.15, </w:t>
      </w:r>
      <w:r w:rsidR="006975D6" w:rsidRPr="002A13E4">
        <w:rPr>
          <w:i/>
          <w:color w:val="000000" w:themeColor="text1"/>
        </w:rPr>
        <w:t>p</w:t>
      </w:r>
      <w:r w:rsidR="006975D6" w:rsidRPr="002A13E4">
        <w:rPr>
          <w:color w:val="000000" w:themeColor="text1"/>
        </w:rPr>
        <w:t xml:space="preserve"> = .32</w:t>
      </w:r>
      <w:r w:rsidRPr="002A13E4">
        <w:rPr>
          <w:color w:val="000000" w:themeColor="text1"/>
        </w:rPr>
        <w:t>. In a word, H3 was rejected.</w:t>
      </w:r>
    </w:p>
    <w:p w14:paraId="2C38B8B8" w14:textId="3AADC569" w:rsidR="00DB7FAE" w:rsidRPr="002A13E4" w:rsidRDefault="00F147F7" w:rsidP="000442FD">
      <w:pPr>
        <w:spacing w:line="480" w:lineRule="auto"/>
        <w:rPr>
          <w:color w:val="000000" w:themeColor="text1"/>
        </w:rPr>
      </w:pPr>
      <w:r w:rsidRPr="002A13E4">
        <w:rPr>
          <w:color w:val="000000" w:themeColor="text1"/>
        </w:rPr>
        <w:tab/>
        <w:t>It was proposed by H4 that denial would elicit more external locus of causality than no repair, so conditions across different failure types that implemented denial and no repair were respectively combined.</w:t>
      </w:r>
      <w:r w:rsidR="00097B71" w:rsidRPr="002A13E4">
        <w:rPr>
          <w:color w:val="000000" w:themeColor="text1"/>
        </w:rPr>
        <w:t xml:space="preserve"> Since propensity to trust was not a significant covariate, </w:t>
      </w:r>
      <w:r w:rsidR="00097B71" w:rsidRPr="002A13E4">
        <w:rPr>
          <w:i/>
          <w:iCs/>
          <w:color w:val="000000" w:themeColor="text1"/>
        </w:rPr>
        <w:t>p</w:t>
      </w:r>
      <w:r w:rsidR="00097B71" w:rsidRPr="002A13E4">
        <w:rPr>
          <w:color w:val="000000" w:themeColor="text1"/>
        </w:rPr>
        <w:t xml:space="preserve"> = .60, the ANCOVA test was rerun after removing it.</w:t>
      </w:r>
      <w:r w:rsidRPr="002A13E4">
        <w:rPr>
          <w:color w:val="000000" w:themeColor="text1"/>
        </w:rPr>
        <w:t xml:space="preserve"> </w:t>
      </w:r>
      <w:r w:rsidR="00097B71" w:rsidRPr="002A13E4">
        <w:rPr>
          <w:color w:val="000000" w:themeColor="text1"/>
        </w:rPr>
        <w:t xml:space="preserve">The </w:t>
      </w:r>
      <w:proofErr w:type="spellStart"/>
      <w:r w:rsidR="00097B71" w:rsidRPr="002A13E4">
        <w:rPr>
          <w:color w:val="000000" w:themeColor="text1"/>
        </w:rPr>
        <w:t>Levene’s</w:t>
      </w:r>
      <w:proofErr w:type="spellEnd"/>
      <w:r w:rsidR="00097B71" w:rsidRPr="002A13E4">
        <w:rPr>
          <w:color w:val="000000" w:themeColor="text1"/>
        </w:rPr>
        <w:t xml:space="preserve"> test was insignificant at the .01 level, </w:t>
      </w:r>
      <w:r w:rsidR="00097B71" w:rsidRPr="002A13E4">
        <w:rPr>
          <w:i/>
          <w:color w:val="000000" w:themeColor="text1"/>
        </w:rPr>
        <w:t>F</w:t>
      </w:r>
      <w:r w:rsidR="00097B71" w:rsidRPr="002A13E4">
        <w:rPr>
          <w:color w:val="000000" w:themeColor="text1"/>
        </w:rPr>
        <w:t xml:space="preserve">(1, 347) = 5.69, </w:t>
      </w:r>
      <w:r w:rsidR="00097B71" w:rsidRPr="002A13E4">
        <w:rPr>
          <w:i/>
          <w:color w:val="000000" w:themeColor="text1"/>
        </w:rPr>
        <w:t>p</w:t>
      </w:r>
      <w:r w:rsidR="00097B71" w:rsidRPr="002A13E4">
        <w:rPr>
          <w:color w:val="000000" w:themeColor="text1"/>
        </w:rPr>
        <w:t xml:space="preserve"> = .02, and the results</w:t>
      </w:r>
      <w:r w:rsidRPr="002A13E4">
        <w:rPr>
          <w:color w:val="000000" w:themeColor="text1"/>
        </w:rPr>
        <w:t xml:space="preserve"> indicated the group difference was not significant for locus of causality, </w:t>
      </w:r>
      <w:r w:rsidRPr="002A13E4">
        <w:rPr>
          <w:i/>
          <w:color w:val="000000" w:themeColor="text1"/>
        </w:rPr>
        <w:t>F</w:t>
      </w:r>
      <w:r w:rsidRPr="002A13E4">
        <w:rPr>
          <w:color w:val="000000" w:themeColor="text1"/>
        </w:rPr>
        <w:t xml:space="preserve">(1, </w:t>
      </w:r>
      <w:r w:rsidR="00097B71" w:rsidRPr="002A13E4">
        <w:rPr>
          <w:color w:val="000000" w:themeColor="text1"/>
        </w:rPr>
        <w:t>346</w:t>
      </w:r>
      <w:r w:rsidRPr="002A13E4">
        <w:rPr>
          <w:color w:val="000000" w:themeColor="text1"/>
        </w:rPr>
        <w:t xml:space="preserve">) = </w:t>
      </w:r>
      <w:r w:rsidR="00097B71" w:rsidRPr="002A13E4">
        <w:rPr>
          <w:color w:val="000000" w:themeColor="text1"/>
        </w:rPr>
        <w:t>0.07</w:t>
      </w:r>
      <w:r w:rsidRPr="002A13E4">
        <w:rPr>
          <w:color w:val="000000" w:themeColor="text1"/>
        </w:rPr>
        <w:t xml:space="preserve">, </w:t>
      </w:r>
      <w:r w:rsidRPr="002A13E4">
        <w:rPr>
          <w:i/>
          <w:color w:val="000000" w:themeColor="text1"/>
        </w:rPr>
        <w:t>p</w:t>
      </w:r>
      <w:r w:rsidRPr="002A13E4">
        <w:rPr>
          <w:color w:val="000000" w:themeColor="text1"/>
        </w:rPr>
        <w:t xml:space="preserve"> = .</w:t>
      </w:r>
      <w:r w:rsidR="00097B71" w:rsidRPr="002A13E4">
        <w:rPr>
          <w:color w:val="000000" w:themeColor="text1"/>
        </w:rPr>
        <w:t>79</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.00</w:t>
      </w:r>
      <w:r w:rsidR="00097B71" w:rsidRPr="002A13E4">
        <w:rPr>
          <w:color w:val="000000" w:themeColor="text1"/>
        </w:rPr>
        <w:t>02</w:t>
      </w:r>
      <w:r w:rsidRPr="002A13E4">
        <w:rPr>
          <w:color w:val="000000" w:themeColor="text1"/>
        </w:rPr>
        <w:t>, so H4 was also rejected.</w:t>
      </w:r>
    </w:p>
    <w:p w14:paraId="4F7DF5E2" w14:textId="6B33DC33" w:rsidR="000442FD" w:rsidRPr="00D64CA4" w:rsidRDefault="000442FD" w:rsidP="00D64CA4">
      <w:pPr>
        <w:pStyle w:val="Heading2"/>
        <w:spacing w:before="0" w:line="480" w:lineRule="auto"/>
        <w:rPr>
          <w:color w:val="000000" w:themeColor="text1"/>
        </w:rPr>
      </w:pPr>
      <w:bookmarkStart w:id="36" w:name="_Toc73716037"/>
      <w:r w:rsidRPr="00D64CA4">
        <w:rPr>
          <w:color w:val="000000" w:themeColor="text1"/>
        </w:rPr>
        <w:t>Results from H5 to H7</w:t>
      </w:r>
      <w:bookmarkEnd w:id="36"/>
    </w:p>
    <w:p w14:paraId="1435B83B" w14:textId="31008635" w:rsidR="00E50C82" w:rsidRPr="002A13E4" w:rsidRDefault="00F147F7">
      <w:pPr>
        <w:spacing w:line="480" w:lineRule="auto"/>
        <w:rPr>
          <w:color w:val="000000" w:themeColor="text1"/>
        </w:rPr>
      </w:pPr>
      <w:r w:rsidRPr="002A13E4">
        <w:rPr>
          <w:color w:val="000000" w:themeColor="text1"/>
        </w:rPr>
        <w:tab/>
        <w:t>H5</w:t>
      </w:r>
      <w:r w:rsidR="00A42A69" w:rsidRPr="002A13E4">
        <w:rPr>
          <w:color w:val="000000" w:themeColor="text1"/>
        </w:rPr>
        <w:t xml:space="preserve">, </w:t>
      </w:r>
      <w:r w:rsidRPr="002A13E4">
        <w:rPr>
          <w:color w:val="000000" w:themeColor="text1"/>
        </w:rPr>
        <w:t>H6</w:t>
      </w:r>
      <w:r w:rsidR="00A42A69" w:rsidRPr="002A13E4">
        <w:rPr>
          <w:color w:val="000000" w:themeColor="text1"/>
        </w:rPr>
        <w:t>, and H7</w:t>
      </w:r>
      <w:r w:rsidRPr="002A13E4">
        <w:rPr>
          <w:color w:val="000000" w:themeColor="text1"/>
        </w:rPr>
        <w:t xml:space="preserve"> </w:t>
      </w:r>
      <w:r w:rsidR="00D73080" w:rsidRPr="002A13E4">
        <w:rPr>
          <w:color w:val="000000" w:themeColor="text1"/>
        </w:rPr>
        <w:t>proposed testing</w:t>
      </w:r>
      <w:r w:rsidRPr="002A13E4">
        <w:rPr>
          <w:color w:val="000000" w:themeColor="text1"/>
        </w:rPr>
        <w:t xml:space="preserve"> the effects of repair methods on c</w:t>
      </w:r>
      <w:bookmarkStart w:id="37" w:name="bookmark=id.35nkun2" w:colFirst="0" w:colLast="0"/>
      <w:bookmarkStart w:id="38" w:name="bookmark=id.lnxbz9" w:colFirst="0" w:colLast="0"/>
      <w:bookmarkEnd w:id="37"/>
      <w:bookmarkEnd w:id="38"/>
      <w:r w:rsidRPr="002A13E4">
        <w:rPr>
          <w:color w:val="000000" w:themeColor="text1"/>
        </w:rPr>
        <w:t xml:space="preserve">ompetence- and integrity-based trust. H5 </w:t>
      </w:r>
      <w:r w:rsidR="00187BAC" w:rsidRPr="002A13E4">
        <w:rPr>
          <w:color w:val="000000" w:themeColor="text1"/>
        </w:rPr>
        <w:t xml:space="preserve">predicted internal-attribution apology would be more effective than external-attribution apology, which </w:t>
      </w:r>
      <w:r w:rsidRPr="002A13E4">
        <w:rPr>
          <w:color w:val="000000" w:themeColor="text1"/>
        </w:rPr>
        <w:t>was examined with</w:t>
      </w:r>
      <w:r w:rsidR="00187BAC" w:rsidRPr="002A13E4">
        <w:rPr>
          <w:color w:val="000000" w:themeColor="text1"/>
        </w:rPr>
        <w:t xml:space="preserve"> two ANCOVAs.</w:t>
      </w:r>
      <w:r w:rsidRPr="002A13E4">
        <w:rPr>
          <w:color w:val="000000" w:themeColor="text1"/>
        </w:rPr>
        <w:t xml:space="preserve"> </w:t>
      </w:r>
      <w:r w:rsidR="00187BAC" w:rsidRPr="002A13E4">
        <w:rPr>
          <w:color w:val="000000" w:themeColor="text1"/>
        </w:rPr>
        <w:t xml:space="preserve">In the first model in which </w:t>
      </w:r>
      <w:r w:rsidRPr="002A13E4">
        <w:rPr>
          <w:color w:val="000000" w:themeColor="text1"/>
        </w:rPr>
        <w:t>competence-</w:t>
      </w:r>
      <w:r w:rsidR="00187BAC" w:rsidRPr="002A13E4">
        <w:rPr>
          <w:color w:val="000000" w:themeColor="text1"/>
        </w:rPr>
        <w:t>based</w:t>
      </w:r>
      <w:r w:rsidRPr="002A13E4">
        <w:rPr>
          <w:color w:val="000000" w:themeColor="text1"/>
        </w:rPr>
        <w:t xml:space="preserve"> trust w</w:t>
      </w:r>
      <w:r w:rsidR="00187BAC" w:rsidRPr="002A13E4">
        <w:rPr>
          <w:color w:val="000000" w:themeColor="text1"/>
        </w:rPr>
        <w:t>as</w:t>
      </w:r>
      <w:r w:rsidRPr="002A13E4">
        <w:rPr>
          <w:color w:val="000000" w:themeColor="text1"/>
        </w:rPr>
        <w:t xml:space="preserve"> regarded as dependent variables while two conditions of apology were entered as independent variables, </w:t>
      </w:r>
      <w:r w:rsidR="00270D91" w:rsidRPr="002A13E4">
        <w:rPr>
          <w:color w:val="000000" w:themeColor="text1"/>
        </w:rPr>
        <w:t>entity beliefs (</w:t>
      </w:r>
      <w:r w:rsidR="00270D91" w:rsidRPr="002A13E4">
        <w:rPr>
          <w:i/>
          <w:iCs/>
          <w:color w:val="000000" w:themeColor="text1"/>
        </w:rPr>
        <w:t xml:space="preserve">p </w:t>
      </w:r>
      <w:r w:rsidR="00270D91" w:rsidRPr="002A13E4">
        <w:rPr>
          <w:color w:val="000000" w:themeColor="text1"/>
        </w:rPr>
        <w:t>= .</w:t>
      </w:r>
      <w:r w:rsidR="00396317" w:rsidRPr="002A13E4">
        <w:rPr>
          <w:color w:val="000000" w:themeColor="text1"/>
        </w:rPr>
        <w:t>21</w:t>
      </w:r>
      <w:r w:rsidR="00270D91" w:rsidRPr="002A13E4">
        <w:rPr>
          <w:color w:val="000000" w:themeColor="text1"/>
        </w:rPr>
        <w:t>) were</w:t>
      </w:r>
      <w:r w:rsidR="00396317" w:rsidRPr="002A13E4">
        <w:rPr>
          <w:color w:val="000000" w:themeColor="text1"/>
        </w:rPr>
        <w:t xml:space="preserve"> an</w:t>
      </w:r>
      <w:r w:rsidR="00270D91" w:rsidRPr="002A13E4">
        <w:rPr>
          <w:color w:val="000000" w:themeColor="text1"/>
        </w:rPr>
        <w:t xml:space="preserve"> insignificant </w:t>
      </w:r>
      <w:r w:rsidR="00270D91" w:rsidRPr="002A13E4">
        <w:rPr>
          <w:color w:val="000000" w:themeColor="text1"/>
        </w:rPr>
        <w:lastRenderedPageBreak/>
        <w:t>covariate</w:t>
      </w:r>
      <w:r w:rsidR="00457B6C" w:rsidRPr="002A13E4">
        <w:rPr>
          <w:color w:val="000000" w:themeColor="text1"/>
        </w:rPr>
        <w:t xml:space="preserve"> and were</w:t>
      </w:r>
      <w:r w:rsidR="00270D91" w:rsidRPr="002A13E4">
        <w:rPr>
          <w:color w:val="000000" w:themeColor="text1"/>
        </w:rPr>
        <w:t xml:space="preserve"> therefore excluded from the revised model. T</w:t>
      </w:r>
      <w:r w:rsidR="00E50C82" w:rsidRPr="002A13E4">
        <w:rPr>
          <w:color w:val="000000" w:themeColor="text1"/>
        </w:rPr>
        <w:t xml:space="preserve">he result of </w:t>
      </w:r>
      <w:proofErr w:type="spellStart"/>
      <w:r w:rsidR="00187BAC" w:rsidRPr="002A13E4">
        <w:rPr>
          <w:color w:val="000000" w:themeColor="text1"/>
        </w:rPr>
        <w:t>Levene’s</w:t>
      </w:r>
      <w:proofErr w:type="spellEnd"/>
      <w:r w:rsidR="00187BAC" w:rsidRPr="002A13E4">
        <w:rPr>
          <w:color w:val="000000" w:themeColor="text1"/>
        </w:rPr>
        <w:t xml:space="preserve"> test suggested error variances were equal across groups, </w:t>
      </w:r>
      <w:proofErr w:type="gramStart"/>
      <w:r w:rsidR="00E50C82" w:rsidRPr="002A13E4">
        <w:rPr>
          <w:i/>
          <w:iCs/>
          <w:color w:val="000000" w:themeColor="text1"/>
        </w:rPr>
        <w:t>F</w:t>
      </w:r>
      <w:r w:rsidR="00E50C82" w:rsidRPr="002A13E4">
        <w:rPr>
          <w:color w:val="000000" w:themeColor="text1"/>
        </w:rPr>
        <w:t>(</w:t>
      </w:r>
      <w:proofErr w:type="gramEnd"/>
      <w:r w:rsidR="00E50C82" w:rsidRPr="002A13E4">
        <w:rPr>
          <w:color w:val="000000" w:themeColor="text1"/>
        </w:rPr>
        <w:t xml:space="preserve">1, </w:t>
      </w:r>
      <w:r w:rsidR="00396317" w:rsidRPr="002A13E4">
        <w:rPr>
          <w:color w:val="000000" w:themeColor="text1"/>
        </w:rPr>
        <w:t>337</w:t>
      </w:r>
      <w:r w:rsidR="00E50C82" w:rsidRPr="002A13E4">
        <w:rPr>
          <w:color w:val="000000" w:themeColor="text1"/>
        </w:rPr>
        <w:t xml:space="preserve">) = </w:t>
      </w:r>
      <w:r w:rsidR="00396317" w:rsidRPr="002A13E4">
        <w:rPr>
          <w:color w:val="000000" w:themeColor="text1"/>
        </w:rPr>
        <w:t>1.35</w:t>
      </w:r>
      <w:r w:rsidR="00E50C82" w:rsidRPr="002A13E4">
        <w:rPr>
          <w:color w:val="000000" w:themeColor="text1"/>
        </w:rPr>
        <w:t xml:space="preserve">, </w:t>
      </w:r>
      <w:r w:rsidR="00E50C82" w:rsidRPr="002A13E4">
        <w:rPr>
          <w:i/>
          <w:iCs/>
          <w:color w:val="000000" w:themeColor="text1"/>
        </w:rPr>
        <w:t>p</w:t>
      </w:r>
      <w:r w:rsidR="00E50C82" w:rsidRPr="002A13E4">
        <w:rPr>
          <w:color w:val="000000" w:themeColor="text1"/>
        </w:rPr>
        <w:t xml:space="preserve"> = .</w:t>
      </w:r>
      <w:r w:rsidR="00396317" w:rsidRPr="002A13E4">
        <w:rPr>
          <w:color w:val="000000" w:themeColor="text1"/>
        </w:rPr>
        <w:t>25</w:t>
      </w:r>
      <w:r w:rsidR="00187BAC" w:rsidRPr="002A13E4">
        <w:rPr>
          <w:color w:val="000000" w:themeColor="text1"/>
        </w:rPr>
        <w:t xml:space="preserve">. </w:t>
      </w:r>
      <w:r w:rsidRPr="002A13E4">
        <w:rPr>
          <w:color w:val="000000" w:themeColor="text1"/>
        </w:rPr>
        <w:t xml:space="preserve">Further analysis suggested the group differences yielded </w:t>
      </w:r>
      <w:r w:rsidR="00396317" w:rsidRPr="002A13E4">
        <w:rPr>
          <w:color w:val="000000" w:themeColor="text1"/>
        </w:rPr>
        <w:t>in</w:t>
      </w:r>
      <w:r w:rsidRPr="002A13E4">
        <w:rPr>
          <w:color w:val="000000" w:themeColor="text1"/>
        </w:rPr>
        <w:t xml:space="preserve">significant effects on competence-based trust, </w:t>
      </w:r>
      <w:r w:rsidRPr="002A13E4">
        <w:rPr>
          <w:i/>
          <w:color w:val="000000" w:themeColor="text1"/>
        </w:rPr>
        <w:t>F</w:t>
      </w:r>
      <w:r w:rsidRPr="002A13E4">
        <w:rPr>
          <w:color w:val="000000" w:themeColor="text1"/>
        </w:rPr>
        <w:t xml:space="preserve">(1, </w:t>
      </w:r>
      <w:r w:rsidR="00396317" w:rsidRPr="002A13E4">
        <w:rPr>
          <w:color w:val="000000" w:themeColor="text1"/>
        </w:rPr>
        <w:t>336</w:t>
      </w:r>
      <w:r w:rsidRPr="002A13E4">
        <w:rPr>
          <w:color w:val="000000" w:themeColor="text1"/>
        </w:rPr>
        <w:t xml:space="preserve">) = </w:t>
      </w:r>
      <w:r w:rsidR="00396317" w:rsidRPr="002A13E4">
        <w:rPr>
          <w:color w:val="000000" w:themeColor="text1"/>
        </w:rPr>
        <w:t>0.27</w:t>
      </w:r>
      <w:r w:rsidRPr="002A13E4">
        <w:rPr>
          <w:color w:val="000000" w:themeColor="text1"/>
        </w:rPr>
        <w:t xml:space="preserve">, </w:t>
      </w:r>
      <w:r w:rsidRPr="002A13E4">
        <w:rPr>
          <w:i/>
          <w:color w:val="000000" w:themeColor="text1"/>
        </w:rPr>
        <w:t>p</w:t>
      </w:r>
      <w:r w:rsidRPr="002A13E4">
        <w:rPr>
          <w:color w:val="000000" w:themeColor="text1"/>
        </w:rPr>
        <w:t xml:space="preserve"> </w:t>
      </w:r>
      <w:r w:rsidR="00396317" w:rsidRPr="002A13E4">
        <w:rPr>
          <w:color w:val="000000" w:themeColor="text1"/>
        </w:rPr>
        <w:t>=</w:t>
      </w:r>
      <w:r w:rsidRPr="002A13E4">
        <w:rPr>
          <w:color w:val="000000" w:themeColor="text1"/>
        </w:rPr>
        <w:t xml:space="preserve"> .</w:t>
      </w:r>
      <w:r w:rsidR="00396317" w:rsidRPr="002A13E4">
        <w:rPr>
          <w:color w:val="000000" w:themeColor="text1"/>
        </w:rPr>
        <w:t>60</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396317" w:rsidRPr="002A13E4">
        <w:rPr>
          <w:color w:val="000000" w:themeColor="text1"/>
        </w:rPr>
        <w:t>0</w:t>
      </w:r>
      <w:r w:rsidR="00270D91" w:rsidRPr="002A13E4">
        <w:rPr>
          <w:color w:val="000000" w:themeColor="text1"/>
        </w:rPr>
        <w:t>1</w:t>
      </w:r>
      <w:r w:rsidR="00922169" w:rsidRPr="002A13E4">
        <w:rPr>
          <w:color w:val="000000" w:themeColor="text1"/>
        </w:rPr>
        <w:t xml:space="preserve">, with propensity to trust being a significant covariate, </w:t>
      </w:r>
      <w:r w:rsidR="00922169" w:rsidRPr="002A13E4">
        <w:rPr>
          <w:i/>
          <w:color w:val="000000" w:themeColor="text1"/>
        </w:rPr>
        <w:t>F</w:t>
      </w:r>
      <w:r w:rsidR="00922169" w:rsidRPr="002A13E4">
        <w:rPr>
          <w:color w:val="000000" w:themeColor="text1"/>
        </w:rPr>
        <w:t xml:space="preserve">(1, 336) = 10.12, </w:t>
      </w:r>
      <w:r w:rsidR="00922169" w:rsidRPr="002A13E4">
        <w:rPr>
          <w:i/>
          <w:color w:val="000000" w:themeColor="text1"/>
        </w:rPr>
        <w:t>p</w:t>
      </w:r>
      <w:r w:rsidR="00922169" w:rsidRPr="002A13E4">
        <w:rPr>
          <w:color w:val="000000" w:themeColor="text1"/>
        </w:rPr>
        <w:t xml:space="preserve"> &lt; .01, partial </w:t>
      </w:r>
      <w:r w:rsidR="00922169" w:rsidRPr="002A13E4">
        <w:rPr>
          <w:i/>
          <w:color w:val="000000" w:themeColor="text1"/>
        </w:rPr>
        <w:t>η</w:t>
      </w:r>
      <w:r w:rsidR="00922169" w:rsidRPr="002A13E4">
        <w:rPr>
          <w:i/>
          <w:color w:val="000000" w:themeColor="text1"/>
          <w:vertAlign w:val="superscript"/>
        </w:rPr>
        <w:t>2</w:t>
      </w:r>
      <w:r w:rsidR="00922169" w:rsidRPr="002A13E4">
        <w:rPr>
          <w:i/>
          <w:color w:val="000000" w:themeColor="text1"/>
        </w:rPr>
        <w:t xml:space="preserve"> </w:t>
      </w:r>
      <w:r w:rsidR="00922169" w:rsidRPr="002A13E4">
        <w:rPr>
          <w:color w:val="000000" w:themeColor="text1"/>
        </w:rPr>
        <w:t>= .03</w:t>
      </w:r>
      <w:r w:rsidRPr="002A13E4">
        <w:rPr>
          <w:color w:val="000000" w:themeColor="text1"/>
        </w:rPr>
        <w:t xml:space="preserve">. The mean difference between internal-attribution apology </w:t>
      </w:r>
      <w:bookmarkStart w:id="39" w:name="bookmark=id.1ksv4uv" w:colFirst="0" w:colLast="0"/>
      <w:bookmarkStart w:id="40" w:name="bookmark=id.44sinio" w:colFirst="0" w:colLast="0"/>
      <w:bookmarkEnd w:id="39"/>
      <w:bookmarkEnd w:id="40"/>
      <w:r w:rsidRPr="002A13E4">
        <w:rPr>
          <w:color w:val="000000" w:themeColor="text1"/>
        </w:rPr>
        <w:t>(</w:t>
      </w:r>
      <w:r w:rsidRPr="002A13E4">
        <w:rPr>
          <w:i/>
          <w:color w:val="000000" w:themeColor="text1"/>
        </w:rPr>
        <w:t xml:space="preserve">M </w:t>
      </w:r>
      <w:r w:rsidRPr="002A13E4">
        <w:rPr>
          <w:color w:val="000000" w:themeColor="text1"/>
        </w:rPr>
        <w:t xml:space="preserve">= </w:t>
      </w:r>
      <w:r w:rsidR="00270D91" w:rsidRPr="002A13E4">
        <w:rPr>
          <w:color w:val="000000" w:themeColor="text1"/>
        </w:rPr>
        <w:t>7.</w:t>
      </w:r>
      <w:r w:rsidR="00396317" w:rsidRPr="002A13E4">
        <w:rPr>
          <w:color w:val="000000" w:themeColor="text1"/>
        </w:rPr>
        <w:t>69</w:t>
      </w:r>
      <w:r w:rsidRPr="002A13E4">
        <w:rPr>
          <w:color w:val="000000" w:themeColor="text1"/>
        </w:rPr>
        <w:t xml:space="preserve">, </w:t>
      </w:r>
      <w:r w:rsidRPr="002A13E4">
        <w:rPr>
          <w:i/>
          <w:color w:val="000000" w:themeColor="text1"/>
        </w:rPr>
        <w:t>SD</w:t>
      </w:r>
      <w:r w:rsidRPr="002A13E4">
        <w:rPr>
          <w:color w:val="000000" w:themeColor="text1"/>
        </w:rPr>
        <w:t xml:space="preserve"> = 0.</w:t>
      </w:r>
      <w:r w:rsidR="00396317" w:rsidRPr="002A13E4">
        <w:rPr>
          <w:color w:val="000000" w:themeColor="text1"/>
        </w:rPr>
        <w:t>13</w:t>
      </w:r>
      <w:r w:rsidRPr="002A13E4">
        <w:rPr>
          <w:color w:val="000000" w:themeColor="text1"/>
        </w:rPr>
        <w:t>) and external-attribution apology (</w:t>
      </w:r>
      <w:r w:rsidRPr="002A13E4">
        <w:rPr>
          <w:i/>
          <w:color w:val="000000" w:themeColor="text1"/>
        </w:rPr>
        <w:t xml:space="preserve">M </w:t>
      </w:r>
      <w:r w:rsidRPr="002A13E4">
        <w:rPr>
          <w:color w:val="000000" w:themeColor="text1"/>
        </w:rPr>
        <w:t xml:space="preserve">= </w:t>
      </w:r>
      <w:r w:rsidR="00270D91" w:rsidRPr="002A13E4">
        <w:rPr>
          <w:color w:val="000000" w:themeColor="text1"/>
        </w:rPr>
        <w:t>7.</w:t>
      </w:r>
      <w:r w:rsidR="00396317" w:rsidRPr="002A13E4">
        <w:rPr>
          <w:color w:val="000000" w:themeColor="text1"/>
        </w:rPr>
        <w:t>60</w:t>
      </w:r>
      <w:r w:rsidRPr="002A13E4">
        <w:rPr>
          <w:color w:val="000000" w:themeColor="text1"/>
        </w:rPr>
        <w:t xml:space="preserve">, </w:t>
      </w:r>
      <w:r w:rsidRPr="002A13E4">
        <w:rPr>
          <w:i/>
          <w:color w:val="000000" w:themeColor="text1"/>
        </w:rPr>
        <w:t>SD</w:t>
      </w:r>
      <w:r w:rsidRPr="002A13E4">
        <w:rPr>
          <w:color w:val="000000" w:themeColor="text1"/>
        </w:rPr>
        <w:t xml:space="preserve"> = 0.</w:t>
      </w:r>
      <w:r w:rsidR="00396317" w:rsidRPr="002A13E4">
        <w:rPr>
          <w:color w:val="000000" w:themeColor="text1"/>
        </w:rPr>
        <w:t>13</w:t>
      </w:r>
      <w:r w:rsidRPr="002A13E4">
        <w:rPr>
          <w:color w:val="000000" w:themeColor="text1"/>
        </w:rPr>
        <w:t xml:space="preserve">), </w:t>
      </w:r>
      <w:r w:rsidR="00270D91" w:rsidRPr="002A13E4">
        <w:rPr>
          <w:color w:val="000000" w:themeColor="text1"/>
        </w:rPr>
        <w:t>0.</w:t>
      </w:r>
      <w:r w:rsidR="00396317" w:rsidRPr="002A13E4">
        <w:rPr>
          <w:color w:val="000000" w:themeColor="text1"/>
        </w:rPr>
        <w:t>10</w:t>
      </w:r>
      <w:r w:rsidRPr="002A13E4">
        <w:rPr>
          <w:color w:val="000000" w:themeColor="text1"/>
        </w:rPr>
        <w:t>, 95% CI [</w:t>
      </w:r>
      <w:r w:rsidR="00396317" w:rsidRPr="002A13E4">
        <w:rPr>
          <w:color w:val="000000" w:themeColor="text1"/>
        </w:rPr>
        <w:t>-0.27</w:t>
      </w:r>
      <w:r w:rsidRPr="002A13E4">
        <w:rPr>
          <w:color w:val="000000" w:themeColor="text1"/>
        </w:rPr>
        <w:t xml:space="preserve">, </w:t>
      </w:r>
      <w:r w:rsidR="00270D91" w:rsidRPr="002A13E4">
        <w:rPr>
          <w:color w:val="000000" w:themeColor="text1"/>
        </w:rPr>
        <w:t>0.</w:t>
      </w:r>
      <w:r w:rsidR="00396317" w:rsidRPr="002A13E4">
        <w:rPr>
          <w:color w:val="000000" w:themeColor="text1"/>
        </w:rPr>
        <w:t>46</w:t>
      </w:r>
      <w:r w:rsidRPr="002A13E4">
        <w:rPr>
          <w:color w:val="000000" w:themeColor="text1"/>
        </w:rPr>
        <w:t xml:space="preserve">], was </w:t>
      </w:r>
      <w:r w:rsidR="00D73080" w:rsidRPr="002A13E4">
        <w:rPr>
          <w:color w:val="000000" w:themeColor="text1"/>
        </w:rPr>
        <w:t xml:space="preserve">statistically </w:t>
      </w:r>
      <w:r w:rsidR="00396317" w:rsidRPr="002A13E4">
        <w:rPr>
          <w:color w:val="000000" w:themeColor="text1"/>
        </w:rPr>
        <w:t>in</w:t>
      </w:r>
      <w:r w:rsidRPr="002A13E4">
        <w:rPr>
          <w:color w:val="000000" w:themeColor="text1"/>
        </w:rPr>
        <w:t>significant</w:t>
      </w:r>
      <w:r w:rsidR="00E50C82" w:rsidRPr="002A13E4">
        <w:rPr>
          <w:color w:val="000000" w:themeColor="text1"/>
        </w:rPr>
        <w:t>, which means internal-attribution apology did</w:t>
      </w:r>
      <w:r w:rsidR="00396317" w:rsidRPr="002A13E4">
        <w:rPr>
          <w:color w:val="000000" w:themeColor="text1"/>
        </w:rPr>
        <w:t xml:space="preserve"> not</w:t>
      </w:r>
      <w:r w:rsidR="00E50C82" w:rsidRPr="002A13E4">
        <w:rPr>
          <w:color w:val="000000" w:themeColor="text1"/>
        </w:rPr>
        <w:t xml:space="preserve"> elicit better repair outcomes for competence-based trust than external-apology attribution,</w:t>
      </w:r>
      <w:r w:rsidRPr="002A13E4">
        <w:rPr>
          <w:color w:val="000000" w:themeColor="text1"/>
        </w:rPr>
        <w:t xml:space="preserve"> so H5 was </w:t>
      </w:r>
      <w:r w:rsidR="00396317" w:rsidRPr="002A13E4">
        <w:rPr>
          <w:color w:val="000000" w:themeColor="text1"/>
        </w:rPr>
        <w:t xml:space="preserve">not </w:t>
      </w:r>
      <w:r w:rsidRPr="002A13E4">
        <w:rPr>
          <w:color w:val="000000" w:themeColor="text1"/>
        </w:rPr>
        <w:t xml:space="preserve">supported for competence-based trust. </w:t>
      </w:r>
    </w:p>
    <w:p w14:paraId="17134463" w14:textId="070DE177" w:rsidR="00DB7FAE" w:rsidRPr="002A13E4" w:rsidRDefault="00F147F7" w:rsidP="00E50C82">
      <w:pPr>
        <w:spacing w:line="480" w:lineRule="auto"/>
        <w:ind w:firstLine="720"/>
        <w:rPr>
          <w:color w:val="000000" w:themeColor="text1"/>
        </w:rPr>
      </w:pPr>
      <w:r w:rsidRPr="002A13E4">
        <w:rPr>
          <w:color w:val="000000" w:themeColor="text1"/>
        </w:rPr>
        <w:t>For integrity-based trust,</w:t>
      </w:r>
      <w:r w:rsidR="00E50C82" w:rsidRPr="002A13E4">
        <w:rPr>
          <w:color w:val="000000" w:themeColor="text1"/>
        </w:rPr>
        <w:t xml:space="preserve"> </w:t>
      </w:r>
      <w:r w:rsidR="00396317" w:rsidRPr="002A13E4">
        <w:rPr>
          <w:color w:val="000000" w:themeColor="text1"/>
        </w:rPr>
        <w:t>t</w:t>
      </w:r>
      <w:r w:rsidR="00E50C82" w:rsidRPr="002A13E4">
        <w:rPr>
          <w:color w:val="000000" w:themeColor="text1"/>
        </w:rPr>
        <w:t xml:space="preserve">he assumption of homogeneity of between-group variances was met, </w:t>
      </w:r>
      <w:r w:rsidR="00E50C82" w:rsidRPr="002A13E4">
        <w:rPr>
          <w:i/>
          <w:iCs/>
          <w:color w:val="000000" w:themeColor="text1"/>
        </w:rPr>
        <w:t>F</w:t>
      </w:r>
      <w:r w:rsidR="00E50C82" w:rsidRPr="002A13E4">
        <w:rPr>
          <w:color w:val="000000" w:themeColor="text1"/>
        </w:rPr>
        <w:t xml:space="preserve"> (1, </w:t>
      </w:r>
      <w:r w:rsidR="00396317" w:rsidRPr="002A13E4">
        <w:rPr>
          <w:color w:val="000000" w:themeColor="text1"/>
        </w:rPr>
        <w:t>337</w:t>
      </w:r>
      <w:r w:rsidR="00E50C82" w:rsidRPr="002A13E4">
        <w:rPr>
          <w:color w:val="000000" w:themeColor="text1"/>
        </w:rPr>
        <w:t xml:space="preserve">) = </w:t>
      </w:r>
      <w:r w:rsidR="00396317" w:rsidRPr="002A13E4">
        <w:rPr>
          <w:color w:val="000000" w:themeColor="text1"/>
        </w:rPr>
        <w:t>0.28</w:t>
      </w:r>
      <w:r w:rsidR="00E50C82" w:rsidRPr="002A13E4">
        <w:rPr>
          <w:color w:val="000000" w:themeColor="text1"/>
        </w:rPr>
        <w:t xml:space="preserve">, </w:t>
      </w:r>
      <w:r w:rsidR="00E50C82" w:rsidRPr="002A13E4">
        <w:rPr>
          <w:i/>
          <w:iCs/>
          <w:color w:val="000000" w:themeColor="text1"/>
        </w:rPr>
        <w:t>p</w:t>
      </w:r>
      <w:r w:rsidR="00E50C82" w:rsidRPr="002A13E4">
        <w:rPr>
          <w:color w:val="000000" w:themeColor="text1"/>
        </w:rPr>
        <w:t xml:space="preserve"> = .</w:t>
      </w:r>
      <w:r w:rsidR="00396317" w:rsidRPr="002A13E4">
        <w:rPr>
          <w:color w:val="000000" w:themeColor="text1"/>
        </w:rPr>
        <w:t>59</w:t>
      </w:r>
      <w:r w:rsidR="00C76597" w:rsidRPr="002A13E4">
        <w:rPr>
          <w:color w:val="000000" w:themeColor="text1"/>
        </w:rPr>
        <w:t>, and t</w:t>
      </w:r>
      <w:r w:rsidRPr="002A13E4">
        <w:rPr>
          <w:color w:val="000000" w:themeColor="text1"/>
        </w:rPr>
        <w:t xml:space="preserve">he ANCOVA </w:t>
      </w:r>
      <w:r w:rsidR="00D73080" w:rsidRPr="002A13E4">
        <w:rPr>
          <w:color w:val="000000" w:themeColor="text1"/>
        </w:rPr>
        <w:t xml:space="preserve">results </w:t>
      </w:r>
      <w:r w:rsidRPr="002A13E4">
        <w:rPr>
          <w:color w:val="000000" w:themeColor="text1"/>
        </w:rPr>
        <w:t xml:space="preserve">indicated the main effects were </w:t>
      </w:r>
      <w:r w:rsidR="004B6F99" w:rsidRPr="002A13E4">
        <w:rPr>
          <w:color w:val="000000" w:themeColor="text1"/>
        </w:rPr>
        <w:t>in</w:t>
      </w:r>
      <w:r w:rsidRPr="002A13E4">
        <w:rPr>
          <w:color w:val="000000" w:themeColor="text1"/>
        </w:rPr>
        <w:t xml:space="preserve">significant, </w:t>
      </w:r>
      <w:r w:rsidR="00396317" w:rsidRPr="002A13E4">
        <w:rPr>
          <w:i/>
          <w:iCs/>
          <w:color w:val="000000" w:themeColor="text1"/>
        </w:rPr>
        <w:t>F</w:t>
      </w:r>
      <w:r w:rsidR="00396317" w:rsidRPr="002A13E4">
        <w:rPr>
          <w:color w:val="000000" w:themeColor="text1"/>
        </w:rPr>
        <w:t xml:space="preserve"> (1, 335) = 2.85, </w:t>
      </w:r>
      <w:r w:rsidR="00396317" w:rsidRPr="002A13E4">
        <w:rPr>
          <w:i/>
          <w:iCs/>
          <w:color w:val="000000" w:themeColor="text1"/>
        </w:rPr>
        <w:t>p</w:t>
      </w:r>
      <w:r w:rsidR="00396317" w:rsidRPr="002A13E4">
        <w:rPr>
          <w:color w:val="000000" w:themeColor="text1"/>
        </w:rPr>
        <w:t xml:space="preserve"> = .09</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C76597" w:rsidRPr="002A13E4">
        <w:rPr>
          <w:color w:val="000000" w:themeColor="text1"/>
        </w:rPr>
        <w:t>08</w:t>
      </w:r>
      <w:r w:rsidRPr="002A13E4">
        <w:rPr>
          <w:color w:val="000000" w:themeColor="text1"/>
        </w:rPr>
        <w:t xml:space="preserve">, with propensity to trust, </w:t>
      </w:r>
      <w:r w:rsidRPr="002A13E4">
        <w:rPr>
          <w:i/>
          <w:color w:val="000000" w:themeColor="text1"/>
        </w:rPr>
        <w:t>F</w:t>
      </w:r>
      <w:r w:rsidRPr="002A13E4">
        <w:rPr>
          <w:color w:val="000000" w:themeColor="text1"/>
        </w:rPr>
        <w:t xml:space="preserve">(1, </w:t>
      </w:r>
      <w:r w:rsidR="00396317" w:rsidRPr="002A13E4">
        <w:rPr>
          <w:color w:val="000000" w:themeColor="text1"/>
        </w:rPr>
        <w:t>335</w:t>
      </w:r>
      <w:r w:rsidRPr="002A13E4">
        <w:rPr>
          <w:color w:val="000000" w:themeColor="text1"/>
        </w:rPr>
        <w:t xml:space="preserve">) = </w:t>
      </w:r>
      <w:r w:rsidR="00396317" w:rsidRPr="002A13E4">
        <w:rPr>
          <w:color w:val="000000" w:themeColor="text1"/>
        </w:rPr>
        <w:t>11.81</w:t>
      </w:r>
      <w:r w:rsidRPr="002A13E4">
        <w:rPr>
          <w:color w:val="000000" w:themeColor="text1"/>
        </w:rPr>
        <w:t xml:space="preserve">, </w:t>
      </w:r>
      <w:r w:rsidRPr="002A13E4">
        <w:rPr>
          <w:i/>
          <w:color w:val="000000" w:themeColor="text1"/>
        </w:rPr>
        <w:t>p</w:t>
      </w:r>
      <w:r w:rsidRPr="002A13E4">
        <w:rPr>
          <w:color w:val="000000" w:themeColor="text1"/>
        </w:rPr>
        <w:t xml:space="preserve"> &lt; .01,</w:t>
      </w:r>
      <w:r w:rsidR="00922169" w:rsidRPr="002A13E4">
        <w:rPr>
          <w:color w:val="000000" w:themeColor="text1"/>
        </w:rPr>
        <w:t xml:space="preserve"> partial </w:t>
      </w:r>
      <w:r w:rsidR="00922169" w:rsidRPr="002A13E4">
        <w:rPr>
          <w:i/>
          <w:color w:val="000000" w:themeColor="text1"/>
        </w:rPr>
        <w:t>η</w:t>
      </w:r>
      <w:r w:rsidR="00922169" w:rsidRPr="002A13E4">
        <w:rPr>
          <w:i/>
          <w:color w:val="000000" w:themeColor="text1"/>
          <w:vertAlign w:val="superscript"/>
        </w:rPr>
        <w:t>2</w:t>
      </w:r>
      <w:r w:rsidR="00922169" w:rsidRPr="002A13E4">
        <w:rPr>
          <w:i/>
          <w:color w:val="000000" w:themeColor="text1"/>
        </w:rPr>
        <w:t xml:space="preserve"> </w:t>
      </w:r>
      <w:r w:rsidR="00922169" w:rsidRPr="002A13E4">
        <w:rPr>
          <w:color w:val="000000" w:themeColor="text1"/>
        </w:rPr>
        <w:t>= .03,</w:t>
      </w:r>
      <w:r w:rsidRPr="002A13E4">
        <w:rPr>
          <w:color w:val="000000" w:themeColor="text1"/>
        </w:rPr>
        <w:t xml:space="preserve"> </w:t>
      </w:r>
      <w:r w:rsidR="00396317" w:rsidRPr="002A13E4">
        <w:rPr>
          <w:color w:val="000000" w:themeColor="text1"/>
        </w:rPr>
        <w:t>and entity beliefs</w:t>
      </w:r>
      <w:r w:rsidR="004B6F99" w:rsidRPr="002A13E4">
        <w:rPr>
          <w:color w:val="000000" w:themeColor="text1"/>
        </w:rPr>
        <w:t>,</w:t>
      </w:r>
      <w:r w:rsidR="00396317" w:rsidRPr="002A13E4">
        <w:rPr>
          <w:color w:val="000000" w:themeColor="text1"/>
        </w:rPr>
        <w:t xml:space="preserve"> </w:t>
      </w:r>
      <w:r w:rsidR="00396317" w:rsidRPr="002A13E4">
        <w:rPr>
          <w:i/>
          <w:color w:val="000000" w:themeColor="text1"/>
        </w:rPr>
        <w:t>F</w:t>
      </w:r>
      <w:r w:rsidR="00396317" w:rsidRPr="002A13E4">
        <w:rPr>
          <w:color w:val="000000" w:themeColor="text1"/>
        </w:rPr>
        <w:t xml:space="preserve">(1, 335) = 2.85, </w:t>
      </w:r>
      <w:r w:rsidR="00396317" w:rsidRPr="002A13E4">
        <w:rPr>
          <w:i/>
          <w:color w:val="000000" w:themeColor="text1"/>
        </w:rPr>
        <w:t>p</w:t>
      </w:r>
      <w:r w:rsidR="00396317" w:rsidRPr="002A13E4">
        <w:rPr>
          <w:color w:val="000000" w:themeColor="text1"/>
        </w:rPr>
        <w:t xml:space="preserve"> &lt; .01,</w:t>
      </w:r>
      <w:r w:rsidRPr="002A13E4">
        <w:rPr>
          <w:color w:val="000000" w:themeColor="text1"/>
        </w:rPr>
        <w:t xml:space="preserve"> </w:t>
      </w:r>
      <w:r w:rsidR="00922169" w:rsidRPr="002A13E4">
        <w:rPr>
          <w:color w:val="000000" w:themeColor="text1"/>
        </w:rPr>
        <w:t xml:space="preserve">partial </w:t>
      </w:r>
      <w:r w:rsidR="00922169" w:rsidRPr="002A13E4">
        <w:rPr>
          <w:i/>
          <w:color w:val="000000" w:themeColor="text1"/>
        </w:rPr>
        <w:t>η</w:t>
      </w:r>
      <w:r w:rsidR="00922169" w:rsidRPr="002A13E4">
        <w:rPr>
          <w:i/>
          <w:color w:val="000000" w:themeColor="text1"/>
          <w:vertAlign w:val="superscript"/>
        </w:rPr>
        <w:t>2</w:t>
      </w:r>
      <w:r w:rsidR="00922169" w:rsidRPr="002A13E4">
        <w:rPr>
          <w:i/>
          <w:color w:val="000000" w:themeColor="text1"/>
        </w:rPr>
        <w:t xml:space="preserve"> </w:t>
      </w:r>
      <w:r w:rsidR="00922169" w:rsidRPr="002A13E4">
        <w:rPr>
          <w:color w:val="000000" w:themeColor="text1"/>
        </w:rPr>
        <w:t xml:space="preserve">= .03, being two </w:t>
      </w:r>
      <w:r w:rsidRPr="002A13E4">
        <w:rPr>
          <w:color w:val="000000" w:themeColor="text1"/>
        </w:rPr>
        <w:t>significant covariate</w:t>
      </w:r>
      <w:r w:rsidR="00396317" w:rsidRPr="002A13E4">
        <w:rPr>
          <w:color w:val="000000" w:themeColor="text1"/>
        </w:rPr>
        <w:t>s</w:t>
      </w:r>
      <w:r w:rsidRPr="002A13E4">
        <w:rPr>
          <w:color w:val="000000" w:themeColor="text1"/>
        </w:rPr>
        <w:t>. The mean difference for integrity-based trust between internal-attribution apology (</w:t>
      </w:r>
      <w:r w:rsidRPr="002A13E4">
        <w:rPr>
          <w:i/>
          <w:color w:val="000000" w:themeColor="text1"/>
        </w:rPr>
        <w:t xml:space="preserve">M </w:t>
      </w:r>
      <w:r w:rsidRPr="002A13E4">
        <w:rPr>
          <w:color w:val="000000" w:themeColor="text1"/>
        </w:rPr>
        <w:t>= 4.</w:t>
      </w:r>
      <w:r w:rsidR="00396317" w:rsidRPr="002A13E4">
        <w:rPr>
          <w:color w:val="000000" w:themeColor="text1"/>
        </w:rPr>
        <w:t>71</w:t>
      </w:r>
      <w:r w:rsidRPr="002A13E4">
        <w:rPr>
          <w:color w:val="000000" w:themeColor="text1"/>
        </w:rPr>
        <w:t xml:space="preserve">, </w:t>
      </w:r>
      <w:r w:rsidRPr="002A13E4">
        <w:rPr>
          <w:i/>
          <w:color w:val="000000" w:themeColor="text1"/>
        </w:rPr>
        <w:t>SD</w:t>
      </w:r>
      <w:r w:rsidRPr="002A13E4">
        <w:rPr>
          <w:color w:val="000000" w:themeColor="text1"/>
        </w:rPr>
        <w:t xml:space="preserve"> = </w:t>
      </w:r>
      <w:r w:rsidR="004B6F99" w:rsidRPr="002A13E4">
        <w:rPr>
          <w:color w:val="000000" w:themeColor="text1"/>
        </w:rPr>
        <w:t>0.</w:t>
      </w:r>
      <w:r w:rsidR="00396317" w:rsidRPr="002A13E4">
        <w:rPr>
          <w:color w:val="000000" w:themeColor="text1"/>
        </w:rPr>
        <w:t>07</w:t>
      </w:r>
      <w:r w:rsidRPr="002A13E4">
        <w:rPr>
          <w:color w:val="000000" w:themeColor="text1"/>
        </w:rPr>
        <w:t>) and external-attribution apology (</w:t>
      </w:r>
      <w:r w:rsidRPr="002A13E4">
        <w:rPr>
          <w:i/>
          <w:color w:val="000000" w:themeColor="text1"/>
        </w:rPr>
        <w:t xml:space="preserve">M </w:t>
      </w:r>
      <w:r w:rsidRPr="002A13E4">
        <w:rPr>
          <w:color w:val="000000" w:themeColor="text1"/>
        </w:rPr>
        <w:t xml:space="preserve">= </w:t>
      </w:r>
      <w:r w:rsidR="004B6F99" w:rsidRPr="002A13E4">
        <w:rPr>
          <w:color w:val="000000" w:themeColor="text1"/>
        </w:rPr>
        <w:t>4.5</w:t>
      </w:r>
      <w:r w:rsidR="00396317" w:rsidRPr="002A13E4">
        <w:rPr>
          <w:color w:val="000000" w:themeColor="text1"/>
        </w:rPr>
        <w:t>3</w:t>
      </w:r>
      <w:r w:rsidRPr="002A13E4">
        <w:rPr>
          <w:color w:val="000000" w:themeColor="text1"/>
        </w:rPr>
        <w:t xml:space="preserve">, </w:t>
      </w:r>
      <w:r w:rsidRPr="002A13E4">
        <w:rPr>
          <w:i/>
          <w:color w:val="000000" w:themeColor="text1"/>
        </w:rPr>
        <w:t>SD</w:t>
      </w:r>
      <w:r w:rsidRPr="002A13E4">
        <w:rPr>
          <w:color w:val="000000" w:themeColor="text1"/>
        </w:rPr>
        <w:t xml:space="preserve"> = 0.</w:t>
      </w:r>
      <w:r w:rsidR="004B6F99" w:rsidRPr="002A13E4">
        <w:rPr>
          <w:color w:val="000000" w:themeColor="text1"/>
        </w:rPr>
        <w:t>07</w:t>
      </w:r>
      <w:r w:rsidRPr="002A13E4">
        <w:rPr>
          <w:color w:val="000000" w:themeColor="text1"/>
        </w:rPr>
        <w:t xml:space="preserve">), </w:t>
      </w:r>
      <w:r w:rsidR="004B6F99" w:rsidRPr="002A13E4">
        <w:rPr>
          <w:color w:val="000000" w:themeColor="text1"/>
        </w:rPr>
        <w:t>0.18</w:t>
      </w:r>
      <w:r w:rsidRPr="002A13E4">
        <w:rPr>
          <w:color w:val="000000" w:themeColor="text1"/>
        </w:rPr>
        <w:t>, 95% CI [</w:t>
      </w:r>
      <w:r w:rsidR="004B6F99" w:rsidRPr="002A13E4">
        <w:rPr>
          <w:color w:val="000000" w:themeColor="text1"/>
        </w:rPr>
        <w:t>-0.</w:t>
      </w:r>
      <w:r w:rsidR="00396317" w:rsidRPr="002A13E4">
        <w:rPr>
          <w:color w:val="000000" w:themeColor="text1"/>
        </w:rPr>
        <w:t>03</w:t>
      </w:r>
      <w:r w:rsidRPr="002A13E4">
        <w:rPr>
          <w:color w:val="000000" w:themeColor="text1"/>
        </w:rPr>
        <w:t>, 0.</w:t>
      </w:r>
      <w:r w:rsidR="00396317" w:rsidRPr="002A13E4">
        <w:rPr>
          <w:color w:val="000000" w:themeColor="text1"/>
        </w:rPr>
        <w:t>39</w:t>
      </w:r>
      <w:r w:rsidRPr="002A13E4">
        <w:rPr>
          <w:color w:val="000000" w:themeColor="text1"/>
        </w:rPr>
        <w:t xml:space="preserve">], was </w:t>
      </w:r>
      <w:r w:rsidR="004B6F99" w:rsidRPr="002A13E4">
        <w:rPr>
          <w:color w:val="000000" w:themeColor="text1"/>
        </w:rPr>
        <w:t>in</w:t>
      </w:r>
      <w:r w:rsidRPr="002A13E4">
        <w:rPr>
          <w:color w:val="000000" w:themeColor="text1"/>
        </w:rPr>
        <w:t>significant</w:t>
      </w:r>
      <w:r w:rsidR="00E50C82" w:rsidRPr="002A13E4">
        <w:rPr>
          <w:color w:val="000000" w:themeColor="text1"/>
        </w:rPr>
        <w:t xml:space="preserve">. The findings showed that internal-attribution apology </w:t>
      </w:r>
      <w:r w:rsidR="004B6F99" w:rsidRPr="002A13E4">
        <w:rPr>
          <w:color w:val="000000" w:themeColor="text1"/>
        </w:rPr>
        <w:t>did not</w:t>
      </w:r>
      <w:r w:rsidR="00E50C82" w:rsidRPr="002A13E4">
        <w:rPr>
          <w:color w:val="000000" w:themeColor="text1"/>
        </w:rPr>
        <w:t xml:space="preserve"> </w:t>
      </w:r>
      <w:r w:rsidR="004B6F99" w:rsidRPr="002A13E4">
        <w:rPr>
          <w:color w:val="000000" w:themeColor="text1"/>
        </w:rPr>
        <w:t>generate</w:t>
      </w:r>
      <w:r w:rsidR="00E50C82" w:rsidRPr="002A13E4">
        <w:rPr>
          <w:color w:val="000000" w:themeColor="text1"/>
        </w:rPr>
        <w:t xml:space="preserve"> better repair outcomes than external-attribution apology for integrity-based trust. </w:t>
      </w:r>
      <w:r w:rsidRPr="002A13E4">
        <w:rPr>
          <w:color w:val="000000" w:themeColor="text1"/>
        </w:rPr>
        <w:t xml:space="preserve">To sum up, H5 was </w:t>
      </w:r>
      <w:r w:rsidR="001C7E2A" w:rsidRPr="002A13E4">
        <w:rPr>
          <w:color w:val="000000" w:themeColor="text1"/>
        </w:rPr>
        <w:t xml:space="preserve">not </w:t>
      </w:r>
      <w:r w:rsidRPr="002A13E4">
        <w:rPr>
          <w:color w:val="000000" w:themeColor="text1"/>
        </w:rPr>
        <w:t>supported.</w:t>
      </w:r>
    </w:p>
    <w:p w14:paraId="59333FC3" w14:textId="233DB522" w:rsidR="00DB7FAE" w:rsidRPr="002A13E4" w:rsidRDefault="00F147F7">
      <w:pPr>
        <w:spacing w:line="480" w:lineRule="auto"/>
        <w:rPr>
          <w:color w:val="000000" w:themeColor="text1"/>
        </w:rPr>
      </w:pPr>
      <w:r w:rsidRPr="002A13E4">
        <w:rPr>
          <w:color w:val="000000" w:themeColor="text1"/>
        </w:rPr>
        <w:tab/>
      </w:r>
      <w:r w:rsidR="001C7E2A" w:rsidRPr="002A13E4">
        <w:rPr>
          <w:color w:val="000000" w:themeColor="text1"/>
        </w:rPr>
        <w:t>The</w:t>
      </w:r>
      <w:r w:rsidRPr="002A13E4">
        <w:rPr>
          <w:color w:val="000000" w:themeColor="text1"/>
        </w:rPr>
        <w:t xml:space="preserve"> data </w:t>
      </w:r>
      <w:r w:rsidR="001C7E2A" w:rsidRPr="002A13E4">
        <w:rPr>
          <w:color w:val="000000" w:themeColor="text1"/>
        </w:rPr>
        <w:t>lent some</w:t>
      </w:r>
      <w:r w:rsidRPr="002A13E4">
        <w:rPr>
          <w:color w:val="000000" w:themeColor="text1"/>
        </w:rPr>
        <w:t xml:space="preserve"> support to H6</w:t>
      </w:r>
      <w:r w:rsidR="00460CED" w:rsidRPr="002A13E4">
        <w:rPr>
          <w:color w:val="000000" w:themeColor="text1"/>
        </w:rPr>
        <w:t xml:space="preserve">, which </w:t>
      </w:r>
      <w:r w:rsidR="006173C4" w:rsidRPr="002A13E4">
        <w:rPr>
          <w:color w:val="000000" w:themeColor="text1"/>
        </w:rPr>
        <w:t>predicted</w:t>
      </w:r>
      <w:r w:rsidR="00460CED" w:rsidRPr="002A13E4">
        <w:rPr>
          <w:color w:val="000000" w:themeColor="text1"/>
        </w:rPr>
        <w:t xml:space="preserve"> external-attribution apology would outperform denial in trust repair. Under equal error variances (</w:t>
      </w:r>
      <w:proofErr w:type="spellStart"/>
      <w:r w:rsidR="00460CED" w:rsidRPr="002A13E4">
        <w:rPr>
          <w:i/>
          <w:iCs/>
          <w:color w:val="000000" w:themeColor="text1"/>
        </w:rPr>
        <w:t>F</w:t>
      </w:r>
      <w:r w:rsidR="00460CED" w:rsidRPr="002A13E4">
        <w:rPr>
          <w:color w:val="000000" w:themeColor="text1"/>
          <w:vertAlign w:val="subscript"/>
        </w:rPr>
        <w:t>competence</w:t>
      </w:r>
      <w:proofErr w:type="spellEnd"/>
      <w:r w:rsidR="00460CED" w:rsidRPr="002A13E4">
        <w:rPr>
          <w:color w:val="000000" w:themeColor="text1"/>
          <w:vertAlign w:val="subscript"/>
        </w:rPr>
        <w:t xml:space="preserve">-based trust </w:t>
      </w:r>
      <w:r w:rsidR="00460CED" w:rsidRPr="002A13E4">
        <w:rPr>
          <w:color w:val="000000" w:themeColor="text1"/>
        </w:rPr>
        <w:t xml:space="preserve">(1, </w:t>
      </w:r>
      <w:r w:rsidR="001C7E2A" w:rsidRPr="002A13E4">
        <w:rPr>
          <w:color w:val="000000" w:themeColor="text1"/>
        </w:rPr>
        <w:t>343</w:t>
      </w:r>
      <w:r w:rsidR="00460CED" w:rsidRPr="002A13E4">
        <w:rPr>
          <w:color w:val="000000" w:themeColor="text1"/>
        </w:rPr>
        <w:t xml:space="preserve">) = </w:t>
      </w:r>
      <w:r w:rsidR="001C7E2A" w:rsidRPr="002A13E4">
        <w:rPr>
          <w:color w:val="000000" w:themeColor="text1"/>
        </w:rPr>
        <w:t>1.76</w:t>
      </w:r>
      <w:r w:rsidR="00460CED" w:rsidRPr="002A13E4">
        <w:rPr>
          <w:color w:val="000000" w:themeColor="text1"/>
        </w:rPr>
        <w:t xml:space="preserve">, </w:t>
      </w:r>
      <w:r w:rsidR="00460CED" w:rsidRPr="002A13E4">
        <w:rPr>
          <w:i/>
          <w:iCs/>
          <w:color w:val="000000" w:themeColor="text1"/>
        </w:rPr>
        <w:t>p</w:t>
      </w:r>
      <w:r w:rsidR="00460CED" w:rsidRPr="002A13E4">
        <w:rPr>
          <w:color w:val="000000" w:themeColor="text1"/>
        </w:rPr>
        <w:t xml:space="preserve"> = .</w:t>
      </w:r>
      <w:r w:rsidR="001C7E2A" w:rsidRPr="002A13E4">
        <w:rPr>
          <w:color w:val="000000" w:themeColor="text1"/>
        </w:rPr>
        <w:t>19</w:t>
      </w:r>
      <w:r w:rsidR="00460CED" w:rsidRPr="002A13E4">
        <w:rPr>
          <w:color w:val="000000" w:themeColor="text1"/>
        </w:rPr>
        <w:t xml:space="preserve">; </w:t>
      </w:r>
      <w:proofErr w:type="spellStart"/>
      <w:r w:rsidR="00460CED" w:rsidRPr="002A13E4">
        <w:rPr>
          <w:i/>
          <w:iCs/>
          <w:color w:val="000000" w:themeColor="text1"/>
        </w:rPr>
        <w:t>F</w:t>
      </w:r>
      <w:r w:rsidR="00460CED" w:rsidRPr="002A13E4">
        <w:rPr>
          <w:color w:val="000000" w:themeColor="text1"/>
          <w:vertAlign w:val="subscript"/>
        </w:rPr>
        <w:t>integrity</w:t>
      </w:r>
      <w:proofErr w:type="spellEnd"/>
      <w:r w:rsidR="00460CED" w:rsidRPr="002A13E4">
        <w:rPr>
          <w:color w:val="000000" w:themeColor="text1"/>
          <w:vertAlign w:val="subscript"/>
        </w:rPr>
        <w:t xml:space="preserve">-based trust </w:t>
      </w:r>
      <w:r w:rsidR="00460CED" w:rsidRPr="002A13E4">
        <w:rPr>
          <w:color w:val="000000" w:themeColor="text1"/>
        </w:rPr>
        <w:t xml:space="preserve">(1, </w:t>
      </w:r>
      <w:r w:rsidR="001C7E2A" w:rsidRPr="002A13E4">
        <w:rPr>
          <w:color w:val="000000" w:themeColor="text1"/>
        </w:rPr>
        <w:t>343</w:t>
      </w:r>
      <w:r w:rsidR="00460CED" w:rsidRPr="002A13E4">
        <w:rPr>
          <w:color w:val="000000" w:themeColor="text1"/>
        </w:rPr>
        <w:t xml:space="preserve">) = </w:t>
      </w:r>
      <w:r w:rsidR="001C7E2A" w:rsidRPr="002A13E4">
        <w:rPr>
          <w:color w:val="000000" w:themeColor="text1"/>
        </w:rPr>
        <w:t>0.45</w:t>
      </w:r>
      <w:r w:rsidR="00460CED" w:rsidRPr="002A13E4">
        <w:rPr>
          <w:color w:val="000000" w:themeColor="text1"/>
        </w:rPr>
        <w:t xml:space="preserve">, </w:t>
      </w:r>
      <w:r w:rsidR="00460CED" w:rsidRPr="002A13E4">
        <w:rPr>
          <w:i/>
          <w:iCs/>
          <w:color w:val="000000" w:themeColor="text1"/>
        </w:rPr>
        <w:t>p</w:t>
      </w:r>
      <w:r w:rsidR="00460CED" w:rsidRPr="002A13E4">
        <w:rPr>
          <w:color w:val="000000" w:themeColor="text1"/>
        </w:rPr>
        <w:t xml:space="preserve"> = .</w:t>
      </w:r>
      <w:r w:rsidR="001C7E2A" w:rsidRPr="002A13E4">
        <w:rPr>
          <w:color w:val="000000" w:themeColor="text1"/>
        </w:rPr>
        <w:t>51</w:t>
      </w:r>
      <w:r w:rsidR="00460CED" w:rsidRPr="002A13E4">
        <w:rPr>
          <w:color w:val="000000" w:themeColor="text1"/>
        </w:rPr>
        <w:t>)</w:t>
      </w:r>
      <w:r w:rsidR="00063CF9" w:rsidRPr="002A13E4">
        <w:rPr>
          <w:color w:val="000000" w:themeColor="text1"/>
        </w:rPr>
        <w:t xml:space="preserve"> </w:t>
      </w:r>
      <w:r w:rsidR="00460CED" w:rsidRPr="002A13E4">
        <w:rPr>
          <w:color w:val="000000" w:themeColor="text1"/>
        </w:rPr>
        <w:t xml:space="preserve">and covariances (Box’s </w:t>
      </w:r>
      <w:r w:rsidR="00460CED" w:rsidRPr="002A13E4">
        <w:rPr>
          <w:i/>
          <w:iCs/>
          <w:color w:val="000000" w:themeColor="text1"/>
        </w:rPr>
        <w:t>M</w:t>
      </w:r>
      <w:r w:rsidR="00460CED" w:rsidRPr="002A13E4">
        <w:rPr>
          <w:color w:val="000000" w:themeColor="text1"/>
        </w:rPr>
        <w:t xml:space="preserve"> = </w:t>
      </w:r>
      <w:r w:rsidR="001C7E2A" w:rsidRPr="002A13E4">
        <w:rPr>
          <w:color w:val="000000" w:themeColor="text1"/>
        </w:rPr>
        <w:t>4.45</w:t>
      </w:r>
      <w:r w:rsidR="00460CED" w:rsidRPr="002A13E4">
        <w:rPr>
          <w:color w:val="000000" w:themeColor="text1"/>
        </w:rPr>
        <w:t xml:space="preserve">, </w:t>
      </w:r>
      <w:r w:rsidR="00460CED" w:rsidRPr="002A13E4">
        <w:rPr>
          <w:i/>
          <w:iCs/>
          <w:color w:val="000000" w:themeColor="text1"/>
        </w:rPr>
        <w:t>F</w:t>
      </w:r>
      <w:r w:rsidR="00460CED" w:rsidRPr="002A13E4">
        <w:rPr>
          <w:color w:val="000000" w:themeColor="text1"/>
        </w:rPr>
        <w:t>(3,</w:t>
      </w:r>
      <w:r w:rsidR="00063CF9" w:rsidRPr="002A13E4">
        <w:rPr>
          <w:color w:val="000000" w:themeColor="text1"/>
        </w:rPr>
        <w:t xml:space="preserve"> </w:t>
      </w:r>
      <w:r w:rsidR="001C7E2A" w:rsidRPr="002A13E4">
        <w:rPr>
          <w:color w:val="000000" w:themeColor="text1"/>
        </w:rPr>
        <w:t>34521096</w:t>
      </w:r>
      <w:r w:rsidR="00460CED" w:rsidRPr="002A13E4">
        <w:rPr>
          <w:color w:val="000000" w:themeColor="text1"/>
        </w:rPr>
        <w:t xml:space="preserve">) = </w:t>
      </w:r>
      <w:r w:rsidR="001C7E2A" w:rsidRPr="002A13E4">
        <w:rPr>
          <w:color w:val="000000" w:themeColor="text1"/>
        </w:rPr>
        <w:t>1.47</w:t>
      </w:r>
      <w:r w:rsidR="00460CED" w:rsidRPr="002A13E4">
        <w:rPr>
          <w:color w:val="000000" w:themeColor="text1"/>
        </w:rPr>
        <w:t xml:space="preserve">, </w:t>
      </w:r>
      <w:r w:rsidR="00460CED" w:rsidRPr="002A13E4">
        <w:rPr>
          <w:i/>
          <w:iCs/>
          <w:color w:val="000000" w:themeColor="text1"/>
        </w:rPr>
        <w:t>p</w:t>
      </w:r>
      <w:r w:rsidR="00460CED" w:rsidRPr="002A13E4">
        <w:rPr>
          <w:color w:val="000000" w:themeColor="text1"/>
        </w:rPr>
        <w:t xml:space="preserve"> = .</w:t>
      </w:r>
      <w:r w:rsidR="001C7E2A" w:rsidRPr="002A13E4">
        <w:rPr>
          <w:color w:val="000000" w:themeColor="text1"/>
        </w:rPr>
        <w:t>22</w:t>
      </w:r>
      <w:r w:rsidR="00460CED" w:rsidRPr="002A13E4">
        <w:rPr>
          <w:color w:val="000000" w:themeColor="text1"/>
        </w:rPr>
        <w:t>),</w:t>
      </w:r>
      <w:r w:rsidRPr="002A13E4">
        <w:rPr>
          <w:color w:val="000000" w:themeColor="text1"/>
        </w:rPr>
        <w:t xml:space="preserve"> the MANCOVA model </w:t>
      </w:r>
      <w:r w:rsidR="00572E64" w:rsidRPr="002A13E4">
        <w:rPr>
          <w:color w:val="000000" w:themeColor="text1"/>
        </w:rPr>
        <w:t xml:space="preserve">was significant </w:t>
      </w:r>
      <w:r w:rsidRPr="002A13E4">
        <w:rPr>
          <w:color w:val="000000" w:themeColor="text1"/>
        </w:rPr>
        <w:t xml:space="preserve">testing the differences in </w:t>
      </w:r>
      <w:r w:rsidR="00F40A32" w:rsidRPr="002A13E4">
        <w:rPr>
          <w:color w:val="000000" w:themeColor="text1"/>
        </w:rPr>
        <w:t>post-interaction</w:t>
      </w:r>
      <w:r w:rsidRPr="002A13E4">
        <w:rPr>
          <w:color w:val="000000" w:themeColor="text1"/>
        </w:rPr>
        <w:t xml:space="preserve"> trust caused by the division between external-attribution apology and denial, </w:t>
      </w:r>
      <w:r w:rsidR="001C7E2A" w:rsidRPr="002A13E4">
        <w:rPr>
          <w:color w:val="000000" w:themeColor="text1"/>
        </w:rPr>
        <w:lastRenderedPageBreak/>
        <w:t>after excluding entity beliefs</w:t>
      </w:r>
      <w:r w:rsidR="004720CD" w:rsidRPr="002A13E4">
        <w:rPr>
          <w:color w:val="000000" w:themeColor="text1"/>
        </w:rPr>
        <w:t xml:space="preserve"> (</w:t>
      </w:r>
      <w:r w:rsidR="004720CD" w:rsidRPr="002A13E4">
        <w:rPr>
          <w:i/>
          <w:iCs/>
          <w:color w:val="000000" w:themeColor="text1"/>
        </w:rPr>
        <w:t xml:space="preserve">p </w:t>
      </w:r>
      <w:r w:rsidR="004720CD" w:rsidRPr="002A13E4">
        <w:rPr>
          <w:color w:val="000000" w:themeColor="text1"/>
        </w:rPr>
        <w:t>= .39)</w:t>
      </w:r>
      <w:r w:rsidR="001C7E2A" w:rsidRPr="002A13E4">
        <w:rPr>
          <w:color w:val="000000" w:themeColor="text1"/>
        </w:rPr>
        <w:t xml:space="preserve"> </w:t>
      </w:r>
      <w:r w:rsidR="00572E64" w:rsidRPr="002A13E4">
        <w:rPr>
          <w:color w:val="000000" w:themeColor="text1"/>
        </w:rPr>
        <w:t>as an</w:t>
      </w:r>
      <w:r w:rsidR="001C7E2A" w:rsidRPr="002A13E4">
        <w:rPr>
          <w:color w:val="000000" w:themeColor="text1"/>
        </w:rPr>
        <w:t xml:space="preserve"> insignificant</w:t>
      </w:r>
      <w:r w:rsidR="00572E64" w:rsidRPr="002A13E4">
        <w:rPr>
          <w:color w:val="000000" w:themeColor="text1"/>
        </w:rPr>
        <w:t xml:space="preserve"> covariate</w:t>
      </w:r>
      <w:r w:rsidR="001C7E2A" w:rsidRPr="002A13E4">
        <w:rPr>
          <w:color w:val="000000" w:themeColor="text1"/>
        </w:rPr>
        <w:t xml:space="preserve">, </w:t>
      </w:r>
      <w:r w:rsidRPr="002A13E4">
        <w:rPr>
          <w:color w:val="000000" w:themeColor="text1"/>
        </w:rPr>
        <w:t>Wilks’ Lambda (λ) = .</w:t>
      </w:r>
      <w:r w:rsidR="001C7E2A" w:rsidRPr="002A13E4">
        <w:rPr>
          <w:color w:val="000000" w:themeColor="text1"/>
        </w:rPr>
        <w:t>98</w:t>
      </w:r>
      <w:r w:rsidRPr="002A13E4">
        <w:rPr>
          <w:color w:val="000000" w:themeColor="text1"/>
        </w:rPr>
        <w:t xml:space="preserve">, </w:t>
      </w:r>
      <w:r w:rsidRPr="002A13E4">
        <w:rPr>
          <w:i/>
          <w:color w:val="000000" w:themeColor="text1"/>
        </w:rPr>
        <w:t>F</w:t>
      </w:r>
      <w:r w:rsidRPr="002A13E4">
        <w:rPr>
          <w:color w:val="000000" w:themeColor="text1"/>
        </w:rPr>
        <w:t>(</w:t>
      </w:r>
      <w:r w:rsidR="004B6F99" w:rsidRPr="002A13E4">
        <w:rPr>
          <w:color w:val="000000" w:themeColor="text1"/>
        </w:rPr>
        <w:t xml:space="preserve">2, </w:t>
      </w:r>
      <w:r w:rsidR="001C7E2A" w:rsidRPr="002A13E4">
        <w:rPr>
          <w:color w:val="000000" w:themeColor="text1"/>
        </w:rPr>
        <w:t>341</w:t>
      </w:r>
      <w:r w:rsidRPr="002A13E4">
        <w:rPr>
          <w:color w:val="000000" w:themeColor="text1"/>
        </w:rPr>
        <w:t xml:space="preserve">) = </w:t>
      </w:r>
      <w:r w:rsidR="001C7E2A" w:rsidRPr="002A13E4">
        <w:rPr>
          <w:color w:val="000000" w:themeColor="text1"/>
        </w:rPr>
        <w:t>3.75</w:t>
      </w:r>
      <w:r w:rsidRPr="002A13E4">
        <w:rPr>
          <w:color w:val="000000" w:themeColor="text1"/>
        </w:rPr>
        <w:t xml:space="preserve">, </w:t>
      </w:r>
      <w:r w:rsidRPr="002A13E4">
        <w:rPr>
          <w:i/>
          <w:color w:val="000000" w:themeColor="text1"/>
        </w:rPr>
        <w:t>p</w:t>
      </w:r>
      <w:r w:rsidRPr="002A13E4">
        <w:rPr>
          <w:color w:val="000000" w:themeColor="text1"/>
        </w:rPr>
        <w:t xml:space="preserve"> </w:t>
      </w:r>
      <w:r w:rsidR="001C7E2A" w:rsidRPr="002A13E4">
        <w:rPr>
          <w:color w:val="000000" w:themeColor="text1"/>
        </w:rPr>
        <w:t>&lt; .05</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w:t>
      </w:r>
      <w:r w:rsidR="001C7E2A" w:rsidRPr="002A13E4">
        <w:rPr>
          <w:color w:val="000000" w:themeColor="text1"/>
        </w:rPr>
        <w:t>2</w:t>
      </w:r>
      <w:r w:rsidR="004B6F99" w:rsidRPr="002A13E4">
        <w:rPr>
          <w:color w:val="000000" w:themeColor="text1"/>
        </w:rPr>
        <w:t xml:space="preserve">, with propensity to trust </w:t>
      </w:r>
      <w:r w:rsidR="00513B60" w:rsidRPr="002A13E4">
        <w:rPr>
          <w:color w:val="000000" w:themeColor="text1"/>
        </w:rPr>
        <w:t xml:space="preserve">being </w:t>
      </w:r>
      <w:r w:rsidR="004720CD" w:rsidRPr="002A13E4">
        <w:rPr>
          <w:color w:val="000000" w:themeColor="text1"/>
        </w:rPr>
        <w:t xml:space="preserve">a </w:t>
      </w:r>
      <w:r w:rsidR="00513B60" w:rsidRPr="002A13E4">
        <w:rPr>
          <w:color w:val="000000" w:themeColor="text1"/>
        </w:rPr>
        <w:t>significant covariate</w:t>
      </w:r>
      <w:r w:rsidR="004720CD" w:rsidRPr="002A13E4">
        <w:rPr>
          <w:color w:val="000000" w:themeColor="text1"/>
        </w:rPr>
        <w:t xml:space="preserve">, Wilks’ Lambda (λ) = .97, </w:t>
      </w:r>
      <w:r w:rsidR="004720CD" w:rsidRPr="002A13E4">
        <w:rPr>
          <w:i/>
          <w:color w:val="000000" w:themeColor="text1"/>
        </w:rPr>
        <w:t>F</w:t>
      </w:r>
      <w:r w:rsidR="004720CD" w:rsidRPr="002A13E4">
        <w:rPr>
          <w:color w:val="000000" w:themeColor="text1"/>
        </w:rPr>
        <w:t xml:space="preserve">(2, 341) = 6.03, </w:t>
      </w:r>
      <w:r w:rsidR="004720CD" w:rsidRPr="002A13E4">
        <w:rPr>
          <w:i/>
          <w:color w:val="000000" w:themeColor="text1"/>
        </w:rPr>
        <w:t>p</w:t>
      </w:r>
      <w:r w:rsidR="004720CD" w:rsidRPr="002A13E4">
        <w:rPr>
          <w:color w:val="000000" w:themeColor="text1"/>
        </w:rPr>
        <w:t xml:space="preserve"> &lt; .01, partial </w:t>
      </w:r>
      <w:r w:rsidR="004720CD" w:rsidRPr="002A13E4">
        <w:rPr>
          <w:i/>
          <w:color w:val="000000" w:themeColor="text1"/>
        </w:rPr>
        <w:t>η</w:t>
      </w:r>
      <w:r w:rsidR="004720CD" w:rsidRPr="002A13E4">
        <w:rPr>
          <w:i/>
          <w:color w:val="000000" w:themeColor="text1"/>
          <w:vertAlign w:val="superscript"/>
        </w:rPr>
        <w:t>2</w:t>
      </w:r>
      <w:r w:rsidR="004720CD" w:rsidRPr="002A13E4">
        <w:rPr>
          <w:color w:val="000000" w:themeColor="text1"/>
        </w:rPr>
        <w:t xml:space="preserve"> = .03</w:t>
      </w:r>
      <w:r w:rsidRPr="002A13E4">
        <w:rPr>
          <w:color w:val="000000" w:themeColor="text1"/>
        </w:rPr>
        <w:t xml:space="preserve">. The </w:t>
      </w:r>
      <w:r w:rsidR="00460CED" w:rsidRPr="002A13E4">
        <w:rPr>
          <w:color w:val="000000" w:themeColor="text1"/>
        </w:rPr>
        <w:t>mean</w:t>
      </w:r>
      <w:r w:rsidRPr="002A13E4">
        <w:rPr>
          <w:color w:val="000000" w:themeColor="text1"/>
        </w:rPr>
        <w:t xml:space="preserve"> difference</w:t>
      </w:r>
      <w:r w:rsidR="00460CED" w:rsidRPr="002A13E4">
        <w:rPr>
          <w:color w:val="000000" w:themeColor="text1"/>
        </w:rPr>
        <w:t xml:space="preserve">, </w:t>
      </w:r>
      <w:r w:rsidR="004720CD" w:rsidRPr="002A13E4">
        <w:rPr>
          <w:color w:val="000000" w:themeColor="text1"/>
        </w:rPr>
        <w:t>0.34</w:t>
      </w:r>
      <w:r w:rsidR="00460CED" w:rsidRPr="002A13E4">
        <w:rPr>
          <w:color w:val="000000" w:themeColor="text1"/>
        </w:rPr>
        <w:t>, 95% CI [</w:t>
      </w:r>
      <w:r w:rsidR="00513B60" w:rsidRPr="002A13E4">
        <w:rPr>
          <w:color w:val="000000" w:themeColor="text1"/>
        </w:rPr>
        <w:t>-0.</w:t>
      </w:r>
      <w:r w:rsidR="004720CD" w:rsidRPr="002A13E4">
        <w:rPr>
          <w:color w:val="000000" w:themeColor="text1"/>
        </w:rPr>
        <w:t>06</w:t>
      </w:r>
      <w:r w:rsidR="00513B60" w:rsidRPr="002A13E4">
        <w:rPr>
          <w:color w:val="000000" w:themeColor="text1"/>
        </w:rPr>
        <w:t>, 0.</w:t>
      </w:r>
      <w:r w:rsidR="004720CD" w:rsidRPr="002A13E4">
        <w:rPr>
          <w:color w:val="000000" w:themeColor="text1"/>
        </w:rPr>
        <w:t>75</w:t>
      </w:r>
      <w:r w:rsidR="00460CED" w:rsidRPr="002A13E4">
        <w:rPr>
          <w:color w:val="000000" w:themeColor="text1"/>
        </w:rPr>
        <w:t>], between external-attribution apology (</w:t>
      </w:r>
      <w:r w:rsidR="00460CED" w:rsidRPr="002A13E4">
        <w:rPr>
          <w:i/>
          <w:color w:val="000000" w:themeColor="text1"/>
        </w:rPr>
        <w:t xml:space="preserve">M </w:t>
      </w:r>
      <w:r w:rsidR="00460CED" w:rsidRPr="002A13E4">
        <w:rPr>
          <w:color w:val="000000" w:themeColor="text1"/>
        </w:rPr>
        <w:t xml:space="preserve">= </w:t>
      </w:r>
      <w:r w:rsidR="00513B60" w:rsidRPr="002A13E4">
        <w:rPr>
          <w:color w:val="000000" w:themeColor="text1"/>
        </w:rPr>
        <w:t>7.</w:t>
      </w:r>
      <w:r w:rsidR="004720CD" w:rsidRPr="002A13E4">
        <w:rPr>
          <w:color w:val="000000" w:themeColor="text1"/>
        </w:rPr>
        <w:t>61</w:t>
      </w:r>
      <w:r w:rsidR="00460CED" w:rsidRPr="002A13E4">
        <w:rPr>
          <w:color w:val="000000" w:themeColor="text1"/>
        </w:rPr>
        <w:t xml:space="preserve">, </w:t>
      </w:r>
      <w:r w:rsidR="00460CED" w:rsidRPr="002A13E4">
        <w:rPr>
          <w:i/>
          <w:color w:val="000000" w:themeColor="text1"/>
        </w:rPr>
        <w:t>SD</w:t>
      </w:r>
      <w:r w:rsidR="00460CED" w:rsidRPr="002A13E4">
        <w:rPr>
          <w:color w:val="000000" w:themeColor="text1"/>
        </w:rPr>
        <w:t xml:space="preserve"> = 0.</w:t>
      </w:r>
      <w:r w:rsidR="004720CD" w:rsidRPr="002A13E4">
        <w:rPr>
          <w:color w:val="000000" w:themeColor="text1"/>
        </w:rPr>
        <w:t>15</w:t>
      </w:r>
      <w:r w:rsidR="00460CED" w:rsidRPr="002A13E4">
        <w:rPr>
          <w:color w:val="000000" w:themeColor="text1"/>
        </w:rPr>
        <w:t>) and denial (</w:t>
      </w:r>
      <w:r w:rsidR="00460CED" w:rsidRPr="002A13E4">
        <w:rPr>
          <w:i/>
          <w:color w:val="000000" w:themeColor="text1"/>
        </w:rPr>
        <w:t xml:space="preserve">M </w:t>
      </w:r>
      <w:r w:rsidR="00460CED" w:rsidRPr="002A13E4">
        <w:rPr>
          <w:color w:val="000000" w:themeColor="text1"/>
        </w:rPr>
        <w:t>= 7.</w:t>
      </w:r>
      <w:r w:rsidR="004720CD" w:rsidRPr="002A13E4">
        <w:rPr>
          <w:color w:val="000000" w:themeColor="text1"/>
        </w:rPr>
        <w:t>27</w:t>
      </w:r>
      <w:r w:rsidR="00460CED" w:rsidRPr="002A13E4">
        <w:rPr>
          <w:color w:val="000000" w:themeColor="text1"/>
        </w:rPr>
        <w:t xml:space="preserve">, </w:t>
      </w:r>
      <w:r w:rsidR="00460CED" w:rsidRPr="002A13E4">
        <w:rPr>
          <w:i/>
          <w:color w:val="000000" w:themeColor="text1"/>
        </w:rPr>
        <w:t>SD</w:t>
      </w:r>
      <w:r w:rsidR="00460CED" w:rsidRPr="002A13E4">
        <w:rPr>
          <w:color w:val="000000" w:themeColor="text1"/>
        </w:rPr>
        <w:t xml:space="preserve"> = 0.</w:t>
      </w:r>
      <w:r w:rsidR="00513B60" w:rsidRPr="002A13E4">
        <w:rPr>
          <w:color w:val="000000" w:themeColor="text1"/>
        </w:rPr>
        <w:t>1</w:t>
      </w:r>
      <w:r w:rsidR="004720CD" w:rsidRPr="002A13E4">
        <w:rPr>
          <w:color w:val="000000" w:themeColor="text1"/>
        </w:rPr>
        <w:t>4</w:t>
      </w:r>
      <w:r w:rsidR="00460CED" w:rsidRPr="002A13E4">
        <w:rPr>
          <w:color w:val="000000" w:themeColor="text1"/>
        </w:rPr>
        <w:t xml:space="preserve">), </w:t>
      </w:r>
      <w:r w:rsidRPr="002A13E4">
        <w:rPr>
          <w:color w:val="000000" w:themeColor="text1"/>
        </w:rPr>
        <w:t>w</w:t>
      </w:r>
      <w:r w:rsidR="00460CED" w:rsidRPr="002A13E4">
        <w:rPr>
          <w:color w:val="000000" w:themeColor="text1"/>
        </w:rPr>
        <w:t>as</w:t>
      </w:r>
      <w:r w:rsidRPr="002A13E4">
        <w:rPr>
          <w:color w:val="000000" w:themeColor="text1"/>
        </w:rPr>
        <w:t xml:space="preserve"> insignificant for competence-based trust, </w:t>
      </w:r>
      <w:r w:rsidRPr="002A13E4">
        <w:rPr>
          <w:i/>
          <w:color w:val="000000" w:themeColor="text1"/>
        </w:rPr>
        <w:t>F</w:t>
      </w:r>
      <w:r w:rsidRPr="002A13E4">
        <w:rPr>
          <w:color w:val="000000" w:themeColor="text1"/>
        </w:rPr>
        <w:t>(</w:t>
      </w:r>
      <w:r w:rsidR="00513B60" w:rsidRPr="002A13E4">
        <w:rPr>
          <w:color w:val="000000" w:themeColor="text1"/>
        </w:rPr>
        <w:t xml:space="preserve">1, </w:t>
      </w:r>
      <w:r w:rsidR="004720CD" w:rsidRPr="002A13E4">
        <w:rPr>
          <w:color w:val="000000" w:themeColor="text1"/>
        </w:rPr>
        <w:t>342</w:t>
      </w:r>
      <w:r w:rsidRPr="002A13E4">
        <w:rPr>
          <w:color w:val="000000" w:themeColor="text1"/>
        </w:rPr>
        <w:t xml:space="preserve">) = </w:t>
      </w:r>
      <w:r w:rsidR="004720CD" w:rsidRPr="002A13E4">
        <w:rPr>
          <w:color w:val="000000" w:themeColor="text1"/>
        </w:rPr>
        <w:t>2.80</w:t>
      </w:r>
      <w:r w:rsidRPr="002A13E4">
        <w:rPr>
          <w:color w:val="000000" w:themeColor="text1"/>
        </w:rPr>
        <w:t xml:space="preserve">, </w:t>
      </w:r>
      <w:r w:rsidRPr="002A13E4">
        <w:rPr>
          <w:i/>
          <w:color w:val="000000" w:themeColor="text1"/>
        </w:rPr>
        <w:t>p</w:t>
      </w:r>
      <w:r w:rsidRPr="002A13E4">
        <w:rPr>
          <w:color w:val="000000" w:themeColor="text1"/>
        </w:rPr>
        <w:t xml:space="preserve"> = .</w:t>
      </w:r>
      <w:r w:rsidR="00FF51D1" w:rsidRPr="002A13E4">
        <w:rPr>
          <w:color w:val="000000" w:themeColor="text1"/>
        </w:rPr>
        <w:t>10</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FF51D1" w:rsidRPr="002A13E4">
        <w:rPr>
          <w:color w:val="000000" w:themeColor="text1"/>
        </w:rPr>
        <w:t>8. However,</w:t>
      </w:r>
      <w:r w:rsidRPr="002A13E4">
        <w:rPr>
          <w:color w:val="000000" w:themeColor="text1"/>
        </w:rPr>
        <w:t xml:space="preserve"> </w:t>
      </w:r>
      <w:r w:rsidR="00460CED" w:rsidRPr="002A13E4">
        <w:rPr>
          <w:color w:val="000000" w:themeColor="text1"/>
        </w:rPr>
        <w:t xml:space="preserve">the mean difference, </w:t>
      </w:r>
      <w:r w:rsidR="00FF51D1" w:rsidRPr="002A13E4">
        <w:rPr>
          <w:color w:val="000000" w:themeColor="text1"/>
        </w:rPr>
        <w:t>0.30</w:t>
      </w:r>
      <w:r w:rsidR="00513B60" w:rsidRPr="002A13E4">
        <w:rPr>
          <w:color w:val="000000" w:themeColor="text1"/>
        </w:rPr>
        <w:t>,</w:t>
      </w:r>
      <w:r w:rsidR="00460CED" w:rsidRPr="002A13E4">
        <w:rPr>
          <w:color w:val="000000" w:themeColor="text1"/>
        </w:rPr>
        <w:t xml:space="preserve"> 95% CI [</w:t>
      </w:r>
      <w:r w:rsidR="00FF51D1" w:rsidRPr="002A13E4">
        <w:rPr>
          <w:color w:val="000000" w:themeColor="text1"/>
        </w:rPr>
        <w:t>0.08, 0.51</w:t>
      </w:r>
      <w:r w:rsidR="00460CED" w:rsidRPr="002A13E4">
        <w:rPr>
          <w:color w:val="000000" w:themeColor="text1"/>
        </w:rPr>
        <w:t>], between external-attribution apology (</w:t>
      </w:r>
      <w:r w:rsidR="00460CED" w:rsidRPr="002A13E4">
        <w:rPr>
          <w:i/>
          <w:color w:val="000000" w:themeColor="text1"/>
        </w:rPr>
        <w:t xml:space="preserve">M </w:t>
      </w:r>
      <w:r w:rsidR="00460CED" w:rsidRPr="002A13E4">
        <w:rPr>
          <w:color w:val="000000" w:themeColor="text1"/>
        </w:rPr>
        <w:t xml:space="preserve">= </w:t>
      </w:r>
      <w:r w:rsidR="00063CF9" w:rsidRPr="002A13E4">
        <w:rPr>
          <w:color w:val="000000" w:themeColor="text1"/>
        </w:rPr>
        <w:t>4.</w:t>
      </w:r>
      <w:r w:rsidR="00FF51D1" w:rsidRPr="002A13E4">
        <w:rPr>
          <w:color w:val="000000" w:themeColor="text1"/>
        </w:rPr>
        <w:t>54</w:t>
      </w:r>
      <w:r w:rsidR="00460CED" w:rsidRPr="002A13E4">
        <w:rPr>
          <w:color w:val="000000" w:themeColor="text1"/>
        </w:rPr>
        <w:t xml:space="preserve">, </w:t>
      </w:r>
      <w:r w:rsidR="00460CED" w:rsidRPr="002A13E4">
        <w:rPr>
          <w:i/>
          <w:color w:val="000000" w:themeColor="text1"/>
        </w:rPr>
        <w:t>SD</w:t>
      </w:r>
      <w:r w:rsidR="00460CED" w:rsidRPr="002A13E4">
        <w:rPr>
          <w:color w:val="000000" w:themeColor="text1"/>
        </w:rPr>
        <w:t xml:space="preserve"> = 0.</w:t>
      </w:r>
      <w:r w:rsidR="00FF51D1" w:rsidRPr="002A13E4">
        <w:rPr>
          <w:color w:val="000000" w:themeColor="text1"/>
        </w:rPr>
        <w:t>08</w:t>
      </w:r>
      <w:r w:rsidR="00460CED" w:rsidRPr="002A13E4">
        <w:rPr>
          <w:color w:val="000000" w:themeColor="text1"/>
        </w:rPr>
        <w:t>) and denial (</w:t>
      </w:r>
      <w:r w:rsidR="00460CED" w:rsidRPr="002A13E4">
        <w:rPr>
          <w:i/>
          <w:color w:val="000000" w:themeColor="text1"/>
        </w:rPr>
        <w:t xml:space="preserve">M </w:t>
      </w:r>
      <w:r w:rsidR="00460CED" w:rsidRPr="002A13E4">
        <w:rPr>
          <w:color w:val="000000" w:themeColor="text1"/>
        </w:rPr>
        <w:t xml:space="preserve">= </w:t>
      </w:r>
      <w:r w:rsidR="00063CF9" w:rsidRPr="002A13E4">
        <w:rPr>
          <w:color w:val="000000" w:themeColor="text1"/>
        </w:rPr>
        <w:t>4.</w:t>
      </w:r>
      <w:r w:rsidR="00FF51D1" w:rsidRPr="002A13E4">
        <w:rPr>
          <w:color w:val="000000" w:themeColor="text1"/>
        </w:rPr>
        <w:t>25</w:t>
      </w:r>
      <w:r w:rsidR="00460CED" w:rsidRPr="002A13E4">
        <w:rPr>
          <w:color w:val="000000" w:themeColor="text1"/>
        </w:rPr>
        <w:t xml:space="preserve">, </w:t>
      </w:r>
      <w:r w:rsidR="00460CED" w:rsidRPr="002A13E4">
        <w:rPr>
          <w:i/>
          <w:color w:val="000000" w:themeColor="text1"/>
        </w:rPr>
        <w:t>SD</w:t>
      </w:r>
      <w:r w:rsidR="00460CED" w:rsidRPr="002A13E4">
        <w:rPr>
          <w:color w:val="000000" w:themeColor="text1"/>
        </w:rPr>
        <w:t xml:space="preserve"> = 0.</w:t>
      </w:r>
      <w:r w:rsidR="00513B60" w:rsidRPr="002A13E4">
        <w:rPr>
          <w:color w:val="000000" w:themeColor="text1"/>
        </w:rPr>
        <w:t>0</w:t>
      </w:r>
      <w:r w:rsidR="00FF51D1" w:rsidRPr="002A13E4">
        <w:rPr>
          <w:color w:val="000000" w:themeColor="text1"/>
        </w:rPr>
        <w:t>8</w:t>
      </w:r>
      <w:r w:rsidR="00460CED" w:rsidRPr="002A13E4">
        <w:rPr>
          <w:color w:val="000000" w:themeColor="text1"/>
        </w:rPr>
        <w:t>), was</w:t>
      </w:r>
      <w:r w:rsidR="00676E69" w:rsidRPr="002A13E4">
        <w:rPr>
          <w:color w:val="000000" w:themeColor="text1"/>
        </w:rPr>
        <w:t xml:space="preserve"> </w:t>
      </w:r>
      <w:r w:rsidR="00460CED" w:rsidRPr="002A13E4">
        <w:rPr>
          <w:color w:val="000000" w:themeColor="text1"/>
        </w:rPr>
        <w:t xml:space="preserve">significant for </w:t>
      </w:r>
      <w:r w:rsidR="00A42A69" w:rsidRPr="002A13E4">
        <w:rPr>
          <w:color w:val="000000" w:themeColor="text1"/>
        </w:rPr>
        <w:t>integrity</w:t>
      </w:r>
      <w:r w:rsidR="00460CED" w:rsidRPr="002A13E4">
        <w:rPr>
          <w:color w:val="000000" w:themeColor="text1"/>
        </w:rPr>
        <w:t xml:space="preserve">-based trust, </w:t>
      </w:r>
      <w:r w:rsidRPr="002A13E4">
        <w:rPr>
          <w:i/>
          <w:color w:val="000000" w:themeColor="text1"/>
        </w:rPr>
        <w:t>F</w:t>
      </w:r>
      <w:r w:rsidRPr="002A13E4">
        <w:rPr>
          <w:color w:val="000000" w:themeColor="text1"/>
        </w:rPr>
        <w:t>(</w:t>
      </w:r>
      <w:r w:rsidR="00513B60" w:rsidRPr="002A13E4">
        <w:rPr>
          <w:color w:val="000000" w:themeColor="text1"/>
        </w:rPr>
        <w:t>1</w:t>
      </w:r>
      <w:r w:rsidRPr="002A13E4">
        <w:rPr>
          <w:color w:val="000000" w:themeColor="text1"/>
        </w:rPr>
        <w:t xml:space="preserve">, </w:t>
      </w:r>
      <w:r w:rsidR="00FF51D1" w:rsidRPr="002A13E4">
        <w:rPr>
          <w:color w:val="000000" w:themeColor="text1"/>
        </w:rPr>
        <w:t>342</w:t>
      </w:r>
      <w:r w:rsidRPr="002A13E4">
        <w:rPr>
          <w:color w:val="000000" w:themeColor="text1"/>
        </w:rPr>
        <w:t xml:space="preserve">) = </w:t>
      </w:r>
      <w:r w:rsidR="00FF51D1" w:rsidRPr="002A13E4">
        <w:rPr>
          <w:color w:val="000000" w:themeColor="text1"/>
        </w:rPr>
        <w:t>7.27</w:t>
      </w:r>
      <w:r w:rsidRPr="002A13E4">
        <w:rPr>
          <w:color w:val="000000" w:themeColor="text1"/>
        </w:rPr>
        <w:t xml:space="preserve">, </w:t>
      </w:r>
      <w:r w:rsidRPr="002A13E4">
        <w:rPr>
          <w:i/>
          <w:color w:val="000000" w:themeColor="text1"/>
        </w:rPr>
        <w:t>p</w:t>
      </w:r>
      <w:r w:rsidRPr="002A13E4">
        <w:rPr>
          <w:color w:val="000000" w:themeColor="text1"/>
        </w:rPr>
        <w:t xml:space="preserve"> </w:t>
      </w:r>
      <w:r w:rsidR="00FF51D1" w:rsidRPr="002A13E4">
        <w:rPr>
          <w:color w:val="000000" w:themeColor="text1"/>
        </w:rPr>
        <w:t>&lt; .01</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FF51D1" w:rsidRPr="002A13E4">
        <w:rPr>
          <w:color w:val="000000" w:themeColor="text1"/>
        </w:rPr>
        <w:t>2</w:t>
      </w:r>
      <w:r w:rsidRPr="002A13E4">
        <w:rPr>
          <w:color w:val="000000" w:themeColor="text1"/>
        </w:rPr>
        <w:t>.</w:t>
      </w:r>
      <w:r w:rsidR="00460CED" w:rsidRPr="002A13E4">
        <w:rPr>
          <w:color w:val="000000" w:themeColor="text1"/>
        </w:rPr>
        <w:t xml:space="preserve"> </w:t>
      </w:r>
      <w:r w:rsidRPr="002A13E4">
        <w:rPr>
          <w:color w:val="000000" w:themeColor="text1"/>
        </w:rPr>
        <w:t xml:space="preserve">As a result, H6 was </w:t>
      </w:r>
      <w:r w:rsidR="00FF51D1" w:rsidRPr="002A13E4">
        <w:rPr>
          <w:color w:val="000000" w:themeColor="text1"/>
        </w:rPr>
        <w:t>partially supported</w:t>
      </w:r>
      <w:r w:rsidRPr="002A13E4">
        <w:rPr>
          <w:color w:val="000000" w:themeColor="text1"/>
        </w:rPr>
        <w:t>.</w:t>
      </w:r>
    </w:p>
    <w:p w14:paraId="1E2205B7" w14:textId="28331D32" w:rsidR="00DB7FAE" w:rsidRPr="002A13E4" w:rsidRDefault="00F147F7" w:rsidP="00063CF9">
      <w:pPr>
        <w:spacing w:line="480" w:lineRule="auto"/>
        <w:ind w:firstLine="720"/>
        <w:rPr>
          <w:color w:val="000000" w:themeColor="text1"/>
        </w:rPr>
      </w:pPr>
      <w:r w:rsidRPr="002A13E4">
        <w:rPr>
          <w:color w:val="000000" w:themeColor="text1"/>
        </w:rPr>
        <w:t>H7 focused on the comparisons between denial and no repair</w:t>
      </w:r>
      <w:r w:rsidR="00063CF9" w:rsidRPr="002A13E4">
        <w:rPr>
          <w:color w:val="000000" w:themeColor="text1"/>
        </w:rPr>
        <w:t>, proposing denial would be more harmful than no repair under competence-based trust violations</w:t>
      </w:r>
      <w:r w:rsidRPr="002A13E4">
        <w:rPr>
          <w:color w:val="000000" w:themeColor="text1"/>
        </w:rPr>
        <w:t>. Another MANCOVA was performed</w:t>
      </w:r>
      <w:r w:rsidR="00063CF9" w:rsidRPr="002A13E4">
        <w:rPr>
          <w:color w:val="000000" w:themeColor="text1"/>
        </w:rPr>
        <w:t xml:space="preserve"> </w:t>
      </w:r>
      <w:r w:rsidRPr="002A13E4">
        <w:rPr>
          <w:color w:val="000000" w:themeColor="text1"/>
        </w:rPr>
        <w:t xml:space="preserve">to test the group differences on </w:t>
      </w:r>
      <w:r w:rsidR="00F40A32" w:rsidRPr="002A13E4">
        <w:rPr>
          <w:color w:val="000000" w:themeColor="text1"/>
        </w:rPr>
        <w:t>post-interaction</w:t>
      </w:r>
      <w:r w:rsidRPr="002A13E4">
        <w:rPr>
          <w:color w:val="000000" w:themeColor="text1"/>
        </w:rPr>
        <w:t xml:space="preserve"> trust</w:t>
      </w:r>
      <w:r w:rsidR="00FF51D1" w:rsidRPr="002A13E4">
        <w:rPr>
          <w:color w:val="000000" w:themeColor="text1"/>
        </w:rPr>
        <w:t xml:space="preserve">, and entity beliefs turned out to be an insignificant covariate, </w:t>
      </w:r>
      <w:r w:rsidR="00FF51D1" w:rsidRPr="002A13E4">
        <w:rPr>
          <w:i/>
          <w:iCs/>
          <w:color w:val="000000" w:themeColor="text1"/>
        </w:rPr>
        <w:t>p</w:t>
      </w:r>
      <w:r w:rsidR="00FF51D1" w:rsidRPr="002A13E4">
        <w:rPr>
          <w:color w:val="000000" w:themeColor="text1"/>
        </w:rPr>
        <w:t xml:space="preserve"> = .19, without which the model was reconstructed</w:t>
      </w:r>
      <w:r w:rsidR="00063CF9" w:rsidRPr="002A13E4">
        <w:rPr>
          <w:color w:val="000000" w:themeColor="text1"/>
        </w:rPr>
        <w:t>. Box’s test of equality of covariance was insignificant, Box’s</w:t>
      </w:r>
      <w:r w:rsidR="00063CF9" w:rsidRPr="002A13E4">
        <w:rPr>
          <w:i/>
          <w:iCs/>
          <w:color w:val="000000" w:themeColor="text1"/>
        </w:rPr>
        <w:t xml:space="preserve"> M</w:t>
      </w:r>
      <w:r w:rsidR="00063CF9" w:rsidRPr="002A13E4">
        <w:rPr>
          <w:color w:val="000000" w:themeColor="text1"/>
        </w:rPr>
        <w:t xml:space="preserve"> = </w:t>
      </w:r>
      <w:r w:rsidR="00FF51D1" w:rsidRPr="002A13E4">
        <w:rPr>
          <w:color w:val="000000" w:themeColor="text1"/>
        </w:rPr>
        <w:t>3.80</w:t>
      </w:r>
      <w:r w:rsidR="00063CF9" w:rsidRPr="002A13E4">
        <w:rPr>
          <w:color w:val="000000" w:themeColor="text1"/>
        </w:rPr>
        <w:t xml:space="preserve">, </w:t>
      </w:r>
      <w:r w:rsidR="00063CF9" w:rsidRPr="002A13E4">
        <w:rPr>
          <w:i/>
          <w:iCs/>
          <w:color w:val="000000" w:themeColor="text1"/>
        </w:rPr>
        <w:t>F</w:t>
      </w:r>
      <w:r w:rsidR="00063CF9" w:rsidRPr="002A13E4">
        <w:rPr>
          <w:color w:val="000000" w:themeColor="text1"/>
        </w:rPr>
        <w:t>(3,</w:t>
      </w:r>
      <w:r w:rsidR="00FF51D1" w:rsidRPr="002A13E4">
        <w:rPr>
          <w:color w:val="000000" w:themeColor="text1"/>
        </w:rPr>
        <w:t xml:space="preserve"> 28329051</w:t>
      </w:r>
      <w:r w:rsidR="00063CF9" w:rsidRPr="002A13E4">
        <w:rPr>
          <w:color w:val="000000" w:themeColor="text1"/>
        </w:rPr>
        <w:t xml:space="preserve">) = </w:t>
      </w:r>
      <w:r w:rsidR="00FF51D1" w:rsidRPr="002A13E4">
        <w:rPr>
          <w:color w:val="000000" w:themeColor="text1"/>
        </w:rPr>
        <w:t>1.26</w:t>
      </w:r>
      <w:r w:rsidR="00063CF9" w:rsidRPr="002A13E4">
        <w:rPr>
          <w:color w:val="000000" w:themeColor="text1"/>
        </w:rPr>
        <w:t xml:space="preserve">, </w:t>
      </w:r>
      <w:r w:rsidR="00063CF9" w:rsidRPr="002A13E4">
        <w:rPr>
          <w:i/>
          <w:iCs/>
          <w:color w:val="000000" w:themeColor="text1"/>
        </w:rPr>
        <w:t>p</w:t>
      </w:r>
      <w:r w:rsidR="00063CF9" w:rsidRPr="002A13E4">
        <w:rPr>
          <w:color w:val="000000" w:themeColor="text1"/>
        </w:rPr>
        <w:t xml:space="preserve"> =</w:t>
      </w:r>
      <w:r w:rsidR="00FF51D1" w:rsidRPr="002A13E4">
        <w:rPr>
          <w:color w:val="000000" w:themeColor="text1"/>
        </w:rPr>
        <w:t xml:space="preserve"> </w:t>
      </w:r>
      <w:r w:rsidR="00063CF9" w:rsidRPr="002A13E4">
        <w:rPr>
          <w:color w:val="000000" w:themeColor="text1"/>
        </w:rPr>
        <w:t>.</w:t>
      </w:r>
      <w:r w:rsidR="00FF51D1" w:rsidRPr="002A13E4">
        <w:rPr>
          <w:color w:val="000000" w:themeColor="text1"/>
        </w:rPr>
        <w:t>29</w:t>
      </w:r>
      <w:r w:rsidR="00063CF9" w:rsidRPr="002A13E4">
        <w:rPr>
          <w:color w:val="000000" w:themeColor="text1"/>
        </w:rPr>
        <w:t>, and</w:t>
      </w:r>
      <w:r w:rsidR="00A42A69" w:rsidRPr="002A13E4">
        <w:rPr>
          <w:color w:val="000000" w:themeColor="text1"/>
        </w:rPr>
        <w:t xml:space="preserve"> </w:t>
      </w:r>
      <w:proofErr w:type="spellStart"/>
      <w:r w:rsidR="00A42A69" w:rsidRPr="002A13E4">
        <w:rPr>
          <w:color w:val="000000" w:themeColor="text1"/>
        </w:rPr>
        <w:t>Levene’s</w:t>
      </w:r>
      <w:proofErr w:type="spellEnd"/>
      <w:r w:rsidR="00A42A69" w:rsidRPr="002A13E4">
        <w:rPr>
          <w:color w:val="000000" w:themeColor="text1"/>
        </w:rPr>
        <w:t xml:space="preserve"> tests indicated </w:t>
      </w:r>
      <w:r w:rsidR="00063CF9" w:rsidRPr="002A13E4">
        <w:rPr>
          <w:color w:val="000000" w:themeColor="text1"/>
        </w:rPr>
        <w:t xml:space="preserve">the assumption of homogeneity of variance was met </w:t>
      </w:r>
      <w:r w:rsidR="00A42A69" w:rsidRPr="002A13E4">
        <w:rPr>
          <w:color w:val="000000" w:themeColor="text1"/>
        </w:rPr>
        <w:t>(</w:t>
      </w:r>
      <w:proofErr w:type="spellStart"/>
      <w:r w:rsidR="00063CF9" w:rsidRPr="002A13E4">
        <w:rPr>
          <w:i/>
          <w:iCs/>
          <w:color w:val="000000" w:themeColor="text1"/>
        </w:rPr>
        <w:t>F</w:t>
      </w:r>
      <w:r w:rsidR="00063CF9" w:rsidRPr="002A13E4">
        <w:rPr>
          <w:color w:val="000000" w:themeColor="text1"/>
          <w:vertAlign w:val="subscript"/>
        </w:rPr>
        <w:t>competence</w:t>
      </w:r>
      <w:proofErr w:type="spellEnd"/>
      <w:r w:rsidR="00063CF9" w:rsidRPr="002A13E4">
        <w:rPr>
          <w:color w:val="000000" w:themeColor="text1"/>
          <w:vertAlign w:val="subscript"/>
        </w:rPr>
        <w:t xml:space="preserve">-based trust </w:t>
      </w:r>
      <w:r w:rsidR="00063CF9" w:rsidRPr="002A13E4">
        <w:rPr>
          <w:color w:val="000000" w:themeColor="text1"/>
        </w:rPr>
        <w:t xml:space="preserve">(1, </w:t>
      </w:r>
      <w:r w:rsidR="00FF51D1" w:rsidRPr="002A13E4">
        <w:rPr>
          <w:color w:val="000000" w:themeColor="text1"/>
        </w:rPr>
        <w:t>347</w:t>
      </w:r>
      <w:r w:rsidR="00063CF9" w:rsidRPr="002A13E4">
        <w:rPr>
          <w:color w:val="000000" w:themeColor="text1"/>
        </w:rPr>
        <w:t xml:space="preserve">) = </w:t>
      </w:r>
      <w:r w:rsidR="00FF51D1" w:rsidRPr="002A13E4">
        <w:rPr>
          <w:color w:val="000000" w:themeColor="text1"/>
        </w:rPr>
        <w:t>0</w:t>
      </w:r>
      <w:r w:rsidR="00063CF9" w:rsidRPr="002A13E4">
        <w:rPr>
          <w:color w:val="000000" w:themeColor="text1"/>
        </w:rPr>
        <w:t>.</w:t>
      </w:r>
      <w:r w:rsidR="00FF51D1" w:rsidRPr="002A13E4">
        <w:rPr>
          <w:color w:val="000000" w:themeColor="text1"/>
        </w:rPr>
        <w:t>94</w:t>
      </w:r>
      <w:r w:rsidR="00063CF9" w:rsidRPr="002A13E4">
        <w:rPr>
          <w:color w:val="000000" w:themeColor="text1"/>
        </w:rPr>
        <w:t xml:space="preserve">, </w:t>
      </w:r>
      <w:r w:rsidR="00063CF9" w:rsidRPr="002A13E4">
        <w:rPr>
          <w:i/>
          <w:iCs/>
          <w:color w:val="000000" w:themeColor="text1"/>
        </w:rPr>
        <w:t>p</w:t>
      </w:r>
      <w:r w:rsidR="00063CF9" w:rsidRPr="002A13E4">
        <w:rPr>
          <w:color w:val="000000" w:themeColor="text1"/>
        </w:rPr>
        <w:t xml:space="preserve"> = .</w:t>
      </w:r>
      <w:r w:rsidR="00FF51D1" w:rsidRPr="002A13E4">
        <w:rPr>
          <w:color w:val="000000" w:themeColor="text1"/>
        </w:rPr>
        <w:t>33</w:t>
      </w:r>
      <w:r w:rsidR="00063CF9" w:rsidRPr="002A13E4">
        <w:rPr>
          <w:color w:val="000000" w:themeColor="text1"/>
        </w:rPr>
        <w:t xml:space="preserve">; </w:t>
      </w:r>
      <w:proofErr w:type="spellStart"/>
      <w:r w:rsidR="00063CF9" w:rsidRPr="002A13E4">
        <w:rPr>
          <w:i/>
          <w:iCs/>
          <w:color w:val="000000" w:themeColor="text1"/>
        </w:rPr>
        <w:t>F</w:t>
      </w:r>
      <w:r w:rsidR="00063CF9" w:rsidRPr="002A13E4">
        <w:rPr>
          <w:color w:val="000000" w:themeColor="text1"/>
          <w:vertAlign w:val="subscript"/>
        </w:rPr>
        <w:t>integrity</w:t>
      </w:r>
      <w:proofErr w:type="spellEnd"/>
      <w:r w:rsidR="00063CF9" w:rsidRPr="002A13E4">
        <w:rPr>
          <w:color w:val="000000" w:themeColor="text1"/>
          <w:vertAlign w:val="subscript"/>
        </w:rPr>
        <w:t xml:space="preserve">-based trust </w:t>
      </w:r>
      <w:r w:rsidR="00063CF9" w:rsidRPr="002A13E4">
        <w:rPr>
          <w:color w:val="000000" w:themeColor="text1"/>
        </w:rPr>
        <w:t xml:space="preserve">(1, </w:t>
      </w:r>
      <w:r w:rsidR="00FF51D1" w:rsidRPr="002A13E4">
        <w:rPr>
          <w:color w:val="000000" w:themeColor="text1"/>
        </w:rPr>
        <w:t>347</w:t>
      </w:r>
      <w:r w:rsidR="00063CF9" w:rsidRPr="002A13E4">
        <w:rPr>
          <w:color w:val="000000" w:themeColor="text1"/>
        </w:rPr>
        <w:t xml:space="preserve">) = </w:t>
      </w:r>
      <w:r w:rsidR="00FF51D1" w:rsidRPr="002A13E4">
        <w:rPr>
          <w:color w:val="000000" w:themeColor="text1"/>
        </w:rPr>
        <w:t>1.53</w:t>
      </w:r>
      <w:r w:rsidR="00063CF9" w:rsidRPr="002A13E4">
        <w:rPr>
          <w:color w:val="000000" w:themeColor="text1"/>
        </w:rPr>
        <w:t xml:space="preserve">, </w:t>
      </w:r>
      <w:r w:rsidR="00063CF9" w:rsidRPr="002A13E4">
        <w:rPr>
          <w:i/>
          <w:iCs/>
          <w:color w:val="000000" w:themeColor="text1"/>
        </w:rPr>
        <w:t>p</w:t>
      </w:r>
      <w:r w:rsidR="00063CF9" w:rsidRPr="002A13E4">
        <w:rPr>
          <w:color w:val="000000" w:themeColor="text1"/>
        </w:rPr>
        <w:t xml:space="preserve"> = .</w:t>
      </w:r>
      <w:r w:rsidR="00FF51D1" w:rsidRPr="002A13E4">
        <w:rPr>
          <w:color w:val="000000" w:themeColor="text1"/>
        </w:rPr>
        <w:t>22</w:t>
      </w:r>
      <w:r w:rsidR="00063CF9" w:rsidRPr="002A13E4">
        <w:rPr>
          <w:color w:val="000000" w:themeColor="text1"/>
        </w:rPr>
        <w:t>). T</w:t>
      </w:r>
      <w:r w:rsidRPr="002A13E4">
        <w:rPr>
          <w:color w:val="000000" w:themeColor="text1"/>
        </w:rPr>
        <w:t>he omnibus effects were significant when two dimensions of trust were examined as a set, Wilks’ Lambda (λ) = .9</w:t>
      </w:r>
      <w:r w:rsidR="00FF51D1" w:rsidRPr="002A13E4">
        <w:rPr>
          <w:color w:val="000000" w:themeColor="text1"/>
        </w:rPr>
        <w:t>6</w:t>
      </w:r>
      <w:r w:rsidRPr="002A13E4">
        <w:rPr>
          <w:color w:val="000000" w:themeColor="text1"/>
        </w:rPr>
        <w:t xml:space="preserve">, </w:t>
      </w:r>
      <w:r w:rsidRPr="002A13E4">
        <w:rPr>
          <w:i/>
          <w:color w:val="000000" w:themeColor="text1"/>
        </w:rPr>
        <w:t>F</w:t>
      </w:r>
      <w:r w:rsidRPr="002A13E4">
        <w:rPr>
          <w:color w:val="000000" w:themeColor="text1"/>
        </w:rPr>
        <w:t xml:space="preserve">(2, </w:t>
      </w:r>
      <w:r w:rsidR="00FF51D1" w:rsidRPr="002A13E4">
        <w:rPr>
          <w:color w:val="000000" w:themeColor="text1"/>
        </w:rPr>
        <w:t>345</w:t>
      </w:r>
      <w:r w:rsidRPr="002A13E4">
        <w:rPr>
          <w:color w:val="000000" w:themeColor="text1"/>
        </w:rPr>
        <w:t xml:space="preserve">) = </w:t>
      </w:r>
      <w:r w:rsidR="00FF51D1" w:rsidRPr="002A13E4">
        <w:rPr>
          <w:color w:val="000000" w:themeColor="text1"/>
        </w:rPr>
        <w:t>7.17</w:t>
      </w:r>
      <w:r w:rsidRPr="002A13E4">
        <w:rPr>
          <w:color w:val="000000" w:themeColor="text1"/>
        </w:rPr>
        <w:t xml:space="preserve">, </w:t>
      </w:r>
      <w:r w:rsidRPr="002A13E4">
        <w:rPr>
          <w:i/>
          <w:color w:val="000000" w:themeColor="text1"/>
        </w:rPr>
        <w:t>p</w:t>
      </w:r>
      <w:r w:rsidRPr="002A13E4">
        <w:rPr>
          <w:color w:val="000000" w:themeColor="text1"/>
        </w:rPr>
        <w:t xml:space="preserve"> &lt; .01,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FF51D1" w:rsidRPr="002A13E4">
        <w:rPr>
          <w:color w:val="000000" w:themeColor="text1"/>
        </w:rPr>
        <w:t>04</w:t>
      </w:r>
      <w:r w:rsidRPr="002A13E4">
        <w:rPr>
          <w:color w:val="000000" w:themeColor="text1"/>
        </w:rPr>
        <w:t>, with propensity to trust being a significant covariate, Wilks’ Lambda (λ) = .</w:t>
      </w:r>
      <w:r w:rsidR="00F1080A" w:rsidRPr="002A13E4">
        <w:rPr>
          <w:color w:val="000000" w:themeColor="text1"/>
        </w:rPr>
        <w:t>98</w:t>
      </w:r>
      <w:r w:rsidRPr="002A13E4">
        <w:rPr>
          <w:color w:val="000000" w:themeColor="text1"/>
        </w:rPr>
        <w:t xml:space="preserve">, </w:t>
      </w:r>
      <w:r w:rsidRPr="002A13E4">
        <w:rPr>
          <w:i/>
          <w:color w:val="000000" w:themeColor="text1"/>
        </w:rPr>
        <w:t>F</w:t>
      </w:r>
      <w:r w:rsidRPr="002A13E4">
        <w:rPr>
          <w:color w:val="000000" w:themeColor="text1"/>
        </w:rPr>
        <w:t xml:space="preserve">(2, </w:t>
      </w:r>
      <w:r w:rsidR="00F1080A" w:rsidRPr="002A13E4">
        <w:rPr>
          <w:color w:val="000000" w:themeColor="text1"/>
        </w:rPr>
        <w:t>345</w:t>
      </w:r>
      <w:r w:rsidRPr="002A13E4">
        <w:rPr>
          <w:color w:val="000000" w:themeColor="text1"/>
        </w:rPr>
        <w:t xml:space="preserve">) = </w:t>
      </w:r>
      <w:r w:rsidR="00F1080A" w:rsidRPr="002A13E4">
        <w:rPr>
          <w:color w:val="000000" w:themeColor="text1"/>
        </w:rPr>
        <w:t>3.13</w:t>
      </w:r>
      <w:r w:rsidRPr="002A13E4">
        <w:rPr>
          <w:color w:val="000000" w:themeColor="text1"/>
        </w:rPr>
        <w:t xml:space="preserve">, </w:t>
      </w:r>
      <w:r w:rsidRPr="002A13E4">
        <w:rPr>
          <w:i/>
          <w:color w:val="000000" w:themeColor="text1"/>
        </w:rPr>
        <w:t>p</w:t>
      </w:r>
      <w:r w:rsidRPr="002A13E4">
        <w:rPr>
          <w:color w:val="000000" w:themeColor="text1"/>
        </w:rPr>
        <w:t xml:space="preserve"> &lt; .0</w:t>
      </w:r>
      <w:r w:rsidR="00F1080A" w:rsidRPr="002A13E4">
        <w:rPr>
          <w:color w:val="000000" w:themeColor="text1"/>
        </w:rPr>
        <w:t>5</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.0</w:t>
      </w:r>
      <w:r w:rsidR="00F1080A" w:rsidRPr="002A13E4">
        <w:rPr>
          <w:color w:val="000000" w:themeColor="text1"/>
        </w:rPr>
        <w:t>2</w:t>
      </w:r>
      <w:r w:rsidRPr="002A13E4">
        <w:rPr>
          <w:color w:val="000000" w:themeColor="text1"/>
        </w:rPr>
        <w:t>. On the univariate level, the mean difference between denial (</w:t>
      </w:r>
      <w:r w:rsidRPr="002A13E4">
        <w:rPr>
          <w:i/>
          <w:color w:val="000000" w:themeColor="text1"/>
        </w:rPr>
        <w:t xml:space="preserve">M </w:t>
      </w:r>
      <w:r w:rsidRPr="002A13E4">
        <w:rPr>
          <w:color w:val="000000" w:themeColor="text1"/>
        </w:rPr>
        <w:t xml:space="preserve">= </w:t>
      </w:r>
      <w:r w:rsidR="00F1080A" w:rsidRPr="002A13E4">
        <w:rPr>
          <w:color w:val="000000" w:themeColor="text1"/>
        </w:rPr>
        <w:t>7.27</w:t>
      </w:r>
      <w:r w:rsidRPr="002A13E4">
        <w:rPr>
          <w:color w:val="000000" w:themeColor="text1"/>
        </w:rPr>
        <w:t xml:space="preserve">, </w:t>
      </w:r>
      <w:r w:rsidRPr="002A13E4">
        <w:rPr>
          <w:i/>
          <w:color w:val="000000" w:themeColor="text1"/>
        </w:rPr>
        <w:t>SD</w:t>
      </w:r>
      <w:r w:rsidRPr="002A13E4">
        <w:rPr>
          <w:color w:val="000000" w:themeColor="text1"/>
        </w:rPr>
        <w:t xml:space="preserve"> = 0.</w:t>
      </w:r>
      <w:r w:rsidR="00F1080A" w:rsidRPr="002A13E4">
        <w:rPr>
          <w:color w:val="000000" w:themeColor="text1"/>
        </w:rPr>
        <w:t>14</w:t>
      </w:r>
      <w:r w:rsidRPr="002A13E4">
        <w:rPr>
          <w:color w:val="000000" w:themeColor="text1"/>
        </w:rPr>
        <w:t>) and no repair (</w:t>
      </w:r>
      <w:r w:rsidRPr="002A13E4">
        <w:rPr>
          <w:i/>
          <w:color w:val="000000" w:themeColor="text1"/>
        </w:rPr>
        <w:t xml:space="preserve">M </w:t>
      </w:r>
      <w:r w:rsidRPr="002A13E4">
        <w:rPr>
          <w:color w:val="000000" w:themeColor="text1"/>
        </w:rPr>
        <w:t>= 7.</w:t>
      </w:r>
      <w:r w:rsidR="00F1080A" w:rsidRPr="002A13E4">
        <w:rPr>
          <w:color w:val="000000" w:themeColor="text1"/>
        </w:rPr>
        <w:t>56</w:t>
      </w:r>
      <w:r w:rsidRPr="002A13E4">
        <w:rPr>
          <w:color w:val="000000" w:themeColor="text1"/>
        </w:rPr>
        <w:t xml:space="preserve">, </w:t>
      </w:r>
      <w:r w:rsidRPr="002A13E4">
        <w:rPr>
          <w:i/>
          <w:color w:val="000000" w:themeColor="text1"/>
        </w:rPr>
        <w:t>SD</w:t>
      </w:r>
      <w:r w:rsidRPr="002A13E4">
        <w:rPr>
          <w:color w:val="000000" w:themeColor="text1"/>
        </w:rPr>
        <w:t xml:space="preserve"> = 0.</w:t>
      </w:r>
      <w:r w:rsidR="00F1080A" w:rsidRPr="002A13E4">
        <w:rPr>
          <w:color w:val="000000" w:themeColor="text1"/>
        </w:rPr>
        <w:t>15</w:t>
      </w:r>
      <w:r w:rsidRPr="002A13E4">
        <w:rPr>
          <w:color w:val="000000" w:themeColor="text1"/>
        </w:rPr>
        <w:t xml:space="preserve">), </w:t>
      </w:r>
      <w:r w:rsidR="00F1080A" w:rsidRPr="002A13E4">
        <w:rPr>
          <w:color w:val="000000" w:themeColor="text1"/>
        </w:rPr>
        <w:t>-0.29</w:t>
      </w:r>
      <w:r w:rsidRPr="002A13E4">
        <w:rPr>
          <w:color w:val="000000" w:themeColor="text1"/>
        </w:rPr>
        <w:t>, 95% CI [-</w:t>
      </w:r>
      <w:r w:rsidR="00F1080A" w:rsidRPr="002A13E4">
        <w:rPr>
          <w:color w:val="000000" w:themeColor="text1"/>
        </w:rPr>
        <w:t>0.70</w:t>
      </w:r>
      <w:r w:rsidRPr="002A13E4">
        <w:rPr>
          <w:color w:val="000000" w:themeColor="text1"/>
        </w:rPr>
        <w:t xml:space="preserve">, </w:t>
      </w:r>
      <w:r w:rsidR="00F1080A" w:rsidRPr="002A13E4">
        <w:rPr>
          <w:color w:val="000000" w:themeColor="text1"/>
        </w:rPr>
        <w:t>0.12</w:t>
      </w:r>
      <w:r w:rsidRPr="002A13E4">
        <w:rPr>
          <w:color w:val="000000" w:themeColor="text1"/>
        </w:rPr>
        <w:t xml:space="preserve">], </w:t>
      </w:r>
      <w:r w:rsidRPr="002A13E4">
        <w:rPr>
          <w:i/>
          <w:color w:val="000000" w:themeColor="text1"/>
        </w:rPr>
        <w:t>p</w:t>
      </w:r>
      <w:r w:rsidRPr="002A13E4">
        <w:rPr>
          <w:color w:val="000000" w:themeColor="text1"/>
        </w:rPr>
        <w:t xml:space="preserve"> </w:t>
      </w:r>
      <w:r w:rsidR="00F1080A" w:rsidRPr="002A13E4">
        <w:rPr>
          <w:color w:val="000000" w:themeColor="text1"/>
        </w:rPr>
        <w:t>=</w:t>
      </w:r>
      <w:r w:rsidRPr="002A13E4">
        <w:rPr>
          <w:color w:val="000000" w:themeColor="text1"/>
        </w:rPr>
        <w:t xml:space="preserve"> .</w:t>
      </w:r>
      <w:r w:rsidR="00F1080A" w:rsidRPr="002A13E4">
        <w:rPr>
          <w:color w:val="000000" w:themeColor="text1"/>
        </w:rPr>
        <w:t>17</w:t>
      </w:r>
      <w:r w:rsidRPr="002A13E4">
        <w:rPr>
          <w:color w:val="000000" w:themeColor="text1"/>
        </w:rPr>
        <w:t xml:space="preserve">, was </w:t>
      </w:r>
      <w:r w:rsidR="00F1080A" w:rsidRPr="002A13E4">
        <w:rPr>
          <w:color w:val="000000" w:themeColor="text1"/>
        </w:rPr>
        <w:t>in</w:t>
      </w:r>
      <w:r w:rsidRPr="002A13E4">
        <w:rPr>
          <w:color w:val="000000" w:themeColor="text1"/>
        </w:rPr>
        <w:t xml:space="preserve">significant for competence-based trust, </w:t>
      </w:r>
      <w:r w:rsidR="00F1080A" w:rsidRPr="002A13E4">
        <w:rPr>
          <w:color w:val="000000" w:themeColor="text1"/>
        </w:rPr>
        <w:t>but</w:t>
      </w:r>
      <w:r w:rsidRPr="002A13E4">
        <w:rPr>
          <w:color w:val="000000" w:themeColor="text1"/>
        </w:rPr>
        <w:t xml:space="preserve"> the mean difference between denial (</w:t>
      </w:r>
      <w:r w:rsidR="00F1080A" w:rsidRPr="002A13E4">
        <w:rPr>
          <w:i/>
          <w:color w:val="000000" w:themeColor="text1"/>
        </w:rPr>
        <w:t xml:space="preserve">M </w:t>
      </w:r>
      <w:r w:rsidR="00F1080A" w:rsidRPr="002A13E4">
        <w:rPr>
          <w:color w:val="000000" w:themeColor="text1"/>
        </w:rPr>
        <w:t xml:space="preserve">= 4.25, </w:t>
      </w:r>
      <w:r w:rsidR="00F1080A" w:rsidRPr="002A13E4">
        <w:rPr>
          <w:i/>
          <w:color w:val="000000" w:themeColor="text1"/>
        </w:rPr>
        <w:t>SD</w:t>
      </w:r>
      <w:r w:rsidR="00F1080A" w:rsidRPr="002A13E4">
        <w:rPr>
          <w:color w:val="000000" w:themeColor="text1"/>
        </w:rPr>
        <w:t xml:space="preserve"> = 0.07</w:t>
      </w:r>
      <w:r w:rsidRPr="002A13E4">
        <w:rPr>
          <w:color w:val="000000" w:themeColor="text1"/>
        </w:rPr>
        <w:t>) and no repair (</w:t>
      </w:r>
      <w:r w:rsidRPr="002A13E4">
        <w:rPr>
          <w:i/>
          <w:color w:val="000000" w:themeColor="text1"/>
        </w:rPr>
        <w:t xml:space="preserve">M </w:t>
      </w:r>
      <w:r w:rsidRPr="002A13E4">
        <w:rPr>
          <w:color w:val="000000" w:themeColor="text1"/>
        </w:rPr>
        <w:t xml:space="preserve">= </w:t>
      </w:r>
      <w:r w:rsidR="00F1080A" w:rsidRPr="002A13E4">
        <w:rPr>
          <w:color w:val="000000" w:themeColor="text1"/>
        </w:rPr>
        <w:t>4.64</w:t>
      </w:r>
      <w:r w:rsidRPr="002A13E4">
        <w:rPr>
          <w:color w:val="000000" w:themeColor="text1"/>
        </w:rPr>
        <w:t xml:space="preserve">, </w:t>
      </w:r>
      <w:r w:rsidRPr="002A13E4">
        <w:rPr>
          <w:i/>
          <w:color w:val="000000" w:themeColor="text1"/>
        </w:rPr>
        <w:t>SD</w:t>
      </w:r>
      <w:r w:rsidRPr="002A13E4">
        <w:rPr>
          <w:color w:val="000000" w:themeColor="text1"/>
        </w:rPr>
        <w:t xml:space="preserve"> = 0.</w:t>
      </w:r>
      <w:r w:rsidR="00F1080A" w:rsidRPr="002A13E4">
        <w:rPr>
          <w:color w:val="000000" w:themeColor="text1"/>
        </w:rPr>
        <w:t>08</w:t>
      </w:r>
      <w:r w:rsidRPr="002A13E4">
        <w:rPr>
          <w:color w:val="000000" w:themeColor="text1"/>
        </w:rPr>
        <w:t>), -0.</w:t>
      </w:r>
      <w:r w:rsidR="00F1080A" w:rsidRPr="002A13E4">
        <w:rPr>
          <w:color w:val="000000" w:themeColor="text1"/>
        </w:rPr>
        <w:t>39</w:t>
      </w:r>
      <w:r w:rsidRPr="002A13E4">
        <w:rPr>
          <w:color w:val="000000" w:themeColor="text1"/>
        </w:rPr>
        <w:t>, 95% CI [-0.</w:t>
      </w:r>
      <w:r w:rsidR="00F1080A" w:rsidRPr="002A13E4">
        <w:rPr>
          <w:color w:val="000000" w:themeColor="text1"/>
        </w:rPr>
        <w:t>60</w:t>
      </w:r>
      <w:r w:rsidRPr="002A13E4">
        <w:rPr>
          <w:color w:val="000000" w:themeColor="text1"/>
        </w:rPr>
        <w:t>, -0.1</w:t>
      </w:r>
      <w:r w:rsidR="00F1080A" w:rsidRPr="002A13E4">
        <w:rPr>
          <w:color w:val="000000" w:themeColor="text1"/>
        </w:rPr>
        <w:t>9</w:t>
      </w:r>
      <w:r w:rsidRPr="002A13E4">
        <w:rPr>
          <w:color w:val="000000" w:themeColor="text1"/>
        </w:rPr>
        <w:t xml:space="preserve">], </w:t>
      </w:r>
      <w:r w:rsidRPr="002A13E4">
        <w:rPr>
          <w:i/>
          <w:color w:val="000000" w:themeColor="text1"/>
        </w:rPr>
        <w:t>p</w:t>
      </w:r>
      <w:r w:rsidRPr="002A13E4">
        <w:rPr>
          <w:color w:val="000000" w:themeColor="text1"/>
        </w:rPr>
        <w:t xml:space="preserve"> &lt; .0</w:t>
      </w:r>
      <w:r w:rsidR="00F1080A" w:rsidRPr="002A13E4">
        <w:rPr>
          <w:color w:val="000000" w:themeColor="text1"/>
        </w:rPr>
        <w:t>0</w:t>
      </w:r>
      <w:r w:rsidRPr="002A13E4">
        <w:rPr>
          <w:color w:val="000000" w:themeColor="text1"/>
        </w:rPr>
        <w:t xml:space="preserve">1, was significant for integrity-based trust. </w:t>
      </w:r>
      <w:r w:rsidR="00423EA9" w:rsidRPr="002A13E4">
        <w:rPr>
          <w:color w:val="000000" w:themeColor="text1"/>
        </w:rPr>
        <w:t xml:space="preserve">The results confirmed the proposition </w:t>
      </w:r>
      <w:r w:rsidR="00423EA9" w:rsidRPr="002A13E4">
        <w:rPr>
          <w:color w:val="000000" w:themeColor="text1"/>
        </w:rPr>
        <w:lastRenderedPageBreak/>
        <w:t>that denial performed worse as a trust-repairing strategy</w:t>
      </w:r>
      <w:r w:rsidR="00A42A69" w:rsidRPr="002A13E4">
        <w:rPr>
          <w:color w:val="000000" w:themeColor="text1"/>
        </w:rPr>
        <w:t xml:space="preserve"> than no repair</w:t>
      </w:r>
      <w:r w:rsidR="00676E69" w:rsidRPr="002A13E4">
        <w:rPr>
          <w:color w:val="000000" w:themeColor="text1"/>
        </w:rPr>
        <w:t xml:space="preserve"> for </w:t>
      </w:r>
      <w:r w:rsidR="00F1080A" w:rsidRPr="002A13E4">
        <w:rPr>
          <w:color w:val="000000" w:themeColor="text1"/>
        </w:rPr>
        <w:t>integrity</w:t>
      </w:r>
      <w:r w:rsidR="00676E69" w:rsidRPr="002A13E4">
        <w:rPr>
          <w:color w:val="000000" w:themeColor="text1"/>
        </w:rPr>
        <w:t xml:space="preserve">-based </w:t>
      </w:r>
      <w:r w:rsidR="00E53644" w:rsidRPr="002A13E4">
        <w:rPr>
          <w:color w:val="000000" w:themeColor="text1"/>
        </w:rPr>
        <w:t>violations</w:t>
      </w:r>
      <w:r w:rsidR="00423EA9" w:rsidRPr="002A13E4">
        <w:rPr>
          <w:color w:val="000000" w:themeColor="text1"/>
        </w:rPr>
        <w:t xml:space="preserve">. </w:t>
      </w:r>
      <w:r w:rsidRPr="002A13E4">
        <w:rPr>
          <w:color w:val="000000" w:themeColor="text1"/>
        </w:rPr>
        <w:t xml:space="preserve">Therefore, H7 was </w:t>
      </w:r>
      <w:r w:rsidR="00F1080A" w:rsidRPr="002A13E4">
        <w:rPr>
          <w:color w:val="000000" w:themeColor="text1"/>
        </w:rPr>
        <w:t>partially</w:t>
      </w:r>
      <w:r w:rsidRPr="002A13E4">
        <w:rPr>
          <w:color w:val="000000" w:themeColor="text1"/>
        </w:rPr>
        <w:t xml:space="preserve"> supported.</w:t>
      </w:r>
    </w:p>
    <w:p w14:paraId="17BDB780" w14:textId="1F579970" w:rsidR="00373597" w:rsidRPr="00D64CA4" w:rsidRDefault="00373597" w:rsidP="00D64CA4">
      <w:pPr>
        <w:pStyle w:val="Heading2"/>
        <w:spacing w:before="0" w:line="480" w:lineRule="auto"/>
        <w:rPr>
          <w:color w:val="000000" w:themeColor="text1"/>
        </w:rPr>
      </w:pPr>
      <w:bookmarkStart w:id="41" w:name="_Toc73716038"/>
      <w:r w:rsidRPr="00D64CA4">
        <w:rPr>
          <w:color w:val="000000" w:themeColor="text1"/>
        </w:rPr>
        <w:t>Results of RQ3</w:t>
      </w:r>
      <w:bookmarkEnd w:id="41"/>
    </w:p>
    <w:p w14:paraId="1EEEF780" w14:textId="0E588E98" w:rsidR="00D64763" w:rsidRPr="002A13E4" w:rsidRDefault="00F147F7" w:rsidP="00D64763">
      <w:pPr>
        <w:spacing w:line="480" w:lineRule="auto"/>
        <w:rPr>
          <w:color w:val="000000" w:themeColor="text1"/>
        </w:rPr>
      </w:pPr>
      <w:r w:rsidRPr="002A13E4">
        <w:rPr>
          <w:color w:val="000000" w:themeColor="text1"/>
        </w:rPr>
        <w:tab/>
        <w:t xml:space="preserve">RQ3 was concerned with the interaction effects between failure types and repair methods, and a two-way MANCOVA model </w:t>
      </w:r>
      <w:r w:rsidR="00676E69" w:rsidRPr="002A13E4">
        <w:rPr>
          <w:color w:val="000000" w:themeColor="text1"/>
        </w:rPr>
        <w:t>with propensity to trust and entity beliefs as covariates</w:t>
      </w:r>
      <w:r w:rsidRPr="002A13E4">
        <w:rPr>
          <w:color w:val="000000" w:themeColor="text1"/>
        </w:rPr>
        <w:t xml:space="preserve">, in which failure types and repair methods were entered as independent variables, and two types of </w:t>
      </w:r>
      <w:r w:rsidR="00F40A32" w:rsidRPr="002A13E4">
        <w:rPr>
          <w:color w:val="000000" w:themeColor="text1"/>
        </w:rPr>
        <w:t>post-interaction</w:t>
      </w:r>
      <w:r w:rsidRPr="002A13E4">
        <w:rPr>
          <w:color w:val="000000" w:themeColor="text1"/>
        </w:rPr>
        <w:t xml:space="preserve"> trust were entered as dependent variables</w:t>
      </w:r>
      <w:r w:rsidR="00E41B5B" w:rsidRPr="002A13E4">
        <w:rPr>
          <w:color w:val="000000" w:themeColor="text1"/>
        </w:rPr>
        <w:t>. Box’s test of equality of covariance was insignificant at the .01 level, Box’s</w:t>
      </w:r>
      <w:r w:rsidR="00E41B5B" w:rsidRPr="002A13E4">
        <w:rPr>
          <w:i/>
          <w:iCs/>
          <w:color w:val="000000" w:themeColor="text1"/>
        </w:rPr>
        <w:t xml:space="preserve"> M</w:t>
      </w:r>
      <w:r w:rsidR="00E41B5B" w:rsidRPr="002A13E4">
        <w:rPr>
          <w:color w:val="000000" w:themeColor="text1"/>
        </w:rPr>
        <w:t xml:space="preserve"> = </w:t>
      </w:r>
      <w:r w:rsidR="00F1080A" w:rsidRPr="002A13E4">
        <w:rPr>
          <w:color w:val="000000" w:themeColor="text1"/>
        </w:rPr>
        <w:t>45.61</w:t>
      </w:r>
      <w:r w:rsidR="00E41B5B" w:rsidRPr="002A13E4">
        <w:rPr>
          <w:color w:val="000000" w:themeColor="text1"/>
        </w:rPr>
        <w:t xml:space="preserve">, </w:t>
      </w:r>
      <w:r w:rsidR="00E41B5B" w:rsidRPr="002A13E4">
        <w:rPr>
          <w:i/>
          <w:iCs/>
          <w:color w:val="000000" w:themeColor="text1"/>
        </w:rPr>
        <w:t>F</w:t>
      </w:r>
      <w:r w:rsidR="00E41B5B" w:rsidRPr="002A13E4">
        <w:rPr>
          <w:color w:val="000000" w:themeColor="text1"/>
        </w:rPr>
        <w:t>(33,</w:t>
      </w:r>
      <w:r w:rsidR="00F1080A" w:rsidRPr="002A13E4">
        <w:rPr>
          <w:color w:val="000000" w:themeColor="text1"/>
        </w:rPr>
        <w:t xml:space="preserve"> 938504</w:t>
      </w:r>
      <w:r w:rsidR="00E41B5B" w:rsidRPr="002A13E4">
        <w:rPr>
          <w:color w:val="000000" w:themeColor="text1"/>
        </w:rPr>
        <w:t>) = 1.</w:t>
      </w:r>
      <w:r w:rsidR="00F1080A" w:rsidRPr="002A13E4">
        <w:rPr>
          <w:color w:val="000000" w:themeColor="text1"/>
        </w:rPr>
        <w:t>36</w:t>
      </w:r>
      <w:r w:rsidR="00E41B5B" w:rsidRPr="002A13E4">
        <w:rPr>
          <w:color w:val="000000" w:themeColor="text1"/>
        </w:rPr>
        <w:t xml:space="preserve">, </w:t>
      </w:r>
      <w:r w:rsidR="00E41B5B" w:rsidRPr="002A13E4">
        <w:rPr>
          <w:i/>
          <w:iCs/>
          <w:color w:val="000000" w:themeColor="text1"/>
        </w:rPr>
        <w:t>p</w:t>
      </w:r>
      <w:r w:rsidR="00E41B5B" w:rsidRPr="002A13E4">
        <w:rPr>
          <w:color w:val="000000" w:themeColor="text1"/>
        </w:rPr>
        <w:t xml:space="preserve"> = .0</w:t>
      </w:r>
      <w:r w:rsidR="00F1080A" w:rsidRPr="002A13E4">
        <w:rPr>
          <w:color w:val="000000" w:themeColor="text1"/>
        </w:rPr>
        <w:t>8</w:t>
      </w:r>
      <w:r w:rsidR="00E41B5B" w:rsidRPr="002A13E4">
        <w:rPr>
          <w:color w:val="000000" w:themeColor="text1"/>
        </w:rPr>
        <w:t>, and both dependent variables met the assumption of homogeneity of variance</w:t>
      </w:r>
      <w:r w:rsidR="00F1080A" w:rsidRPr="002A13E4">
        <w:rPr>
          <w:color w:val="000000" w:themeColor="text1"/>
        </w:rPr>
        <w:t xml:space="preserve"> at the .01 level</w:t>
      </w:r>
      <w:r w:rsidR="00E41B5B" w:rsidRPr="002A13E4">
        <w:rPr>
          <w:color w:val="000000" w:themeColor="text1"/>
        </w:rPr>
        <w:t xml:space="preserve">: </w:t>
      </w:r>
      <w:proofErr w:type="spellStart"/>
      <w:r w:rsidR="00E41B5B" w:rsidRPr="002A13E4">
        <w:rPr>
          <w:i/>
          <w:iCs/>
          <w:color w:val="000000" w:themeColor="text1"/>
        </w:rPr>
        <w:t>F</w:t>
      </w:r>
      <w:r w:rsidR="00E41B5B" w:rsidRPr="002A13E4">
        <w:rPr>
          <w:color w:val="000000" w:themeColor="text1"/>
          <w:vertAlign w:val="subscript"/>
        </w:rPr>
        <w:t>competence</w:t>
      </w:r>
      <w:proofErr w:type="spellEnd"/>
      <w:r w:rsidR="00E41B5B" w:rsidRPr="002A13E4">
        <w:rPr>
          <w:color w:val="000000" w:themeColor="text1"/>
          <w:vertAlign w:val="subscript"/>
        </w:rPr>
        <w:t xml:space="preserve">-based trust </w:t>
      </w:r>
      <w:r w:rsidR="00E41B5B" w:rsidRPr="002A13E4">
        <w:rPr>
          <w:color w:val="000000" w:themeColor="text1"/>
        </w:rPr>
        <w:t xml:space="preserve">(11, </w:t>
      </w:r>
      <w:r w:rsidR="006870B6" w:rsidRPr="002A13E4">
        <w:rPr>
          <w:color w:val="000000" w:themeColor="text1"/>
        </w:rPr>
        <w:t>676</w:t>
      </w:r>
      <w:r w:rsidR="00E41B5B" w:rsidRPr="002A13E4">
        <w:rPr>
          <w:color w:val="000000" w:themeColor="text1"/>
        </w:rPr>
        <w:t xml:space="preserve">) = </w:t>
      </w:r>
      <w:r w:rsidR="006870B6" w:rsidRPr="002A13E4">
        <w:rPr>
          <w:color w:val="000000" w:themeColor="text1"/>
        </w:rPr>
        <w:t>1.95</w:t>
      </w:r>
      <w:r w:rsidR="00E41B5B" w:rsidRPr="002A13E4">
        <w:rPr>
          <w:color w:val="000000" w:themeColor="text1"/>
        </w:rPr>
        <w:t xml:space="preserve">, </w:t>
      </w:r>
      <w:r w:rsidR="00E41B5B" w:rsidRPr="002A13E4">
        <w:rPr>
          <w:i/>
          <w:iCs/>
          <w:color w:val="000000" w:themeColor="text1"/>
        </w:rPr>
        <w:t>p</w:t>
      </w:r>
      <w:r w:rsidR="00E41B5B" w:rsidRPr="002A13E4">
        <w:rPr>
          <w:color w:val="000000" w:themeColor="text1"/>
        </w:rPr>
        <w:t xml:space="preserve"> = .</w:t>
      </w:r>
      <w:r w:rsidR="006870B6" w:rsidRPr="002A13E4">
        <w:rPr>
          <w:color w:val="000000" w:themeColor="text1"/>
        </w:rPr>
        <w:t>03</w:t>
      </w:r>
      <w:r w:rsidR="00E41B5B" w:rsidRPr="002A13E4">
        <w:rPr>
          <w:color w:val="000000" w:themeColor="text1"/>
        </w:rPr>
        <w:t xml:space="preserve">; </w:t>
      </w:r>
      <w:proofErr w:type="spellStart"/>
      <w:r w:rsidR="00E41B5B" w:rsidRPr="002A13E4">
        <w:rPr>
          <w:i/>
          <w:iCs/>
          <w:color w:val="000000" w:themeColor="text1"/>
        </w:rPr>
        <w:t>F</w:t>
      </w:r>
      <w:r w:rsidR="00E41B5B" w:rsidRPr="002A13E4">
        <w:rPr>
          <w:color w:val="000000" w:themeColor="text1"/>
          <w:vertAlign w:val="subscript"/>
        </w:rPr>
        <w:t>integrity</w:t>
      </w:r>
      <w:proofErr w:type="spellEnd"/>
      <w:r w:rsidR="00E41B5B" w:rsidRPr="002A13E4">
        <w:rPr>
          <w:color w:val="000000" w:themeColor="text1"/>
          <w:vertAlign w:val="subscript"/>
        </w:rPr>
        <w:t xml:space="preserve">-based trust </w:t>
      </w:r>
      <w:r w:rsidR="00E41B5B" w:rsidRPr="002A13E4">
        <w:rPr>
          <w:color w:val="000000" w:themeColor="text1"/>
        </w:rPr>
        <w:t xml:space="preserve">(11, </w:t>
      </w:r>
      <w:r w:rsidR="006870B6" w:rsidRPr="002A13E4">
        <w:rPr>
          <w:color w:val="000000" w:themeColor="text1"/>
        </w:rPr>
        <w:t>676</w:t>
      </w:r>
      <w:r w:rsidR="00E41B5B" w:rsidRPr="002A13E4">
        <w:rPr>
          <w:color w:val="000000" w:themeColor="text1"/>
        </w:rPr>
        <w:t>) = 1.</w:t>
      </w:r>
      <w:r w:rsidR="006870B6" w:rsidRPr="002A13E4">
        <w:rPr>
          <w:color w:val="000000" w:themeColor="text1"/>
        </w:rPr>
        <w:t>42</w:t>
      </w:r>
      <w:r w:rsidR="00E41B5B" w:rsidRPr="002A13E4">
        <w:rPr>
          <w:color w:val="000000" w:themeColor="text1"/>
        </w:rPr>
        <w:t xml:space="preserve">, </w:t>
      </w:r>
      <w:r w:rsidR="00E41B5B" w:rsidRPr="002A13E4">
        <w:rPr>
          <w:i/>
          <w:iCs/>
          <w:color w:val="000000" w:themeColor="text1"/>
        </w:rPr>
        <w:t>p</w:t>
      </w:r>
      <w:r w:rsidR="00E41B5B" w:rsidRPr="002A13E4">
        <w:rPr>
          <w:color w:val="000000" w:themeColor="text1"/>
        </w:rPr>
        <w:t xml:space="preserve"> = .</w:t>
      </w:r>
      <w:r w:rsidR="006870B6" w:rsidRPr="002A13E4">
        <w:rPr>
          <w:color w:val="000000" w:themeColor="text1"/>
        </w:rPr>
        <w:t>16</w:t>
      </w:r>
      <w:r w:rsidR="00E41B5B" w:rsidRPr="002A13E4">
        <w:rPr>
          <w:color w:val="000000" w:themeColor="text1"/>
        </w:rPr>
        <w:t>.</w:t>
      </w:r>
      <w:r w:rsidRPr="002A13E4">
        <w:rPr>
          <w:color w:val="000000" w:themeColor="text1"/>
        </w:rPr>
        <w:t xml:space="preserve"> </w:t>
      </w:r>
      <w:r w:rsidR="006870B6" w:rsidRPr="002A13E4">
        <w:rPr>
          <w:color w:val="000000" w:themeColor="text1"/>
        </w:rPr>
        <w:tab/>
        <w:t xml:space="preserve">Propensity to trust (Wilks’ Lambda (λ) = .97, </w:t>
      </w:r>
      <w:r w:rsidR="006870B6" w:rsidRPr="002A13E4">
        <w:rPr>
          <w:i/>
          <w:color w:val="000000" w:themeColor="text1"/>
        </w:rPr>
        <w:t>F</w:t>
      </w:r>
      <w:r w:rsidR="006870B6" w:rsidRPr="002A13E4">
        <w:rPr>
          <w:color w:val="000000" w:themeColor="text1"/>
        </w:rPr>
        <w:t xml:space="preserve">(2, 673) = 10.67, </w:t>
      </w:r>
      <w:r w:rsidR="006870B6" w:rsidRPr="002A13E4">
        <w:rPr>
          <w:i/>
          <w:color w:val="000000" w:themeColor="text1"/>
        </w:rPr>
        <w:t>p</w:t>
      </w:r>
      <w:r w:rsidR="006870B6" w:rsidRPr="002A13E4">
        <w:rPr>
          <w:color w:val="000000" w:themeColor="text1"/>
        </w:rPr>
        <w:t xml:space="preserve"> &lt; .001, partial </w:t>
      </w:r>
      <w:r w:rsidR="006870B6" w:rsidRPr="002A13E4">
        <w:rPr>
          <w:i/>
          <w:color w:val="000000" w:themeColor="text1"/>
        </w:rPr>
        <w:t>η</w:t>
      </w:r>
      <w:r w:rsidR="006870B6" w:rsidRPr="002A13E4">
        <w:rPr>
          <w:i/>
          <w:color w:val="000000" w:themeColor="text1"/>
          <w:vertAlign w:val="superscript"/>
        </w:rPr>
        <w:t>2</w:t>
      </w:r>
      <w:r w:rsidR="006870B6" w:rsidRPr="002A13E4">
        <w:rPr>
          <w:color w:val="000000" w:themeColor="text1"/>
        </w:rPr>
        <w:t xml:space="preserve"> = .03) and entity beliefs (Wilks’ Lambda (λ) = .98, </w:t>
      </w:r>
      <w:r w:rsidR="006870B6" w:rsidRPr="002A13E4">
        <w:rPr>
          <w:i/>
          <w:color w:val="000000" w:themeColor="text1"/>
        </w:rPr>
        <w:t>F</w:t>
      </w:r>
      <w:r w:rsidR="006870B6" w:rsidRPr="002A13E4">
        <w:rPr>
          <w:color w:val="000000" w:themeColor="text1"/>
        </w:rPr>
        <w:t xml:space="preserve">(2, 673) = 5.38, </w:t>
      </w:r>
      <w:r w:rsidR="006870B6" w:rsidRPr="002A13E4">
        <w:rPr>
          <w:i/>
          <w:color w:val="000000" w:themeColor="text1"/>
        </w:rPr>
        <w:t>p</w:t>
      </w:r>
      <w:r w:rsidR="006870B6" w:rsidRPr="002A13E4">
        <w:rPr>
          <w:color w:val="000000" w:themeColor="text1"/>
        </w:rPr>
        <w:t xml:space="preserve"> &lt; .01, partial </w:t>
      </w:r>
      <w:r w:rsidR="006870B6" w:rsidRPr="002A13E4">
        <w:rPr>
          <w:i/>
          <w:color w:val="000000" w:themeColor="text1"/>
        </w:rPr>
        <w:t>η</w:t>
      </w:r>
      <w:r w:rsidR="006870B6" w:rsidRPr="002A13E4">
        <w:rPr>
          <w:i/>
          <w:color w:val="000000" w:themeColor="text1"/>
          <w:vertAlign w:val="superscript"/>
        </w:rPr>
        <w:t>2</w:t>
      </w:r>
      <w:r w:rsidR="006870B6" w:rsidRPr="002A13E4">
        <w:rPr>
          <w:color w:val="000000" w:themeColor="text1"/>
        </w:rPr>
        <w:t xml:space="preserve"> = .02) were significant covariates in the model; t</w:t>
      </w:r>
      <w:r w:rsidRPr="002A13E4">
        <w:rPr>
          <w:color w:val="000000" w:themeColor="text1"/>
        </w:rPr>
        <w:t>he interaction effects</w:t>
      </w:r>
      <w:r w:rsidR="006870B6" w:rsidRPr="002A13E4">
        <w:rPr>
          <w:color w:val="000000" w:themeColor="text1"/>
        </w:rPr>
        <w:t>, however,</w:t>
      </w:r>
      <w:r w:rsidRPr="002A13E4">
        <w:rPr>
          <w:color w:val="000000" w:themeColor="text1"/>
        </w:rPr>
        <w:t xml:space="preserve"> were </w:t>
      </w:r>
      <w:r w:rsidR="006870B6" w:rsidRPr="002A13E4">
        <w:rPr>
          <w:color w:val="000000" w:themeColor="text1"/>
        </w:rPr>
        <w:t>in</w:t>
      </w:r>
      <w:r w:rsidRPr="002A13E4">
        <w:rPr>
          <w:color w:val="000000" w:themeColor="text1"/>
        </w:rPr>
        <w:t>significant in the multivariate model, Wilks’ Lambda (λ) = .</w:t>
      </w:r>
      <w:r w:rsidR="006870B6" w:rsidRPr="002A13E4">
        <w:rPr>
          <w:color w:val="000000" w:themeColor="text1"/>
        </w:rPr>
        <w:t>98</w:t>
      </w:r>
      <w:r w:rsidRPr="002A13E4">
        <w:rPr>
          <w:color w:val="000000" w:themeColor="text1"/>
        </w:rPr>
        <w:t xml:space="preserve">, </w:t>
      </w:r>
      <w:r w:rsidRPr="002A13E4">
        <w:rPr>
          <w:i/>
          <w:color w:val="000000" w:themeColor="text1"/>
        </w:rPr>
        <w:t>F</w:t>
      </w:r>
      <w:r w:rsidRPr="002A13E4">
        <w:rPr>
          <w:color w:val="000000" w:themeColor="text1"/>
        </w:rPr>
        <w:t xml:space="preserve">(12, </w:t>
      </w:r>
      <w:r w:rsidR="006870B6" w:rsidRPr="002A13E4">
        <w:rPr>
          <w:color w:val="000000" w:themeColor="text1"/>
        </w:rPr>
        <w:t>1346</w:t>
      </w:r>
      <w:r w:rsidRPr="002A13E4">
        <w:rPr>
          <w:color w:val="000000" w:themeColor="text1"/>
        </w:rPr>
        <w:t xml:space="preserve">) = </w:t>
      </w:r>
      <w:r w:rsidR="006870B6" w:rsidRPr="002A13E4">
        <w:rPr>
          <w:color w:val="000000" w:themeColor="text1"/>
        </w:rPr>
        <w:t>1.34</w:t>
      </w:r>
      <w:r w:rsidRPr="002A13E4">
        <w:rPr>
          <w:color w:val="000000" w:themeColor="text1"/>
        </w:rPr>
        <w:t xml:space="preserve">, </w:t>
      </w:r>
      <w:r w:rsidRPr="002A13E4">
        <w:rPr>
          <w:i/>
          <w:color w:val="000000" w:themeColor="text1"/>
        </w:rPr>
        <w:t>p</w:t>
      </w:r>
      <w:r w:rsidRPr="002A13E4">
        <w:rPr>
          <w:color w:val="000000" w:themeColor="text1"/>
        </w:rPr>
        <w:t xml:space="preserve"> </w:t>
      </w:r>
      <w:r w:rsidR="006870B6" w:rsidRPr="002A13E4">
        <w:rPr>
          <w:color w:val="000000" w:themeColor="text1"/>
        </w:rPr>
        <w:t>=</w:t>
      </w:r>
      <w:r w:rsidRPr="002A13E4">
        <w:rPr>
          <w:color w:val="000000" w:themeColor="text1"/>
        </w:rPr>
        <w:t xml:space="preserve"> .1</w:t>
      </w:r>
      <w:r w:rsidR="006870B6" w:rsidRPr="002A13E4">
        <w:rPr>
          <w:color w:val="000000" w:themeColor="text1"/>
        </w:rPr>
        <w:t>9</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color w:val="000000" w:themeColor="text1"/>
        </w:rPr>
        <w:t xml:space="preserve"> = .</w:t>
      </w:r>
      <w:r w:rsidR="006870B6" w:rsidRPr="002A13E4">
        <w:rPr>
          <w:color w:val="000000" w:themeColor="text1"/>
        </w:rPr>
        <w:t>01</w:t>
      </w:r>
      <w:r w:rsidRPr="002A13E4">
        <w:rPr>
          <w:color w:val="000000" w:themeColor="text1"/>
        </w:rPr>
        <w:t xml:space="preserve">. According to tests of between-subject effects, this interaction was </w:t>
      </w:r>
      <w:r w:rsidR="006870B6" w:rsidRPr="002A13E4">
        <w:rPr>
          <w:color w:val="000000" w:themeColor="text1"/>
        </w:rPr>
        <w:t>in</w:t>
      </w:r>
      <w:r w:rsidRPr="002A13E4">
        <w:rPr>
          <w:color w:val="000000" w:themeColor="text1"/>
        </w:rPr>
        <w:t>significant for both competence-based trust</w:t>
      </w:r>
      <w:r w:rsidR="00D64763" w:rsidRPr="002A13E4">
        <w:rPr>
          <w:color w:val="000000" w:themeColor="text1"/>
        </w:rPr>
        <w:t>,</w:t>
      </w:r>
      <w:r w:rsidRPr="002A13E4">
        <w:rPr>
          <w:color w:val="000000" w:themeColor="text1"/>
        </w:rPr>
        <w:t xml:space="preserve"> </w:t>
      </w:r>
      <w:r w:rsidRPr="002A13E4">
        <w:rPr>
          <w:i/>
          <w:color w:val="000000" w:themeColor="text1"/>
        </w:rPr>
        <w:t>F</w:t>
      </w:r>
      <w:r w:rsidRPr="002A13E4">
        <w:rPr>
          <w:color w:val="000000" w:themeColor="text1"/>
        </w:rPr>
        <w:t>(</w:t>
      </w:r>
      <w:r w:rsidR="00D64763" w:rsidRPr="002A13E4">
        <w:rPr>
          <w:color w:val="000000" w:themeColor="text1"/>
        </w:rPr>
        <w:t>6, 674</w:t>
      </w:r>
      <w:r w:rsidRPr="002A13E4">
        <w:rPr>
          <w:color w:val="000000" w:themeColor="text1"/>
        </w:rPr>
        <w:t xml:space="preserve">) = </w:t>
      </w:r>
      <w:r w:rsidR="00D64763" w:rsidRPr="002A13E4">
        <w:rPr>
          <w:color w:val="000000" w:themeColor="text1"/>
        </w:rPr>
        <w:t>1.20</w:t>
      </w:r>
      <w:r w:rsidRPr="002A13E4">
        <w:rPr>
          <w:color w:val="000000" w:themeColor="text1"/>
        </w:rPr>
        <w:t xml:space="preserve"> , </w:t>
      </w:r>
      <w:r w:rsidRPr="002A13E4">
        <w:rPr>
          <w:i/>
          <w:color w:val="000000" w:themeColor="text1"/>
        </w:rPr>
        <w:t>p</w:t>
      </w:r>
      <w:r w:rsidRPr="002A13E4">
        <w:rPr>
          <w:color w:val="000000" w:themeColor="text1"/>
        </w:rPr>
        <w:t xml:space="preserve"> </w:t>
      </w:r>
      <w:r w:rsidR="00D64763" w:rsidRPr="002A13E4">
        <w:rPr>
          <w:color w:val="000000" w:themeColor="text1"/>
        </w:rPr>
        <w:t>=</w:t>
      </w:r>
      <w:r w:rsidRPr="002A13E4">
        <w:rPr>
          <w:color w:val="000000" w:themeColor="text1"/>
        </w:rPr>
        <w:t xml:space="preserve"> .</w:t>
      </w:r>
      <w:r w:rsidR="00D64763" w:rsidRPr="002A13E4">
        <w:rPr>
          <w:color w:val="000000" w:themeColor="text1"/>
        </w:rPr>
        <w:t>31</w:t>
      </w:r>
      <w:r w:rsidRPr="002A13E4">
        <w:rPr>
          <w:color w:val="000000" w:themeColor="text1"/>
        </w:rPr>
        <w:t xml:space="preserve">, </w:t>
      </w:r>
      <w:bookmarkStart w:id="42" w:name="bookmark=id.2jxsxqh" w:colFirst="0" w:colLast="0"/>
      <w:bookmarkStart w:id="43" w:name="bookmark=id.z337ya" w:colFirst="0" w:colLast="0"/>
      <w:bookmarkEnd w:id="42"/>
      <w:bookmarkEnd w:id="43"/>
      <w:r w:rsidRPr="002A13E4">
        <w:rPr>
          <w:color w:val="000000" w:themeColor="text1"/>
        </w:rPr>
        <w:t xml:space="preserve">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D64763" w:rsidRPr="002A13E4">
        <w:rPr>
          <w:color w:val="000000" w:themeColor="text1"/>
        </w:rPr>
        <w:t>1</w:t>
      </w:r>
      <w:r w:rsidRPr="002A13E4">
        <w:rPr>
          <w:color w:val="000000" w:themeColor="text1"/>
        </w:rPr>
        <w:t xml:space="preserve">, and integrity-based trust, </w:t>
      </w:r>
      <w:r w:rsidRPr="002A13E4">
        <w:rPr>
          <w:i/>
          <w:color w:val="000000" w:themeColor="text1"/>
        </w:rPr>
        <w:t>F</w:t>
      </w:r>
      <w:r w:rsidRPr="002A13E4">
        <w:rPr>
          <w:color w:val="000000" w:themeColor="text1"/>
        </w:rPr>
        <w:t>(</w:t>
      </w:r>
      <w:r w:rsidR="00D64763" w:rsidRPr="002A13E4">
        <w:rPr>
          <w:color w:val="000000" w:themeColor="text1"/>
        </w:rPr>
        <w:t>6, 674</w:t>
      </w:r>
      <w:r w:rsidRPr="002A13E4">
        <w:rPr>
          <w:color w:val="000000" w:themeColor="text1"/>
        </w:rPr>
        <w:t xml:space="preserve">) = </w:t>
      </w:r>
      <w:r w:rsidR="00D64763" w:rsidRPr="002A13E4">
        <w:rPr>
          <w:color w:val="000000" w:themeColor="text1"/>
        </w:rPr>
        <w:t>1.07</w:t>
      </w:r>
      <w:r w:rsidRPr="002A13E4">
        <w:rPr>
          <w:color w:val="000000" w:themeColor="text1"/>
        </w:rPr>
        <w:t xml:space="preserve">, </w:t>
      </w:r>
      <w:r w:rsidRPr="002A13E4">
        <w:rPr>
          <w:i/>
          <w:color w:val="000000" w:themeColor="text1"/>
        </w:rPr>
        <w:t>p</w:t>
      </w:r>
      <w:r w:rsidRPr="002A13E4">
        <w:rPr>
          <w:color w:val="000000" w:themeColor="text1"/>
        </w:rPr>
        <w:t xml:space="preserve"> </w:t>
      </w:r>
      <w:r w:rsidR="00D64763" w:rsidRPr="002A13E4">
        <w:rPr>
          <w:color w:val="000000" w:themeColor="text1"/>
        </w:rPr>
        <w:t xml:space="preserve">= </w:t>
      </w:r>
      <w:r w:rsidRPr="002A13E4">
        <w:rPr>
          <w:color w:val="000000" w:themeColor="text1"/>
        </w:rPr>
        <w:t>.</w:t>
      </w:r>
      <w:r w:rsidR="00D64763" w:rsidRPr="002A13E4">
        <w:rPr>
          <w:color w:val="000000" w:themeColor="text1"/>
        </w:rPr>
        <w:t>38</w:t>
      </w:r>
      <w:r w:rsidRPr="002A13E4">
        <w:rPr>
          <w:color w:val="000000" w:themeColor="text1"/>
        </w:rPr>
        <w:t xml:space="preserve">, partial </w:t>
      </w:r>
      <w:r w:rsidRPr="002A13E4">
        <w:rPr>
          <w:i/>
          <w:color w:val="000000" w:themeColor="text1"/>
        </w:rPr>
        <w:t>η</w:t>
      </w:r>
      <w:r w:rsidRPr="002A13E4">
        <w:rPr>
          <w:i/>
          <w:color w:val="000000" w:themeColor="text1"/>
          <w:vertAlign w:val="superscript"/>
        </w:rPr>
        <w:t>2</w:t>
      </w:r>
      <w:r w:rsidRPr="002A13E4">
        <w:rPr>
          <w:i/>
          <w:color w:val="000000" w:themeColor="text1"/>
        </w:rPr>
        <w:t xml:space="preserve"> </w:t>
      </w:r>
      <w:r w:rsidRPr="002A13E4">
        <w:rPr>
          <w:color w:val="000000" w:themeColor="text1"/>
        </w:rPr>
        <w:t>= .0</w:t>
      </w:r>
      <w:r w:rsidR="00D64763" w:rsidRPr="002A13E4">
        <w:rPr>
          <w:color w:val="000000" w:themeColor="text1"/>
        </w:rPr>
        <w:t>1</w:t>
      </w:r>
      <w:r w:rsidRPr="002A13E4">
        <w:rPr>
          <w:color w:val="000000" w:themeColor="text1"/>
        </w:rPr>
        <w:t xml:space="preserve">. </w:t>
      </w:r>
      <w:r w:rsidR="00EE3426" w:rsidRPr="002A13E4">
        <w:rPr>
          <w:color w:val="000000" w:themeColor="text1"/>
        </w:rPr>
        <w:t>Therefore, there was no significant interaction between types and repair methods.</w:t>
      </w:r>
    </w:p>
    <w:p w14:paraId="3BDD516F" w14:textId="4206EE40" w:rsidR="00DB7FAE" w:rsidRPr="00D64CA4" w:rsidRDefault="00F147F7" w:rsidP="00D64CA4">
      <w:pPr>
        <w:pStyle w:val="Heading1"/>
        <w:spacing w:before="0" w:line="480" w:lineRule="auto"/>
        <w:rPr>
          <w:color w:val="000000" w:themeColor="text1"/>
        </w:rPr>
      </w:pPr>
      <w:bookmarkStart w:id="44" w:name="_Toc73716039"/>
      <w:r w:rsidRPr="00D64CA4">
        <w:rPr>
          <w:color w:val="000000" w:themeColor="text1"/>
        </w:rPr>
        <w:t>Discussion</w:t>
      </w:r>
      <w:bookmarkEnd w:id="44"/>
    </w:p>
    <w:p w14:paraId="401E2B69" w14:textId="77777777" w:rsidR="00E43A90" w:rsidRPr="002A13E4" w:rsidRDefault="00F147F7">
      <w:pPr>
        <w:spacing w:line="480" w:lineRule="auto"/>
        <w:rPr>
          <w:color w:val="000000" w:themeColor="text1"/>
        </w:rPr>
      </w:pPr>
      <w:r w:rsidRPr="002A13E4">
        <w:rPr>
          <w:color w:val="000000" w:themeColor="text1"/>
        </w:rPr>
        <w:tab/>
        <w:t xml:space="preserve">The current study examined the effects of different types of technical failures </w:t>
      </w:r>
      <w:r w:rsidR="0032514F" w:rsidRPr="002A13E4">
        <w:rPr>
          <w:color w:val="000000" w:themeColor="text1"/>
        </w:rPr>
        <w:t xml:space="preserve">made by a robot in human-robot interactions (HRI) </w:t>
      </w:r>
      <w:r w:rsidRPr="002A13E4">
        <w:rPr>
          <w:color w:val="000000" w:themeColor="text1"/>
        </w:rPr>
        <w:t xml:space="preserve">and trust repair strategies on human-to-robot trust. Robots have been playing an increasingly critical role in various aspects of human life, and HRI-based trust actively shapes individuals’ relationships with these machines. </w:t>
      </w:r>
      <w:r w:rsidR="00E43A90" w:rsidRPr="002A13E4">
        <w:rPr>
          <w:color w:val="000000" w:themeColor="text1"/>
        </w:rPr>
        <w:t>D</w:t>
      </w:r>
      <w:r w:rsidR="0032514F" w:rsidRPr="002A13E4">
        <w:rPr>
          <w:color w:val="000000" w:themeColor="text1"/>
        </w:rPr>
        <w:t>rawing on the</w:t>
      </w:r>
      <w:r w:rsidRPr="002A13E4">
        <w:rPr>
          <w:color w:val="000000" w:themeColor="text1"/>
        </w:rPr>
        <w:t xml:space="preserve"> three types of basic technical errors</w:t>
      </w:r>
      <w:r w:rsidR="0032514F" w:rsidRPr="002A13E4">
        <w:rPr>
          <w:color w:val="000000" w:themeColor="text1"/>
        </w:rPr>
        <w:t xml:space="preserve"> in computer science</w:t>
      </w:r>
      <w:r w:rsidR="00E43A90" w:rsidRPr="002A13E4">
        <w:rPr>
          <w:color w:val="000000" w:themeColor="text1"/>
        </w:rPr>
        <w:t xml:space="preserve">, the present study developed a three-fold </w:t>
      </w:r>
      <w:r w:rsidR="00E43A90" w:rsidRPr="002A13E4">
        <w:rPr>
          <w:color w:val="000000" w:themeColor="text1"/>
        </w:rPr>
        <w:lastRenderedPageBreak/>
        <w:t>failure taxonomy (i.e., logic, semantic, and syntax failures)</w:t>
      </w:r>
      <w:r w:rsidRPr="002A13E4">
        <w:rPr>
          <w:color w:val="000000" w:themeColor="text1"/>
        </w:rPr>
        <w:t xml:space="preserve">; based on previous organizational, interpersonal, and </w:t>
      </w:r>
      <w:r w:rsidR="0032514F" w:rsidRPr="002A13E4">
        <w:rPr>
          <w:color w:val="000000" w:themeColor="text1"/>
        </w:rPr>
        <w:t>human-machine communication (</w:t>
      </w:r>
      <w:r w:rsidRPr="002A13E4">
        <w:rPr>
          <w:color w:val="000000" w:themeColor="text1"/>
        </w:rPr>
        <w:t>HMC</w:t>
      </w:r>
      <w:r w:rsidR="0032514F" w:rsidRPr="002A13E4">
        <w:rPr>
          <w:color w:val="000000" w:themeColor="text1"/>
        </w:rPr>
        <w:t>)</w:t>
      </w:r>
      <w:r w:rsidRPr="002A13E4">
        <w:rPr>
          <w:color w:val="000000" w:themeColor="text1"/>
        </w:rPr>
        <w:t xml:space="preserve"> literature, th</w:t>
      </w:r>
      <w:r w:rsidR="0032514F" w:rsidRPr="002A13E4">
        <w:rPr>
          <w:color w:val="000000" w:themeColor="text1"/>
        </w:rPr>
        <w:t>is</w:t>
      </w:r>
      <w:r w:rsidRPr="002A13E4">
        <w:rPr>
          <w:color w:val="000000" w:themeColor="text1"/>
        </w:rPr>
        <w:t xml:space="preserve"> study further explored </w:t>
      </w:r>
      <w:r w:rsidR="0032514F" w:rsidRPr="002A13E4">
        <w:rPr>
          <w:color w:val="000000" w:themeColor="text1"/>
        </w:rPr>
        <w:t>the failure types’</w:t>
      </w:r>
      <w:r w:rsidRPr="002A13E4">
        <w:rPr>
          <w:color w:val="000000" w:themeColor="text1"/>
        </w:rPr>
        <w:t xml:space="preserve"> interactions with four trust repair methods (i.e., internal-attribution apology, external-attribution apology, denial, and no repair). </w:t>
      </w:r>
    </w:p>
    <w:p w14:paraId="3489E86A" w14:textId="1DF388B2" w:rsidR="00DB7FAE" w:rsidRPr="002A13E4" w:rsidRDefault="00F147F7" w:rsidP="00E43A90">
      <w:pPr>
        <w:spacing w:line="480" w:lineRule="auto"/>
        <w:ind w:firstLine="720"/>
        <w:rPr>
          <w:color w:val="000000" w:themeColor="text1"/>
        </w:rPr>
      </w:pPr>
      <w:r w:rsidRPr="002A13E4">
        <w:rPr>
          <w:color w:val="000000" w:themeColor="text1"/>
        </w:rPr>
        <w:t>The analysis of covariates first indicated propensity to trust</w:t>
      </w:r>
      <w:r w:rsidR="00E43A90" w:rsidRPr="002A13E4">
        <w:rPr>
          <w:color w:val="000000" w:themeColor="text1"/>
        </w:rPr>
        <w:t xml:space="preserve"> (i.e., general trust in robots)</w:t>
      </w:r>
      <w:r w:rsidRPr="002A13E4">
        <w:rPr>
          <w:color w:val="000000" w:themeColor="text1"/>
        </w:rPr>
        <w:t xml:space="preserve"> was much more closely connected to trust repair than </w:t>
      </w:r>
      <w:r w:rsidR="001C19EF" w:rsidRPr="002A13E4">
        <w:rPr>
          <w:color w:val="000000" w:themeColor="text1"/>
        </w:rPr>
        <w:t>entity beliefs</w:t>
      </w:r>
      <w:r w:rsidR="00E43A90" w:rsidRPr="002A13E4">
        <w:rPr>
          <w:color w:val="000000" w:themeColor="text1"/>
        </w:rPr>
        <w:t xml:space="preserve"> (i.e., to which extent individuals believe personal traits are fixed)</w:t>
      </w:r>
      <w:r w:rsidRPr="002A13E4">
        <w:rPr>
          <w:color w:val="000000" w:themeColor="text1"/>
        </w:rPr>
        <w:t xml:space="preserve">—while the former was found significant in most of the aforementioned tests, the latter was only significant concerning integrity-based trust in the ANCOVA model testing the effects of repair types. The </w:t>
      </w:r>
      <w:r w:rsidR="0032514F" w:rsidRPr="002A13E4">
        <w:rPr>
          <w:color w:val="000000" w:themeColor="text1"/>
        </w:rPr>
        <w:t xml:space="preserve">analyses of </w:t>
      </w:r>
      <w:r w:rsidRPr="002A13E4">
        <w:rPr>
          <w:color w:val="000000" w:themeColor="text1"/>
        </w:rPr>
        <w:t xml:space="preserve">data </w:t>
      </w:r>
      <w:r w:rsidR="004F1681" w:rsidRPr="002A13E4">
        <w:rPr>
          <w:color w:val="000000" w:themeColor="text1"/>
        </w:rPr>
        <w:t>partially</w:t>
      </w:r>
      <w:r w:rsidRPr="002A13E4">
        <w:rPr>
          <w:color w:val="000000" w:themeColor="text1"/>
        </w:rPr>
        <w:t xml:space="preserve"> contradicted Kam’s (2009) assertion that </w:t>
      </w:r>
      <w:r w:rsidR="001C19EF" w:rsidRPr="002A13E4">
        <w:rPr>
          <w:color w:val="000000" w:themeColor="text1"/>
        </w:rPr>
        <w:t>entity beliefs</w:t>
      </w:r>
      <w:r w:rsidRPr="002A13E4">
        <w:rPr>
          <w:color w:val="000000" w:themeColor="text1"/>
        </w:rPr>
        <w:t xml:space="preserve"> should be negatively related to trust repair outcomes, and one possible reason is that people conceptualize robotic entities quite differently from how they </w:t>
      </w:r>
      <w:r w:rsidR="0032514F" w:rsidRPr="002A13E4">
        <w:rPr>
          <w:color w:val="000000" w:themeColor="text1"/>
        </w:rPr>
        <w:t>conceptualize</w:t>
      </w:r>
      <w:r w:rsidRPr="002A13E4">
        <w:rPr>
          <w:color w:val="000000" w:themeColor="text1"/>
        </w:rPr>
        <w:t xml:space="preserve"> humans, so the scale measuring implicit beliefs in human-human interactions </w:t>
      </w:r>
      <w:r w:rsidR="0032514F" w:rsidRPr="002A13E4">
        <w:rPr>
          <w:color w:val="000000" w:themeColor="text1"/>
        </w:rPr>
        <w:t xml:space="preserve">may not </w:t>
      </w:r>
      <w:r w:rsidRPr="002A13E4">
        <w:rPr>
          <w:color w:val="000000" w:themeColor="text1"/>
        </w:rPr>
        <w:t>be directly translated to the human-machine relationships, which highlights the necessity of developing a scale specifically dedicated to HMC.</w:t>
      </w:r>
    </w:p>
    <w:p w14:paraId="623F69CA" w14:textId="411A6366" w:rsidR="00B172F7" w:rsidRPr="002A13E4" w:rsidRDefault="00F147F7" w:rsidP="00B172F7">
      <w:pPr>
        <w:spacing w:line="480" w:lineRule="auto"/>
        <w:ind w:firstLine="720"/>
        <w:rPr>
          <w:color w:val="000000" w:themeColor="text1"/>
        </w:rPr>
      </w:pPr>
      <w:r w:rsidRPr="002A13E4">
        <w:rPr>
          <w:color w:val="000000" w:themeColor="text1"/>
        </w:rPr>
        <w:t xml:space="preserve">In contrast to </w:t>
      </w:r>
      <w:proofErr w:type="spellStart"/>
      <w:r w:rsidRPr="002A13E4">
        <w:rPr>
          <w:color w:val="000000" w:themeColor="text1"/>
        </w:rPr>
        <w:t>Marinaccio</w:t>
      </w:r>
      <w:proofErr w:type="spellEnd"/>
      <w:r w:rsidRPr="002A13E4">
        <w:rPr>
          <w:color w:val="000000" w:themeColor="text1"/>
        </w:rPr>
        <w:t xml:space="preserve"> et al.’s (2015) propositions that slips in HMC should also be integrity-based violations as they do in human-to-human interactions, the </w:t>
      </w:r>
      <w:r w:rsidR="0032514F" w:rsidRPr="002A13E4">
        <w:rPr>
          <w:color w:val="000000" w:themeColor="text1"/>
        </w:rPr>
        <w:t xml:space="preserve">current </w:t>
      </w:r>
      <w:r w:rsidRPr="002A13E4">
        <w:rPr>
          <w:color w:val="000000" w:themeColor="text1"/>
        </w:rPr>
        <w:t xml:space="preserve">study first postulated that participants would perceive slips, including both logic and semantic failures, to be competence-based violations in HRI because people conceptualize robots to be of </w:t>
      </w:r>
      <w:r w:rsidR="0032514F" w:rsidRPr="002A13E4">
        <w:rPr>
          <w:color w:val="000000" w:themeColor="text1"/>
        </w:rPr>
        <w:t xml:space="preserve">agency with </w:t>
      </w:r>
      <w:r w:rsidRPr="002A13E4">
        <w:rPr>
          <w:color w:val="000000" w:themeColor="text1"/>
        </w:rPr>
        <w:t xml:space="preserve">less moral and </w:t>
      </w:r>
      <w:r w:rsidR="0032514F" w:rsidRPr="002A13E4">
        <w:rPr>
          <w:color w:val="000000" w:themeColor="text1"/>
        </w:rPr>
        <w:t xml:space="preserve">voluntary </w:t>
      </w:r>
      <w:r w:rsidRPr="002A13E4">
        <w:rPr>
          <w:color w:val="000000" w:themeColor="text1"/>
        </w:rPr>
        <w:t>action</w:t>
      </w:r>
      <w:r w:rsidR="0032514F" w:rsidRPr="002A13E4">
        <w:rPr>
          <w:color w:val="000000" w:themeColor="text1"/>
        </w:rPr>
        <w:t>s,</w:t>
      </w:r>
      <w:r w:rsidRPr="002A13E4">
        <w:rPr>
          <w:color w:val="000000" w:themeColor="text1"/>
        </w:rPr>
        <w:t xml:space="preserve"> compared with human beings. This viewpoint was </w:t>
      </w:r>
      <w:r w:rsidR="00EE3426" w:rsidRPr="002A13E4">
        <w:rPr>
          <w:color w:val="000000" w:themeColor="text1"/>
        </w:rPr>
        <w:t>bolstered</w:t>
      </w:r>
      <w:r w:rsidR="0032514F" w:rsidRPr="002A13E4">
        <w:rPr>
          <w:color w:val="000000" w:themeColor="text1"/>
        </w:rPr>
        <w:t xml:space="preserve"> </w:t>
      </w:r>
      <w:r w:rsidRPr="002A13E4">
        <w:rPr>
          <w:color w:val="000000" w:themeColor="text1"/>
        </w:rPr>
        <w:t>by the significant results of H1a and</w:t>
      </w:r>
      <w:r w:rsidR="00B172F7" w:rsidRPr="002A13E4">
        <w:rPr>
          <w:color w:val="000000" w:themeColor="text1"/>
        </w:rPr>
        <w:t xml:space="preserve"> partial support for</w:t>
      </w:r>
      <w:r w:rsidRPr="002A13E4">
        <w:rPr>
          <w:color w:val="000000" w:themeColor="text1"/>
        </w:rPr>
        <w:t xml:space="preserve"> H1b, which indicated apology with internal attributions outperformed denial under both logic and semantic failures.</w:t>
      </w:r>
      <w:r w:rsidR="00B172F7" w:rsidRPr="002A13E4">
        <w:rPr>
          <w:color w:val="000000" w:themeColor="text1"/>
        </w:rPr>
        <w:t xml:space="preserve"> One possibility </w:t>
      </w:r>
      <w:r w:rsidR="002A13E4" w:rsidRPr="002A13E4">
        <w:rPr>
          <w:color w:val="000000" w:themeColor="text1"/>
        </w:rPr>
        <w:t xml:space="preserve">as to </w:t>
      </w:r>
      <w:r w:rsidR="00B172F7" w:rsidRPr="002A13E4">
        <w:rPr>
          <w:color w:val="000000" w:themeColor="text1"/>
        </w:rPr>
        <w:t xml:space="preserve">why internal-attribution apology promoted </w:t>
      </w:r>
      <w:r w:rsidR="00D53BDA">
        <w:rPr>
          <w:color w:val="000000" w:themeColor="text1"/>
        </w:rPr>
        <w:t>both trust types</w:t>
      </w:r>
      <w:r w:rsidR="00B172F7" w:rsidRPr="002A13E4">
        <w:rPr>
          <w:color w:val="000000" w:themeColor="text1"/>
        </w:rPr>
        <w:t xml:space="preserve"> under logic failures but was only significantly more effective when repairing integrity-based trust under semantic </w:t>
      </w:r>
      <w:r w:rsidR="00B172F7" w:rsidRPr="002A13E4">
        <w:rPr>
          <w:color w:val="000000" w:themeColor="text1"/>
        </w:rPr>
        <w:lastRenderedPageBreak/>
        <w:t xml:space="preserve">failures could be that the participants considered detecting partially incorrect responses and identifying internal causes to be more intellectually challenging for the robot, while this was less of the case for completely irrelevant output. Nevertheless, taking the responsibilities </w:t>
      </w:r>
      <w:r w:rsidR="00EE3426" w:rsidRPr="002A13E4">
        <w:rPr>
          <w:color w:val="000000" w:themeColor="text1"/>
        </w:rPr>
        <w:t>for technical</w:t>
      </w:r>
      <w:r w:rsidR="00B172F7" w:rsidRPr="002A13E4">
        <w:rPr>
          <w:color w:val="000000" w:themeColor="text1"/>
        </w:rPr>
        <w:t xml:space="preserve"> failures was assessed </w:t>
      </w:r>
      <w:r w:rsidR="00EE3426" w:rsidRPr="002A13E4">
        <w:rPr>
          <w:color w:val="000000" w:themeColor="text1"/>
        </w:rPr>
        <w:t>more positively</w:t>
      </w:r>
      <w:r w:rsidR="00B172F7" w:rsidRPr="002A13E4">
        <w:rPr>
          <w:color w:val="000000" w:themeColor="text1"/>
        </w:rPr>
        <w:t xml:space="preserve"> under </w:t>
      </w:r>
      <w:r w:rsidR="002A13E4" w:rsidRPr="002A13E4">
        <w:rPr>
          <w:color w:val="000000" w:themeColor="text1"/>
        </w:rPr>
        <w:t>each</w:t>
      </w:r>
      <w:r w:rsidR="00B172F7" w:rsidRPr="002A13E4">
        <w:rPr>
          <w:color w:val="000000" w:themeColor="text1"/>
        </w:rPr>
        <w:t xml:space="preserve"> failure category. Given that internal-attribution apology also repairs trust more effectively than denial for competence-based violations and that denial outperforms internal-attribution apology for integrity-based violations in HMC (Quinn, 2018; </w:t>
      </w:r>
      <w:proofErr w:type="spellStart"/>
      <w:r w:rsidR="00B172F7" w:rsidRPr="002A13E4">
        <w:rPr>
          <w:color w:val="000000" w:themeColor="text1"/>
        </w:rPr>
        <w:t>Sebo</w:t>
      </w:r>
      <w:proofErr w:type="spellEnd"/>
      <w:r w:rsidR="00B172F7" w:rsidRPr="002A13E4">
        <w:rPr>
          <w:color w:val="000000" w:themeColor="text1"/>
        </w:rPr>
        <w:t xml:space="preserve"> et al., 2019), it could be deducted that logic and semantic failures were both competence-based violations rather than integrity-based violations.</w:t>
      </w:r>
    </w:p>
    <w:p w14:paraId="29A60339" w14:textId="67C6CB39" w:rsidR="00DB7FAE" w:rsidRPr="002A13E4" w:rsidRDefault="00F147F7" w:rsidP="00B172F7">
      <w:pPr>
        <w:spacing w:line="480" w:lineRule="auto"/>
        <w:ind w:firstLine="720"/>
        <w:rPr>
          <w:color w:val="000000" w:themeColor="text1"/>
        </w:rPr>
      </w:pPr>
      <w:r w:rsidRPr="002A13E4">
        <w:rPr>
          <w:color w:val="000000" w:themeColor="text1"/>
        </w:rPr>
        <w:t>If the insignificant results of H1c were not caused by chance occurrences</w:t>
      </w:r>
      <w:r w:rsidR="00B172F7" w:rsidRPr="002A13E4">
        <w:rPr>
          <w:color w:val="000000" w:themeColor="text1"/>
        </w:rPr>
        <w:t xml:space="preserve"> or lack of statistical power</w:t>
      </w:r>
      <w:r w:rsidRPr="002A13E4">
        <w:rPr>
          <w:color w:val="000000" w:themeColor="text1"/>
        </w:rPr>
        <w:t xml:space="preserve">, they do </w:t>
      </w:r>
      <w:r w:rsidR="0032514F" w:rsidRPr="002A13E4">
        <w:rPr>
          <w:color w:val="000000" w:themeColor="text1"/>
        </w:rPr>
        <w:t xml:space="preserve">however </w:t>
      </w:r>
      <w:r w:rsidRPr="002A13E4">
        <w:rPr>
          <w:color w:val="000000" w:themeColor="text1"/>
        </w:rPr>
        <w:t xml:space="preserve">entail some additional questions concerning syntax failures (i.e., lapses). There existed </w:t>
      </w:r>
      <w:r w:rsidR="0032514F" w:rsidRPr="002A13E4">
        <w:rPr>
          <w:color w:val="000000" w:themeColor="text1"/>
        </w:rPr>
        <w:t xml:space="preserve">a </w:t>
      </w:r>
      <w:r w:rsidRPr="002A13E4">
        <w:rPr>
          <w:color w:val="000000" w:themeColor="text1"/>
        </w:rPr>
        <w:t>possibility that different individuals perceived such failures differently when it came to the relationship between competence and integrity, which canceled out the differences in repair effects, or participants simply reacted to two repair strategies in similar manners under this failure condition</w:t>
      </w:r>
      <w:r w:rsidR="00EE3426" w:rsidRPr="002A13E4">
        <w:rPr>
          <w:color w:val="000000" w:themeColor="text1"/>
        </w:rPr>
        <w:t>. W</w:t>
      </w:r>
      <w:r w:rsidR="00B172F7" w:rsidRPr="002A13E4">
        <w:rPr>
          <w:color w:val="000000" w:themeColor="text1"/>
        </w:rPr>
        <w:t>hen the robot failed to respond, the explanation might seem more logical that some unknown external forces instead of internal causes disturbed its program operation, compared with the other two failure conditions</w:t>
      </w:r>
      <w:r w:rsidR="00EE3426" w:rsidRPr="002A13E4">
        <w:rPr>
          <w:color w:val="000000" w:themeColor="text1"/>
        </w:rPr>
        <w:t>, so the participants were more trusting after the robot responded with denial</w:t>
      </w:r>
      <w:r w:rsidRPr="002A13E4">
        <w:rPr>
          <w:color w:val="000000" w:themeColor="text1"/>
        </w:rPr>
        <w:t>.</w:t>
      </w:r>
    </w:p>
    <w:p w14:paraId="60D67DF1" w14:textId="5133D112" w:rsidR="00DB7FAE" w:rsidRPr="002A13E4" w:rsidRDefault="00F147F7">
      <w:pPr>
        <w:spacing w:line="480" w:lineRule="auto"/>
        <w:ind w:firstLine="720"/>
        <w:rPr>
          <w:color w:val="000000" w:themeColor="text1"/>
        </w:rPr>
      </w:pPr>
      <w:r w:rsidRPr="002A13E4">
        <w:rPr>
          <w:color w:val="000000" w:themeColor="text1"/>
        </w:rPr>
        <w:t>The findings of RQ1 further</w:t>
      </w:r>
      <w:r w:rsidR="00DE5648" w:rsidRPr="002A13E4">
        <w:rPr>
          <w:color w:val="000000" w:themeColor="text1"/>
        </w:rPr>
        <w:t xml:space="preserve"> revealed</w:t>
      </w:r>
      <w:r w:rsidRPr="002A13E4">
        <w:rPr>
          <w:color w:val="000000" w:themeColor="text1"/>
        </w:rPr>
        <w:t xml:space="preserve"> </w:t>
      </w:r>
      <w:r w:rsidR="00DE5648" w:rsidRPr="002A13E4">
        <w:rPr>
          <w:color w:val="000000" w:themeColor="text1"/>
        </w:rPr>
        <w:t xml:space="preserve">the three types of failures did not have distinguishable effects on post-interaction </w:t>
      </w:r>
      <w:r w:rsidR="005C3AB8" w:rsidRPr="002A13E4">
        <w:rPr>
          <w:color w:val="000000" w:themeColor="text1"/>
        </w:rPr>
        <w:t>evaluations (i.e., perceived competence, integrity, severity of violations, and post-interaction trust)</w:t>
      </w:r>
      <w:r w:rsidRPr="002A13E4">
        <w:rPr>
          <w:color w:val="000000" w:themeColor="text1"/>
        </w:rPr>
        <w:t xml:space="preserve">, </w:t>
      </w:r>
      <w:r w:rsidR="005C3AB8" w:rsidRPr="002A13E4">
        <w:rPr>
          <w:color w:val="000000" w:themeColor="text1"/>
        </w:rPr>
        <w:t xml:space="preserve">when no repair </w:t>
      </w:r>
      <w:r w:rsidR="005D070B" w:rsidRPr="002A13E4">
        <w:rPr>
          <w:color w:val="000000" w:themeColor="text1"/>
        </w:rPr>
        <w:t>wa</w:t>
      </w:r>
      <w:r w:rsidR="005C3AB8" w:rsidRPr="002A13E4">
        <w:rPr>
          <w:color w:val="000000" w:themeColor="text1"/>
        </w:rPr>
        <w:t>s implemented</w:t>
      </w:r>
      <w:r w:rsidRPr="002A13E4">
        <w:rPr>
          <w:color w:val="000000" w:themeColor="text1"/>
        </w:rPr>
        <w:t xml:space="preserve">. </w:t>
      </w:r>
      <w:r w:rsidR="00E142F4" w:rsidRPr="002A13E4">
        <w:rPr>
          <w:color w:val="000000" w:themeColor="text1"/>
        </w:rPr>
        <w:t xml:space="preserve">Therefore, the main effects of repair methods and the interaction effects with failure types were the keys for decoding the trust repair outcomes. </w:t>
      </w:r>
      <w:r w:rsidR="005C3AB8" w:rsidRPr="002A13E4">
        <w:rPr>
          <w:color w:val="000000" w:themeColor="text1"/>
        </w:rPr>
        <w:t>Th</w:t>
      </w:r>
      <w:r w:rsidR="00E142F4" w:rsidRPr="002A13E4">
        <w:rPr>
          <w:color w:val="000000" w:themeColor="text1"/>
        </w:rPr>
        <w:t>e findings also</w:t>
      </w:r>
      <w:r w:rsidR="005C3AB8" w:rsidRPr="002A13E4">
        <w:rPr>
          <w:color w:val="000000" w:themeColor="text1"/>
        </w:rPr>
        <w:t xml:space="preserve"> </w:t>
      </w:r>
      <w:r w:rsidRPr="002A13E4">
        <w:rPr>
          <w:color w:val="000000" w:themeColor="text1"/>
        </w:rPr>
        <w:t xml:space="preserve">added to the research </w:t>
      </w:r>
      <w:r w:rsidR="00AD5D61" w:rsidRPr="002A13E4">
        <w:rPr>
          <w:color w:val="000000" w:themeColor="text1"/>
        </w:rPr>
        <w:t>findings</w:t>
      </w:r>
      <w:r w:rsidRPr="002A13E4">
        <w:rPr>
          <w:color w:val="000000" w:themeColor="text1"/>
        </w:rPr>
        <w:t xml:space="preserve"> of miss- vs. false-prone errors, consistent with </w:t>
      </w:r>
      <w:proofErr w:type="spellStart"/>
      <w:r w:rsidRPr="002A13E4">
        <w:rPr>
          <w:color w:val="000000" w:themeColor="text1"/>
        </w:rPr>
        <w:t>Madhavan</w:t>
      </w:r>
      <w:proofErr w:type="spellEnd"/>
      <w:r w:rsidRPr="002A13E4">
        <w:rPr>
          <w:color w:val="000000" w:themeColor="text1"/>
        </w:rPr>
        <w:t xml:space="preserve"> et al.’s (2006) and </w:t>
      </w:r>
      <w:proofErr w:type="spellStart"/>
      <w:r w:rsidRPr="002A13E4">
        <w:rPr>
          <w:color w:val="000000" w:themeColor="text1"/>
        </w:rPr>
        <w:t>Rovira</w:t>
      </w:r>
      <w:proofErr w:type="spellEnd"/>
      <w:r w:rsidRPr="002A13E4">
        <w:rPr>
          <w:color w:val="000000" w:themeColor="text1"/>
        </w:rPr>
        <w:t xml:space="preserve"> and Parasuraman’s </w:t>
      </w:r>
      <w:r w:rsidRPr="002A13E4">
        <w:rPr>
          <w:color w:val="000000" w:themeColor="text1"/>
        </w:rPr>
        <w:lastRenderedPageBreak/>
        <w:t xml:space="preserve">(2010) conclusions that both types of errors are equally destructive. As it is noted by Hoff and Bashir (2015), a major </w:t>
      </w:r>
      <w:r w:rsidR="005C3AB8" w:rsidRPr="002A13E4">
        <w:rPr>
          <w:color w:val="000000" w:themeColor="text1"/>
        </w:rPr>
        <w:t>problem</w:t>
      </w:r>
      <w:r w:rsidRPr="002A13E4">
        <w:rPr>
          <w:color w:val="000000" w:themeColor="text1"/>
        </w:rPr>
        <w:t xml:space="preserve"> of previous studies on HAI miss vs. false is that two types of errors entail different future risks</w:t>
      </w:r>
      <w:r w:rsidR="007F46BB" w:rsidRPr="002A13E4">
        <w:rPr>
          <w:color w:val="000000" w:themeColor="text1"/>
        </w:rPr>
        <w:t>, which might affect individuals’ evaluations of the system</w:t>
      </w:r>
      <w:r w:rsidR="00676E69" w:rsidRPr="002A13E4">
        <w:rPr>
          <w:color w:val="000000" w:themeColor="text1"/>
        </w:rPr>
        <w:t>: a false alarm might just be disturbing, but a miss might lead to f</w:t>
      </w:r>
      <w:r w:rsidR="00B172F7" w:rsidRPr="002A13E4">
        <w:rPr>
          <w:color w:val="000000" w:themeColor="text1"/>
        </w:rPr>
        <w:t>a</w:t>
      </w:r>
      <w:r w:rsidR="00676E69" w:rsidRPr="002A13E4">
        <w:rPr>
          <w:color w:val="000000" w:themeColor="text1"/>
        </w:rPr>
        <w:t>tal outcomes.</w:t>
      </w:r>
      <w:r w:rsidRPr="002A13E4">
        <w:rPr>
          <w:color w:val="000000" w:themeColor="text1"/>
        </w:rPr>
        <w:t xml:space="preserve"> </w:t>
      </w:r>
      <w:r w:rsidR="007F46BB" w:rsidRPr="002A13E4">
        <w:rPr>
          <w:color w:val="000000" w:themeColor="text1"/>
        </w:rPr>
        <w:t>Therefore, the d</w:t>
      </w:r>
      <w:r w:rsidR="005C3AB8" w:rsidRPr="002A13E4">
        <w:rPr>
          <w:color w:val="000000" w:themeColor="text1"/>
        </w:rPr>
        <w:t xml:space="preserve">irect violation outcomes </w:t>
      </w:r>
      <w:r w:rsidR="005D070B" w:rsidRPr="002A13E4">
        <w:rPr>
          <w:color w:val="000000" w:themeColor="text1"/>
        </w:rPr>
        <w:t xml:space="preserve">in the present study </w:t>
      </w:r>
      <w:r w:rsidR="005C3AB8" w:rsidRPr="002A13E4">
        <w:rPr>
          <w:color w:val="000000" w:themeColor="text1"/>
        </w:rPr>
        <w:t xml:space="preserve">were controlled in a way that the human interactants </w:t>
      </w:r>
      <w:r w:rsidR="00676E69" w:rsidRPr="002A13E4">
        <w:rPr>
          <w:color w:val="000000" w:themeColor="text1"/>
        </w:rPr>
        <w:t xml:space="preserve">already possessed the access to all information and </w:t>
      </w:r>
      <w:r w:rsidR="005C3AB8" w:rsidRPr="002A13E4">
        <w:rPr>
          <w:color w:val="000000" w:themeColor="text1"/>
        </w:rPr>
        <w:t xml:space="preserve">would immediately </w:t>
      </w:r>
      <w:r w:rsidR="00E142F4" w:rsidRPr="002A13E4">
        <w:rPr>
          <w:color w:val="000000" w:themeColor="text1"/>
        </w:rPr>
        <w:t>point</w:t>
      </w:r>
      <w:r w:rsidR="005C3AB8" w:rsidRPr="002A13E4">
        <w:rPr>
          <w:color w:val="000000" w:themeColor="text1"/>
        </w:rPr>
        <w:t xml:space="preserve"> out that NAO failed to provide the correct information after each failure occurrence, which uniformed the</w:t>
      </w:r>
      <w:r w:rsidR="005D070B" w:rsidRPr="002A13E4">
        <w:rPr>
          <w:color w:val="000000" w:themeColor="text1"/>
        </w:rPr>
        <w:t xml:space="preserve"> direct</w:t>
      </w:r>
      <w:r w:rsidR="005C3AB8" w:rsidRPr="002A13E4">
        <w:rPr>
          <w:color w:val="000000" w:themeColor="text1"/>
        </w:rPr>
        <w:t xml:space="preserve"> violation outcomes </w:t>
      </w:r>
      <w:r w:rsidR="005D070B" w:rsidRPr="002A13E4">
        <w:rPr>
          <w:color w:val="000000" w:themeColor="text1"/>
        </w:rPr>
        <w:t>of</w:t>
      </w:r>
      <w:r w:rsidR="005C3AB8" w:rsidRPr="002A13E4">
        <w:rPr>
          <w:color w:val="000000" w:themeColor="text1"/>
        </w:rPr>
        <w:t xml:space="preserve"> each failure type. </w:t>
      </w:r>
      <w:r w:rsidR="00E142F4" w:rsidRPr="002A13E4">
        <w:rPr>
          <w:color w:val="000000" w:themeColor="text1"/>
        </w:rPr>
        <w:t>U</w:t>
      </w:r>
      <w:r w:rsidRPr="002A13E4">
        <w:rPr>
          <w:color w:val="000000" w:themeColor="text1"/>
        </w:rPr>
        <w:t>nder</w:t>
      </w:r>
      <w:r w:rsidR="005C3AB8" w:rsidRPr="002A13E4">
        <w:rPr>
          <w:color w:val="000000" w:themeColor="text1"/>
        </w:rPr>
        <w:t xml:space="preserve"> such</w:t>
      </w:r>
      <w:r w:rsidRPr="002A13E4">
        <w:rPr>
          <w:color w:val="000000" w:themeColor="text1"/>
        </w:rPr>
        <w:t xml:space="preserve"> circumstances</w:t>
      </w:r>
      <w:r w:rsidR="005C3AB8" w:rsidRPr="002A13E4">
        <w:rPr>
          <w:color w:val="000000" w:themeColor="text1"/>
        </w:rPr>
        <w:t>,</w:t>
      </w:r>
      <w:r w:rsidRPr="002A13E4">
        <w:rPr>
          <w:color w:val="000000" w:themeColor="text1"/>
        </w:rPr>
        <w:t xml:space="preserve"> logic, semantic, and syntax did not significantly differ in violation magnitude </w:t>
      </w:r>
      <w:r w:rsidR="005D070B" w:rsidRPr="002A13E4">
        <w:rPr>
          <w:color w:val="000000" w:themeColor="text1"/>
        </w:rPr>
        <w:t>without</w:t>
      </w:r>
      <w:r w:rsidRPr="002A13E4">
        <w:rPr>
          <w:color w:val="000000" w:themeColor="text1"/>
        </w:rPr>
        <w:t xml:space="preserve"> </w:t>
      </w:r>
      <w:r w:rsidR="005D070B" w:rsidRPr="002A13E4">
        <w:rPr>
          <w:color w:val="000000" w:themeColor="text1"/>
        </w:rPr>
        <w:t xml:space="preserve">trust </w:t>
      </w:r>
      <w:r w:rsidRPr="002A13E4">
        <w:rPr>
          <w:color w:val="000000" w:themeColor="text1"/>
        </w:rPr>
        <w:t>repair</w:t>
      </w:r>
      <w:r w:rsidR="00E142F4" w:rsidRPr="002A13E4">
        <w:rPr>
          <w:color w:val="000000" w:themeColor="text1"/>
        </w:rPr>
        <w:t>. This suggests controlling for error outcomes of different error types could be helpful for addressing some gaps emerging in the extant error/failure research</w:t>
      </w:r>
      <w:r w:rsidRPr="002A13E4">
        <w:rPr>
          <w:color w:val="000000" w:themeColor="text1"/>
        </w:rPr>
        <w:t xml:space="preserve">. </w:t>
      </w:r>
    </w:p>
    <w:p w14:paraId="1FAA7765" w14:textId="22A6E028" w:rsidR="00DB7FAE" w:rsidRPr="002A13E4" w:rsidRDefault="000442FD">
      <w:pPr>
        <w:spacing w:line="480" w:lineRule="auto"/>
        <w:ind w:firstLine="720"/>
        <w:rPr>
          <w:color w:val="000000" w:themeColor="text1"/>
        </w:rPr>
      </w:pPr>
      <w:r w:rsidRPr="002A13E4">
        <w:rPr>
          <w:color w:val="000000" w:themeColor="text1"/>
        </w:rPr>
        <w:t>The main effects of failure types were insignificant for competence-based trust and relatively weak for integrity-based trust</w:t>
      </w:r>
      <w:r w:rsidR="005D070B" w:rsidRPr="002A13E4">
        <w:rPr>
          <w:color w:val="000000" w:themeColor="text1"/>
        </w:rPr>
        <w:t xml:space="preserve">, and </w:t>
      </w:r>
      <w:r w:rsidR="00F147F7" w:rsidRPr="002A13E4">
        <w:rPr>
          <w:color w:val="000000" w:themeColor="text1"/>
        </w:rPr>
        <w:t>the negative impacts of logic failures were potentially the greatest overall out of three types of failures. Compared to the other two types of failure, logic failures generally present</w:t>
      </w:r>
      <w:r w:rsidR="004460E7" w:rsidRPr="002A13E4">
        <w:rPr>
          <w:color w:val="000000" w:themeColor="text1"/>
        </w:rPr>
        <w:t>ed</w:t>
      </w:r>
      <w:r w:rsidR="00F147F7" w:rsidRPr="002A13E4">
        <w:rPr>
          <w:color w:val="000000" w:themeColor="text1"/>
        </w:rPr>
        <w:t xml:space="preserve"> more accuracy and correctness in the output</w:t>
      </w:r>
      <w:r w:rsidR="004460E7" w:rsidRPr="002A13E4">
        <w:rPr>
          <w:color w:val="000000" w:themeColor="text1"/>
        </w:rPr>
        <w:t xml:space="preserve"> content</w:t>
      </w:r>
      <w:r w:rsidR="00F147F7" w:rsidRPr="002A13E4">
        <w:rPr>
          <w:color w:val="000000" w:themeColor="text1"/>
        </w:rPr>
        <w:t xml:space="preserve">, as partially precise responses. One of the explanations of why logic failures were the most detrimental for integrity-based trust is that they appeared harder to catch, which might have raised more </w:t>
      </w:r>
      <w:r w:rsidR="007F46BB" w:rsidRPr="002A13E4">
        <w:rPr>
          <w:color w:val="000000" w:themeColor="text1"/>
        </w:rPr>
        <w:t>doubt</w:t>
      </w:r>
      <w:r w:rsidR="004460E7" w:rsidRPr="002A13E4">
        <w:rPr>
          <w:color w:val="000000" w:themeColor="text1"/>
        </w:rPr>
        <w:t xml:space="preserve"> </w:t>
      </w:r>
      <w:r w:rsidR="00F147F7" w:rsidRPr="002A13E4">
        <w:rPr>
          <w:color w:val="000000" w:themeColor="text1"/>
        </w:rPr>
        <w:t xml:space="preserve">for </w:t>
      </w:r>
      <w:r w:rsidR="004460E7" w:rsidRPr="002A13E4">
        <w:rPr>
          <w:color w:val="000000" w:themeColor="text1"/>
        </w:rPr>
        <w:t xml:space="preserve">the robot’s </w:t>
      </w:r>
      <w:r w:rsidR="00F147F7" w:rsidRPr="002A13E4">
        <w:rPr>
          <w:color w:val="000000" w:themeColor="text1"/>
        </w:rPr>
        <w:t>deliberate deceptions. It was also possible that the partial correctness raised participants’ expectations</w:t>
      </w:r>
      <w:r w:rsidRPr="002A13E4">
        <w:rPr>
          <w:color w:val="000000" w:themeColor="text1"/>
        </w:rPr>
        <w:t xml:space="preserve"> of the robot’s performance</w:t>
      </w:r>
      <w:r w:rsidR="00F147F7" w:rsidRPr="002A13E4">
        <w:rPr>
          <w:color w:val="000000" w:themeColor="text1"/>
        </w:rPr>
        <w:t>, so they felt fooled and disappointed after figuring out failure occurrences.</w:t>
      </w:r>
    </w:p>
    <w:p w14:paraId="69B3264B" w14:textId="4E5EE6BF" w:rsidR="00DB7FAE" w:rsidRPr="002A13E4" w:rsidRDefault="00F147F7">
      <w:pPr>
        <w:spacing w:line="480" w:lineRule="auto"/>
        <w:ind w:firstLine="720"/>
        <w:rPr>
          <w:color w:val="000000" w:themeColor="text1"/>
        </w:rPr>
      </w:pPr>
      <w:r w:rsidRPr="002A13E4">
        <w:rPr>
          <w:color w:val="000000" w:themeColor="text1"/>
        </w:rPr>
        <w:t xml:space="preserve">According to the fundamental associations between blame attributions and trust, the current study </w:t>
      </w:r>
      <w:r w:rsidR="004460E7" w:rsidRPr="002A13E4">
        <w:rPr>
          <w:color w:val="000000" w:themeColor="text1"/>
        </w:rPr>
        <w:t xml:space="preserve">hypothesized </w:t>
      </w:r>
      <w:r w:rsidRPr="002A13E4">
        <w:rPr>
          <w:color w:val="000000" w:themeColor="text1"/>
        </w:rPr>
        <w:t xml:space="preserve">external, unstable, and uncontrollable causal attributions would lead to higher levels of trust. The test results showed the </w:t>
      </w:r>
      <w:r w:rsidR="004460E7" w:rsidRPr="002A13E4">
        <w:rPr>
          <w:color w:val="000000" w:themeColor="text1"/>
        </w:rPr>
        <w:t xml:space="preserve">significant </w:t>
      </w:r>
      <w:r w:rsidRPr="002A13E4">
        <w:rPr>
          <w:color w:val="000000" w:themeColor="text1"/>
        </w:rPr>
        <w:t xml:space="preserve">associations between </w:t>
      </w:r>
      <w:r w:rsidR="000442FD" w:rsidRPr="002A13E4">
        <w:rPr>
          <w:color w:val="000000" w:themeColor="text1"/>
        </w:rPr>
        <w:t>non-</w:t>
      </w:r>
      <w:r w:rsidR="000442FD" w:rsidRPr="002A13E4">
        <w:rPr>
          <w:color w:val="000000" w:themeColor="text1"/>
        </w:rPr>
        <w:lastRenderedPageBreak/>
        <w:t xml:space="preserve">personal control </w:t>
      </w:r>
      <w:r w:rsidR="00676E69" w:rsidRPr="002A13E4">
        <w:rPr>
          <w:color w:val="000000" w:themeColor="text1"/>
        </w:rPr>
        <w:t xml:space="preserve">and </w:t>
      </w:r>
      <w:r w:rsidR="00D656F9" w:rsidRPr="002A13E4">
        <w:rPr>
          <w:color w:val="000000" w:themeColor="text1"/>
        </w:rPr>
        <w:t xml:space="preserve">integrity-based trust </w:t>
      </w:r>
      <w:r w:rsidRPr="002A13E4">
        <w:rPr>
          <w:color w:val="000000" w:themeColor="text1"/>
        </w:rPr>
        <w:t>as well as the one</w:t>
      </w:r>
      <w:r w:rsidR="000442FD" w:rsidRPr="002A13E4">
        <w:rPr>
          <w:color w:val="000000" w:themeColor="text1"/>
        </w:rPr>
        <w:t>s</w:t>
      </w:r>
      <w:r w:rsidRPr="002A13E4">
        <w:rPr>
          <w:color w:val="000000" w:themeColor="text1"/>
        </w:rPr>
        <w:t xml:space="preserve"> between </w:t>
      </w:r>
      <w:r w:rsidR="000442FD" w:rsidRPr="002A13E4">
        <w:rPr>
          <w:color w:val="000000" w:themeColor="text1"/>
        </w:rPr>
        <w:t xml:space="preserve">instability </w:t>
      </w:r>
      <w:r w:rsidRPr="002A13E4">
        <w:rPr>
          <w:color w:val="000000" w:themeColor="text1"/>
        </w:rPr>
        <w:t xml:space="preserve">and </w:t>
      </w:r>
      <w:r w:rsidR="000442FD" w:rsidRPr="002A13E4">
        <w:rPr>
          <w:color w:val="000000" w:themeColor="text1"/>
        </w:rPr>
        <w:t>two types of trust</w:t>
      </w:r>
      <w:r w:rsidRPr="002A13E4">
        <w:rPr>
          <w:color w:val="000000" w:themeColor="text1"/>
        </w:rPr>
        <w:t xml:space="preserve">. </w:t>
      </w:r>
      <w:r w:rsidR="00D656F9" w:rsidRPr="002A13E4">
        <w:rPr>
          <w:color w:val="000000" w:themeColor="text1"/>
        </w:rPr>
        <w:t>It was interesting non-personal control was only a significant predictor for integrity-based trust but not for competence-based trust</w:t>
      </w:r>
      <w:r w:rsidR="00F01939" w:rsidRPr="002A13E4">
        <w:rPr>
          <w:color w:val="000000" w:themeColor="text1"/>
        </w:rPr>
        <w:t>, which indicated participants did not closely connect controllability in HRI blame attributions with robotic intelligence</w:t>
      </w:r>
      <w:r w:rsidR="00D656F9" w:rsidRPr="002A13E4">
        <w:rPr>
          <w:color w:val="000000" w:themeColor="text1"/>
        </w:rPr>
        <w:t xml:space="preserve">. </w:t>
      </w:r>
      <w:r w:rsidRPr="002A13E4">
        <w:rPr>
          <w:color w:val="000000" w:themeColor="text1"/>
        </w:rPr>
        <w:t xml:space="preserve">Noticeably, </w:t>
      </w:r>
      <w:r w:rsidR="000442FD" w:rsidRPr="002A13E4">
        <w:rPr>
          <w:color w:val="000000" w:themeColor="text1"/>
        </w:rPr>
        <w:t>non-</w:t>
      </w:r>
      <w:r w:rsidRPr="002A13E4">
        <w:rPr>
          <w:color w:val="000000" w:themeColor="text1"/>
        </w:rPr>
        <w:t xml:space="preserve">personal control </w:t>
      </w:r>
      <w:r w:rsidR="000442FD" w:rsidRPr="002A13E4">
        <w:rPr>
          <w:color w:val="000000" w:themeColor="text1"/>
        </w:rPr>
        <w:t xml:space="preserve">(i.e., the perception that the failure cause is not controlled by the human interactant) </w:t>
      </w:r>
      <w:r w:rsidRPr="002A13E4">
        <w:rPr>
          <w:color w:val="000000" w:themeColor="text1"/>
        </w:rPr>
        <w:t xml:space="preserve">turned out to be more reflective of </w:t>
      </w:r>
      <w:r w:rsidR="00676E69" w:rsidRPr="002A13E4">
        <w:rPr>
          <w:color w:val="000000" w:themeColor="text1"/>
        </w:rPr>
        <w:t>un</w:t>
      </w:r>
      <w:r w:rsidRPr="002A13E4">
        <w:rPr>
          <w:color w:val="000000" w:themeColor="text1"/>
        </w:rPr>
        <w:t xml:space="preserve">controllability in the context of HRI, as opposed to </w:t>
      </w:r>
      <w:r w:rsidR="000F33EB" w:rsidRPr="002A13E4">
        <w:rPr>
          <w:color w:val="000000" w:themeColor="text1"/>
        </w:rPr>
        <w:t>non-</w:t>
      </w:r>
      <w:r w:rsidRPr="002A13E4">
        <w:rPr>
          <w:color w:val="000000" w:themeColor="text1"/>
        </w:rPr>
        <w:t>external control</w:t>
      </w:r>
      <w:r w:rsidR="000442FD" w:rsidRPr="002A13E4">
        <w:rPr>
          <w:color w:val="000000" w:themeColor="text1"/>
        </w:rPr>
        <w:t xml:space="preserve"> (i.e., the perception that the failure cause is not controlled by the NAO robot)</w:t>
      </w:r>
      <w:r w:rsidRPr="002A13E4">
        <w:rPr>
          <w:color w:val="000000" w:themeColor="text1"/>
        </w:rPr>
        <w:t xml:space="preserve">, which might </w:t>
      </w:r>
      <w:r w:rsidR="00D656F9" w:rsidRPr="002A13E4">
        <w:rPr>
          <w:color w:val="000000" w:themeColor="text1"/>
        </w:rPr>
        <w:t>have resulted from</w:t>
      </w:r>
      <w:r w:rsidRPr="002A13E4">
        <w:rPr>
          <w:color w:val="000000" w:themeColor="text1"/>
        </w:rPr>
        <w:t xml:space="preserve"> </w:t>
      </w:r>
      <w:r w:rsidR="00D656F9" w:rsidRPr="002A13E4">
        <w:rPr>
          <w:color w:val="000000" w:themeColor="text1"/>
        </w:rPr>
        <w:t xml:space="preserve">the ontological difference </w:t>
      </w:r>
      <w:r w:rsidRPr="002A13E4">
        <w:rPr>
          <w:color w:val="000000" w:themeColor="text1"/>
        </w:rPr>
        <w:t>that humans perceive</w:t>
      </w:r>
      <w:r w:rsidR="000E5819" w:rsidRPr="002A13E4">
        <w:rPr>
          <w:color w:val="000000" w:themeColor="text1"/>
        </w:rPr>
        <w:t xml:space="preserve"> </w:t>
      </w:r>
      <w:r w:rsidRPr="002A13E4">
        <w:rPr>
          <w:color w:val="000000" w:themeColor="text1"/>
        </w:rPr>
        <w:t>less agency in robots</w:t>
      </w:r>
      <w:r w:rsidR="00FA4A20" w:rsidRPr="002A13E4">
        <w:rPr>
          <w:color w:val="000000" w:themeColor="text1"/>
        </w:rPr>
        <w:t xml:space="preserve"> in HRI</w:t>
      </w:r>
      <w:r w:rsidR="00EE3426" w:rsidRPr="002A13E4">
        <w:rPr>
          <w:color w:val="000000" w:themeColor="text1"/>
        </w:rPr>
        <w:t xml:space="preserve"> than they do in humans</w:t>
      </w:r>
      <w:r w:rsidRPr="002A13E4">
        <w:rPr>
          <w:color w:val="000000" w:themeColor="text1"/>
        </w:rPr>
        <w:t>. For the total rejection of H2</w:t>
      </w:r>
      <w:r w:rsidR="000442FD" w:rsidRPr="002A13E4">
        <w:rPr>
          <w:color w:val="000000" w:themeColor="text1"/>
        </w:rPr>
        <w:t>a</w:t>
      </w:r>
      <w:r w:rsidRPr="002A13E4">
        <w:rPr>
          <w:color w:val="000000" w:themeColor="text1"/>
        </w:rPr>
        <w:t xml:space="preserve">, one possibility of why </w:t>
      </w:r>
      <w:r w:rsidR="000442FD" w:rsidRPr="002A13E4">
        <w:rPr>
          <w:color w:val="000000" w:themeColor="text1"/>
        </w:rPr>
        <w:t>external locus</w:t>
      </w:r>
      <w:r w:rsidRPr="002A13E4">
        <w:rPr>
          <w:color w:val="000000" w:themeColor="text1"/>
        </w:rPr>
        <w:t xml:space="preserve"> was not a significant predictor of </w:t>
      </w:r>
      <w:r w:rsidR="006D2CF3" w:rsidRPr="002A13E4">
        <w:rPr>
          <w:color w:val="000000" w:themeColor="text1"/>
        </w:rPr>
        <w:t xml:space="preserve">post-interaction </w:t>
      </w:r>
      <w:r w:rsidRPr="002A13E4">
        <w:rPr>
          <w:color w:val="000000" w:themeColor="text1"/>
        </w:rPr>
        <w:t xml:space="preserve">trust might have been </w:t>
      </w:r>
      <w:r w:rsidR="008D10F3" w:rsidRPr="002A13E4">
        <w:rPr>
          <w:color w:val="000000" w:themeColor="text1"/>
        </w:rPr>
        <w:t>that individuals deem</w:t>
      </w:r>
      <w:r w:rsidR="00676E69" w:rsidRPr="002A13E4">
        <w:rPr>
          <w:color w:val="000000" w:themeColor="text1"/>
        </w:rPr>
        <w:t>ed</w:t>
      </w:r>
      <w:r w:rsidR="008D10F3" w:rsidRPr="002A13E4">
        <w:rPr>
          <w:color w:val="000000" w:themeColor="text1"/>
        </w:rPr>
        <w:t xml:space="preserve"> human internal </w:t>
      </w:r>
      <w:r w:rsidR="00FA4A20" w:rsidRPr="002A13E4">
        <w:rPr>
          <w:color w:val="000000" w:themeColor="text1"/>
        </w:rPr>
        <w:t>qualities</w:t>
      </w:r>
      <w:r w:rsidR="008D10F3" w:rsidRPr="002A13E4">
        <w:rPr>
          <w:color w:val="000000" w:themeColor="text1"/>
        </w:rPr>
        <w:t xml:space="preserve"> to be less relevant in human-robot interactions because the interactions </w:t>
      </w:r>
      <w:r w:rsidR="00676E69" w:rsidRPr="002A13E4">
        <w:rPr>
          <w:color w:val="000000" w:themeColor="text1"/>
        </w:rPr>
        <w:t>were</w:t>
      </w:r>
      <w:r w:rsidR="008D10F3" w:rsidRPr="002A13E4">
        <w:rPr>
          <w:color w:val="000000" w:themeColor="text1"/>
        </w:rPr>
        <w:t xml:space="preserve"> considered </w:t>
      </w:r>
      <w:r w:rsidR="00A9201B" w:rsidRPr="002A13E4">
        <w:rPr>
          <w:color w:val="000000" w:themeColor="text1"/>
        </w:rPr>
        <w:t xml:space="preserve">more </w:t>
      </w:r>
      <w:r w:rsidR="008D10F3" w:rsidRPr="002A13E4">
        <w:rPr>
          <w:color w:val="000000" w:themeColor="text1"/>
        </w:rPr>
        <w:t>impersonal</w:t>
      </w:r>
      <w:r w:rsidR="00A9201B" w:rsidRPr="002A13E4">
        <w:rPr>
          <w:color w:val="000000" w:themeColor="text1"/>
        </w:rPr>
        <w:t>.</w:t>
      </w:r>
    </w:p>
    <w:p w14:paraId="18D10BD3" w14:textId="4287B5BC" w:rsidR="00DB7FAE" w:rsidRPr="002A13E4" w:rsidRDefault="00F147F7">
      <w:pPr>
        <w:spacing w:line="480" w:lineRule="auto"/>
        <w:ind w:firstLine="720"/>
        <w:rPr>
          <w:color w:val="000000" w:themeColor="text1"/>
        </w:rPr>
      </w:pPr>
      <w:r w:rsidRPr="002A13E4">
        <w:rPr>
          <w:color w:val="000000" w:themeColor="text1"/>
        </w:rPr>
        <w:t xml:space="preserve">Based on the deductions from Baker et al. (2018) and Kim et al. (2004), H3 predicted two types of apology would repair trust through the increase of </w:t>
      </w:r>
      <w:r w:rsidR="00A9201B" w:rsidRPr="002A13E4">
        <w:rPr>
          <w:color w:val="000000" w:themeColor="text1"/>
        </w:rPr>
        <w:t>perceived in</w:t>
      </w:r>
      <w:r w:rsidRPr="002A13E4">
        <w:rPr>
          <w:color w:val="000000" w:themeColor="text1"/>
        </w:rPr>
        <w:t>stability and uncontrollability, whereas H4 proposed denial would boost attributions</w:t>
      </w:r>
      <w:r w:rsidR="00A9201B" w:rsidRPr="002A13E4">
        <w:rPr>
          <w:color w:val="000000" w:themeColor="text1"/>
        </w:rPr>
        <w:t xml:space="preserve"> of external locus</w:t>
      </w:r>
      <w:r w:rsidRPr="002A13E4">
        <w:rPr>
          <w:color w:val="000000" w:themeColor="text1"/>
        </w:rPr>
        <w:t xml:space="preserve">. In contrast to the initial expectations, neither of the hypotheses </w:t>
      </w:r>
      <w:r w:rsidR="008B7418" w:rsidRPr="002A13E4">
        <w:rPr>
          <w:color w:val="000000" w:themeColor="text1"/>
        </w:rPr>
        <w:t>were</w:t>
      </w:r>
      <w:r w:rsidRPr="002A13E4">
        <w:rPr>
          <w:color w:val="000000" w:themeColor="text1"/>
        </w:rPr>
        <w:t xml:space="preserve"> supported by the </w:t>
      </w:r>
      <w:r w:rsidR="008B7418" w:rsidRPr="002A13E4">
        <w:rPr>
          <w:color w:val="000000" w:themeColor="text1"/>
        </w:rPr>
        <w:t>analysis</w:t>
      </w:r>
      <w:r w:rsidRPr="002A13E4">
        <w:rPr>
          <w:color w:val="000000" w:themeColor="text1"/>
        </w:rPr>
        <w:t xml:space="preserve">. It was probable that </w:t>
      </w:r>
      <w:r w:rsidR="00F01939" w:rsidRPr="002A13E4">
        <w:rPr>
          <w:color w:val="000000" w:themeColor="text1"/>
        </w:rPr>
        <w:t>some unidentified</w:t>
      </w:r>
      <w:r w:rsidRPr="002A13E4">
        <w:rPr>
          <w:color w:val="000000" w:themeColor="text1"/>
        </w:rPr>
        <w:t xml:space="preserve"> interactions </w:t>
      </w:r>
      <w:r w:rsidR="00551788" w:rsidRPr="002A13E4">
        <w:rPr>
          <w:color w:val="000000" w:themeColor="text1"/>
        </w:rPr>
        <w:t>amongst</w:t>
      </w:r>
      <w:r w:rsidRPr="002A13E4">
        <w:rPr>
          <w:color w:val="000000" w:themeColor="text1"/>
        </w:rPr>
        <w:t xml:space="preserve"> failure</w:t>
      </w:r>
      <w:r w:rsidR="00551788" w:rsidRPr="002A13E4">
        <w:rPr>
          <w:color w:val="000000" w:themeColor="text1"/>
        </w:rPr>
        <w:t>,</w:t>
      </w:r>
      <w:r w:rsidRPr="002A13E4">
        <w:rPr>
          <w:color w:val="000000" w:themeColor="text1"/>
        </w:rPr>
        <w:t xml:space="preserve"> repair types</w:t>
      </w:r>
      <w:r w:rsidR="00551788" w:rsidRPr="002A13E4">
        <w:rPr>
          <w:color w:val="000000" w:themeColor="text1"/>
        </w:rPr>
        <w:t>, and blame attributions</w:t>
      </w:r>
      <w:r w:rsidRPr="002A13E4">
        <w:rPr>
          <w:color w:val="000000" w:themeColor="text1"/>
        </w:rPr>
        <w:t xml:space="preserve"> canceled out the differences on these dimensions of causality, if it were not for the problem of insufficient statistical power under</w:t>
      </w:r>
      <w:r w:rsidR="00EE3426" w:rsidRPr="002A13E4">
        <w:rPr>
          <w:color w:val="000000" w:themeColor="text1"/>
        </w:rPr>
        <w:t xml:space="preserve"> very</w:t>
      </w:r>
      <w:r w:rsidRPr="002A13E4">
        <w:rPr>
          <w:color w:val="000000" w:themeColor="text1"/>
        </w:rPr>
        <w:t xml:space="preserve"> small effects</w:t>
      </w:r>
      <w:r w:rsidR="00551788" w:rsidRPr="002A13E4">
        <w:rPr>
          <w:color w:val="000000" w:themeColor="text1"/>
        </w:rPr>
        <w:t>, or oral accounts were not powerful enough to alert the participants’ blame attributions on a conscious level</w:t>
      </w:r>
      <w:r w:rsidR="002D582C" w:rsidRPr="002A13E4">
        <w:rPr>
          <w:color w:val="000000" w:themeColor="text1"/>
        </w:rPr>
        <w:t xml:space="preserve">, corresponding with Schweitzer et al.’s (2006) opinion that a single apology without actual behavioral improvements might not be powerful enough in changing people’s </w:t>
      </w:r>
      <w:r w:rsidR="00EE3426" w:rsidRPr="002A13E4">
        <w:rPr>
          <w:color w:val="000000" w:themeColor="text1"/>
        </w:rPr>
        <w:t>opinion</w:t>
      </w:r>
      <w:r w:rsidR="002D582C" w:rsidRPr="002A13E4">
        <w:rPr>
          <w:color w:val="000000" w:themeColor="text1"/>
        </w:rPr>
        <w:t>s</w:t>
      </w:r>
      <w:r w:rsidR="00551788" w:rsidRPr="002A13E4">
        <w:rPr>
          <w:color w:val="000000" w:themeColor="text1"/>
        </w:rPr>
        <w:t>.</w:t>
      </w:r>
    </w:p>
    <w:p w14:paraId="26BF6BCE" w14:textId="3504D939" w:rsidR="00DB7FAE" w:rsidRPr="002A13E4" w:rsidRDefault="00551788">
      <w:pPr>
        <w:spacing w:line="480" w:lineRule="auto"/>
        <w:ind w:firstLine="720"/>
        <w:rPr>
          <w:color w:val="000000" w:themeColor="text1"/>
        </w:rPr>
      </w:pPr>
      <w:r w:rsidRPr="002A13E4">
        <w:rPr>
          <w:color w:val="000000" w:themeColor="text1"/>
        </w:rPr>
        <w:lastRenderedPageBreak/>
        <w:t>Contradicted with</w:t>
      </w:r>
      <w:r w:rsidR="00F147F7" w:rsidRPr="002A13E4">
        <w:rPr>
          <w:color w:val="000000" w:themeColor="text1"/>
        </w:rPr>
        <w:t xml:space="preserve"> the previous findings from Kim et al. (2006), the present study found the rule in human-human communication </w:t>
      </w:r>
      <w:r w:rsidRPr="002A13E4">
        <w:rPr>
          <w:color w:val="000000" w:themeColor="text1"/>
        </w:rPr>
        <w:t>might not be</w:t>
      </w:r>
      <w:r w:rsidR="00F147F7" w:rsidRPr="002A13E4">
        <w:rPr>
          <w:color w:val="000000" w:themeColor="text1"/>
        </w:rPr>
        <w:t xml:space="preserve"> applicable under the context of HRI that internal-attribution apology can repair competence-based trust violations more effectively than external-attribution apology</w:t>
      </w:r>
      <w:r w:rsidRPr="002A13E4">
        <w:rPr>
          <w:color w:val="000000" w:themeColor="text1"/>
        </w:rPr>
        <w:t>,</w:t>
      </w:r>
      <w:r w:rsidR="00E42365" w:rsidRPr="002A13E4">
        <w:rPr>
          <w:color w:val="000000" w:themeColor="text1"/>
        </w:rPr>
        <w:t xml:space="preserve"> exploring the effects of two apology types on two subdimensions of trust (i.e., competence- and integrity-based trust)</w:t>
      </w:r>
      <w:r w:rsidR="00F147F7" w:rsidRPr="002A13E4">
        <w:rPr>
          <w:color w:val="000000" w:themeColor="text1"/>
        </w:rPr>
        <w:t xml:space="preserve">. Prior studies already pointed out the potential risks lying </w:t>
      </w:r>
      <w:r w:rsidR="00BA3C5C" w:rsidRPr="002A13E4">
        <w:rPr>
          <w:color w:val="000000" w:themeColor="text1"/>
        </w:rPr>
        <w:t xml:space="preserve">underneath </w:t>
      </w:r>
      <w:r w:rsidR="00F147F7" w:rsidRPr="002A13E4">
        <w:rPr>
          <w:color w:val="000000" w:themeColor="text1"/>
        </w:rPr>
        <w:t>external-attribution apology are that it might negatively impact perceived integrity in interpersonal interactions (</w:t>
      </w:r>
      <w:proofErr w:type="spellStart"/>
      <w:r w:rsidR="00F147F7" w:rsidRPr="002A13E4">
        <w:rPr>
          <w:color w:val="000000" w:themeColor="text1"/>
        </w:rPr>
        <w:t>Schlenker</w:t>
      </w:r>
      <w:proofErr w:type="spellEnd"/>
      <w:r w:rsidR="00F147F7" w:rsidRPr="002A13E4">
        <w:rPr>
          <w:color w:val="000000" w:themeColor="text1"/>
        </w:rPr>
        <w:t xml:space="preserve"> et al., 2001; Tomlinson et al., 2004), and the </w:t>
      </w:r>
      <w:r w:rsidRPr="002A13E4">
        <w:rPr>
          <w:color w:val="000000" w:themeColor="text1"/>
        </w:rPr>
        <w:t>in</w:t>
      </w:r>
      <w:r w:rsidR="00F147F7" w:rsidRPr="002A13E4">
        <w:rPr>
          <w:color w:val="000000" w:themeColor="text1"/>
        </w:rPr>
        <w:t xml:space="preserve">significant </w:t>
      </w:r>
      <w:r w:rsidRPr="002A13E4">
        <w:rPr>
          <w:color w:val="000000" w:themeColor="text1"/>
        </w:rPr>
        <w:t>test results</w:t>
      </w:r>
      <w:r w:rsidR="00676E69" w:rsidRPr="002A13E4">
        <w:rPr>
          <w:color w:val="000000" w:themeColor="text1"/>
        </w:rPr>
        <w:t xml:space="preserve"> </w:t>
      </w:r>
      <w:r w:rsidR="00F147F7" w:rsidRPr="002A13E4">
        <w:rPr>
          <w:color w:val="000000" w:themeColor="text1"/>
        </w:rPr>
        <w:t xml:space="preserve">indicated the negativity of external attributions in apology might be </w:t>
      </w:r>
      <w:r w:rsidRPr="002A13E4">
        <w:rPr>
          <w:color w:val="000000" w:themeColor="text1"/>
        </w:rPr>
        <w:t>dissimilar or much smaller</w:t>
      </w:r>
      <w:r w:rsidR="00F147F7" w:rsidRPr="002A13E4">
        <w:rPr>
          <w:color w:val="000000" w:themeColor="text1"/>
        </w:rPr>
        <w:t xml:space="preserve"> under the context of HRI. It was possible that </w:t>
      </w:r>
      <w:r w:rsidRPr="002A13E4">
        <w:rPr>
          <w:color w:val="000000" w:themeColor="text1"/>
        </w:rPr>
        <w:t xml:space="preserve">the </w:t>
      </w:r>
      <w:r w:rsidR="0064669B" w:rsidRPr="002A13E4">
        <w:rPr>
          <w:color w:val="000000" w:themeColor="text1"/>
        </w:rPr>
        <w:t xml:space="preserve">participants </w:t>
      </w:r>
      <w:r w:rsidRPr="002A13E4">
        <w:rPr>
          <w:color w:val="000000" w:themeColor="text1"/>
        </w:rPr>
        <w:t>conceptualized</w:t>
      </w:r>
      <w:r w:rsidR="0064669B" w:rsidRPr="002A13E4">
        <w:rPr>
          <w:color w:val="000000" w:themeColor="text1"/>
        </w:rPr>
        <w:t xml:space="preserve"> </w:t>
      </w:r>
      <w:r w:rsidRPr="002A13E4">
        <w:rPr>
          <w:color w:val="000000" w:themeColor="text1"/>
        </w:rPr>
        <w:t xml:space="preserve">robots with less moral agency, so they </w:t>
      </w:r>
      <w:r w:rsidR="00922169" w:rsidRPr="002A13E4">
        <w:rPr>
          <w:color w:val="000000" w:themeColor="text1"/>
        </w:rPr>
        <w:t>were less inclined to surmise the NAO robot intended to lie</w:t>
      </w:r>
      <w:r w:rsidR="00572E64" w:rsidRPr="002A13E4">
        <w:rPr>
          <w:color w:val="000000" w:themeColor="text1"/>
        </w:rPr>
        <w:t xml:space="preserve"> when it gave external</w:t>
      </w:r>
      <w:r w:rsidR="00512AB5" w:rsidRPr="002A13E4">
        <w:rPr>
          <w:color w:val="000000" w:themeColor="text1"/>
        </w:rPr>
        <w:t>-</w:t>
      </w:r>
      <w:r w:rsidR="00572E64" w:rsidRPr="002A13E4">
        <w:rPr>
          <w:color w:val="000000" w:themeColor="text1"/>
        </w:rPr>
        <w:t>attribution</w:t>
      </w:r>
      <w:r w:rsidR="00512AB5" w:rsidRPr="002A13E4">
        <w:rPr>
          <w:color w:val="000000" w:themeColor="text1"/>
        </w:rPr>
        <w:t xml:space="preserve"> apology</w:t>
      </w:r>
      <w:r w:rsidR="00F147F7" w:rsidRPr="002A13E4">
        <w:rPr>
          <w:color w:val="000000" w:themeColor="text1"/>
        </w:rPr>
        <w:t xml:space="preserve">. </w:t>
      </w:r>
    </w:p>
    <w:p w14:paraId="1897829F" w14:textId="2DE5DF4F" w:rsidR="00DB7FAE" w:rsidRPr="002A13E4" w:rsidRDefault="00F147F7">
      <w:pPr>
        <w:spacing w:line="480" w:lineRule="auto"/>
        <w:ind w:firstLine="720"/>
        <w:rPr>
          <w:color w:val="000000" w:themeColor="text1"/>
        </w:rPr>
      </w:pPr>
      <w:r w:rsidRPr="002A13E4">
        <w:rPr>
          <w:color w:val="000000" w:themeColor="text1"/>
        </w:rPr>
        <w:t xml:space="preserve">The </w:t>
      </w:r>
      <w:r w:rsidR="00572E64" w:rsidRPr="002A13E4">
        <w:rPr>
          <w:color w:val="000000" w:themeColor="text1"/>
        </w:rPr>
        <w:t xml:space="preserve">partial support </w:t>
      </w:r>
      <w:r w:rsidRPr="002A13E4">
        <w:rPr>
          <w:color w:val="000000" w:themeColor="text1"/>
        </w:rPr>
        <w:t>of H6, on the other hand, gives some more insights into the nature of external apology and denial. Based on hierarchically restrictive schemas (Reeder &amp; Brewer, 1979), Kim et al. (2004) argued that apology works better than denial for competence-based trust violations, because people attach more importance to positive information than negative information in this kind of situation. Following this logic, external-attribution apology should have been more trust-gaining than denial since the NAO robot expressed remorse and made promises for the future</w:t>
      </w:r>
      <w:r w:rsidR="00572E64" w:rsidRPr="002A13E4">
        <w:rPr>
          <w:color w:val="000000" w:themeColor="text1"/>
        </w:rPr>
        <w:t xml:space="preserve">, which was </w:t>
      </w:r>
      <w:r w:rsidR="00512AB5" w:rsidRPr="002A13E4">
        <w:rPr>
          <w:color w:val="000000" w:themeColor="text1"/>
        </w:rPr>
        <w:t>confirmed</w:t>
      </w:r>
      <w:r w:rsidR="00572E64" w:rsidRPr="002A13E4">
        <w:rPr>
          <w:color w:val="000000" w:themeColor="text1"/>
        </w:rPr>
        <w:t xml:space="preserve"> by the test results</w:t>
      </w:r>
      <w:r w:rsidRPr="002A13E4">
        <w:rPr>
          <w:color w:val="000000" w:themeColor="text1"/>
        </w:rPr>
        <w:t xml:space="preserve">. Participants might have perceived </w:t>
      </w:r>
      <w:r w:rsidR="00572E64" w:rsidRPr="002A13E4">
        <w:rPr>
          <w:color w:val="000000" w:themeColor="text1"/>
        </w:rPr>
        <w:t xml:space="preserve">external-attribution apology to be more honest </w:t>
      </w:r>
      <w:r w:rsidR="00512AB5" w:rsidRPr="002A13E4">
        <w:rPr>
          <w:color w:val="000000" w:themeColor="text1"/>
        </w:rPr>
        <w:t>than denial, which complete</w:t>
      </w:r>
      <w:r w:rsidR="002A13E4" w:rsidRPr="002A13E4">
        <w:rPr>
          <w:color w:val="000000" w:themeColor="text1"/>
        </w:rPr>
        <w:t>ly</w:t>
      </w:r>
      <w:r w:rsidR="00512AB5" w:rsidRPr="002A13E4">
        <w:rPr>
          <w:color w:val="000000" w:themeColor="text1"/>
        </w:rPr>
        <w:t xml:space="preserve"> shirked the blame, </w:t>
      </w:r>
      <w:r w:rsidR="00572E64" w:rsidRPr="002A13E4">
        <w:rPr>
          <w:color w:val="000000" w:themeColor="text1"/>
        </w:rPr>
        <w:t xml:space="preserve">since </w:t>
      </w:r>
      <w:r w:rsidR="00512AB5" w:rsidRPr="002A13E4">
        <w:rPr>
          <w:color w:val="000000" w:themeColor="text1"/>
        </w:rPr>
        <w:t>external-attribution apology</w:t>
      </w:r>
      <w:r w:rsidR="00572E64" w:rsidRPr="002A13E4">
        <w:rPr>
          <w:color w:val="000000" w:themeColor="text1"/>
        </w:rPr>
        <w:t xml:space="preserve"> afforded partial responsibilities in addition to </w:t>
      </w:r>
      <w:r w:rsidRPr="002A13E4">
        <w:rPr>
          <w:color w:val="000000" w:themeColor="text1"/>
        </w:rPr>
        <w:t>expressed remorse and given promises</w:t>
      </w:r>
      <w:r w:rsidR="00572E64" w:rsidRPr="002A13E4">
        <w:rPr>
          <w:color w:val="000000" w:themeColor="text1"/>
        </w:rPr>
        <w:t xml:space="preserve">, even though addressing the former was not necessarily perceived </w:t>
      </w:r>
      <w:r w:rsidR="002A13E4" w:rsidRPr="002A13E4">
        <w:rPr>
          <w:color w:val="000000" w:themeColor="text1"/>
        </w:rPr>
        <w:t xml:space="preserve">as </w:t>
      </w:r>
      <w:r w:rsidR="00572E64" w:rsidRPr="002A13E4">
        <w:rPr>
          <w:color w:val="000000" w:themeColor="text1"/>
        </w:rPr>
        <w:t>more intelligent than delivering the latter</w:t>
      </w:r>
      <w:r w:rsidRPr="002A13E4">
        <w:rPr>
          <w:color w:val="000000" w:themeColor="text1"/>
        </w:rPr>
        <w:t xml:space="preserve">. Additionally, it was proved that denial in general repaired trust much </w:t>
      </w:r>
      <w:r w:rsidR="00E42365" w:rsidRPr="002A13E4">
        <w:rPr>
          <w:color w:val="000000" w:themeColor="text1"/>
        </w:rPr>
        <w:t>worse</w:t>
      </w:r>
      <w:r w:rsidRPr="002A13E4">
        <w:rPr>
          <w:color w:val="000000" w:themeColor="text1"/>
        </w:rPr>
        <w:t xml:space="preserve"> than no repair. This further suggested the detrimental power of </w:t>
      </w:r>
      <w:r w:rsidRPr="002A13E4">
        <w:rPr>
          <w:color w:val="000000" w:themeColor="text1"/>
        </w:rPr>
        <w:lastRenderedPageBreak/>
        <w:t>eluding the blame for competence-based violations—it is not always the case that taking action is better than not taking action, when the action is deemed inappropriate and unpleasant</w:t>
      </w:r>
      <w:r w:rsidR="00263275" w:rsidRPr="002A13E4">
        <w:rPr>
          <w:color w:val="000000" w:themeColor="text1"/>
        </w:rPr>
        <w:t xml:space="preserve"> </w:t>
      </w:r>
      <w:r w:rsidR="00DA15AE" w:rsidRPr="002A13E4">
        <w:rPr>
          <w:color w:val="000000" w:themeColor="text1"/>
        </w:rPr>
        <w:t xml:space="preserve">in HRI, </w:t>
      </w:r>
      <w:r w:rsidR="00263275" w:rsidRPr="002A13E4">
        <w:rPr>
          <w:color w:val="000000" w:themeColor="text1"/>
        </w:rPr>
        <w:t xml:space="preserve">such as </w:t>
      </w:r>
      <w:r w:rsidR="00DA15AE" w:rsidRPr="002A13E4">
        <w:rPr>
          <w:color w:val="000000" w:themeColor="text1"/>
        </w:rPr>
        <w:t xml:space="preserve">a robot </w:t>
      </w:r>
      <w:r w:rsidR="00263275" w:rsidRPr="002A13E4">
        <w:rPr>
          <w:color w:val="000000" w:themeColor="text1"/>
        </w:rPr>
        <w:t>denying mistake</w:t>
      </w:r>
      <w:r w:rsidR="00DA15AE" w:rsidRPr="002A13E4">
        <w:rPr>
          <w:color w:val="000000" w:themeColor="text1"/>
        </w:rPr>
        <w:t>s</w:t>
      </w:r>
      <w:r w:rsidR="00263275" w:rsidRPr="002A13E4">
        <w:rPr>
          <w:color w:val="000000" w:themeColor="text1"/>
        </w:rPr>
        <w:t xml:space="preserve"> or blaming someone else for</w:t>
      </w:r>
      <w:r w:rsidR="00DA15AE" w:rsidRPr="002A13E4">
        <w:rPr>
          <w:color w:val="000000" w:themeColor="text1"/>
        </w:rPr>
        <w:t xml:space="preserve"> its</w:t>
      </w:r>
      <w:r w:rsidR="00263275" w:rsidRPr="002A13E4">
        <w:rPr>
          <w:color w:val="000000" w:themeColor="text1"/>
        </w:rPr>
        <w:t xml:space="preserve"> own mistake</w:t>
      </w:r>
      <w:r w:rsidRPr="002A13E4">
        <w:rPr>
          <w:color w:val="000000" w:themeColor="text1"/>
        </w:rPr>
        <w:t>.</w:t>
      </w:r>
    </w:p>
    <w:p w14:paraId="0F9E216F" w14:textId="26543D93" w:rsidR="00DB7FAE" w:rsidRPr="002A13E4" w:rsidRDefault="00572E64" w:rsidP="00490BEA">
      <w:pPr>
        <w:spacing w:line="480" w:lineRule="auto"/>
        <w:ind w:firstLine="720"/>
        <w:rPr>
          <w:color w:val="000000" w:themeColor="text1"/>
        </w:rPr>
      </w:pPr>
      <w:r w:rsidRPr="002A13E4">
        <w:rPr>
          <w:color w:val="000000" w:themeColor="text1"/>
        </w:rPr>
        <w:t>Finally, t</w:t>
      </w:r>
      <w:r w:rsidR="00F147F7" w:rsidRPr="002A13E4">
        <w:rPr>
          <w:color w:val="000000" w:themeColor="text1"/>
        </w:rPr>
        <w:t xml:space="preserve">he insignificant </w:t>
      </w:r>
      <w:r w:rsidRPr="002A13E4">
        <w:rPr>
          <w:color w:val="000000" w:themeColor="text1"/>
        </w:rPr>
        <w:t>interactions between failure and repair types further emphasized the similarity amongst three failure types as competence-based violations</w:t>
      </w:r>
      <w:r w:rsidR="002D582C" w:rsidRPr="002A13E4">
        <w:rPr>
          <w:color w:val="000000" w:themeColor="text1"/>
        </w:rPr>
        <w:t xml:space="preserve">, if not </w:t>
      </w:r>
      <w:r w:rsidR="002A13E4" w:rsidRPr="002A13E4">
        <w:rPr>
          <w:color w:val="000000" w:themeColor="text1"/>
        </w:rPr>
        <w:t>type</w:t>
      </w:r>
      <w:r w:rsidR="002D582C" w:rsidRPr="002A13E4">
        <w:rPr>
          <w:color w:val="000000" w:themeColor="text1"/>
        </w:rPr>
        <w:t xml:space="preserve"> II error</w:t>
      </w:r>
      <w:r w:rsidR="00F147F7" w:rsidRPr="002A13E4">
        <w:rPr>
          <w:color w:val="000000" w:themeColor="text1"/>
        </w:rPr>
        <w:t>.</w:t>
      </w:r>
      <w:r w:rsidR="002D582C" w:rsidRPr="002A13E4">
        <w:rPr>
          <w:color w:val="000000" w:themeColor="text1"/>
        </w:rPr>
        <w:t xml:space="preserve"> This implicated the principles that internal- and external-attribution apology both worked better in trust repair than denial in the context of HRI, no matter which type of competence-based violations are there.</w:t>
      </w:r>
    </w:p>
    <w:p w14:paraId="40755101" w14:textId="77777777" w:rsidR="00DB7FAE" w:rsidRPr="00D64CA4" w:rsidRDefault="00F147F7" w:rsidP="00D64CA4">
      <w:pPr>
        <w:pStyle w:val="Heading1"/>
        <w:spacing w:before="0" w:line="480" w:lineRule="auto"/>
        <w:rPr>
          <w:color w:val="000000" w:themeColor="text1"/>
        </w:rPr>
      </w:pPr>
      <w:bookmarkStart w:id="45" w:name="_Toc73716040"/>
      <w:r w:rsidRPr="00D64CA4">
        <w:rPr>
          <w:color w:val="000000" w:themeColor="text1"/>
        </w:rPr>
        <w:t>Theoretical and Practical Implications</w:t>
      </w:r>
      <w:bookmarkEnd w:id="45"/>
    </w:p>
    <w:p w14:paraId="6FB1573F" w14:textId="7DC2A0E5" w:rsidR="00DB7FAE" w:rsidRPr="002A13E4" w:rsidRDefault="00F147F7">
      <w:pPr>
        <w:spacing w:line="480" w:lineRule="auto"/>
        <w:rPr>
          <w:color w:val="000000" w:themeColor="text1"/>
        </w:rPr>
      </w:pPr>
      <w:r w:rsidRPr="002A13E4">
        <w:rPr>
          <w:color w:val="000000" w:themeColor="text1"/>
        </w:rPr>
        <w:tab/>
        <w:t>The present study developed a new categorization of technical failures that is message-based and recipient-oriented</w:t>
      </w:r>
      <w:r w:rsidR="00263275" w:rsidRPr="002A13E4">
        <w:rPr>
          <w:color w:val="000000" w:themeColor="text1"/>
        </w:rPr>
        <w:t xml:space="preserve"> from</w:t>
      </w:r>
      <w:r w:rsidR="00263275" w:rsidRPr="002A13E4">
        <w:rPr>
          <w:color w:val="000000" w:themeColor="text1"/>
        </w:rPr>
        <w:softHyphen/>
      </w:r>
      <w:r w:rsidR="00263275" w:rsidRPr="002A13E4">
        <w:rPr>
          <w:color w:val="000000" w:themeColor="text1"/>
        </w:rPr>
        <w:softHyphen/>
      </w:r>
      <w:r w:rsidR="00263275" w:rsidRPr="002A13E4">
        <w:rPr>
          <w:color w:val="000000" w:themeColor="text1"/>
        </w:rPr>
        <w:softHyphen/>
      </w:r>
      <w:r w:rsidRPr="002A13E4">
        <w:rPr>
          <w:color w:val="000000" w:themeColor="text1"/>
        </w:rPr>
        <w:t xml:space="preserve"> a communication-centered perspective</w:t>
      </w:r>
      <w:r w:rsidR="0064669B" w:rsidRPr="002A13E4">
        <w:rPr>
          <w:color w:val="000000" w:themeColor="text1"/>
        </w:rPr>
        <w:t>,</w:t>
      </w:r>
      <w:r w:rsidRPr="002A13E4">
        <w:rPr>
          <w:color w:val="000000" w:themeColor="text1"/>
        </w:rPr>
        <w:t xml:space="preserve"> </w:t>
      </w:r>
      <w:r w:rsidR="00263275" w:rsidRPr="002A13E4">
        <w:rPr>
          <w:color w:val="000000" w:themeColor="text1"/>
        </w:rPr>
        <w:t>contribut</w:t>
      </w:r>
      <w:r w:rsidR="0064669B" w:rsidRPr="002A13E4">
        <w:rPr>
          <w:color w:val="000000" w:themeColor="text1"/>
        </w:rPr>
        <w:t>ing</w:t>
      </w:r>
      <w:r w:rsidRPr="002A13E4">
        <w:rPr>
          <w:color w:val="000000" w:themeColor="text1"/>
        </w:rPr>
        <w:t xml:space="preserve"> to the extant research </w:t>
      </w:r>
      <w:r w:rsidR="00263275" w:rsidRPr="002A13E4">
        <w:rPr>
          <w:color w:val="000000" w:themeColor="text1"/>
        </w:rPr>
        <w:t>in robotic</w:t>
      </w:r>
      <w:r w:rsidRPr="002A13E4">
        <w:rPr>
          <w:color w:val="000000" w:themeColor="text1"/>
        </w:rPr>
        <w:t xml:space="preserve"> failures and errors. </w:t>
      </w:r>
      <w:r w:rsidR="007D27C6" w:rsidRPr="002A13E4">
        <w:rPr>
          <w:color w:val="000000" w:themeColor="text1"/>
        </w:rPr>
        <w:t>Because of i</w:t>
      </w:r>
      <w:r w:rsidRPr="002A13E4">
        <w:rPr>
          <w:color w:val="000000" w:themeColor="text1"/>
        </w:rPr>
        <w:t>ts cross-contextual applicability</w:t>
      </w:r>
      <w:r w:rsidR="007D27C6" w:rsidRPr="002A13E4">
        <w:rPr>
          <w:color w:val="000000" w:themeColor="text1"/>
        </w:rPr>
        <w:t>, this categorization can be easily applied under other HMC contexts, such as human-automation interactions, human-agent interactions, and human-computer interactions</w:t>
      </w:r>
      <w:r w:rsidRPr="002A13E4">
        <w:rPr>
          <w:color w:val="000000" w:themeColor="text1"/>
        </w:rPr>
        <w:t xml:space="preserve">. </w:t>
      </w:r>
      <w:r w:rsidR="007D27C6" w:rsidRPr="002A13E4">
        <w:rPr>
          <w:color w:val="000000" w:themeColor="text1"/>
        </w:rPr>
        <w:t>The findings</w:t>
      </w:r>
      <w:r w:rsidRPr="002A13E4">
        <w:rPr>
          <w:color w:val="000000" w:themeColor="text1"/>
        </w:rPr>
        <w:t xml:space="preserve"> also denoted that people m</w:t>
      </w:r>
      <w:r w:rsidR="00490BEA" w:rsidRPr="002A13E4">
        <w:rPr>
          <w:color w:val="000000" w:themeColor="text1"/>
        </w:rPr>
        <w:t>ay</w:t>
      </w:r>
      <w:r w:rsidRPr="002A13E4">
        <w:rPr>
          <w:color w:val="000000" w:themeColor="text1"/>
        </w:rPr>
        <w:t xml:space="preserve"> perceive the division between competence- and integrity-based violations differently in HMC, compared </w:t>
      </w:r>
      <w:r w:rsidR="00263275" w:rsidRPr="002A13E4">
        <w:rPr>
          <w:color w:val="000000" w:themeColor="text1"/>
        </w:rPr>
        <w:t>to</w:t>
      </w:r>
      <w:r w:rsidRPr="002A13E4">
        <w:rPr>
          <w:color w:val="000000" w:themeColor="text1"/>
        </w:rPr>
        <w:t xml:space="preserve"> how they process information in human-to-human communication. The systematic investigation into four different repair methods fill</w:t>
      </w:r>
      <w:r w:rsidR="003A26FA" w:rsidRPr="002A13E4">
        <w:rPr>
          <w:color w:val="000000" w:themeColor="text1"/>
        </w:rPr>
        <w:t>ed</w:t>
      </w:r>
      <w:r w:rsidRPr="002A13E4">
        <w:rPr>
          <w:color w:val="000000" w:themeColor="text1"/>
        </w:rPr>
        <w:t xml:space="preserve"> in some gaps of prior literature, such as the comparisons between external-attribution apology</w:t>
      </w:r>
      <w:r w:rsidR="007D27C6" w:rsidRPr="002A13E4">
        <w:rPr>
          <w:color w:val="000000" w:themeColor="text1"/>
        </w:rPr>
        <w:t xml:space="preserve"> and</w:t>
      </w:r>
      <w:r w:rsidRPr="002A13E4">
        <w:rPr>
          <w:color w:val="000000" w:themeColor="text1"/>
        </w:rPr>
        <w:t xml:space="preserve"> denial</w:t>
      </w:r>
      <w:r w:rsidR="007D27C6" w:rsidRPr="002A13E4">
        <w:rPr>
          <w:color w:val="000000" w:themeColor="text1"/>
        </w:rPr>
        <w:t xml:space="preserve"> </w:t>
      </w:r>
      <w:r w:rsidR="00490BEA" w:rsidRPr="002A13E4">
        <w:rPr>
          <w:color w:val="000000" w:themeColor="text1"/>
        </w:rPr>
        <w:t>which</w:t>
      </w:r>
      <w:r w:rsidR="003A26FA" w:rsidRPr="002A13E4">
        <w:rPr>
          <w:color w:val="000000" w:themeColor="text1"/>
        </w:rPr>
        <w:t xml:space="preserve"> previous studies </w:t>
      </w:r>
      <w:r w:rsidR="00490BEA" w:rsidRPr="002A13E4">
        <w:rPr>
          <w:color w:val="000000" w:themeColor="text1"/>
        </w:rPr>
        <w:t>did not examine</w:t>
      </w:r>
      <w:r w:rsidRPr="002A13E4">
        <w:rPr>
          <w:color w:val="000000" w:themeColor="text1"/>
        </w:rPr>
        <w:t>. The findings also suggested the redirection of attributions by different repair methods might be more complex than expected, contributing to the extant trust repair research.</w:t>
      </w:r>
    </w:p>
    <w:p w14:paraId="016CFB76" w14:textId="1E5A0A09" w:rsidR="00DB7FAE" w:rsidRPr="002A13E4" w:rsidRDefault="00F147F7">
      <w:pPr>
        <w:spacing w:line="480" w:lineRule="auto"/>
        <w:rPr>
          <w:color w:val="000000" w:themeColor="text1"/>
        </w:rPr>
      </w:pPr>
      <w:r w:rsidRPr="002A13E4">
        <w:rPr>
          <w:color w:val="000000" w:themeColor="text1"/>
        </w:rPr>
        <w:tab/>
        <w:t xml:space="preserve">Pragmatically speaking, </w:t>
      </w:r>
      <w:r w:rsidR="00DF2A44" w:rsidRPr="002A13E4">
        <w:rPr>
          <w:color w:val="000000" w:themeColor="text1"/>
        </w:rPr>
        <w:t>the research underlined how the technological ability to detect and respond to failures could enhance user trust. T</w:t>
      </w:r>
      <w:r w:rsidRPr="002A13E4">
        <w:rPr>
          <w:color w:val="000000" w:themeColor="text1"/>
        </w:rPr>
        <w:t>his study could benefit technical designs</w:t>
      </w:r>
      <w:r w:rsidR="006A2356" w:rsidRPr="002A13E4">
        <w:rPr>
          <w:color w:val="000000" w:themeColor="text1"/>
        </w:rPr>
        <w:t xml:space="preserve"> of </w:t>
      </w:r>
      <w:r w:rsidR="006A2356" w:rsidRPr="002A13E4">
        <w:rPr>
          <w:color w:val="000000" w:themeColor="text1"/>
        </w:rPr>
        <w:lastRenderedPageBreak/>
        <w:t>robots</w:t>
      </w:r>
      <w:r w:rsidRPr="002A13E4">
        <w:rPr>
          <w:color w:val="000000" w:themeColor="text1"/>
        </w:rPr>
        <w:t xml:space="preserve">, given the prevalence of these failures in robots and </w:t>
      </w:r>
      <w:r w:rsidR="00490BEA" w:rsidRPr="002A13E4">
        <w:rPr>
          <w:color w:val="000000" w:themeColor="text1"/>
        </w:rPr>
        <w:t>m</w:t>
      </w:r>
      <w:r w:rsidRPr="002A13E4">
        <w:rPr>
          <w:color w:val="000000" w:themeColor="text1"/>
        </w:rPr>
        <w:t>a</w:t>
      </w:r>
      <w:r w:rsidR="00490BEA" w:rsidRPr="002A13E4">
        <w:rPr>
          <w:color w:val="000000" w:themeColor="text1"/>
        </w:rPr>
        <w:t xml:space="preserve">ny </w:t>
      </w:r>
      <w:r w:rsidRPr="002A13E4">
        <w:rPr>
          <w:color w:val="000000" w:themeColor="text1"/>
        </w:rPr>
        <w:t>other kinds of technologies.</w:t>
      </w:r>
      <w:r w:rsidR="003A26FA" w:rsidRPr="002A13E4">
        <w:rPr>
          <w:color w:val="000000" w:themeColor="text1"/>
        </w:rPr>
        <w:t xml:space="preserve"> It provides a user-oriented</w:t>
      </w:r>
      <w:r w:rsidR="00DF2A44" w:rsidRPr="002A13E4">
        <w:rPr>
          <w:color w:val="000000" w:themeColor="text1"/>
        </w:rPr>
        <w:t xml:space="preserve"> perspective for understanding the impacts of common technical failures: instead of approaching these failures from error mechanisms, it might be more helpful to inquire what </w:t>
      </w:r>
      <w:r w:rsidR="000B5DFB">
        <w:rPr>
          <w:color w:val="000000" w:themeColor="text1"/>
        </w:rPr>
        <w:t>end users</w:t>
      </w:r>
      <w:r w:rsidR="00DF2A44" w:rsidRPr="002A13E4">
        <w:rPr>
          <w:color w:val="000000" w:themeColor="text1"/>
        </w:rPr>
        <w:t xml:space="preserve"> perceive the causes to be and implement repair strategies accordingly.</w:t>
      </w:r>
      <w:r w:rsidRPr="002A13E4">
        <w:rPr>
          <w:color w:val="000000" w:themeColor="text1"/>
        </w:rPr>
        <w:t xml:space="preserve"> The</w:t>
      </w:r>
      <w:r w:rsidR="003A26FA" w:rsidRPr="002A13E4">
        <w:rPr>
          <w:color w:val="000000" w:themeColor="text1"/>
        </w:rPr>
        <w:t xml:space="preserve"> </w:t>
      </w:r>
      <w:r w:rsidR="00DF2A44" w:rsidRPr="002A13E4">
        <w:rPr>
          <w:color w:val="000000" w:themeColor="text1"/>
        </w:rPr>
        <w:t>findings over</w:t>
      </w:r>
      <w:r w:rsidRPr="002A13E4">
        <w:rPr>
          <w:color w:val="000000" w:themeColor="text1"/>
        </w:rPr>
        <w:t xml:space="preserve"> failure types and repair methods in the present study could help designers identify the optimum repair strategies under each failure type, </w:t>
      </w:r>
      <w:r w:rsidR="00490BEA" w:rsidRPr="002A13E4">
        <w:rPr>
          <w:color w:val="000000" w:themeColor="text1"/>
        </w:rPr>
        <w:t>promoting</w:t>
      </w:r>
      <w:r w:rsidRPr="002A13E4">
        <w:rPr>
          <w:color w:val="000000" w:themeColor="text1"/>
        </w:rPr>
        <w:t xml:space="preserve"> both short-term and long-term human-to-machine trust</w:t>
      </w:r>
      <w:r w:rsidR="00DF2A44" w:rsidRPr="002A13E4">
        <w:rPr>
          <w:color w:val="000000" w:themeColor="text1"/>
        </w:rPr>
        <w:t xml:space="preserve">: altogether, apology is more helpful than denial, no matter whether the failure was logical, semantic, or syntactic. </w:t>
      </w:r>
      <w:r w:rsidR="000B5DFB">
        <w:rPr>
          <w:color w:val="000000" w:themeColor="text1"/>
        </w:rPr>
        <w:t xml:space="preserve">Thus, it is recommended to program such apologetic speech acts in robots when responding to humans pointing out any mistake they make and unsatisfied with their performances. </w:t>
      </w:r>
    </w:p>
    <w:p w14:paraId="4CF77CD0" w14:textId="69D201AB" w:rsidR="00DB7FAE" w:rsidRPr="00D64CA4" w:rsidRDefault="00F147F7" w:rsidP="00D64CA4">
      <w:pPr>
        <w:pStyle w:val="Heading1"/>
        <w:spacing w:before="0" w:line="480" w:lineRule="auto"/>
        <w:rPr>
          <w:color w:val="000000" w:themeColor="text1"/>
        </w:rPr>
      </w:pPr>
      <w:bookmarkStart w:id="46" w:name="_Toc73716041"/>
      <w:r w:rsidRPr="00D64CA4">
        <w:rPr>
          <w:color w:val="000000" w:themeColor="text1"/>
        </w:rPr>
        <w:t>Limitations</w:t>
      </w:r>
      <w:bookmarkEnd w:id="46"/>
    </w:p>
    <w:p w14:paraId="4D7C1214" w14:textId="7AD7BEB0" w:rsidR="00DB7FAE" w:rsidRPr="002A13E4" w:rsidRDefault="00F147F7">
      <w:pPr>
        <w:spacing w:line="480" w:lineRule="auto"/>
        <w:rPr>
          <w:color w:val="000000" w:themeColor="text1"/>
        </w:rPr>
      </w:pPr>
      <w:r w:rsidRPr="002A13E4">
        <w:rPr>
          <w:color w:val="000000" w:themeColor="text1"/>
        </w:rPr>
        <w:tab/>
        <w:t>Since previous studies showed demographic characteristics, such as age, culture, gender, and occupations, have noticeable impacts on HRI-base trust patterns (Hoff &amp; Bashir, 2015)</w:t>
      </w:r>
      <w:r w:rsidR="00490BEA" w:rsidRPr="002A13E4">
        <w:rPr>
          <w:color w:val="000000" w:themeColor="text1"/>
        </w:rPr>
        <w:t>. O</w:t>
      </w:r>
      <w:r w:rsidRPr="002A13E4">
        <w:rPr>
          <w:color w:val="000000" w:themeColor="text1"/>
        </w:rPr>
        <w:t xml:space="preserve">ne major limitation of the present study is that the </w:t>
      </w:r>
      <w:r w:rsidR="00300E33" w:rsidRPr="002A13E4">
        <w:rPr>
          <w:color w:val="000000" w:themeColor="text1"/>
        </w:rPr>
        <w:t xml:space="preserve">analysis results from </w:t>
      </w:r>
      <w:r w:rsidRPr="002A13E4">
        <w:rPr>
          <w:color w:val="000000" w:themeColor="text1"/>
        </w:rPr>
        <w:t xml:space="preserve">college student sample </w:t>
      </w:r>
      <w:r w:rsidR="00300E33" w:rsidRPr="002A13E4">
        <w:rPr>
          <w:color w:val="000000" w:themeColor="text1"/>
        </w:rPr>
        <w:t>will not be</w:t>
      </w:r>
      <w:r w:rsidRPr="002A13E4">
        <w:rPr>
          <w:color w:val="000000" w:themeColor="text1"/>
        </w:rPr>
        <w:t xml:space="preserve"> generalizable to other social groups. Another constraint resulted from the experimental designs: the between-within subject designs might have introduced some undesirable bias in the statistical tests. </w:t>
      </w:r>
      <w:r w:rsidR="00BC4E44" w:rsidRPr="002A13E4">
        <w:rPr>
          <w:color w:val="000000" w:themeColor="text1"/>
        </w:rPr>
        <w:t xml:space="preserve">The in-lab design of one-time contact </w:t>
      </w:r>
      <w:r w:rsidR="00DF2A44" w:rsidRPr="002A13E4">
        <w:rPr>
          <w:color w:val="000000" w:themeColor="text1"/>
        </w:rPr>
        <w:t>also</w:t>
      </w:r>
      <w:r w:rsidR="00BC4E44" w:rsidRPr="002A13E4">
        <w:rPr>
          <w:color w:val="000000" w:themeColor="text1"/>
        </w:rPr>
        <w:t xml:space="preserve"> limited </w:t>
      </w:r>
      <w:r w:rsidR="00026EA5" w:rsidRPr="002A13E4">
        <w:rPr>
          <w:color w:val="000000" w:themeColor="text1"/>
        </w:rPr>
        <w:t>generalizability of the results concerning the long-term impacts of technical failures on actual human-robot relationships</w:t>
      </w:r>
      <w:r w:rsidR="00BC4E44" w:rsidRPr="002A13E4">
        <w:rPr>
          <w:color w:val="000000" w:themeColor="text1"/>
        </w:rPr>
        <w:t>. Moreover, t</w:t>
      </w:r>
      <w:r w:rsidRPr="002A13E4">
        <w:rPr>
          <w:color w:val="000000" w:themeColor="text1"/>
        </w:rPr>
        <w:t xml:space="preserve">he design of inducing HRI scenarios through online videos might have also posited some methodological limitations, given participants might not have been as involved as they would when </w:t>
      </w:r>
      <w:r w:rsidR="00300E33" w:rsidRPr="002A13E4">
        <w:rPr>
          <w:color w:val="000000" w:themeColor="text1"/>
        </w:rPr>
        <w:t xml:space="preserve">they </w:t>
      </w:r>
      <w:r w:rsidR="00490BEA" w:rsidRPr="002A13E4">
        <w:rPr>
          <w:color w:val="000000" w:themeColor="text1"/>
        </w:rPr>
        <w:t>are presented with interventions</w:t>
      </w:r>
      <w:r w:rsidR="00300E33" w:rsidRPr="002A13E4">
        <w:rPr>
          <w:color w:val="000000" w:themeColor="text1"/>
        </w:rPr>
        <w:t xml:space="preserve"> </w:t>
      </w:r>
      <w:r w:rsidRPr="002A13E4">
        <w:rPr>
          <w:color w:val="000000" w:themeColor="text1"/>
        </w:rPr>
        <w:t>of greater interactivity and social presence (</w:t>
      </w:r>
      <w:r w:rsidR="00C84935" w:rsidRPr="002A13E4">
        <w:rPr>
          <w:color w:val="000000" w:themeColor="text1"/>
        </w:rPr>
        <w:t xml:space="preserve">e.g., interactive videos, live interactions; </w:t>
      </w:r>
      <w:r w:rsidRPr="002A13E4">
        <w:rPr>
          <w:color w:val="000000" w:themeColor="text1"/>
        </w:rPr>
        <w:t>Xu et al., 2015)</w:t>
      </w:r>
      <w:r w:rsidR="00490BEA" w:rsidRPr="002A13E4">
        <w:rPr>
          <w:color w:val="000000" w:themeColor="text1"/>
        </w:rPr>
        <w:t xml:space="preserve">, which </w:t>
      </w:r>
      <w:r w:rsidR="00300E33" w:rsidRPr="002A13E4">
        <w:rPr>
          <w:color w:val="000000" w:themeColor="text1"/>
        </w:rPr>
        <w:t>could</w:t>
      </w:r>
      <w:r w:rsidRPr="002A13E4">
        <w:rPr>
          <w:color w:val="000000" w:themeColor="text1"/>
        </w:rPr>
        <w:t xml:space="preserve"> have affected </w:t>
      </w:r>
      <w:r w:rsidR="00300E33" w:rsidRPr="002A13E4">
        <w:rPr>
          <w:color w:val="000000" w:themeColor="text1"/>
        </w:rPr>
        <w:t xml:space="preserve">their </w:t>
      </w:r>
      <w:r w:rsidRPr="002A13E4">
        <w:rPr>
          <w:color w:val="000000" w:themeColor="text1"/>
        </w:rPr>
        <w:t xml:space="preserve">blame </w:t>
      </w:r>
      <w:r w:rsidRPr="002A13E4">
        <w:rPr>
          <w:color w:val="000000" w:themeColor="text1"/>
        </w:rPr>
        <w:lastRenderedPageBreak/>
        <w:t>attributions</w:t>
      </w:r>
      <w:r w:rsidR="00026EA5" w:rsidRPr="002A13E4">
        <w:rPr>
          <w:color w:val="000000" w:themeColor="text1"/>
        </w:rPr>
        <w:t xml:space="preserve">: </w:t>
      </w:r>
      <w:r w:rsidR="00035A6E" w:rsidRPr="002A13E4">
        <w:rPr>
          <w:color w:val="000000" w:themeColor="text1"/>
        </w:rPr>
        <w:t>for example</w:t>
      </w:r>
      <w:r w:rsidR="00026EA5" w:rsidRPr="002A13E4">
        <w:rPr>
          <w:color w:val="000000" w:themeColor="text1"/>
        </w:rPr>
        <w:t>, they might have made less internal attributions</w:t>
      </w:r>
      <w:r w:rsidR="00035A6E" w:rsidRPr="002A13E4">
        <w:rPr>
          <w:color w:val="000000" w:themeColor="text1"/>
        </w:rPr>
        <w:t xml:space="preserve"> as they identified less with the focal person as an observer</w:t>
      </w:r>
      <w:r w:rsidRPr="002A13E4">
        <w:rPr>
          <w:color w:val="000000" w:themeColor="text1"/>
        </w:rPr>
        <w:t xml:space="preserve">. </w:t>
      </w:r>
    </w:p>
    <w:p w14:paraId="2BCE5864" w14:textId="77777777" w:rsidR="00DB7FAE" w:rsidRPr="00D64CA4" w:rsidRDefault="00F147F7" w:rsidP="00D64CA4">
      <w:pPr>
        <w:pStyle w:val="Heading1"/>
        <w:spacing w:before="0" w:line="480" w:lineRule="auto"/>
        <w:rPr>
          <w:color w:val="000000" w:themeColor="text1"/>
        </w:rPr>
      </w:pPr>
      <w:bookmarkStart w:id="47" w:name="_Toc73716042"/>
      <w:r w:rsidRPr="00D64CA4">
        <w:rPr>
          <w:color w:val="000000" w:themeColor="text1"/>
        </w:rPr>
        <w:t>Directions for Future Research</w:t>
      </w:r>
      <w:bookmarkEnd w:id="47"/>
    </w:p>
    <w:p w14:paraId="2621C6FA" w14:textId="77E2C264" w:rsidR="00DB7FAE" w:rsidRPr="002A13E4" w:rsidRDefault="00F147F7">
      <w:pPr>
        <w:spacing w:line="480" w:lineRule="auto"/>
        <w:rPr>
          <w:color w:val="000000" w:themeColor="text1"/>
        </w:rPr>
      </w:pPr>
      <w:r w:rsidRPr="002A13E4">
        <w:rPr>
          <w:color w:val="000000" w:themeColor="text1"/>
        </w:rPr>
        <w:tab/>
        <w:t xml:space="preserve">The present study also suggested some possibilities for future investigation. First and foremost, future research could </w:t>
      </w:r>
      <w:proofErr w:type="gramStart"/>
      <w:r w:rsidRPr="002A13E4">
        <w:rPr>
          <w:color w:val="000000" w:themeColor="text1"/>
        </w:rPr>
        <w:t>look into</w:t>
      </w:r>
      <w:proofErr w:type="gramEnd"/>
      <w:r w:rsidRPr="002A13E4">
        <w:rPr>
          <w:color w:val="000000" w:themeColor="text1"/>
        </w:rPr>
        <w:t xml:space="preserve"> how other demographic factors influence failure perceptions and trust repair outcomes. Take the age groups for example</w:t>
      </w:r>
      <w:r w:rsidR="00F03D0E" w:rsidRPr="002A13E4">
        <w:rPr>
          <w:color w:val="000000" w:themeColor="text1"/>
        </w:rPr>
        <w:t>,</w:t>
      </w:r>
      <w:r w:rsidRPr="002A13E4">
        <w:rPr>
          <w:color w:val="000000" w:themeColor="text1"/>
        </w:rPr>
        <w:t xml:space="preserve"> they might possess distinct response patterns to robotic failures because of greater trust inertia. It will also be interesting to explore cultural differences in trust repair preferences, considering diversified cultural norms and distinct usage patterns of robots in different societies. Another indication is that future research could investigate other failure taxonomies, such as non-critical, repairable, vs. terminal failures </w:t>
      </w:r>
      <w:r w:rsidR="00F03D0E" w:rsidRPr="002A13E4">
        <w:rPr>
          <w:color w:val="000000" w:themeColor="text1"/>
        </w:rPr>
        <w:t xml:space="preserve">(Carlson &amp; Murphy, 2005) </w:t>
      </w:r>
      <w:r w:rsidRPr="002A13E4">
        <w:rPr>
          <w:color w:val="000000" w:themeColor="text1"/>
        </w:rPr>
        <w:t>and technical vs. decision-level failures (</w:t>
      </w:r>
      <w:proofErr w:type="spellStart"/>
      <w:r w:rsidRPr="002A13E4">
        <w:rPr>
          <w:color w:val="000000" w:themeColor="text1"/>
        </w:rPr>
        <w:t>Flook</w:t>
      </w:r>
      <w:proofErr w:type="spellEnd"/>
      <w:r w:rsidRPr="002A13E4">
        <w:rPr>
          <w:color w:val="000000" w:themeColor="text1"/>
        </w:rPr>
        <w:t xml:space="preserve"> et al., 2019), or more repair strategies, including empathizing, emotionally regulating, recognizing, anthropomorphizing, trumping, downgrading, and gaslighting (de Visser et al., 2018). Considering the participants’ connections with the robot in the present study were completely experiment-based, it will be valuable to investigate how people deal with different failures and repair strategies with technologies they actually use outside of labs, such as computers and personal digital assistants (e.g., Apple’s Siri, the Google Assistant, Alexa), </w:t>
      </w:r>
      <w:r w:rsidR="00F03D0E" w:rsidRPr="002A13E4">
        <w:rPr>
          <w:color w:val="000000" w:themeColor="text1"/>
        </w:rPr>
        <w:t>considering</w:t>
      </w:r>
      <w:r w:rsidRPr="002A13E4">
        <w:rPr>
          <w:color w:val="000000" w:themeColor="text1"/>
        </w:rPr>
        <w:t xml:space="preserve"> the dynamic of trust is rather complex. </w:t>
      </w:r>
      <w:r w:rsidR="00BC4E44" w:rsidRPr="002A13E4">
        <w:rPr>
          <w:color w:val="000000" w:themeColor="text1"/>
        </w:rPr>
        <w:t xml:space="preserve">The other alternative is to </w:t>
      </w:r>
      <w:r w:rsidR="00F03D0E" w:rsidRPr="002A13E4">
        <w:rPr>
          <w:color w:val="000000" w:themeColor="text1"/>
        </w:rPr>
        <w:t>extend</w:t>
      </w:r>
      <w:r w:rsidR="00BC4E44" w:rsidRPr="002A13E4">
        <w:rPr>
          <w:color w:val="000000" w:themeColor="text1"/>
        </w:rPr>
        <w:t xml:space="preserve"> the one-time contact into multiple</w:t>
      </w:r>
      <w:r w:rsidR="00C84935" w:rsidRPr="002A13E4">
        <w:rPr>
          <w:color w:val="000000" w:themeColor="text1"/>
        </w:rPr>
        <w:t>-time</w:t>
      </w:r>
      <w:r w:rsidR="00BC4E44" w:rsidRPr="002A13E4">
        <w:rPr>
          <w:color w:val="000000" w:themeColor="text1"/>
        </w:rPr>
        <w:t xml:space="preserve"> interactions</w:t>
      </w:r>
      <w:r w:rsidR="00F03D0E" w:rsidRPr="002A13E4">
        <w:rPr>
          <w:color w:val="000000" w:themeColor="text1"/>
        </w:rPr>
        <w:t xml:space="preserve"> </w:t>
      </w:r>
      <w:proofErr w:type="gramStart"/>
      <w:r w:rsidR="00F03D0E" w:rsidRPr="002A13E4">
        <w:rPr>
          <w:color w:val="000000" w:themeColor="text1"/>
        </w:rPr>
        <w:t>in order to</w:t>
      </w:r>
      <w:proofErr w:type="gramEnd"/>
      <w:r w:rsidR="00F03D0E" w:rsidRPr="002A13E4">
        <w:rPr>
          <w:color w:val="000000" w:themeColor="text1"/>
        </w:rPr>
        <w:t xml:space="preserve"> observe both short- and long-term impacts of robotic failures on HRI-based trust</w:t>
      </w:r>
      <w:r w:rsidR="00C84935" w:rsidRPr="002A13E4">
        <w:rPr>
          <w:color w:val="000000" w:themeColor="text1"/>
        </w:rPr>
        <w:t>.</w:t>
      </w:r>
      <w:r w:rsidR="00BC4E44" w:rsidRPr="002A13E4">
        <w:rPr>
          <w:color w:val="000000" w:themeColor="text1"/>
        </w:rPr>
        <w:t xml:space="preserve"> </w:t>
      </w:r>
      <w:proofErr w:type="gramStart"/>
      <w:r w:rsidRPr="002A13E4">
        <w:rPr>
          <w:color w:val="000000" w:themeColor="text1"/>
        </w:rPr>
        <w:t>Last but not least</w:t>
      </w:r>
      <w:proofErr w:type="gramEnd"/>
      <w:r w:rsidRPr="002A13E4">
        <w:rPr>
          <w:color w:val="000000" w:themeColor="text1"/>
        </w:rPr>
        <w:t xml:space="preserve">, future </w:t>
      </w:r>
      <w:r w:rsidR="00F03D0E" w:rsidRPr="002A13E4">
        <w:rPr>
          <w:color w:val="000000" w:themeColor="text1"/>
        </w:rPr>
        <w:t>research</w:t>
      </w:r>
      <w:r w:rsidRPr="002A13E4">
        <w:rPr>
          <w:color w:val="000000" w:themeColor="text1"/>
        </w:rPr>
        <w:t xml:space="preserve"> can</w:t>
      </w:r>
      <w:r w:rsidR="00F03D0E" w:rsidRPr="002A13E4">
        <w:rPr>
          <w:color w:val="000000" w:themeColor="text1"/>
        </w:rPr>
        <w:t xml:space="preserve"> also</w:t>
      </w:r>
      <w:r w:rsidRPr="002A13E4">
        <w:rPr>
          <w:color w:val="000000" w:themeColor="text1"/>
        </w:rPr>
        <w:t xml:space="preserve"> </w:t>
      </w:r>
      <w:r w:rsidR="00F03D0E" w:rsidRPr="002A13E4">
        <w:rPr>
          <w:color w:val="000000" w:themeColor="text1"/>
        </w:rPr>
        <w:t>study how differences in the abilities to cope with technic</w:t>
      </w:r>
      <w:r w:rsidR="00E53644" w:rsidRPr="002A13E4">
        <w:rPr>
          <w:color w:val="000000" w:themeColor="text1"/>
        </w:rPr>
        <w:t>al</w:t>
      </w:r>
      <w:r w:rsidR="00F03D0E" w:rsidRPr="002A13E4">
        <w:rPr>
          <w:color w:val="000000" w:themeColor="text1"/>
        </w:rPr>
        <w:t xml:space="preserve"> failures may contribute to digital inequality</w:t>
      </w:r>
      <w:r w:rsidRPr="002A13E4">
        <w:rPr>
          <w:color w:val="000000" w:themeColor="text1"/>
        </w:rPr>
        <w:t xml:space="preserve">. </w:t>
      </w:r>
    </w:p>
    <w:p w14:paraId="6DC3FB46" w14:textId="4B182D44" w:rsidR="00C84935" w:rsidRPr="002A13E4" w:rsidRDefault="00D73080">
      <w:pPr>
        <w:spacing w:after="160" w:line="259" w:lineRule="auto"/>
        <w:rPr>
          <w:color w:val="000000" w:themeColor="text1"/>
        </w:rPr>
      </w:pPr>
      <w:r w:rsidRPr="002A13E4">
        <w:rPr>
          <w:color w:val="000000" w:themeColor="text1"/>
        </w:rPr>
        <w:br w:type="page"/>
      </w:r>
    </w:p>
    <w:p w14:paraId="187E5BD3" w14:textId="77777777" w:rsidR="00DB7FAE" w:rsidRPr="00D64CA4" w:rsidRDefault="00F147F7" w:rsidP="00D64CA4">
      <w:pPr>
        <w:pStyle w:val="Heading1"/>
        <w:spacing w:before="0" w:line="480" w:lineRule="auto"/>
        <w:rPr>
          <w:b w:val="0"/>
          <w:bCs/>
          <w:color w:val="000000" w:themeColor="text1"/>
        </w:rPr>
      </w:pPr>
      <w:bookmarkStart w:id="48" w:name="_Toc73716043"/>
      <w:r w:rsidRPr="00D64CA4">
        <w:rPr>
          <w:b w:val="0"/>
          <w:bCs/>
          <w:color w:val="000000" w:themeColor="text1"/>
        </w:rPr>
        <w:lastRenderedPageBreak/>
        <w:t>Reference</w:t>
      </w:r>
      <w:bookmarkEnd w:id="48"/>
    </w:p>
    <w:p w14:paraId="7D865DCE" w14:textId="77777777" w:rsidR="00F8346C" w:rsidRPr="002A13E4" w:rsidRDefault="00F8346C">
      <w:pPr>
        <w:spacing w:line="480" w:lineRule="auto"/>
        <w:ind w:left="720" w:hanging="720"/>
        <w:rPr>
          <w:color w:val="000000" w:themeColor="text1"/>
        </w:rPr>
      </w:pPr>
      <w:bookmarkStart w:id="49" w:name="_heading=h.3j2qqm3" w:colFirst="0" w:colLast="0"/>
      <w:bookmarkEnd w:id="49"/>
      <w:r w:rsidRPr="002A13E4">
        <w:rPr>
          <w:color w:val="000000" w:themeColor="text1"/>
        </w:rPr>
        <w:t xml:space="preserve">Aquino, K., Tripp, T. M., &amp; </w:t>
      </w:r>
      <w:proofErr w:type="spellStart"/>
      <w:r w:rsidRPr="002A13E4">
        <w:rPr>
          <w:color w:val="000000" w:themeColor="text1"/>
        </w:rPr>
        <w:t>Bies</w:t>
      </w:r>
      <w:proofErr w:type="spellEnd"/>
      <w:r w:rsidRPr="002A13E4">
        <w:rPr>
          <w:color w:val="000000" w:themeColor="text1"/>
        </w:rPr>
        <w:t>, R. J. (2001). How employees respond to personal offense: The effects of blame attribution, victim status, and offender status on revenge and reconciliation in the workplace. </w:t>
      </w:r>
      <w:r w:rsidRPr="002A13E4">
        <w:rPr>
          <w:i/>
          <w:color w:val="000000" w:themeColor="text1"/>
        </w:rPr>
        <w:t>Journal of Applied Psychology</w:t>
      </w:r>
      <w:r w:rsidRPr="002A13E4">
        <w:rPr>
          <w:color w:val="000000" w:themeColor="text1"/>
        </w:rPr>
        <w:t>, </w:t>
      </w:r>
      <w:r w:rsidRPr="002A13E4">
        <w:rPr>
          <w:i/>
          <w:color w:val="000000" w:themeColor="text1"/>
        </w:rPr>
        <w:t>86</w:t>
      </w:r>
      <w:r w:rsidRPr="002A13E4">
        <w:rPr>
          <w:color w:val="000000" w:themeColor="text1"/>
        </w:rPr>
        <w:t>(1), 52–59.</w:t>
      </w:r>
    </w:p>
    <w:p w14:paraId="26C9B647" w14:textId="77777777" w:rsidR="00F8346C" w:rsidRPr="002A13E4" w:rsidRDefault="00F8346C">
      <w:pPr>
        <w:spacing w:line="480" w:lineRule="auto"/>
        <w:ind w:left="720" w:hanging="720"/>
        <w:rPr>
          <w:color w:val="000000" w:themeColor="text1"/>
        </w:rPr>
      </w:pPr>
      <w:r w:rsidRPr="002A13E4">
        <w:rPr>
          <w:color w:val="000000" w:themeColor="text1"/>
        </w:rPr>
        <w:t xml:space="preserve">Bachmann, R., Gillespie, N., &amp; </w:t>
      </w:r>
      <w:proofErr w:type="spellStart"/>
      <w:r w:rsidRPr="002A13E4">
        <w:rPr>
          <w:color w:val="000000" w:themeColor="text1"/>
        </w:rPr>
        <w:t>Priem</w:t>
      </w:r>
      <w:proofErr w:type="spellEnd"/>
      <w:r w:rsidRPr="002A13E4">
        <w:rPr>
          <w:color w:val="000000" w:themeColor="text1"/>
        </w:rPr>
        <w:t>, R. (2015). Repairing trust in organizations and institutions: Toward a conceptual framework. </w:t>
      </w:r>
      <w:r w:rsidRPr="002A13E4">
        <w:rPr>
          <w:i/>
          <w:color w:val="000000" w:themeColor="text1"/>
        </w:rPr>
        <w:t>Organization Studies</w:t>
      </w:r>
      <w:r w:rsidRPr="002A13E4">
        <w:rPr>
          <w:color w:val="000000" w:themeColor="text1"/>
        </w:rPr>
        <w:t>, </w:t>
      </w:r>
      <w:r w:rsidRPr="002A13E4">
        <w:rPr>
          <w:i/>
          <w:color w:val="000000" w:themeColor="text1"/>
        </w:rPr>
        <w:t>36</w:t>
      </w:r>
      <w:r w:rsidRPr="002A13E4">
        <w:rPr>
          <w:color w:val="000000" w:themeColor="text1"/>
        </w:rPr>
        <w:t>(9), 1123–1142.</w:t>
      </w:r>
    </w:p>
    <w:p w14:paraId="236280CF" w14:textId="77777777" w:rsidR="00F8346C" w:rsidRPr="002A13E4" w:rsidRDefault="00F8346C">
      <w:pPr>
        <w:spacing w:line="480" w:lineRule="auto"/>
        <w:ind w:left="720" w:hanging="720"/>
        <w:rPr>
          <w:color w:val="000000" w:themeColor="text1"/>
        </w:rPr>
      </w:pPr>
      <w:r w:rsidRPr="002A13E4">
        <w:rPr>
          <w:color w:val="000000" w:themeColor="text1"/>
        </w:rPr>
        <w:t>Baker, A. L., Phillips, E. K., Ullman, D., &amp; Keebler, J. R. (2018). Toward an understanding of trust repair in human-robot interaction. </w:t>
      </w:r>
      <w:r w:rsidRPr="002A13E4">
        <w:rPr>
          <w:i/>
          <w:color w:val="000000" w:themeColor="text1"/>
        </w:rPr>
        <w:t>ACM Transactions on Interactive Intelligent Systems</w:t>
      </w:r>
      <w:r w:rsidRPr="002A13E4">
        <w:rPr>
          <w:color w:val="000000" w:themeColor="text1"/>
        </w:rPr>
        <w:t xml:space="preserve">, </w:t>
      </w:r>
      <w:r w:rsidRPr="002A13E4">
        <w:rPr>
          <w:i/>
          <w:color w:val="000000" w:themeColor="text1"/>
        </w:rPr>
        <w:t>8</w:t>
      </w:r>
      <w:r w:rsidRPr="002A13E4">
        <w:rPr>
          <w:color w:val="000000" w:themeColor="text1"/>
        </w:rPr>
        <w:t>(4), 1–30.</w:t>
      </w:r>
    </w:p>
    <w:p w14:paraId="14F455D3" w14:textId="77777777" w:rsidR="00F8346C" w:rsidRPr="002A13E4" w:rsidRDefault="00F8346C">
      <w:pPr>
        <w:spacing w:line="480" w:lineRule="auto"/>
        <w:ind w:left="720" w:hanging="720"/>
        <w:rPr>
          <w:color w:val="000000" w:themeColor="text1"/>
        </w:rPr>
      </w:pPr>
      <w:r w:rsidRPr="002A13E4">
        <w:rPr>
          <w:color w:val="000000" w:themeColor="text1"/>
        </w:rPr>
        <w:t>Banks, J. (2019). A perceived moral agency scale: Development and validation of a metric for humans and social machines. </w:t>
      </w:r>
      <w:r w:rsidRPr="002A13E4">
        <w:rPr>
          <w:i/>
          <w:color w:val="000000" w:themeColor="text1"/>
        </w:rPr>
        <w:t>Computers in Human Behavior</w:t>
      </w:r>
      <w:r w:rsidRPr="002A13E4">
        <w:rPr>
          <w:color w:val="000000" w:themeColor="text1"/>
        </w:rPr>
        <w:t>, </w:t>
      </w:r>
      <w:r w:rsidRPr="002A13E4">
        <w:rPr>
          <w:i/>
          <w:color w:val="000000" w:themeColor="text1"/>
        </w:rPr>
        <w:t>90</w:t>
      </w:r>
      <w:r w:rsidRPr="002A13E4">
        <w:rPr>
          <w:color w:val="000000" w:themeColor="text1"/>
        </w:rPr>
        <w:t>, 363–371.</w:t>
      </w:r>
    </w:p>
    <w:p w14:paraId="7C8D4435" w14:textId="77777777" w:rsidR="00F8346C" w:rsidRPr="002A13E4" w:rsidRDefault="00F8346C">
      <w:pPr>
        <w:spacing w:line="480" w:lineRule="auto"/>
        <w:ind w:left="720" w:hanging="720"/>
        <w:rPr>
          <w:color w:val="000000" w:themeColor="text1"/>
        </w:rPr>
      </w:pPr>
      <w:r w:rsidRPr="002A13E4">
        <w:rPr>
          <w:color w:val="000000" w:themeColor="text1"/>
        </w:rPr>
        <w:t>Bansal, G., &amp; Zahedi, F. M. (2015). Trust violation and repair: The information privacy perspective. </w:t>
      </w:r>
      <w:r w:rsidRPr="002A13E4">
        <w:rPr>
          <w:i/>
          <w:color w:val="000000" w:themeColor="text1"/>
        </w:rPr>
        <w:t>Decision Support Systems</w:t>
      </w:r>
      <w:r w:rsidRPr="002A13E4">
        <w:rPr>
          <w:color w:val="000000" w:themeColor="text1"/>
        </w:rPr>
        <w:t>, </w:t>
      </w:r>
      <w:r w:rsidRPr="002A13E4">
        <w:rPr>
          <w:i/>
          <w:color w:val="000000" w:themeColor="text1"/>
        </w:rPr>
        <w:t>71</w:t>
      </w:r>
      <w:r w:rsidRPr="002A13E4">
        <w:rPr>
          <w:color w:val="000000" w:themeColor="text1"/>
        </w:rPr>
        <w:t>, 62–77.</w:t>
      </w:r>
    </w:p>
    <w:p w14:paraId="527EAD2C" w14:textId="77777777" w:rsidR="00F8346C" w:rsidRPr="002A13E4" w:rsidRDefault="00F8346C">
      <w:pPr>
        <w:spacing w:line="480" w:lineRule="auto"/>
        <w:ind w:left="720" w:hanging="720"/>
        <w:rPr>
          <w:color w:val="000000" w:themeColor="text1"/>
        </w:rPr>
      </w:pPr>
      <w:proofErr w:type="spellStart"/>
      <w:r w:rsidRPr="002A13E4">
        <w:rPr>
          <w:color w:val="000000" w:themeColor="text1"/>
        </w:rPr>
        <w:t>Beldad</w:t>
      </w:r>
      <w:proofErr w:type="spellEnd"/>
      <w:r w:rsidRPr="002A13E4">
        <w:rPr>
          <w:color w:val="000000" w:themeColor="text1"/>
        </w:rPr>
        <w:t xml:space="preserve">, A. D., Van </w:t>
      </w:r>
      <w:proofErr w:type="spellStart"/>
      <w:r w:rsidRPr="002A13E4">
        <w:rPr>
          <w:color w:val="000000" w:themeColor="text1"/>
        </w:rPr>
        <w:t>Laar</w:t>
      </w:r>
      <w:proofErr w:type="spellEnd"/>
      <w:r w:rsidRPr="002A13E4">
        <w:rPr>
          <w:color w:val="000000" w:themeColor="text1"/>
        </w:rPr>
        <w:t xml:space="preserve">, E., &amp; </w:t>
      </w:r>
      <w:proofErr w:type="spellStart"/>
      <w:r w:rsidRPr="002A13E4">
        <w:rPr>
          <w:color w:val="000000" w:themeColor="text1"/>
        </w:rPr>
        <w:t>Hegner</w:t>
      </w:r>
      <w:proofErr w:type="spellEnd"/>
      <w:r w:rsidRPr="002A13E4">
        <w:rPr>
          <w:color w:val="000000" w:themeColor="text1"/>
        </w:rPr>
        <w:t>, S. M. (2018). Should the shady steal thunder? The effects of crisis communication timing, pre-crisis reputation valence, and crisis type on post-crisis organizational trust and purchase intention. </w:t>
      </w:r>
      <w:r w:rsidRPr="002A13E4">
        <w:rPr>
          <w:i/>
          <w:color w:val="000000" w:themeColor="text1"/>
        </w:rPr>
        <w:t>Journal of Contingencies and Crisis Management</w:t>
      </w:r>
      <w:r w:rsidRPr="002A13E4">
        <w:rPr>
          <w:color w:val="000000" w:themeColor="text1"/>
        </w:rPr>
        <w:t>, </w:t>
      </w:r>
      <w:r w:rsidRPr="002A13E4">
        <w:rPr>
          <w:i/>
          <w:color w:val="000000" w:themeColor="text1"/>
        </w:rPr>
        <w:t>26</w:t>
      </w:r>
      <w:r w:rsidRPr="002A13E4">
        <w:rPr>
          <w:color w:val="000000" w:themeColor="text1"/>
        </w:rPr>
        <w:t>(1), 150–163.</w:t>
      </w:r>
    </w:p>
    <w:p w14:paraId="60C65E01" w14:textId="77777777" w:rsidR="00F8346C" w:rsidRPr="002A13E4" w:rsidRDefault="00F8346C">
      <w:pPr>
        <w:spacing w:line="480" w:lineRule="auto"/>
        <w:ind w:left="720" w:hanging="720"/>
        <w:rPr>
          <w:color w:val="000000" w:themeColor="text1"/>
        </w:rPr>
      </w:pPr>
      <w:proofErr w:type="spellStart"/>
      <w:r w:rsidRPr="002A13E4">
        <w:rPr>
          <w:color w:val="000000" w:themeColor="text1"/>
        </w:rPr>
        <w:t>Bies</w:t>
      </w:r>
      <w:proofErr w:type="spellEnd"/>
      <w:r w:rsidRPr="002A13E4">
        <w:rPr>
          <w:color w:val="000000" w:themeColor="text1"/>
        </w:rPr>
        <w:t>, R. J., &amp; Tripp, T. M. (1996). Beyond distrust: Getting even and the need for revenge, In R. M. Kramer &amp; T. R. Tyler (Eds.), </w:t>
      </w:r>
      <w:r w:rsidRPr="002A13E4">
        <w:rPr>
          <w:i/>
          <w:color w:val="000000" w:themeColor="text1"/>
        </w:rPr>
        <w:t>Trust in organizations: Frontiers of theory and research</w:t>
      </w:r>
      <w:r w:rsidRPr="002A13E4">
        <w:rPr>
          <w:color w:val="000000" w:themeColor="text1"/>
        </w:rPr>
        <w:t> (pp. 246–260). Sage Publications.</w:t>
      </w:r>
    </w:p>
    <w:p w14:paraId="35113138" w14:textId="77777777" w:rsidR="00F8346C" w:rsidRPr="002A13E4" w:rsidRDefault="00F8346C">
      <w:pPr>
        <w:spacing w:line="480" w:lineRule="auto"/>
        <w:ind w:left="720" w:hanging="720"/>
        <w:rPr>
          <w:color w:val="000000" w:themeColor="text1"/>
        </w:rPr>
      </w:pPr>
      <w:r w:rsidRPr="002A13E4">
        <w:rPr>
          <w:color w:val="000000" w:themeColor="text1"/>
        </w:rPr>
        <w:t>Bradfield, M., &amp; Aquino, K. (1999). The effects of blame attributions and offender likableness on forgiveness and revenge in the workplace. </w:t>
      </w:r>
      <w:r w:rsidRPr="002A13E4">
        <w:rPr>
          <w:i/>
          <w:color w:val="000000" w:themeColor="text1"/>
        </w:rPr>
        <w:t>Journal of management</w:t>
      </w:r>
      <w:r w:rsidRPr="002A13E4">
        <w:rPr>
          <w:color w:val="000000" w:themeColor="text1"/>
        </w:rPr>
        <w:t>, </w:t>
      </w:r>
      <w:r w:rsidRPr="002A13E4">
        <w:rPr>
          <w:i/>
          <w:color w:val="000000" w:themeColor="text1"/>
        </w:rPr>
        <w:t>25</w:t>
      </w:r>
      <w:r w:rsidRPr="002A13E4">
        <w:rPr>
          <w:color w:val="000000" w:themeColor="text1"/>
        </w:rPr>
        <w:t>(5), 607–631.</w:t>
      </w:r>
    </w:p>
    <w:p w14:paraId="6F99F78D" w14:textId="77777777" w:rsidR="00F8346C" w:rsidRPr="002A13E4" w:rsidRDefault="00F8346C">
      <w:pPr>
        <w:spacing w:line="480" w:lineRule="auto"/>
        <w:ind w:left="720" w:hanging="720"/>
        <w:rPr>
          <w:color w:val="000000" w:themeColor="text1"/>
        </w:rPr>
      </w:pPr>
      <w:r w:rsidRPr="002A13E4">
        <w:rPr>
          <w:color w:val="000000" w:themeColor="text1"/>
        </w:rPr>
        <w:lastRenderedPageBreak/>
        <w:t>Brooks, D. 2017. </w:t>
      </w:r>
      <w:r w:rsidRPr="002A13E4">
        <w:rPr>
          <w:i/>
          <w:color w:val="000000" w:themeColor="text1"/>
        </w:rPr>
        <w:t xml:space="preserve">A human-centric approach to autonomous robot failures </w:t>
      </w:r>
      <w:r w:rsidRPr="002A13E4">
        <w:rPr>
          <w:color w:val="000000" w:themeColor="text1"/>
        </w:rPr>
        <w:t>(Doctoral dissertation)</w:t>
      </w:r>
      <w:r w:rsidRPr="002A13E4">
        <w:rPr>
          <w:i/>
          <w:color w:val="000000" w:themeColor="text1"/>
        </w:rPr>
        <w:t>.</w:t>
      </w:r>
      <w:r w:rsidRPr="002A13E4">
        <w:rPr>
          <w:color w:val="000000" w:themeColor="text1"/>
        </w:rPr>
        <w:t xml:space="preserve"> Available from ProQuest Dissertations and Theses Database. (UMI No. 10643702)</w:t>
      </w:r>
    </w:p>
    <w:p w14:paraId="00BABDA2" w14:textId="77777777" w:rsidR="00F8346C" w:rsidRPr="002A13E4" w:rsidRDefault="00F8346C">
      <w:pPr>
        <w:spacing w:line="480" w:lineRule="auto"/>
        <w:ind w:left="720" w:hanging="720"/>
        <w:rPr>
          <w:color w:val="000000" w:themeColor="text1"/>
        </w:rPr>
      </w:pPr>
      <w:bookmarkStart w:id="50" w:name="_heading=h.1y810tw" w:colFirst="0" w:colLast="0"/>
      <w:bookmarkEnd w:id="50"/>
      <w:r w:rsidRPr="002A13E4">
        <w:rPr>
          <w:color w:val="000000" w:themeColor="text1"/>
        </w:rPr>
        <w:t>Carlson, J., &amp; Murphy, R. R. (2005). How UGVs physically fail in the field. </w:t>
      </w:r>
      <w:r w:rsidRPr="002A13E4">
        <w:rPr>
          <w:i/>
          <w:color w:val="000000" w:themeColor="text1"/>
        </w:rPr>
        <w:t>IEEE Transactions on Robotics</w:t>
      </w:r>
      <w:r w:rsidRPr="002A13E4">
        <w:rPr>
          <w:color w:val="000000" w:themeColor="text1"/>
        </w:rPr>
        <w:t>, </w:t>
      </w:r>
      <w:r w:rsidRPr="002A13E4">
        <w:rPr>
          <w:i/>
          <w:color w:val="000000" w:themeColor="text1"/>
        </w:rPr>
        <w:t>21</w:t>
      </w:r>
      <w:r w:rsidRPr="002A13E4">
        <w:rPr>
          <w:color w:val="000000" w:themeColor="text1"/>
        </w:rPr>
        <w:t>(3), 423–437.</w:t>
      </w:r>
    </w:p>
    <w:p w14:paraId="1709A86D" w14:textId="77777777" w:rsidR="00F8346C" w:rsidRPr="002A13E4" w:rsidRDefault="00F8346C">
      <w:pPr>
        <w:spacing w:line="480" w:lineRule="auto"/>
        <w:ind w:left="720" w:hanging="720"/>
        <w:rPr>
          <w:color w:val="000000" w:themeColor="text1"/>
        </w:rPr>
      </w:pPr>
      <w:proofErr w:type="spellStart"/>
      <w:r w:rsidRPr="002A13E4">
        <w:rPr>
          <w:color w:val="000000" w:themeColor="text1"/>
        </w:rPr>
        <w:t>Chamani</w:t>
      </w:r>
      <w:proofErr w:type="spellEnd"/>
      <w:r w:rsidRPr="002A13E4">
        <w:rPr>
          <w:color w:val="000000" w:themeColor="text1"/>
        </w:rPr>
        <w:t xml:space="preserve">, F., &amp; </w:t>
      </w:r>
      <w:proofErr w:type="spellStart"/>
      <w:r w:rsidRPr="002A13E4">
        <w:rPr>
          <w:color w:val="000000" w:themeColor="text1"/>
        </w:rPr>
        <w:t>Zareipur</w:t>
      </w:r>
      <w:proofErr w:type="spellEnd"/>
      <w:r w:rsidRPr="002A13E4">
        <w:rPr>
          <w:color w:val="000000" w:themeColor="text1"/>
        </w:rPr>
        <w:t>, P. (2010). A cross-cultural study of apologies in British English and Persian. </w:t>
      </w:r>
      <w:r w:rsidRPr="002A13E4">
        <w:rPr>
          <w:i/>
          <w:color w:val="000000" w:themeColor="text1"/>
        </w:rPr>
        <w:t>Concentric: Studies in Linguistics</w:t>
      </w:r>
      <w:r w:rsidRPr="002A13E4">
        <w:rPr>
          <w:color w:val="000000" w:themeColor="text1"/>
        </w:rPr>
        <w:t>, </w:t>
      </w:r>
      <w:r w:rsidRPr="002A13E4">
        <w:rPr>
          <w:i/>
          <w:color w:val="000000" w:themeColor="text1"/>
        </w:rPr>
        <w:t>36</w:t>
      </w:r>
      <w:r w:rsidRPr="002A13E4">
        <w:rPr>
          <w:color w:val="000000" w:themeColor="text1"/>
        </w:rPr>
        <w:t xml:space="preserve">(1), 133–153. </w:t>
      </w:r>
    </w:p>
    <w:p w14:paraId="688F1664" w14:textId="77777777" w:rsidR="00F8346C" w:rsidRPr="002A13E4" w:rsidRDefault="00F8346C">
      <w:pPr>
        <w:spacing w:line="480" w:lineRule="auto"/>
        <w:ind w:left="720" w:hanging="720"/>
        <w:rPr>
          <w:color w:val="000000" w:themeColor="text1"/>
        </w:rPr>
      </w:pPr>
      <w:proofErr w:type="spellStart"/>
      <w:r w:rsidRPr="002A13E4">
        <w:rPr>
          <w:color w:val="000000" w:themeColor="text1"/>
        </w:rPr>
        <w:t>Chancey</w:t>
      </w:r>
      <w:proofErr w:type="spellEnd"/>
      <w:r w:rsidRPr="002A13E4">
        <w:rPr>
          <w:color w:val="000000" w:themeColor="text1"/>
        </w:rPr>
        <w:t xml:space="preserve">, E. T., Bliss, J. P., </w:t>
      </w:r>
      <w:proofErr w:type="spellStart"/>
      <w:r w:rsidRPr="002A13E4">
        <w:rPr>
          <w:color w:val="000000" w:themeColor="text1"/>
        </w:rPr>
        <w:t>Liechty</w:t>
      </w:r>
      <w:proofErr w:type="spellEnd"/>
      <w:r w:rsidRPr="002A13E4">
        <w:rPr>
          <w:color w:val="000000" w:themeColor="text1"/>
        </w:rPr>
        <w:t xml:space="preserve">, M., &amp; </w:t>
      </w:r>
      <w:proofErr w:type="spellStart"/>
      <w:r w:rsidRPr="002A13E4">
        <w:rPr>
          <w:color w:val="000000" w:themeColor="text1"/>
        </w:rPr>
        <w:t>Proaps</w:t>
      </w:r>
      <w:proofErr w:type="spellEnd"/>
      <w:r w:rsidRPr="002A13E4">
        <w:rPr>
          <w:color w:val="000000" w:themeColor="text1"/>
        </w:rPr>
        <w:t xml:space="preserve">, A. B. (2015, September). False alarms vs. misses: Subjective trust as a mediator between reliability and alarm reaction measures. </w:t>
      </w:r>
      <w:r w:rsidRPr="002A13E4">
        <w:rPr>
          <w:i/>
          <w:color w:val="000000" w:themeColor="text1"/>
        </w:rPr>
        <w:t>Proceedings of the Human Factors and Ergonomics Society Annual Meeting</w:t>
      </w:r>
      <w:r w:rsidRPr="002A13E4">
        <w:rPr>
          <w:color w:val="000000" w:themeColor="text1"/>
        </w:rPr>
        <w:t xml:space="preserve">, </w:t>
      </w:r>
      <w:r w:rsidRPr="002A13E4">
        <w:rPr>
          <w:i/>
          <w:color w:val="000000" w:themeColor="text1"/>
        </w:rPr>
        <w:t>59</w:t>
      </w:r>
      <w:r w:rsidRPr="002A13E4">
        <w:rPr>
          <w:color w:val="000000" w:themeColor="text1"/>
        </w:rPr>
        <w:t xml:space="preserve">(1), 647–651). </w:t>
      </w:r>
    </w:p>
    <w:p w14:paraId="545AF9E5" w14:textId="77777777" w:rsidR="00F8346C" w:rsidRPr="002A13E4" w:rsidRDefault="00F8346C">
      <w:pPr>
        <w:spacing w:line="480" w:lineRule="auto"/>
        <w:ind w:left="720" w:hanging="720"/>
        <w:rPr>
          <w:rFonts w:ascii="Times" w:eastAsia="Times" w:hAnsi="Times" w:cs="Times"/>
          <w:color w:val="000000" w:themeColor="text1"/>
        </w:rPr>
      </w:pPr>
      <w:r w:rsidRPr="002A13E4">
        <w:rPr>
          <w:rFonts w:ascii="Times" w:eastAsia="Times" w:hAnsi="Times" w:cs="Times"/>
          <w:color w:val="000000" w:themeColor="text1"/>
        </w:rPr>
        <w:t>Chiu, C. Y., Dweck, C. S., Tong, J. Y., &amp; Fu, J. H. (1997). Implicit theories and conceptions of morality. </w:t>
      </w:r>
      <w:r w:rsidRPr="002A13E4">
        <w:rPr>
          <w:rFonts w:ascii="Times" w:eastAsia="Times" w:hAnsi="Times" w:cs="Times"/>
          <w:i/>
          <w:color w:val="000000" w:themeColor="text1"/>
        </w:rPr>
        <w:t>Journal of Personality and Social Psychology</w:t>
      </w:r>
      <w:r w:rsidRPr="002A13E4">
        <w:rPr>
          <w:rFonts w:ascii="Times" w:eastAsia="Times" w:hAnsi="Times" w:cs="Times"/>
          <w:color w:val="000000" w:themeColor="text1"/>
        </w:rPr>
        <w:t>, </w:t>
      </w:r>
      <w:r w:rsidRPr="002A13E4">
        <w:rPr>
          <w:rFonts w:ascii="Times" w:eastAsia="Times" w:hAnsi="Times" w:cs="Times"/>
          <w:i/>
          <w:color w:val="000000" w:themeColor="text1"/>
        </w:rPr>
        <w:t>73</w:t>
      </w:r>
      <w:r w:rsidRPr="002A13E4">
        <w:rPr>
          <w:rFonts w:ascii="Times" w:eastAsia="Times" w:hAnsi="Times" w:cs="Times"/>
          <w:color w:val="000000" w:themeColor="text1"/>
        </w:rPr>
        <w:t>(5), 923</w:t>
      </w:r>
      <w:r w:rsidRPr="002A13E4">
        <w:rPr>
          <w:color w:val="000000" w:themeColor="text1"/>
        </w:rPr>
        <w:t>–940</w:t>
      </w:r>
      <w:r w:rsidRPr="002A13E4">
        <w:rPr>
          <w:rFonts w:ascii="Times" w:eastAsia="Times" w:hAnsi="Times" w:cs="Times"/>
          <w:color w:val="000000" w:themeColor="text1"/>
        </w:rPr>
        <w:t>.</w:t>
      </w:r>
    </w:p>
    <w:p w14:paraId="41319637" w14:textId="77777777" w:rsidR="00F8346C" w:rsidRPr="002A13E4" w:rsidRDefault="00F8346C">
      <w:pPr>
        <w:spacing w:line="480" w:lineRule="auto"/>
        <w:ind w:left="720" w:hanging="720"/>
        <w:rPr>
          <w:color w:val="000000" w:themeColor="text1"/>
        </w:rPr>
      </w:pPr>
      <w:proofErr w:type="spellStart"/>
      <w:r w:rsidRPr="002A13E4">
        <w:rPr>
          <w:color w:val="000000" w:themeColor="text1"/>
        </w:rPr>
        <w:t>Coeckelbergh</w:t>
      </w:r>
      <w:proofErr w:type="spellEnd"/>
      <w:r w:rsidRPr="002A13E4">
        <w:rPr>
          <w:color w:val="000000" w:themeColor="text1"/>
        </w:rPr>
        <w:t xml:space="preserve">, M. (2012). Can we trust </w:t>
      </w:r>
      <w:proofErr w:type="gramStart"/>
      <w:r w:rsidRPr="002A13E4">
        <w:rPr>
          <w:color w:val="000000" w:themeColor="text1"/>
        </w:rPr>
        <w:t>robots?.</w:t>
      </w:r>
      <w:proofErr w:type="gramEnd"/>
      <w:r w:rsidRPr="002A13E4">
        <w:rPr>
          <w:color w:val="000000" w:themeColor="text1"/>
        </w:rPr>
        <w:t> </w:t>
      </w:r>
      <w:r w:rsidRPr="002A13E4">
        <w:rPr>
          <w:i/>
          <w:color w:val="000000" w:themeColor="text1"/>
        </w:rPr>
        <w:t>Ethics and Information Technology</w:t>
      </w:r>
      <w:r w:rsidRPr="002A13E4">
        <w:rPr>
          <w:color w:val="000000" w:themeColor="text1"/>
        </w:rPr>
        <w:t>, </w:t>
      </w:r>
      <w:r w:rsidRPr="002A13E4">
        <w:rPr>
          <w:i/>
          <w:color w:val="000000" w:themeColor="text1"/>
        </w:rPr>
        <w:t>14</w:t>
      </w:r>
      <w:r w:rsidRPr="002A13E4">
        <w:rPr>
          <w:color w:val="000000" w:themeColor="text1"/>
        </w:rPr>
        <w:t>(1), 53–60.</w:t>
      </w:r>
    </w:p>
    <w:p w14:paraId="265C9586" w14:textId="77777777" w:rsidR="00F8346C" w:rsidRPr="002A13E4" w:rsidRDefault="00F8346C">
      <w:pPr>
        <w:spacing w:line="480" w:lineRule="auto"/>
        <w:ind w:left="720" w:hanging="720"/>
        <w:rPr>
          <w:color w:val="000000" w:themeColor="text1"/>
        </w:rPr>
      </w:pPr>
      <w:r w:rsidRPr="002A13E4">
        <w:rPr>
          <w:color w:val="000000" w:themeColor="text1"/>
        </w:rPr>
        <w:t xml:space="preserve">Cohen, A. D., &amp; </w:t>
      </w:r>
      <w:proofErr w:type="spellStart"/>
      <w:r w:rsidRPr="002A13E4">
        <w:rPr>
          <w:color w:val="000000" w:themeColor="text1"/>
        </w:rPr>
        <w:t>Olshtain</w:t>
      </w:r>
      <w:proofErr w:type="spellEnd"/>
      <w:r w:rsidRPr="002A13E4">
        <w:rPr>
          <w:color w:val="000000" w:themeColor="text1"/>
        </w:rPr>
        <w:t xml:space="preserve">, E. (1985). Comparing apologies across languages. In K. R. </w:t>
      </w:r>
      <w:proofErr w:type="spellStart"/>
      <w:r w:rsidRPr="002A13E4">
        <w:rPr>
          <w:color w:val="000000" w:themeColor="text1"/>
        </w:rPr>
        <w:t>Jankowsky</w:t>
      </w:r>
      <w:proofErr w:type="spellEnd"/>
      <w:r w:rsidRPr="002A13E4">
        <w:rPr>
          <w:color w:val="000000" w:themeColor="text1"/>
        </w:rPr>
        <w:t xml:space="preserve"> (Ed.), </w:t>
      </w:r>
      <w:r w:rsidRPr="002A13E4">
        <w:rPr>
          <w:i/>
          <w:color w:val="000000" w:themeColor="text1"/>
        </w:rPr>
        <w:t>Scientific and humanistic dimensions of language</w:t>
      </w:r>
      <w:r w:rsidRPr="002A13E4">
        <w:rPr>
          <w:color w:val="000000" w:themeColor="text1"/>
        </w:rPr>
        <w:t xml:space="preserve"> (pp.175–184). John Benjamins.</w:t>
      </w:r>
    </w:p>
    <w:p w14:paraId="48E0EB7A" w14:textId="77777777" w:rsidR="00F8346C" w:rsidRPr="002A13E4" w:rsidRDefault="00F8346C">
      <w:pPr>
        <w:spacing w:line="480" w:lineRule="auto"/>
        <w:ind w:left="720" w:hanging="720"/>
        <w:rPr>
          <w:color w:val="000000" w:themeColor="text1"/>
        </w:rPr>
      </w:pPr>
      <w:r w:rsidRPr="002A13E4">
        <w:rPr>
          <w:color w:val="000000" w:themeColor="text1"/>
        </w:rPr>
        <w:t xml:space="preserve">Colquitt, J. A., Scott, B. A., &amp; </w:t>
      </w:r>
      <w:proofErr w:type="spellStart"/>
      <w:r w:rsidRPr="002A13E4">
        <w:rPr>
          <w:color w:val="000000" w:themeColor="text1"/>
        </w:rPr>
        <w:t>LePine</w:t>
      </w:r>
      <w:proofErr w:type="spellEnd"/>
      <w:r w:rsidRPr="002A13E4">
        <w:rPr>
          <w:color w:val="000000" w:themeColor="text1"/>
        </w:rPr>
        <w:t xml:space="preserve">, J. A. (2007). Trust, trustworthiness, and trust propensity: A meta-analytic test of their unique relationships with risk taking and job performance. </w:t>
      </w:r>
      <w:r w:rsidRPr="002A13E4">
        <w:rPr>
          <w:i/>
          <w:color w:val="000000" w:themeColor="text1"/>
        </w:rPr>
        <w:t>Journal of Applied Psychology</w:t>
      </w:r>
      <w:r w:rsidRPr="002A13E4">
        <w:rPr>
          <w:color w:val="000000" w:themeColor="text1"/>
        </w:rPr>
        <w:t xml:space="preserve">, </w:t>
      </w:r>
      <w:r w:rsidRPr="002A13E4">
        <w:rPr>
          <w:i/>
          <w:color w:val="000000" w:themeColor="text1"/>
        </w:rPr>
        <w:t>92</w:t>
      </w:r>
      <w:r w:rsidRPr="002A13E4">
        <w:rPr>
          <w:color w:val="000000" w:themeColor="text1"/>
        </w:rPr>
        <w:t>, 909–927.</w:t>
      </w:r>
    </w:p>
    <w:p w14:paraId="77B69131" w14:textId="77777777" w:rsidR="00F8346C" w:rsidRPr="002A13E4" w:rsidRDefault="00F8346C">
      <w:pPr>
        <w:spacing w:line="480" w:lineRule="auto"/>
        <w:ind w:left="720" w:hanging="720"/>
        <w:rPr>
          <w:color w:val="000000" w:themeColor="text1"/>
        </w:rPr>
      </w:pPr>
      <w:r w:rsidRPr="002A13E4">
        <w:rPr>
          <w:color w:val="000000" w:themeColor="text1"/>
        </w:rPr>
        <w:t xml:space="preserve">Correia, F., Guerra, C., </w:t>
      </w:r>
      <w:proofErr w:type="spellStart"/>
      <w:r w:rsidRPr="002A13E4">
        <w:rPr>
          <w:color w:val="000000" w:themeColor="text1"/>
        </w:rPr>
        <w:t>Mascarenhas</w:t>
      </w:r>
      <w:proofErr w:type="spellEnd"/>
      <w:r w:rsidRPr="002A13E4">
        <w:rPr>
          <w:color w:val="000000" w:themeColor="text1"/>
        </w:rPr>
        <w:t xml:space="preserve">, S., Melo, F. S., &amp; Paiva, A. (2018, July). Exploring the impact of fault justification in human-robot trust. </w:t>
      </w:r>
      <w:r w:rsidRPr="002A13E4">
        <w:rPr>
          <w:i/>
          <w:color w:val="000000" w:themeColor="text1"/>
        </w:rPr>
        <w:t>Proceedings of the 17th International Conference on Autonomous Agents and Multi Agent Systems</w:t>
      </w:r>
      <w:r w:rsidRPr="002A13E4">
        <w:rPr>
          <w:color w:val="000000" w:themeColor="text1"/>
        </w:rPr>
        <w:t>, 507–513.</w:t>
      </w:r>
    </w:p>
    <w:p w14:paraId="31ECF7E4" w14:textId="77777777" w:rsidR="00F8346C" w:rsidRPr="002A13E4" w:rsidRDefault="00F8346C">
      <w:pPr>
        <w:spacing w:line="480" w:lineRule="auto"/>
        <w:ind w:left="720" w:hanging="720"/>
        <w:rPr>
          <w:color w:val="000000" w:themeColor="text1"/>
        </w:rPr>
      </w:pPr>
      <w:proofErr w:type="spellStart"/>
      <w:r w:rsidRPr="002A13E4">
        <w:rPr>
          <w:color w:val="000000" w:themeColor="text1"/>
        </w:rPr>
        <w:lastRenderedPageBreak/>
        <w:t>Corritore</w:t>
      </w:r>
      <w:proofErr w:type="spellEnd"/>
      <w:r w:rsidRPr="002A13E4">
        <w:rPr>
          <w:color w:val="000000" w:themeColor="text1"/>
        </w:rPr>
        <w:t xml:space="preserve">, C. L., </w:t>
      </w:r>
      <w:proofErr w:type="spellStart"/>
      <w:r w:rsidRPr="002A13E4">
        <w:rPr>
          <w:color w:val="000000" w:themeColor="text1"/>
        </w:rPr>
        <w:t>Kracher</w:t>
      </w:r>
      <w:proofErr w:type="spellEnd"/>
      <w:r w:rsidRPr="002A13E4">
        <w:rPr>
          <w:color w:val="000000" w:themeColor="text1"/>
        </w:rPr>
        <w:t xml:space="preserve">, B., &amp; </w:t>
      </w:r>
      <w:proofErr w:type="spellStart"/>
      <w:r w:rsidRPr="002A13E4">
        <w:rPr>
          <w:color w:val="000000" w:themeColor="text1"/>
        </w:rPr>
        <w:t>Wiedenbeck</w:t>
      </w:r>
      <w:proofErr w:type="spellEnd"/>
      <w:r w:rsidRPr="002A13E4">
        <w:rPr>
          <w:color w:val="000000" w:themeColor="text1"/>
        </w:rPr>
        <w:t>, S. (2003). On-line trust: Concepts, evolving themes, a model. </w:t>
      </w:r>
      <w:r w:rsidRPr="002A13E4">
        <w:rPr>
          <w:i/>
          <w:color w:val="000000" w:themeColor="text1"/>
        </w:rPr>
        <w:t>International Journal of Human-Computer Studies</w:t>
      </w:r>
      <w:r w:rsidRPr="002A13E4">
        <w:rPr>
          <w:color w:val="000000" w:themeColor="text1"/>
        </w:rPr>
        <w:t>, </w:t>
      </w:r>
      <w:r w:rsidRPr="002A13E4">
        <w:rPr>
          <w:i/>
          <w:color w:val="000000" w:themeColor="text1"/>
        </w:rPr>
        <w:t>58</w:t>
      </w:r>
      <w:r w:rsidRPr="002A13E4">
        <w:rPr>
          <w:color w:val="000000" w:themeColor="text1"/>
        </w:rPr>
        <w:t>(6), 737–758.</w:t>
      </w:r>
    </w:p>
    <w:p w14:paraId="6AEEBFAA" w14:textId="77777777" w:rsidR="00F8346C" w:rsidRPr="002A13E4" w:rsidRDefault="00F8346C">
      <w:pPr>
        <w:spacing w:line="480" w:lineRule="auto"/>
        <w:ind w:left="720" w:hanging="720"/>
        <w:rPr>
          <w:color w:val="000000" w:themeColor="text1"/>
        </w:rPr>
      </w:pPr>
      <w:proofErr w:type="spellStart"/>
      <w:r w:rsidRPr="002A13E4">
        <w:rPr>
          <w:color w:val="000000" w:themeColor="text1"/>
        </w:rPr>
        <w:t>Crant</w:t>
      </w:r>
      <w:proofErr w:type="spellEnd"/>
      <w:r w:rsidRPr="002A13E4">
        <w:rPr>
          <w:color w:val="000000" w:themeColor="text1"/>
        </w:rPr>
        <w:t xml:space="preserve">, J. M., &amp; Bateman, T. S. (1993). Assignment of credit and blame for performance outcomes. </w:t>
      </w:r>
      <w:r w:rsidRPr="002A13E4">
        <w:rPr>
          <w:i/>
          <w:color w:val="000000" w:themeColor="text1"/>
        </w:rPr>
        <w:t>Academy of Management Journal</w:t>
      </w:r>
      <w:r w:rsidRPr="002A13E4">
        <w:rPr>
          <w:color w:val="000000" w:themeColor="text1"/>
        </w:rPr>
        <w:t xml:space="preserve">, </w:t>
      </w:r>
      <w:r w:rsidRPr="002A13E4">
        <w:rPr>
          <w:i/>
          <w:color w:val="000000" w:themeColor="text1"/>
        </w:rPr>
        <w:t>36</w:t>
      </w:r>
      <w:r w:rsidRPr="002A13E4">
        <w:rPr>
          <w:color w:val="000000" w:themeColor="text1"/>
        </w:rPr>
        <w:t xml:space="preserve">(1), 7–27. </w:t>
      </w:r>
    </w:p>
    <w:p w14:paraId="643BD4CB" w14:textId="77777777" w:rsidR="00F8346C" w:rsidRPr="002A13E4" w:rsidRDefault="00F8346C">
      <w:pPr>
        <w:spacing w:line="480" w:lineRule="auto"/>
        <w:ind w:left="720" w:hanging="720"/>
        <w:rPr>
          <w:color w:val="000000" w:themeColor="text1"/>
        </w:rPr>
      </w:pPr>
      <w:r w:rsidRPr="002A13E4">
        <w:rPr>
          <w:color w:val="000000" w:themeColor="text1"/>
        </w:rPr>
        <w:t xml:space="preserve">Davenport, R. B., &amp; Bustamante, E. A. (2010, October). Effects of false alarm vs. miss-prone automation and likelihood alarm technology on trust, reliance, and compliance in a miss-prone task. </w:t>
      </w:r>
      <w:r w:rsidRPr="002A13E4">
        <w:rPr>
          <w:i/>
          <w:color w:val="000000" w:themeColor="text1"/>
        </w:rPr>
        <w:t>Proceedings of the Human Factors and Ergonomics Society 54th Annual Meeting</w:t>
      </w:r>
      <w:r w:rsidRPr="002A13E4">
        <w:rPr>
          <w:color w:val="000000" w:themeColor="text1"/>
        </w:rPr>
        <w:t xml:space="preserve">, 1513–1517. </w:t>
      </w:r>
    </w:p>
    <w:p w14:paraId="665F4949" w14:textId="77777777" w:rsidR="00F8346C" w:rsidRPr="002A13E4" w:rsidRDefault="00F8346C">
      <w:pPr>
        <w:spacing w:line="480" w:lineRule="auto"/>
        <w:ind w:left="720" w:hanging="720"/>
        <w:rPr>
          <w:color w:val="000000" w:themeColor="text1"/>
        </w:rPr>
      </w:pPr>
      <w:r w:rsidRPr="002A13E4">
        <w:rPr>
          <w:color w:val="000000" w:themeColor="text1"/>
        </w:rPr>
        <w:t xml:space="preserve">Davenport, R. B., &amp; Bustamante, E. A. (2010). Effects of false-alarm vs. miss-prone automation and likelihood alarm technology on trust, reliance, and compliance in a miss-prone task. </w:t>
      </w:r>
      <w:r w:rsidRPr="002A13E4">
        <w:rPr>
          <w:i/>
          <w:color w:val="000000" w:themeColor="text1"/>
        </w:rPr>
        <w:t>Proceedings of the Human Factors and Ergonomics Society Annual Meeting</w:t>
      </w:r>
      <w:r w:rsidRPr="002A13E4">
        <w:rPr>
          <w:color w:val="000000" w:themeColor="text1"/>
        </w:rPr>
        <w:t xml:space="preserve">, </w:t>
      </w:r>
      <w:r w:rsidRPr="002A13E4">
        <w:rPr>
          <w:i/>
          <w:color w:val="000000" w:themeColor="text1"/>
        </w:rPr>
        <w:t>54</w:t>
      </w:r>
      <w:r w:rsidRPr="002A13E4">
        <w:rPr>
          <w:color w:val="000000" w:themeColor="text1"/>
        </w:rPr>
        <w:t>(19), 1513–1517.</w:t>
      </w:r>
    </w:p>
    <w:p w14:paraId="708B51AE" w14:textId="77777777" w:rsidR="00F8346C" w:rsidRPr="002A13E4" w:rsidRDefault="00F8346C">
      <w:pPr>
        <w:spacing w:line="480" w:lineRule="auto"/>
        <w:ind w:left="720" w:hanging="720"/>
        <w:rPr>
          <w:color w:val="000000" w:themeColor="text1"/>
        </w:rPr>
      </w:pPr>
      <w:r w:rsidRPr="002A13E4">
        <w:rPr>
          <w:color w:val="000000" w:themeColor="text1"/>
        </w:rPr>
        <w:t xml:space="preserve">De Visser, E. J., Krueger, F., McKnight, P., Scheid, S., Smith, M., Chalk, S., &amp; Parasuraman, R. (2012, September). The world is not enough: Trust in cognitive agents. </w:t>
      </w:r>
      <w:r w:rsidRPr="002A13E4">
        <w:rPr>
          <w:i/>
          <w:color w:val="000000" w:themeColor="text1"/>
        </w:rPr>
        <w:t>Proceedings of the Human Factors and Ergonomics Society Annual Meeting</w:t>
      </w:r>
      <w:r w:rsidRPr="002A13E4">
        <w:rPr>
          <w:color w:val="000000" w:themeColor="text1"/>
        </w:rPr>
        <w:t xml:space="preserve">, 56(1), 263–267. </w:t>
      </w:r>
    </w:p>
    <w:p w14:paraId="2BC96A16" w14:textId="77777777" w:rsidR="00F8346C" w:rsidRPr="002A13E4" w:rsidRDefault="00F8346C">
      <w:pPr>
        <w:spacing w:line="480" w:lineRule="auto"/>
        <w:ind w:left="720" w:hanging="720"/>
        <w:rPr>
          <w:color w:val="000000" w:themeColor="text1"/>
        </w:rPr>
      </w:pPr>
      <w:r w:rsidRPr="002A13E4">
        <w:rPr>
          <w:color w:val="000000" w:themeColor="text1"/>
        </w:rPr>
        <w:t xml:space="preserve">De Visser, E. J., </w:t>
      </w:r>
      <w:proofErr w:type="spellStart"/>
      <w:r w:rsidRPr="002A13E4">
        <w:rPr>
          <w:color w:val="000000" w:themeColor="text1"/>
        </w:rPr>
        <w:t>Monfort</w:t>
      </w:r>
      <w:proofErr w:type="spellEnd"/>
      <w:r w:rsidRPr="002A13E4">
        <w:rPr>
          <w:color w:val="000000" w:themeColor="text1"/>
        </w:rPr>
        <w:t>, S. S., McKendrick, R., Smith, M. A., McKnight, P. E., Krueger, F., &amp; Parasuraman, R. (2016). Almost human: Anthropomorphism increases trust resilience in cognitive agents. </w:t>
      </w:r>
      <w:r w:rsidRPr="002A13E4">
        <w:rPr>
          <w:i/>
          <w:color w:val="000000" w:themeColor="text1"/>
        </w:rPr>
        <w:t>Journal of Experimental Psychology: Applied</w:t>
      </w:r>
      <w:r w:rsidRPr="002A13E4">
        <w:rPr>
          <w:color w:val="000000" w:themeColor="text1"/>
        </w:rPr>
        <w:t>, </w:t>
      </w:r>
      <w:r w:rsidRPr="002A13E4">
        <w:rPr>
          <w:i/>
          <w:color w:val="000000" w:themeColor="text1"/>
        </w:rPr>
        <w:t>22</w:t>
      </w:r>
      <w:r w:rsidRPr="002A13E4">
        <w:rPr>
          <w:color w:val="000000" w:themeColor="text1"/>
        </w:rPr>
        <w:t>(3), 331–349.</w:t>
      </w:r>
    </w:p>
    <w:p w14:paraId="68F79ACB" w14:textId="77777777" w:rsidR="00F8346C" w:rsidRPr="002A13E4" w:rsidRDefault="00F8346C">
      <w:pPr>
        <w:spacing w:line="480" w:lineRule="auto"/>
        <w:ind w:left="720" w:hanging="720"/>
        <w:rPr>
          <w:color w:val="000000" w:themeColor="text1"/>
        </w:rPr>
      </w:pPr>
      <w:r w:rsidRPr="002A13E4">
        <w:rPr>
          <w:color w:val="000000" w:themeColor="text1"/>
        </w:rPr>
        <w:t xml:space="preserve">De Visser, E. J., Pak, R., &amp; </w:t>
      </w:r>
      <w:proofErr w:type="spellStart"/>
      <w:r w:rsidRPr="002A13E4">
        <w:rPr>
          <w:color w:val="000000" w:themeColor="text1"/>
        </w:rPr>
        <w:t>Neerincx</w:t>
      </w:r>
      <w:proofErr w:type="spellEnd"/>
      <w:r w:rsidRPr="002A13E4">
        <w:rPr>
          <w:color w:val="000000" w:themeColor="text1"/>
        </w:rPr>
        <w:t xml:space="preserve">, M. A. (2017, March). Trust development and repair in human-robot teams. </w:t>
      </w:r>
      <w:r w:rsidRPr="002A13E4">
        <w:rPr>
          <w:i/>
          <w:color w:val="000000" w:themeColor="text1"/>
        </w:rPr>
        <w:t>Proceedings of the Companion of the 2017 ACM/IEEE International Conference on Human-Robot Interaction</w:t>
      </w:r>
      <w:r w:rsidRPr="002A13E4">
        <w:rPr>
          <w:color w:val="000000" w:themeColor="text1"/>
        </w:rPr>
        <w:t>, 103–104.</w:t>
      </w:r>
    </w:p>
    <w:p w14:paraId="7DFA3E8D" w14:textId="77777777" w:rsidR="00F8346C" w:rsidRPr="002A13E4" w:rsidRDefault="00F8346C">
      <w:pPr>
        <w:spacing w:line="480" w:lineRule="auto"/>
        <w:ind w:left="720" w:hanging="720"/>
        <w:rPr>
          <w:color w:val="000000" w:themeColor="text1"/>
        </w:rPr>
      </w:pPr>
      <w:r w:rsidRPr="002A13E4">
        <w:rPr>
          <w:color w:val="000000" w:themeColor="text1"/>
        </w:rPr>
        <w:lastRenderedPageBreak/>
        <w:t>De Visser, E. J., Pak, R., &amp; Shaw, T. H. (2018). From “automation” to “autonomy”: The importance of trust repair in human–machine interaction. </w:t>
      </w:r>
      <w:r w:rsidRPr="002A13E4">
        <w:rPr>
          <w:i/>
          <w:color w:val="000000" w:themeColor="text1"/>
        </w:rPr>
        <w:t>Ergonomics</w:t>
      </w:r>
      <w:r w:rsidRPr="002A13E4">
        <w:rPr>
          <w:color w:val="000000" w:themeColor="text1"/>
        </w:rPr>
        <w:t>, </w:t>
      </w:r>
      <w:r w:rsidRPr="002A13E4">
        <w:rPr>
          <w:i/>
          <w:color w:val="000000" w:themeColor="text1"/>
        </w:rPr>
        <w:t>61</w:t>
      </w:r>
      <w:r w:rsidRPr="002A13E4">
        <w:rPr>
          <w:color w:val="000000" w:themeColor="text1"/>
        </w:rPr>
        <w:t>(10), 1409–1427.</w:t>
      </w:r>
    </w:p>
    <w:p w14:paraId="043E9B24" w14:textId="77777777" w:rsidR="00F8346C" w:rsidRPr="002A13E4" w:rsidRDefault="00F8346C">
      <w:pPr>
        <w:spacing w:line="480" w:lineRule="auto"/>
        <w:ind w:left="720" w:hanging="720"/>
        <w:rPr>
          <w:color w:val="000000" w:themeColor="text1"/>
        </w:rPr>
      </w:pPr>
      <w:r w:rsidRPr="002A13E4">
        <w:rPr>
          <w:color w:val="000000" w:themeColor="text1"/>
        </w:rPr>
        <w:t xml:space="preserve">De Visser, E. J., </w:t>
      </w:r>
      <w:proofErr w:type="spellStart"/>
      <w:r w:rsidRPr="002A13E4">
        <w:rPr>
          <w:color w:val="000000" w:themeColor="text1"/>
        </w:rPr>
        <w:t>Peeters</w:t>
      </w:r>
      <w:proofErr w:type="spellEnd"/>
      <w:r w:rsidRPr="002A13E4">
        <w:rPr>
          <w:color w:val="000000" w:themeColor="text1"/>
        </w:rPr>
        <w:t xml:space="preserve">, M. M., Jung, M. F., Kohn, S., Shaw, T. H., Pak, R., &amp; </w:t>
      </w:r>
      <w:proofErr w:type="spellStart"/>
      <w:r w:rsidRPr="002A13E4">
        <w:rPr>
          <w:color w:val="000000" w:themeColor="text1"/>
        </w:rPr>
        <w:t>Neerincx</w:t>
      </w:r>
      <w:proofErr w:type="spellEnd"/>
      <w:r w:rsidRPr="002A13E4">
        <w:rPr>
          <w:color w:val="000000" w:themeColor="text1"/>
        </w:rPr>
        <w:t>, M. A. (2020). Towards a theory of longitudinal trust calibration in human-robot teams. </w:t>
      </w:r>
      <w:r w:rsidRPr="002A13E4">
        <w:rPr>
          <w:i/>
          <w:color w:val="000000" w:themeColor="text1"/>
        </w:rPr>
        <w:t>International Journal of Social Robotics</w:t>
      </w:r>
      <w:r w:rsidRPr="002A13E4">
        <w:rPr>
          <w:color w:val="000000" w:themeColor="text1"/>
        </w:rPr>
        <w:t>, </w:t>
      </w:r>
      <w:r w:rsidRPr="002A13E4">
        <w:rPr>
          <w:i/>
          <w:color w:val="000000" w:themeColor="text1"/>
        </w:rPr>
        <w:t>12</w:t>
      </w:r>
      <w:r w:rsidRPr="002A13E4">
        <w:rPr>
          <w:color w:val="000000" w:themeColor="text1"/>
        </w:rPr>
        <w:t>(2), 459–478.</w:t>
      </w:r>
    </w:p>
    <w:p w14:paraId="70D2678D" w14:textId="77777777" w:rsidR="00F8346C" w:rsidRPr="002A13E4" w:rsidRDefault="00F8346C" w:rsidP="00A85737">
      <w:pPr>
        <w:spacing w:line="480" w:lineRule="auto"/>
        <w:ind w:left="720" w:hanging="720"/>
        <w:rPr>
          <w:color w:val="000000" w:themeColor="text1"/>
        </w:rPr>
      </w:pPr>
      <w:r w:rsidRPr="002A13E4">
        <w:rPr>
          <w:color w:val="000000" w:themeColor="text1"/>
        </w:rPr>
        <w:t xml:space="preserve">De Vries, P., Midden, C., &amp; </w:t>
      </w:r>
      <w:proofErr w:type="spellStart"/>
      <w:r w:rsidRPr="002A13E4">
        <w:rPr>
          <w:color w:val="000000" w:themeColor="text1"/>
        </w:rPr>
        <w:t>Bouwhuis</w:t>
      </w:r>
      <w:proofErr w:type="spellEnd"/>
      <w:r w:rsidRPr="002A13E4">
        <w:rPr>
          <w:color w:val="000000" w:themeColor="text1"/>
        </w:rPr>
        <w:t>, D. (2003). The effects of errors on system trust, self-confidence, and the allocation of control in route planning. </w:t>
      </w:r>
      <w:r w:rsidRPr="002A13E4">
        <w:rPr>
          <w:i/>
          <w:color w:val="000000" w:themeColor="text1"/>
        </w:rPr>
        <w:t>International Journal of Human-Computer Studies,</w:t>
      </w:r>
      <w:r w:rsidRPr="002A13E4">
        <w:rPr>
          <w:color w:val="000000" w:themeColor="text1"/>
        </w:rPr>
        <w:t> </w:t>
      </w:r>
      <w:r w:rsidRPr="002A13E4">
        <w:rPr>
          <w:i/>
          <w:color w:val="000000" w:themeColor="text1"/>
        </w:rPr>
        <w:t>58</w:t>
      </w:r>
      <w:r w:rsidRPr="002A13E4">
        <w:rPr>
          <w:color w:val="000000" w:themeColor="text1"/>
        </w:rPr>
        <w:t>(6), 719–735.</w:t>
      </w:r>
    </w:p>
    <w:p w14:paraId="52DB8442" w14:textId="77777777" w:rsidR="00F8346C" w:rsidRPr="002A13E4" w:rsidRDefault="00F8346C">
      <w:pPr>
        <w:spacing w:line="480" w:lineRule="auto"/>
        <w:ind w:left="720" w:hanging="720"/>
        <w:rPr>
          <w:color w:val="000000" w:themeColor="text1"/>
        </w:rPr>
      </w:pPr>
      <w:r w:rsidRPr="002A13E4">
        <w:rPr>
          <w:color w:val="000000" w:themeColor="text1"/>
        </w:rPr>
        <w:t xml:space="preserve">Desai, M., </w:t>
      </w:r>
      <w:proofErr w:type="spellStart"/>
      <w:r w:rsidRPr="002A13E4">
        <w:rPr>
          <w:color w:val="000000" w:themeColor="text1"/>
        </w:rPr>
        <w:t>Kaniarasu</w:t>
      </w:r>
      <w:proofErr w:type="spellEnd"/>
      <w:r w:rsidRPr="002A13E4">
        <w:rPr>
          <w:color w:val="000000" w:themeColor="text1"/>
        </w:rPr>
        <w:t xml:space="preserve">, P., Medvedev, M., Steinfeld, A., &amp; </w:t>
      </w:r>
      <w:proofErr w:type="spellStart"/>
      <w:r w:rsidRPr="002A13E4">
        <w:rPr>
          <w:color w:val="000000" w:themeColor="text1"/>
        </w:rPr>
        <w:t>Yanco</w:t>
      </w:r>
      <w:proofErr w:type="spellEnd"/>
      <w:r w:rsidRPr="002A13E4">
        <w:rPr>
          <w:color w:val="000000" w:themeColor="text1"/>
        </w:rPr>
        <w:t xml:space="preserve">, H. (2013). Impact of robot failures and feedback on real-time trust. </w:t>
      </w:r>
      <w:r w:rsidRPr="002A13E4">
        <w:rPr>
          <w:i/>
          <w:color w:val="000000" w:themeColor="text1"/>
        </w:rPr>
        <w:t>8th ACM/IEEE International Conference on Human-Robot Interaction</w:t>
      </w:r>
      <w:r w:rsidRPr="002A13E4">
        <w:rPr>
          <w:color w:val="000000" w:themeColor="text1"/>
        </w:rPr>
        <w:t xml:space="preserve">, 251–258. </w:t>
      </w:r>
    </w:p>
    <w:p w14:paraId="4A6DB184" w14:textId="77777777" w:rsidR="00F8346C" w:rsidRPr="002A13E4" w:rsidRDefault="00F8346C">
      <w:pPr>
        <w:spacing w:line="480" w:lineRule="auto"/>
        <w:ind w:left="720" w:hanging="720"/>
        <w:rPr>
          <w:color w:val="000000" w:themeColor="text1"/>
        </w:rPr>
      </w:pPr>
      <w:r w:rsidRPr="002A13E4">
        <w:rPr>
          <w:color w:val="000000" w:themeColor="text1"/>
        </w:rPr>
        <w:t xml:space="preserve">Desai, M., Medvedev, M., Vázquez, M., </w:t>
      </w:r>
      <w:proofErr w:type="spellStart"/>
      <w:r w:rsidRPr="002A13E4">
        <w:rPr>
          <w:color w:val="000000" w:themeColor="text1"/>
        </w:rPr>
        <w:t>McSheehy</w:t>
      </w:r>
      <w:proofErr w:type="spellEnd"/>
      <w:r w:rsidRPr="002A13E4">
        <w:rPr>
          <w:color w:val="000000" w:themeColor="text1"/>
        </w:rPr>
        <w:t xml:space="preserve">, S., </w:t>
      </w:r>
      <w:proofErr w:type="spellStart"/>
      <w:r w:rsidRPr="002A13E4">
        <w:rPr>
          <w:color w:val="000000" w:themeColor="text1"/>
        </w:rPr>
        <w:t>Gadea-Omelchenko</w:t>
      </w:r>
      <w:proofErr w:type="spellEnd"/>
      <w:r w:rsidRPr="002A13E4">
        <w:rPr>
          <w:color w:val="000000" w:themeColor="text1"/>
        </w:rPr>
        <w:t xml:space="preserve">, S., Bruggeman, C., </w:t>
      </w:r>
      <w:proofErr w:type="spellStart"/>
      <w:r w:rsidRPr="002A13E4">
        <w:rPr>
          <w:color w:val="000000" w:themeColor="text1"/>
        </w:rPr>
        <w:t>Steinfield</w:t>
      </w:r>
      <w:proofErr w:type="spellEnd"/>
      <w:r w:rsidRPr="002A13E4">
        <w:rPr>
          <w:color w:val="000000" w:themeColor="text1"/>
        </w:rPr>
        <w:t xml:space="preserve">, A., &amp; </w:t>
      </w:r>
      <w:proofErr w:type="spellStart"/>
      <w:r w:rsidRPr="002A13E4">
        <w:rPr>
          <w:color w:val="000000" w:themeColor="text1"/>
        </w:rPr>
        <w:t>Yanco</w:t>
      </w:r>
      <w:proofErr w:type="spellEnd"/>
      <w:r w:rsidRPr="002A13E4">
        <w:rPr>
          <w:color w:val="000000" w:themeColor="text1"/>
        </w:rPr>
        <w:t xml:space="preserve">, H. (2012). Effects of changing reliability on trust of robot systems. </w:t>
      </w:r>
      <w:r w:rsidRPr="002A13E4">
        <w:rPr>
          <w:i/>
          <w:color w:val="000000" w:themeColor="text1"/>
        </w:rPr>
        <w:t>Proceedings of the ACM/IEEE International Conference on Human-Robot Interaction</w:t>
      </w:r>
      <w:r w:rsidRPr="002A13E4">
        <w:rPr>
          <w:color w:val="000000" w:themeColor="text1"/>
        </w:rPr>
        <w:t xml:space="preserve">, </w:t>
      </w:r>
      <w:r w:rsidRPr="002A13E4">
        <w:rPr>
          <w:i/>
          <w:color w:val="000000" w:themeColor="text1"/>
        </w:rPr>
        <w:t>7</w:t>
      </w:r>
      <w:r w:rsidRPr="002A13E4">
        <w:rPr>
          <w:color w:val="000000" w:themeColor="text1"/>
        </w:rPr>
        <w:t>, 73–80.</w:t>
      </w:r>
    </w:p>
    <w:p w14:paraId="6D3FF11D" w14:textId="77777777" w:rsidR="00F8346C" w:rsidRPr="002A13E4" w:rsidRDefault="00F8346C">
      <w:pPr>
        <w:spacing w:line="480" w:lineRule="auto"/>
        <w:ind w:left="720" w:hanging="720"/>
        <w:rPr>
          <w:color w:val="000000" w:themeColor="text1"/>
        </w:rPr>
      </w:pPr>
      <w:r w:rsidRPr="002A13E4">
        <w:rPr>
          <w:color w:val="000000" w:themeColor="text1"/>
        </w:rPr>
        <w:t xml:space="preserve">Desai, M., Stubbs, K., Steinfeld, A., &amp; </w:t>
      </w:r>
      <w:proofErr w:type="spellStart"/>
      <w:r w:rsidRPr="002A13E4">
        <w:rPr>
          <w:color w:val="000000" w:themeColor="text1"/>
        </w:rPr>
        <w:t>Yanco</w:t>
      </w:r>
      <w:proofErr w:type="spellEnd"/>
      <w:r w:rsidRPr="002A13E4">
        <w:rPr>
          <w:color w:val="000000" w:themeColor="text1"/>
        </w:rPr>
        <w:t xml:space="preserve">, H. (2009, April). </w:t>
      </w:r>
      <w:r w:rsidRPr="002A13E4">
        <w:rPr>
          <w:i/>
          <w:color w:val="000000" w:themeColor="text1"/>
        </w:rPr>
        <w:t xml:space="preserve">Creating trustworthy robots: Lessons and inspirations from automated systems </w:t>
      </w:r>
      <w:r w:rsidRPr="002A13E4">
        <w:rPr>
          <w:color w:val="000000" w:themeColor="text1"/>
        </w:rPr>
        <w:t>[Conference presentation].</w:t>
      </w:r>
      <w:r w:rsidRPr="002A13E4">
        <w:rPr>
          <w:color w:val="000000" w:themeColor="text1"/>
          <w:sz w:val="30"/>
          <w:szCs w:val="30"/>
        </w:rPr>
        <w:t xml:space="preserve"> </w:t>
      </w:r>
      <w:r w:rsidRPr="002A13E4">
        <w:rPr>
          <w:color w:val="000000" w:themeColor="text1"/>
        </w:rPr>
        <w:t xml:space="preserve">The AISB Convention: New Frontiers in Human-Robot Interaction, Edinburgh, Scotland. </w:t>
      </w:r>
    </w:p>
    <w:p w14:paraId="4911CF69" w14:textId="77777777" w:rsidR="00F8346C" w:rsidRPr="002A13E4" w:rsidRDefault="00F8346C" w:rsidP="00A85737">
      <w:pPr>
        <w:spacing w:line="480" w:lineRule="auto"/>
        <w:ind w:left="720" w:hanging="720"/>
        <w:rPr>
          <w:color w:val="000000" w:themeColor="text1"/>
        </w:rPr>
      </w:pPr>
      <w:proofErr w:type="spellStart"/>
      <w:r w:rsidRPr="002A13E4">
        <w:rPr>
          <w:color w:val="000000" w:themeColor="text1"/>
        </w:rPr>
        <w:t>DeVellis</w:t>
      </w:r>
      <w:proofErr w:type="spellEnd"/>
      <w:r w:rsidRPr="002A13E4">
        <w:rPr>
          <w:color w:val="000000" w:themeColor="text1"/>
        </w:rPr>
        <w:t xml:space="preserve">, R. F. (2016). Scale development: Theory and applications. </w:t>
      </w:r>
      <w:r w:rsidRPr="002A13E4">
        <w:rPr>
          <w:i/>
          <w:iCs/>
          <w:color w:val="000000" w:themeColor="text1"/>
        </w:rPr>
        <w:t>Sage publications</w:t>
      </w:r>
      <w:r w:rsidRPr="002A13E4">
        <w:rPr>
          <w:color w:val="000000" w:themeColor="text1"/>
        </w:rPr>
        <w:t>.</w:t>
      </w:r>
    </w:p>
    <w:p w14:paraId="4B4EBBF2" w14:textId="77777777" w:rsidR="00F8346C" w:rsidRPr="002A13E4" w:rsidRDefault="00F8346C">
      <w:pPr>
        <w:spacing w:line="480" w:lineRule="auto"/>
        <w:ind w:left="720" w:hanging="720"/>
        <w:rPr>
          <w:color w:val="000000" w:themeColor="text1"/>
        </w:rPr>
      </w:pPr>
      <w:r w:rsidRPr="002A13E4">
        <w:rPr>
          <w:color w:val="000000" w:themeColor="text1"/>
        </w:rPr>
        <w:t xml:space="preserve">Dirks, K. T., Lewicki, R. J., &amp; Zaheer, A. (2009). </w:t>
      </w:r>
      <w:proofErr w:type="spellStart"/>
      <w:r w:rsidRPr="002A13E4">
        <w:rPr>
          <w:color w:val="000000" w:themeColor="text1"/>
        </w:rPr>
        <w:t>Reparing</w:t>
      </w:r>
      <w:proofErr w:type="spellEnd"/>
      <w:r w:rsidRPr="002A13E4">
        <w:rPr>
          <w:color w:val="000000" w:themeColor="text1"/>
        </w:rPr>
        <w:t xml:space="preserve"> relationships within and between organizations: Building a conceptual foundation. </w:t>
      </w:r>
      <w:r w:rsidRPr="002A13E4">
        <w:rPr>
          <w:i/>
          <w:color w:val="000000" w:themeColor="text1"/>
        </w:rPr>
        <w:t>Academy of Management Review</w:t>
      </w:r>
      <w:r w:rsidRPr="002A13E4">
        <w:rPr>
          <w:color w:val="000000" w:themeColor="text1"/>
        </w:rPr>
        <w:t>, </w:t>
      </w:r>
      <w:r w:rsidRPr="002A13E4">
        <w:rPr>
          <w:i/>
          <w:color w:val="000000" w:themeColor="text1"/>
        </w:rPr>
        <w:t>34</w:t>
      </w:r>
      <w:r w:rsidRPr="002A13E4">
        <w:rPr>
          <w:color w:val="000000" w:themeColor="text1"/>
        </w:rPr>
        <w:t>(1), 68–84.</w:t>
      </w:r>
    </w:p>
    <w:p w14:paraId="268D13B9" w14:textId="77777777" w:rsidR="00F8346C" w:rsidRPr="002A13E4" w:rsidRDefault="00F8346C">
      <w:pPr>
        <w:spacing w:line="480" w:lineRule="auto"/>
        <w:ind w:left="720" w:hanging="720"/>
        <w:rPr>
          <w:color w:val="000000" w:themeColor="text1"/>
        </w:rPr>
      </w:pPr>
      <w:r w:rsidRPr="002A13E4">
        <w:rPr>
          <w:color w:val="000000" w:themeColor="text1"/>
        </w:rPr>
        <w:lastRenderedPageBreak/>
        <w:t xml:space="preserve">Dixon, S. R. (2006). </w:t>
      </w:r>
      <w:r w:rsidRPr="002A13E4">
        <w:rPr>
          <w:i/>
          <w:color w:val="000000" w:themeColor="text1"/>
        </w:rPr>
        <w:t xml:space="preserve">Imperfect diagnostic automation: How adjusting bias and saliency affects operator trust </w:t>
      </w:r>
      <w:r w:rsidRPr="002A13E4">
        <w:rPr>
          <w:color w:val="000000" w:themeColor="text1"/>
        </w:rPr>
        <w:t>(Doctoral dissertation). Available from ProQuest Dissertations and Theses Database. UMI No.3242835</w:t>
      </w:r>
    </w:p>
    <w:p w14:paraId="0D3A6DC3" w14:textId="77777777" w:rsidR="00F8346C" w:rsidRPr="002A13E4" w:rsidRDefault="00F8346C">
      <w:pPr>
        <w:spacing w:line="480" w:lineRule="auto"/>
        <w:ind w:left="720" w:hanging="720"/>
        <w:rPr>
          <w:color w:val="000000" w:themeColor="text1"/>
        </w:rPr>
      </w:pPr>
      <w:r w:rsidRPr="002A13E4">
        <w:rPr>
          <w:color w:val="000000" w:themeColor="text1"/>
        </w:rPr>
        <w:t xml:space="preserve">Dixon, S. R., &amp; </w:t>
      </w:r>
      <w:proofErr w:type="spellStart"/>
      <w:r w:rsidRPr="002A13E4">
        <w:rPr>
          <w:color w:val="000000" w:themeColor="text1"/>
        </w:rPr>
        <w:t>Wickens</w:t>
      </w:r>
      <w:proofErr w:type="spellEnd"/>
      <w:r w:rsidRPr="002A13E4">
        <w:rPr>
          <w:color w:val="000000" w:themeColor="text1"/>
        </w:rPr>
        <w:t xml:space="preserve">, C. D. (2003). </w:t>
      </w:r>
      <w:r w:rsidRPr="002A13E4">
        <w:rPr>
          <w:i/>
          <w:color w:val="000000" w:themeColor="text1"/>
        </w:rPr>
        <w:t xml:space="preserve">Imperfect automation in unmanned aerial vehicle flight control </w:t>
      </w:r>
      <w:r w:rsidRPr="002A13E4">
        <w:rPr>
          <w:color w:val="000000" w:themeColor="text1"/>
        </w:rPr>
        <w:t xml:space="preserve">[Report No. AHFD-03-17/MAAD-03-2]. Aviation Human Factors Division. </w:t>
      </w:r>
    </w:p>
    <w:p w14:paraId="1591853E" w14:textId="77777777" w:rsidR="00F8346C" w:rsidRPr="002A13E4" w:rsidRDefault="00F8346C">
      <w:pPr>
        <w:spacing w:line="480" w:lineRule="auto"/>
        <w:ind w:left="720" w:hanging="720"/>
        <w:rPr>
          <w:color w:val="000000" w:themeColor="text1"/>
        </w:rPr>
      </w:pPr>
      <w:r w:rsidRPr="002A13E4">
        <w:rPr>
          <w:color w:val="000000" w:themeColor="text1"/>
        </w:rPr>
        <w:t xml:space="preserve">Dixon, S. R., &amp; </w:t>
      </w:r>
      <w:proofErr w:type="spellStart"/>
      <w:r w:rsidRPr="002A13E4">
        <w:rPr>
          <w:color w:val="000000" w:themeColor="text1"/>
        </w:rPr>
        <w:t>Wickens</w:t>
      </w:r>
      <w:proofErr w:type="spellEnd"/>
      <w:r w:rsidRPr="002A13E4">
        <w:rPr>
          <w:color w:val="000000" w:themeColor="text1"/>
        </w:rPr>
        <w:t>, C. D. (2004). Reliability in automated aids for unmanned aerial vehicle flight control: Evaluating a model of automation dependence in high workload. [Report No. AHFD-04-05/MAAD-04-1]. Aviation Human Factors Division.</w:t>
      </w:r>
    </w:p>
    <w:p w14:paraId="0AB1663B" w14:textId="77777777" w:rsidR="00F8346C" w:rsidRPr="002A13E4" w:rsidRDefault="00F8346C">
      <w:pPr>
        <w:spacing w:line="480" w:lineRule="auto"/>
        <w:ind w:left="720" w:hanging="720"/>
        <w:rPr>
          <w:color w:val="000000" w:themeColor="text1"/>
        </w:rPr>
      </w:pPr>
      <w:r w:rsidRPr="002A13E4">
        <w:rPr>
          <w:color w:val="000000" w:themeColor="text1"/>
        </w:rPr>
        <w:t xml:space="preserve">Dixon, S. R., &amp; </w:t>
      </w:r>
      <w:proofErr w:type="spellStart"/>
      <w:r w:rsidRPr="002A13E4">
        <w:rPr>
          <w:color w:val="000000" w:themeColor="text1"/>
        </w:rPr>
        <w:t>Wickens</w:t>
      </w:r>
      <w:proofErr w:type="spellEnd"/>
      <w:r w:rsidRPr="002A13E4">
        <w:rPr>
          <w:color w:val="000000" w:themeColor="text1"/>
        </w:rPr>
        <w:t xml:space="preserve">, C. D. (2006). Automation reliability in unmanned aerial vehicle control: A reliance-compliance model of automation dependence in high workload. </w:t>
      </w:r>
      <w:r w:rsidRPr="002A13E4">
        <w:rPr>
          <w:i/>
          <w:color w:val="000000" w:themeColor="text1"/>
        </w:rPr>
        <w:t>Human Factors: The Journal of the Human Factors and Ergonomics Society</w:t>
      </w:r>
      <w:r w:rsidRPr="002A13E4">
        <w:rPr>
          <w:color w:val="000000" w:themeColor="text1"/>
        </w:rPr>
        <w:t xml:space="preserve">, </w:t>
      </w:r>
      <w:r w:rsidRPr="002A13E4">
        <w:rPr>
          <w:i/>
          <w:color w:val="000000" w:themeColor="text1"/>
        </w:rPr>
        <w:t>48</w:t>
      </w:r>
      <w:r w:rsidRPr="002A13E4">
        <w:rPr>
          <w:color w:val="000000" w:themeColor="text1"/>
        </w:rPr>
        <w:t>(3), 474–486.</w:t>
      </w:r>
    </w:p>
    <w:p w14:paraId="52AB9C94" w14:textId="77777777" w:rsidR="00F8346C" w:rsidRPr="002A13E4" w:rsidRDefault="00F8346C">
      <w:pPr>
        <w:spacing w:line="480" w:lineRule="auto"/>
        <w:ind w:left="720" w:hanging="720"/>
        <w:rPr>
          <w:b/>
          <w:color w:val="000000" w:themeColor="text1"/>
        </w:rPr>
      </w:pPr>
      <w:proofErr w:type="spellStart"/>
      <w:r w:rsidRPr="002A13E4">
        <w:rPr>
          <w:color w:val="000000" w:themeColor="text1"/>
        </w:rPr>
        <w:t>Doney</w:t>
      </w:r>
      <w:proofErr w:type="spellEnd"/>
      <w:r w:rsidRPr="002A13E4">
        <w:rPr>
          <w:color w:val="000000" w:themeColor="text1"/>
        </w:rPr>
        <w:t>, P. M., Cannon, J. P., &amp; Mullen, M. R. (1998). Understanding the influence of national culture on the development of trust. </w:t>
      </w:r>
      <w:r w:rsidRPr="002A13E4">
        <w:rPr>
          <w:i/>
          <w:color w:val="000000" w:themeColor="text1"/>
        </w:rPr>
        <w:t>The Academy of Management Review,</w:t>
      </w:r>
      <w:r w:rsidRPr="002A13E4">
        <w:rPr>
          <w:color w:val="000000" w:themeColor="text1"/>
        </w:rPr>
        <w:t xml:space="preserve"> 23(3), 601–620. </w:t>
      </w:r>
    </w:p>
    <w:p w14:paraId="1CA2CDFB" w14:textId="77777777" w:rsidR="00F8346C" w:rsidRPr="002A13E4" w:rsidRDefault="00F8346C">
      <w:pPr>
        <w:spacing w:line="480" w:lineRule="auto"/>
        <w:ind w:left="720" w:hanging="720"/>
        <w:rPr>
          <w:rFonts w:ascii="Times" w:eastAsia="Times" w:hAnsi="Times" w:cs="Times"/>
          <w:color w:val="000000" w:themeColor="text1"/>
        </w:rPr>
      </w:pPr>
      <w:r w:rsidRPr="002A13E4">
        <w:rPr>
          <w:rFonts w:ascii="Times" w:eastAsia="Times" w:hAnsi="Times" w:cs="Times"/>
          <w:color w:val="000000" w:themeColor="text1"/>
        </w:rPr>
        <w:t>Dweck, C. S., Chiu, C. Y., &amp; Hong, Y. Y. (1995). Implicit theories and their role in judgments and reactions: A word from two perspectives. </w:t>
      </w:r>
      <w:r w:rsidRPr="002A13E4">
        <w:rPr>
          <w:rFonts w:ascii="Times" w:eastAsia="Times" w:hAnsi="Times" w:cs="Times"/>
          <w:i/>
          <w:color w:val="000000" w:themeColor="text1"/>
        </w:rPr>
        <w:t>Psychological Inquiry</w:t>
      </w:r>
      <w:r w:rsidRPr="002A13E4">
        <w:rPr>
          <w:rFonts w:ascii="Times" w:eastAsia="Times" w:hAnsi="Times" w:cs="Times"/>
          <w:color w:val="000000" w:themeColor="text1"/>
        </w:rPr>
        <w:t>, </w:t>
      </w:r>
      <w:r w:rsidRPr="002A13E4">
        <w:rPr>
          <w:rFonts w:ascii="Times" w:eastAsia="Times" w:hAnsi="Times" w:cs="Times"/>
          <w:i/>
          <w:color w:val="000000" w:themeColor="text1"/>
        </w:rPr>
        <w:t>6</w:t>
      </w:r>
      <w:r w:rsidRPr="002A13E4">
        <w:rPr>
          <w:rFonts w:ascii="Times" w:eastAsia="Times" w:hAnsi="Times" w:cs="Times"/>
          <w:color w:val="000000" w:themeColor="text1"/>
        </w:rPr>
        <w:t>(4), 267</w:t>
      </w:r>
      <w:r w:rsidRPr="002A13E4">
        <w:rPr>
          <w:color w:val="000000" w:themeColor="text1"/>
        </w:rPr>
        <w:t>–</w:t>
      </w:r>
      <w:r w:rsidRPr="002A13E4">
        <w:rPr>
          <w:rFonts w:ascii="Times" w:eastAsia="Times" w:hAnsi="Times" w:cs="Times"/>
          <w:color w:val="000000" w:themeColor="text1"/>
        </w:rPr>
        <w:t>285.</w:t>
      </w:r>
    </w:p>
    <w:p w14:paraId="2CC4E576" w14:textId="77777777" w:rsidR="00F8346C" w:rsidRPr="002A13E4" w:rsidRDefault="00F8346C">
      <w:pPr>
        <w:spacing w:line="480" w:lineRule="auto"/>
        <w:ind w:left="720" w:hanging="720"/>
        <w:rPr>
          <w:color w:val="000000" w:themeColor="text1"/>
        </w:rPr>
      </w:pPr>
      <w:r w:rsidRPr="002A13E4">
        <w:rPr>
          <w:color w:val="000000" w:themeColor="text1"/>
        </w:rPr>
        <w:t xml:space="preserve"> </w:t>
      </w:r>
      <w:proofErr w:type="spellStart"/>
      <w:r w:rsidRPr="002A13E4">
        <w:rPr>
          <w:color w:val="000000" w:themeColor="text1"/>
        </w:rPr>
        <w:t>Dzindolet</w:t>
      </w:r>
      <w:proofErr w:type="spellEnd"/>
      <w:r w:rsidRPr="002A13E4">
        <w:rPr>
          <w:color w:val="000000" w:themeColor="text1"/>
        </w:rPr>
        <w:t xml:space="preserve">, M. T., Peterson, S. A., </w:t>
      </w:r>
      <w:proofErr w:type="spellStart"/>
      <w:r w:rsidRPr="002A13E4">
        <w:rPr>
          <w:color w:val="000000" w:themeColor="text1"/>
        </w:rPr>
        <w:t>Pomranky</w:t>
      </w:r>
      <w:proofErr w:type="spellEnd"/>
      <w:r w:rsidRPr="002A13E4">
        <w:rPr>
          <w:color w:val="000000" w:themeColor="text1"/>
        </w:rPr>
        <w:t>, R. A., Pierce, L. G., &amp; Beck, H. P. (2003). The role of trust in automation reliance.</w:t>
      </w:r>
      <w:r w:rsidRPr="002A13E4">
        <w:rPr>
          <w:i/>
          <w:color w:val="000000" w:themeColor="text1"/>
        </w:rPr>
        <w:t> International Journal of Human-computer Studies</w:t>
      </w:r>
      <w:r w:rsidRPr="002A13E4">
        <w:rPr>
          <w:color w:val="000000" w:themeColor="text1"/>
        </w:rPr>
        <w:t>, </w:t>
      </w:r>
      <w:r w:rsidRPr="002A13E4">
        <w:rPr>
          <w:i/>
          <w:color w:val="000000" w:themeColor="text1"/>
        </w:rPr>
        <w:t>58</w:t>
      </w:r>
      <w:r w:rsidRPr="002A13E4">
        <w:rPr>
          <w:color w:val="000000" w:themeColor="text1"/>
        </w:rPr>
        <w:t>(6), 697–718.</w:t>
      </w:r>
    </w:p>
    <w:p w14:paraId="18A39A17" w14:textId="77777777" w:rsidR="00F8346C" w:rsidRPr="002A13E4" w:rsidRDefault="00F8346C">
      <w:pPr>
        <w:spacing w:line="480" w:lineRule="auto"/>
        <w:ind w:left="720" w:hanging="720"/>
        <w:rPr>
          <w:color w:val="000000" w:themeColor="text1"/>
        </w:rPr>
      </w:pPr>
      <w:proofErr w:type="spellStart"/>
      <w:r w:rsidRPr="002A13E4">
        <w:rPr>
          <w:color w:val="000000" w:themeColor="text1"/>
        </w:rPr>
        <w:t>Dzindolet</w:t>
      </w:r>
      <w:proofErr w:type="spellEnd"/>
      <w:r w:rsidRPr="002A13E4">
        <w:rPr>
          <w:color w:val="000000" w:themeColor="text1"/>
        </w:rPr>
        <w:t xml:space="preserve">, M. T., Pierce, L. G., Beck, H. P., &amp; Dawe, L. A. (2002). The perceived utility of human and automated aids in a visual detection task. </w:t>
      </w:r>
      <w:r w:rsidRPr="002A13E4">
        <w:rPr>
          <w:i/>
          <w:color w:val="000000" w:themeColor="text1"/>
        </w:rPr>
        <w:t>Human Factors: The Journal of Human Factors and Ergonomics Society</w:t>
      </w:r>
      <w:r w:rsidRPr="002A13E4">
        <w:rPr>
          <w:color w:val="000000" w:themeColor="text1"/>
        </w:rPr>
        <w:t xml:space="preserve">, </w:t>
      </w:r>
      <w:r w:rsidRPr="002A13E4">
        <w:rPr>
          <w:i/>
          <w:color w:val="000000" w:themeColor="text1"/>
        </w:rPr>
        <w:t>44</w:t>
      </w:r>
      <w:r w:rsidRPr="002A13E4">
        <w:rPr>
          <w:color w:val="000000" w:themeColor="text1"/>
        </w:rPr>
        <w:t>, 79–97.</w:t>
      </w:r>
    </w:p>
    <w:p w14:paraId="575B1D00" w14:textId="77777777" w:rsidR="00F8346C" w:rsidRPr="002A13E4" w:rsidRDefault="00F8346C">
      <w:pPr>
        <w:spacing w:line="480" w:lineRule="auto"/>
        <w:ind w:left="720" w:hanging="720"/>
        <w:rPr>
          <w:color w:val="000000" w:themeColor="text1"/>
        </w:rPr>
      </w:pPr>
      <w:proofErr w:type="spellStart"/>
      <w:r w:rsidRPr="002A13E4">
        <w:rPr>
          <w:color w:val="000000" w:themeColor="text1"/>
        </w:rPr>
        <w:lastRenderedPageBreak/>
        <w:t>Eberl</w:t>
      </w:r>
      <w:proofErr w:type="spellEnd"/>
      <w:r w:rsidRPr="002A13E4">
        <w:rPr>
          <w:color w:val="000000" w:themeColor="text1"/>
        </w:rPr>
        <w:t xml:space="preserve">, P., Geiger, D., &amp; </w:t>
      </w:r>
      <w:proofErr w:type="spellStart"/>
      <w:r w:rsidRPr="002A13E4">
        <w:rPr>
          <w:color w:val="000000" w:themeColor="text1"/>
        </w:rPr>
        <w:t>Aßländer</w:t>
      </w:r>
      <w:proofErr w:type="spellEnd"/>
      <w:r w:rsidRPr="002A13E4">
        <w:rPr>
          <w:color w:val="000000" w:themeColor="text1"/>
        </w:rPr>
        <w:t>, M. S. (2015). Repairing trust in an organization after integrity violations: The ambivalence of organizational rule adjustments. </w:t>
      </w:r>
      <w:r w:rsidRPr="002A13E4">
        <w:rPr>
          <w:i/>
          <w:color w:val="000000" w:themeColor="text1"/>
        </w:rPr>
        <w:t>Organization Studies</w:t>
      </w:r>
      <w:r w:rsidRPr="002A13E4">
        <w:rPr>
          <w:color w:val="000000" w:themeColor="text1"/>
        </w:rPr>
        <w:t>, </w:t>
      </w:r>
      <w:r w:rsidRPr="002A13E4">
        <w:rPr>
          <w:i/>
          <w:color w:val="000000" w:themeColor="text1"/>
        </w:rPr>
        <w:t>36</w:t>
      </w:r>
      <w:r w:rsidRPr="002A13E4">
        <w:rPr>
          <w:color w:val="000000" w:themeColor="text1"/>
        </w:rPr>
        <w:t>(9), 1205–1235.</w:t>
      </w:r>
    </w:p>
    <w:p w14:paraId="5D746F20" w14:textId="77777777" w:rsidR="00F8346C" w:rsidRPr="002A13E4" w:rsidRDefault="00F8346C">
      <w:pPr>
        <w:spacing w:line="480" w:lineRule="auto"/>
        <w:ind w:left="720" w:hanging="720"/>
        <w:rPr>
          <w:color w:val="000000" w:themeColor="text1"/>
        </w:rPr>
      </w:pPr>
      <w:r w:rsidRPr="002A13E4">
        <w:rPr>
          <w:color w:val="000000" w:themeColor="text1"/>
        </w:rPr>
        <w:t xml:space="preserve">Evers, V., Maldonado, H., </w:t>
      </w:r>
      <w:proofErr w:type="spellStart"/>
      <w:r w:rsidRPr="002A13E4">
        <w:rPr>
          <w:color w:val="000000" w:themeColor="text1"/>
        </w:rPr>
        <w:t>Brodecki</w:t>
      </w:r>
      <w:proofErr w:type="spellEnd"/>
      <w:r w:rsidRPr="002A13E4">
        <w:rPr>
          <w:color w:val="000000" w:themeColor="text1"/>
        </w:rPr>
        <w:t xml:space="preserve">, T., &amp; Hinds, P. (2008, March). Relational vs. group self-construal: untangling the role of national culture in HRI. </w:t>
      </w:r>
      <w:r w:rsidRPr="002A13E4">
        <w:rPr>
          <w:i/>
          <w:color w:val="000000" w:themeColor="text1"/>
        </w:rPr>
        <w:t>3rd ACM/IEEE International Conference on Human-Robot Interaction</w:t>
      </w:r>
      <w:r w:rsidRPr="002A13E4">
        <w:rPr>
          <w:color w:val="000000" w:themeColor="text1"/>
        </w:rPr>
        <w:t xml:space="preserve">, 255-262). </w:t>
      </w:r>
    </w:p>
    <w:p w14:paraId="56D80E91" w14:textId="77777777" w:rsidR="00F8346C" w:rsidRPr="002A13E4" w:rsidRDefault="00F8346C">
      <w:pPr>
        <w:spacing w:line="480" w:lineRule="auto"/>
        <w:ind w:left="720" w:hanging="720"/>
        <w:rPr>
          <w:color w:val="000000" w:themeColor="text1"/>
        </w:rPr>
      </w:pPr>
      <w:r w:rsidRPr="002A13E4">
        <w:rPr>
          <w:color w:val="000000" w:themeColor="text1"/>
        </w:rPr>
        <w:t>Ferrell, C. (1994). Failure recognition and fault tolerance of an autonomous robot. </w:t>
      </w:r>
      <w:r w:rsidRPr="002A13E4">
        <w:rPr>
          <w:i/>
          <w:color w:val="000000" w:themeColor="text1"/>
        </w:rPr>
        <w:t>Adaptive behavior</w:t>
      </w:r>
      <w:r w:rsidRPr="002A13E4">
        <w:rPr>
          <w:color w:val="000000" w:themeColor="text1"/>
        </w:rPr>
        <w:t>, </w:t>
      </w:r>
      <w:r w:rsidRPr="002A13E4">
        <w:rPr>
          <w:i/>
          <w:color w:val="000000" w:themeColor="text1"/>
        </w:rPr>
        <w:t>2</w:t>
      </w:r>
      <w:r w:rsidRPr="002A13E4">
        <w:rPr>
          <w:color w:val="000000" w:themeColor="text1"/>
        </w:rPr>
        <w:t>(4), 375–398.</w:t>
      </w:r>
    </w:p>
    <w:p w14:paraId="39B3B8C0" w14:textId="77777777" w:rsidR="00F8346C" w:rsidRPr="002A13E4" w:rsidRDefault="00F8346C">
      <w:pPr>
        <w:spacing w:line="480" w:lineRule="auto"/>
        <w:ind w:left="720" w:hanging="720"/>
        <w:rPr>
          <w:color w:val="000000" w:themeColor="text1"/>
        </w:rPr>
      </w:pPr>
      <w:r w:rsidRPr="002A13E4">
        <w:rPr>
          <w:color w:val="000000" w:themeColor="text1"/>
        </w:rPr>
        <w:t>Ferrin, D. L., Kim, P. H., Cooper, C. D., &amp; Dirks, K. T. (2007). Silence speaks volumes: The effectiveness of reticence in comparison to apology and denial for responding to integrity- and competence-based trust violations. </w:t>
      </w:r>
      <w:r w:rsidRPr="002A13E4">
        <w:rPr>
          <w:i/>
          <w:color w:val="000000" w:themeColor="text1"/>
        </w:rPr>
        <w:t>Journal of Applied Psychology</w:t>
      </w:r>
      <w:r w:rsidRPr="002A13E4">
        <w:rPr>
          <w:color w:val="000000" w:themeColor="text1"/>
        </w:rPr>
        <w:t>, </w:t>
      </w:r>
      <w:r w:rsidRPr="002A13E4">
        <w:rPr>
          <w:i/>
          <w:color w:val="000000" w:themeColor="text1"/>
        </w:rPr>
        <w:t>92</w:t>
      </w:r>
      <w:r w:rsidRPr="002A13E4">
        <w:rPr>
          <w:color w:val="000000" w:themeColor="text1"/>
        </w:rPr>
        <w:t xml:space="preserve">(4), 893–908. </w:t>
      </w:r>
    </w:p>
    <w:p w14:paraId="3EC3830E" w14:textId="77777777" w:rsidR="00F8346C" w:rsidRPr="002A13E4" w:rsidRDefault="00F8346C">
      <w:pPr>
        <w:spacing w:line="480" w:lineRule="auto"/>
        <w:ind w:left="720" w:hanging="720"/>
        <w:rPr>
          <w:color w:val="000000" w:themeColor="text1"/>
        </w:rPr>
      </w:pPr>
      <w:proofErr w:type="spellStart"/>
      <w:r w:rsidRPr="002A13E4">
        <w:rPr>
          <w:color w:val="000000" w:themeColor="text1"/>
        </w:rPr>
        <w:t>Flook</w:t>
      </w:r>
      <w:proofErr w:type="spellEnd"/>
      <w:r w:rsidRPr="002A13E4">
        <w:rPr>
          <w:color w:val="000000" w:themeColor="text1"/>
        </w:rPr>
        <w:t xml:space="preserve">, R., </w:t>
      </w:r>
      <w:proofErr w:type="spellStart"/>
      <w:r w:rsidRPr="002A13E4">
        <w:rPr>
          <w:color w:val="000000" w:themeColor="text1"/>
        </w:rPr>
        <w:t>Shrinah</w:t>
      </w:r>
      <w:proofErr w:type="spellEnd"/>
      <w:r w:rsidRPr="002A13E4">
        <w:rPr>
          <w:color w:val="000000" w:themeColor="text1"/>
        </w:rPr>
        <w:t xml:space="preserve">, A., </w:t>
      </w:r>
      <w:proofErr w:type="spellStart"/>
      <w:r w:rsidRPr="002A13E4">
        <w:rPr>
          <w:color w:val="000000" w:themeColor="text1"/>
        </w:rPr>
        <w:t>Wijnen</w:t>
      </w:r>
      <w:proofErr w:type="spellEnd"/>
      <w:r w:rsidRPr="002A13E4">
        <w:rPr>
          <w:color w:val="000000" w:themeColor="text1"/>
        </w:rPr>
        <w:t xml:space="preserve">, L., Eder, K., </w:t>
      </w:r>
      <w:proofErr w:type="spellStart"/>
      <w:r w:rsidRPr="002A13E4">
        <w:rPr>
          <w:color w:val="000000" w:themeColor="text1"/>
        </w:rPr>
        <w:t>Melhuish</w:t>
      </w:r>
      <w:proofErr w:type="spellEnd"/>
      <w:r w:rsidRPr="002A13E4">
        <w:rPr>
          <w:color w:val="000000" w:themeColor="text1"/>
        </w:rPr>
        <w:t xml:space="preserve">, C., &amp; </w:t>
      </w:r>
      <w:proofErr w:type="spellStart"/>
      <w:r w:rsidRPr="002A13E4">
        <w:rPr>
          <w:color w:val="000000" w:themeColor="text1"/>
        </w:rPr>
        <w:t>Lemaignan</w:t>
      </w:r>
      <w:proofErr w:type="spellEnd"/>
      <w:r w:rsidRPr="002A13E4">
        <w:rPr>
          <w:color w:val="000000" w:themeColor="text1"/>
        </w:rPr>
        <w:t xml:space="preserve">, S. (2019). On the impact of different types of errors on trust in human-robot interaction: Are laboratory-based HRI experiments </w:t>
      </w:r>
      <w:proofErr w:type="gramStart"/>
      <w:r w:rsidRPr="002A13E4">
        <w:rPr>
          <w:color w:val="000000" w:themeColor="text1"/>
        </w:rPr>
        <w:t>trustworthy?.</w:t>
      </w:r>
      <w:proofErr w:type="gramEnd"/>
      <w:r w:rsidRPr="002A13E4">
        <w:rPr>
          <w:color w:val="000000" w:themeColor="text1"/>
        </w:rPr>
        <w:t> </w:t>
      </w:r>
      <w:r w:rsidRPr="002A13E4">
        <w:rPr>
          <w:i/>
          <w:color w:val="000000" w:themeColor="text1"/>
        </w:rPr>
        <w:t>Interaction Studies</w:t>
      </w:r>
      <w:r w:rsidRPr="002A13E4">
        <w:rPr>
          <w:color w:val="000000" w:themeColor="text1"/>
        </w:rPr>
        <w:t>, </w:t>
      </w:r>
      <w:r w:rsidRPr="002A13E4">
        <w:rPr>
          <w:i/>
          <w:color w:val="000000" w:themeColor="text1"/>
        </w:rPr>
        <w:t>20</w:t>
      </w:r>
      <w:r w:rsidRPr="002A13E4">
        <w:rPr>
          <w:color w:val="000000" w:themeColor="text1"/>
        </w:rPr>
        <w:t>(3), 455-486</w:t>
      </w:r>
      <w:r w:rsidRPr="002A13E4">
        <w:rPr>
          <w:rFonts w:ascii="Arial" w:eastAsia="Arial" w:hAnsi="Arial" w:cs="Arial"/>
          <w:color w:val="000000" w:themeColor="text1"/>
          <w:sz w:val="20"/>
          <w:szCs w:val="20"/>
        </w:rPr>
        <w:t>.</w:t>
      </w:r>
      <w:r w:rsidRPr="002A13E4">
        <w:rPr>
          <w:color w:val="000000" w:themeColor="text1"/>
        </w:rPr>
        <w:t xml:space="preserve"> </w:t>
      </w:r>
    </w:p>
    <w:p w14:paraId="6D8779BD" w14:textId="77777777" w:rsidR="00F8346C" w:rsidRPr="002A13E4" w:rsidRDefault="00F8346C">
      <w:pPr>
        <w:spacing w:line="480" w:lineRule="auto"/>
        <w:ind w:left="720" w:hanging="720"/>
        <w:rPr>
          <w:color w:val="000000" w:themeColor="text1"/>
        </w:rPr>
      </w:pPr>
      <w:proofErr w:type="spellStart"/>
      <w:r w:rsidRPr="002A13E4">
        <w:rPr>
          <w:color w:val="000000" w:themeColor="text1"/>
        </w:rPr>
        <w:t>Fuoli</w:t>
      </w:r>
      <w:proofErr w:type="spellEnd"/>
      <w:r w:rsidRPr="002A13E4">
        <w:rPr>
          <w:color w:val="000000" w:themeColor="text1"/>
        </w:rPr>
        <w:t xml:space="preserve">, M., van de </w:t>
      </w:r>
      <w:proofErr w:type="spellStart"/>
      <w:r w:rsidRPr="002A13E4">
        <w:rPr>
          <w:color w:val="000000" w:themeColor="text1"/>
        </w:rPr>
        <w:t>Weijer</w:t>
      </w:r>
      <w:proofErr w:type="spellEnd"/>
      <w:r w:rsidRPr="002A13E4">
        <w:rPr>
          <w:color w:val="000000" w:themeColor="text1"/>
        </w:rPr>
        <w:t>, J., &amp; Paradis, C. (2017). Denial outperforms apology in repairing organizational trust despite strong evidence of guilt. </w:t>
      </w:r>
      <w:r w:rsidRPr="002A13E4">
        <w:rPr>
          <w:i/>
          <w:color w:val="000000" w:themeColor="text1"/>
        </w:rPr>
        <w:t>Public Relations Review</w:t>
      </w:r>
      <w:r w:rsidRPr="002A13E4">
        <w:rPr>
          <w:color w:val="000000" w:themeColor="text1"/>
        </w:rPr>
        <w:t>, </w:t>
      </w:r>
      <w:r w:rsidRPr="002A13E4">
        <w:rPr>
          <w:i/>
          <w:color w:val="000000" w:themeColor="text1"/>
        </w:rPr>
        <w:t>43</w:t>
      </w:r>
      <w:r w:rsidRPr="002A13E4">
        <w:rPr>
          <w:color w:val="000000" w:themeColor="text1"/>
        </w:rPr>
        <w:t>(4), 645–660.</w:t>
      </w:r>
    </w:p>
    <w:p w14:paraId="015636B5" w14:textId="77777777" w:rsidR="00F8346C" w:rsidRPr="002A13E4" w:rsidRDefault="00F8346C">
      <w:pPr>
        <w:spacing w:line="480" w:lineRule="auto"/>
        <w:ind w:left="720" w:hanging="720"/>
        <w:rPr>
          <w:color w:val="000000" w:themeColor="text1"/>
        </w:rPr>
      </w:pPr>
      <w:r w:rsidRPr="002A13E4">
        <w:rPr>
          <w:color w:val="000000" w:themeColor="text1"/>
        </w:rPr>
        <w:t>Garcia, C. (1989). Apologizing in English: Politeness strategies used by native and non-native speakers. </w:t>
      </w:r>
      <w:proofErr w:type="spellStart"/>
      <w:r w:rsidRPr="002A13E4">
        <w:rPr>
          <w:i/>
          <w:color w:val="000000" w:themeColor="text1"/>
        </w:rPr>
        <w:t>Multilingua</w:t>
      </w:r>
      <w:proofErr w:type="spellEnd"/>
      <w:r w:rsidRPr="002A13E4">
        <w:rPr>
          <w:i/>
          <w:color w:val="000000" w:themeColor="text1"/>
        </w:rPr>
        <w:t>-Journal of Cross-Cultural and Interlanguage Communication</w:t>
      </w:r>
      <w:r w:rsidRPr="002A13E4">
        <w:rPr>
          <w:color w:val="000000" w:themeColor="text1"/>
        </w:rPr>
        <w:t>, </w:t>
      </w:r>
      <w:r w:rsidRPr="002A13E4">
        <w:rPr>
          <w:i/>
          <w:color w:val="000000" w:themeColor="text1"/>
        </w:rPr>
        <w:t>8</w:t>
      </w:r>
      <w:r w:rsidRPr="002A13E4">
        <w:rPr>
          <w:color w:val="000000" w:themeColor="text1"/>
        </w:rPr>
        <w:t>(1), 3–20.</w:t>
      </w:r>
    </w:p>
    <w:p w14:paraId="637D78B8" w14:textId="77777777" w:rsidR="00F8346C" w:rsidRPr="002A13E4" w:rsidRDefault="00F8346C">
      <w:pPr>
        <w:spacing w:line="480" w:lineRule="auto"/>
        <w:ind w:left="720" w:hanging="720"/>
        <w:rPr>
          <w:color w:val="000000" w:themeColor="text1"/>
        </w:rPr>
      </w:pPr>
      <w:r w:rsidRPr="002A13E4">
        <w:rPr>
          <w:color w:val="000000" w:themeColor="text1"/>
        </w:rPr>
        <w:t xml:space="preserve">Geels-Blair, K., Rice, S., &amp; </w:t>
      </w:r>
      <w:proofErr w:type="spellStart"/>
      <w:r w:rsidRPr="002A13E4">
        <w:rPr>
          <w:color w:val="000000" w:themeColor="text1"/>
        </w:rPr>
        <w:t>Schwark</w:t>
      </w:r>
      <w:proofErr w:type="spellEnd"/>
      <w:r w:rsidRPr="002A13E4">
        <w:rPr>
          <w:color w:val="000000" w:themeColor="text1"/>
        </w:rPr>
        <w:t xml:space="preserve">, J. (2013). Using system-wide trust theory to reveal the contagion effects of automation false alarms and misses on compliance and reliance in a </w:t>
      </w:r>
      <w:r w:rsidRPr="002A13E4">
        <w:rPr>
          <w:color w:val="000000" w:themeColor="text1"/>
        </w:rPr>
        <w:lastRenderedPageBreak/>
        <w:t>simulated aviation task. </w:t>
      </w:r>
      <w:r w:rsidRPr="002A13E4">
        <w:rPr>
          <w:i/>
          <w:color w:val="000000" w:themeColor="text1"/>
        </w:rPr>
        <w:t>The International Journal of Aviation Psychology</w:t>
      </w:r>
      <w:r w:rsidRPr="002A13E4">
        <w:rPr>
          <w:color w:val="000000" w:themeColor="text1"/>
        </w:rPr>
        <w:t>, </w:t>
      </w:r>
      <w:r w:rsidRPr="002A13E4">
        <w:rPr>
          <w:i/>
          <w:color w:val="000000" w:themeColor="text1"/>
        </w:rPr>
        <w:t>23</w:t>
      </w:r>
      <w:r w:rsidRPr="002A13E4">
        <w:rPr>
          <w:color w:val="000000" w:themeColor="text1"/>
        </w:rPr>
        <w:t>(3), 245–266.</w:t>
      </w:r>
    </w:p>
    <w:p w14:paraId="5F8D292C" w14:textId="77777777" w:rsidR="00F8346C" w:rsidRPr="002A13E4" w:rsidRDefault="00F8346C">
      <w:pPr>
        <w:spacing w:line="480" w:lineRule="auto"/>
        <w:ind w:left="720" w:hanging="720"/>
        <w:rPr>
          <w:rFonts w:ascii="Times" w:eastAsia="Times" w:hAnsi="Times" w:cs="Times"/>
          <w:color w:val="000000" w:themeColor="text1"/>
        </w:rPr>
      </w:pPr>
      <w:proofErr w:type="spellStart"/>
      <w:r w:rsidRPr="002A13E4">
        <w:rPr>
          <w:rFonts w:ascii="Times" w:eastAsia="Times" w:hAnsi="Times" w:cs="Times"/>
          <w:color w:val="000000" w:themeColor="text1"/>
        </w:rPr>
        <w:t>Gervey</w:t>
      </w:r>
      <w:proofErr w:type="spellEnd"/>
      <w:r w:rsidRPr="002A13E4">
        <w:rPr>
          <w:rFonts w:ascii="Times" w:eastAsia="Times" w:hAnsi="Times" w:cs="Times"/>
          <w:color w:val="000000" w:themeColor="text1"/>
        </w:rPr>
        <w:t>, B. M., Chiu, C. Y., Hong, Y. Y., &amp; Dweck, C. S. (1999). Differential use of person information in decisions about guilt versus innocence: The role of implicit theories. </w:t>
      </w:r>
      <w:r w:rsidRPr="002A13E4">
        <w:rPr>
          <w:rFonts w:ascii="Times" w:eastAsia="Times" w:hAnsi="Times" w:cs="Times"/>
          <w:i/>
          <w:color w:val="000000" w:themeColor="text1"/>
        </w:rPr>
        <w:t>Personality and Social Psychology Bulletin</w:t>
      </w:r>
      <w:r w:rsidRPr="002A13E4">
        <w:rPr>
          <w:rFonts w:ascii="Times" w:eastAsia="Times" w:hAnsi="Times" w:cs="Times"/>
          <w:color w:val="000000" w:themeColor="text1"/>
        </w:rPr>
        <w:t>, </w:t>
      </w:r>
      <w:r w:rsidRPr="002A13E4">
        <w:rPr>
          <w:rFonts w:ascii="Times" w:eastAsia="Times" w:hAnsi="Times" w:cs="Times"/>
          <w:i/>
          <w:color w:val="000000" w:themeColor="text1"/>
        </w:rPr>
        <w:t>25</w:t>
      </w:r>
      <w:r w:rsidRPr="002A13E4">
        <w:rPr>
          <w:rFonts w:ascii="Times" w:eastAsia="Times" w:hAnsi="Times" w:cs="Times"/>
          <w:color w:val="000000" w:themeColor="text1"/>
        </w:rPr>
        <w:t>(1), 17</w:t>
      </w:r>
      <w:r w:rsidRPr="002A13E4">
        <w:rPr>
          <w:color w:val="000000" w:themeColor="text1"/>
        </w:rPr>
        <w:t>–</w:t>
      </w:r>
      <w:r w:rsidRPr="002A13E4">
        <w:rPr>
          <w:rFonts w:ascii="Times" w:eastAsia="Times" w:hAnsi="Times" w:cs="Times"/>
          <w:color w:val="000000" w:themeColor="text1"/>
        </w:rPr>
        <w:t>27.</w:t>
      </w:r>
    </w:p>
    <w:p w14:paraId="45716BBA" w14:textId="77777777" w:rsidR="00F8346C" w:rsidRPr="002A13E4" w:rsidRDefault="00F8346C">
      <w:pPr>
        <w:spacing w:line="480" w:lineRule="auto"/>
        <w:ind w:left="720" w:hanging="720"/>
        <w:rPr>
          <w:color w:val="000000" w:themeColor="text1"/>
          <w:u w:val="single"/>
        </w:rPr>
      </w:pPr>
      <w:proofErr w:type="spellStart"/>
      <w:r w:rsidRPr="002A13E4">
        <w:rPr>
          <w:color w:val="000000" w:themeColor="text1"/>
        </w:rPr>
        <w:t>Gheorghiu</w:t>
      </w:r>
      <w:proofErr w:type="spellEnd"/>
      <w:r w:rsidRPr="002A13E4">
        <w:rPr>
          <w:color w:val="000000" w:themeColor="text1"/>
        </w:rPr>
        <w:t xml:space="preserve">, M. A., </w:t>
      </w:r>
      <w:proofErr w:type="spellStart"/>
      <w:r w:rsidRPr="002A13E4">
        <w:rPr>
          <w:color w:val="000000" w:themeColor="text1"/>
        </w:rPr>
        <w:t>Vignoles</w:t>
      </w:r>
      <w:proofErr w:type="spellEnd"/>
      <w:r w:rsidRPr="002A13E4">
        <w:rPr>
          <w:color w:val="000000" w:themeColor="text1"/>
        </w:rPr>
        <w:t>, V. L., &amp; Smith, P. B. (2009). Beyond the United States and Japan: Testing Yamagishi's emancipation theory of trust across 31 nations. </w:t>
      </w:r>
      <w:r w:rsidRPr="002A13E4">
        <w:rPr>
          <w:i/>
          <w:color w:val="000000" w:themeColor="text1"/>
        </w:rPr>
        <w:t>Social Psychology Quarterly</w:t>
      </w:r>
      <w:r w:rsidRPr="002A13E4">
        <w:rPr>
          <w:color w:val="000000" w:themeColor="text1"/>
        </w:rPr>
        <w:t>, </w:t>
      </w:r>
      <w:r w:rsidRPr="002A13E4">
        <w:rPr>
          <w:i/>
          <w:color w:val="000000" w:themeColor="text1"/>
        </w:rPr>
        <w:t>72</w:t>
      </w:r>
      <w:r w:rsidRPr="002A13E4">
        <w:rPr>
          <w:color w:val="000000" w:themeColor="text1"/>
        </w:rPr>
        <w:t>(4), 365–383.</w:t>
      </w:r>
    </w:p>
    <w:p w14:paraId="2B3EAA3E" w14:textId="77777777" w:rsidR="00F8346C" w:rsidRPr="002A13E4" w:rsidRDefault="00F8346C">
      <w:pPr>
        <w:spacing w:line="480" w:lineRule="auto"/>
        <w:ind w:left="720" w:hanging="720"/>
        <w:rPr>
          <w:color w:val="000000" w:themeColor="text1"/>
        </w:rPr>
      </w:pPr>
      <w:bookmarkStart w:id="51" w:name="_heading=h.4i7ojhp" w:colFirst="0" w:colLast="0"/>
      <w:bookmarkEnd w:id="51"/>
      <w:r w:rsidRPr="002A13E4">
        <w:rPr>
          <w:color w:val="000000" w:themeColor="text1"/>
        </w:rPr>
        <w:t>Gillespie, N., &amp; Dietz, G. (2009). Trust repair after an organization-level failure. </w:t>
      </w:r>
      <w:r w:rsidRPr="002A13E4">
        <w:rPr>
          <w:i/>
          <w:color w:val="000000" w:themeColor="text1"/>
        </w:rPr>
        <w:t>Academy of Management Review</w:t>
      </w:r>
      <w:r w:rsidRPr="002A13E4">
        <w:rPr>
          <w:color w:val="000000" w:themeColor="text1"/>
        </w:rPr>
        <w:t>, </w:t>
      </w:r>
      <w:r w:rsidRPr="002A13E4">
        <w:rPr>
          <w:i/>
          <w:color w:val="000000" w:themeColor="text1"/>
        </w:rPr>
        <w:t>34</w:t>
      </w:r>
      <w:r w:rsidRPr="002A13E4">
        <w:rPr>
          <w:color w:val="000000" w:themeColor="text1"/>
        </w:rPr>
        <w:t>(1), 127–145.</w:t>
      </w:r>
    </w:p>
    <w:p w14:paraId="1E15E70A" w14:textId="77777777" w:rsidR="00F8346C" w:rsidRPr="002A13E4" w:rsidRDefault="00F8346C">
      <w:pPr>
        <w:spacing w:line="480" w:lineRule="auto"/>
        <w:ind w:left="720" w:hanging="720"/>
        <w:rPr>
          <w:color w:val="000000" w:themeColor="text1"/>
        </w:rPr>
      </w:pPr>
      <w:r w:rsidRPr="002A13E4">
        <w:rPr>
          <w:color w:val="000000" w:themeColor="text1"/>
        </w:rPr>
        <w:t xml:space="preserve">Gillespie, N., Dietz, G., &amp; </w:t>
      </w:r>
      <w:proofErr w:type="spellStart"/>
      <w:r w:rsidRPr="002A13E4">
        <w:rPr>
          <w:color w:val="000000" w:themeColor="text1"/>
        </w:rPr>
        <w:t>Lockey</w:t>
      </w:r>
      <w:proofErr w:type="spellEnd"/>
      <w:r w:rsidRPr="002A13E4">
        <w:rPr>
          <w:color w:val="000000" w:themeColor="text1"/>
        </w:rPr>
        <w:t xml:space="preserve">, S. (2014). Organizational reintegration and trust repair after an integrity violation: A case study. Business Ethics Quarterly, </w:t>
      </w:r>
      <w:r w:rsidRPr="002A13E4">
        <w:rPr>
          <w:i/>
          <w:color w:val="000000" w:themeColor="text1"/>
        </w:rPr>
        <w:t>24</w:t>
      </w:r>
      <w:r w:rsidRPr="002A13E4">
        <w:rPr>
          <w:color w:val="000000" w:themeColor="text1"/>
        </w:rPr>
        <w:t>(3), 371–410.</w:t>
      </w:r>
    </w:p>
    <w:p w14:paraId="494D2E4B" w14:textId="77777777" w:rsidR="00F8346C" w:rsidRPr="002A13E4" w:rsidRDefault="00F8346C">
      <w:pPr>
        <w:spacing w:line="480" w:lineRule="auto"/>
        <w:ind w:left="720" w:hanging="720"/>
        <w:rPr>
          <w:color w:val="000000" w:themeColor="text1"/>
        </w:rPr>
      </w:pPr>
      <w:r w:rsidRPr="002A13E4">
        <w:rPr>
          <w:color w:val="000000" w:themeColor="text1"/>
        </w:rPr>
        <w:t xml:space="preserve">Giuliani, M., </w:t>
      </w:r>
      <w:proofErr w:type="spellStart"/>
      <w:r w:rsidRPr="002A13E4">
        <w:rPr>
          <w:color w:val="000000" w:themeColor="text1"/>
        </w:rPr>
        <w:t>Mirnig</w:t>
      </w:r>
      <w:proofErr w:type="spellEnd"/>
      <w:r w:rsidRPr="002A13E4">
        <w:rPr>
          <w:color w:val="000000" w:themeColor="text1"/>
        </w:rPr>
        <w:t xml:space="preserve">, N., </w:t>
      </w:r>
      <w:proofErr w:type="spellStart"/>
      <w:r w:rsidRPr="002A13E4">
        <w:rPr>
          <w:color w:val="000000" w:themeColor="text1"/>
        </w:rPr>
        <w:t>Stollnberger</w:t>
      </w:r>
      <w:proofErr w:type="spellEnd"/>
      <w:r w:rsidRPr="002A13E4">
        <w:rPr>
          <w:color w:val="000000" w:themeColor="text1"/>
        </w:rPr>
        <w:t xml:space="preserve">, G., Stadler, S., Buchner, R., &amp; </w:t>
      </w:r>
      <w:proofErr w:type="spellStart"/>
      <w:r w:rsidRPr="002A13E4">
        <w:rPr>
          <w:color w:val="000000" w:themeColor="text1"/>
        </w:rPr>
        <w:t>Tscheligi</w:t>
      </w:r>
      <w:proofErr w:type="spellEnd"/>
      <w:r w:rsidRPr="002A13E4">
        <w:rPr>
          <w:color w:val="000000" w:themeColor="text1"/>
        </w:rPr>
        <w:t>, M. (2015). Systematic analysis of video data from different human-robot interaction studies: A categorization of social signals during error situations. </w:t>
      </w:r>
      <w:r w:rsidRPr="002A13E4">
        <w:rPr>
          <w:i/>
          <w:color w:val="000000" w:themeColor="text1"/>
        </w:rPr>
        <w:t>Psychol</w:t>
      </w:r>
      <w:r w:rsidRPr="002A13E4">
        <w:rPr>
          <w:color w:val="000000" w:themeColor="text1"/>
        </w:rPr>
        <w:t>., </w:t>
      </w:r>
      <w:r w:rsidRPr="002A13E4">
        <w:rPr>
          <w:i/>
          <w:color w:val="000000" w:themeColor="text1"/>
        </w:rPr>
        <w:t>6</w:t>
      </w:r>
      <w:r w:rsidRPr="002A13E4">
        <w:rPr>
          <w:color w:val="000000" w:themeColor="text1"/>
        </w:rPr>
        <w:t xml:space="preserve">, 931–931. </w:t>
      </w:r>
    </w:p>
    <w:p w14:paraId="30F5CDE9" w14:textId="77777777" w:rsidR="00F8346C" w:rsidRPr="002A13E4" w:rsidRDefault="00F8346C">
      <w:pPr>
        <w:spacing w:line="480" w:lineRule="auto"/>
        <w:ind w:left="720" w:hanging="720"/>
        <w:rPr>
          <w:color w:val="000000" w:themeColor="text1"/>
        </w:rPr>
      </w:pPr>
      <w:proofErr w:type="spellStart"/>
      <w:r w:rsidRPr="002A13E4">
        <w:rPr>
          <w:color w:val="000000" w:themeColor="text1"/>
        </w:rPr>
        <w:t>Goles</w:t>
      </w:r>
      <w:proofErr w:type="spellEnd"/>
      <w:r w:rsidRPr="002A13E4">
        <w:rPr>
          <w:color w:val="000000" w:themeColor="text1"/>
        </w:rPr>
        <w:t>, T., Rao, S. V., Lee, S., &amp; Warren, J. (2009). Trust violation in electronic commerce: Customer concerns and reactions. </w:t>
      </w:r>
      <w:r w:rsidRPr="002A13E4">
        <w:rPr>
          <w:i/>
          <w:color w:val="000000" w:themeColor="text1"/>
        </w:rPr>
        <w:t>Journal of Computer Information Systems</w:t>
      </w:r>
      <w:r w:rsidRPr="002A13E4">
        <w:rPr>
          <w:color w:val="000000" w:themeColor="text1"/>
        </w:rPr>
        <w:t>, </w:t>
      </w:r>
      <w:r w:rsidRPr="002A13E4">
        <w:rPr>
          <w:i/>
          <w:color w:val="000000" w:themeColor="text1"/>
        </w:rPr>
        <w:t>49</w:t>
      </w:r>
      <w:r w:rsidRPr="002A13E4">
        <w:rPr>
          <w:color w:val="000000" w:themeColor="text1"/>
        </w:rPr>
        <w:t>(4), 1–9.</w:t>
      </w:r>
    </w:p>
    <w:p w14:paraId="60E9353D" w14:textId="77777777" w:rsidR="00F8346C" w:rsidRPr="002A13E4" w:rsidRDefault="00F8346C">
      <w:pPr>
        <w:spacing w:line="480" w:lineRule="auto"/>
        <w:ind w:left="720" w:hanging="720"/>
        <w:rPr>
          <w:color w:val="000000" w:themeColor="text1"/>
        </w:rPr>
      </w:pPr>
      <w:r w:rsidRPr="002A13E4">
        <w:rPr>
          <w:color w:val="000000" w:themeColor="text1"/>
        </w:rPr>
        <w:t>Gray, H. M, Gray, K, &amp; Wegner, D. M. (2007). Dimensions of mind perception. </w:t>
      </w:r>
      <w:r w:rsidRPr="002A13E4">
        <w:rPr>
          <w:i/>
          <w:color w:val="000000" w:themeColor="text1"/>
        </w:rPr>
        <w:t>Science</w:t>
      </w:r>
      <w:r w:rsidRPr="002A13E4">
        <w:rPr>
          <w:color w:val="000000" w:themeColor="text1"/>
        </w:rPr>
        <w:t xml:space="preserve">, </w:t>
      </w:r>
      <w:r w:rsidRPr="002A13E4">
        <w:rPr>
          <w:i/>
          <w:color w:val="000000" w:themeColor="text1"/>
        </w:rPr>
        <w:t>315</w:t>
      </w:r>
      <w:r w:rsidRPr="002A13E4">
        <w:rPr>
          <w:color w:val="000000" w:themeColor="text1"/>
        </w:rPr>
        <w:t>(5812), 619–619.</w:t>
      </w:r>
    </w:p>
    <w:p w14:paraId="6DAC5DF1" w14:textId="77777777" w:rsidR="00F8346C" w:rsidRPr="002A13E4" w:rsidRDefault="00F8346C">
      <w:pPr>
        <w:spacing w:line="480" w:lineRule="auto"/>
        <w:ind w:left="720" w:hanging="720"/>
        <w:rPr>
          <w:color w:val="000000" w:themeColor="text1"/>
        </w:rPr>
      </w:pPr>
      <w:r w:rsidRPr="002A13E4">
        <w:rPr>
          <w:color w:val="000000" w:themeColor="text1"/>
        </w:rPr>
        <w:t xml:space="preserve">Gray, K., Young, L., &amp; </w:t>
      </w:r>
      <w:proofErr w:type="spellStart"/>
      <w:r w:rsidRPr="002A13E4">
        <w:rPr>
          <w:color w:val="000000" w:themeColor="text1"/>
        </w:rPr>
        <w:t>Waytz</w:t>
      </w:r>
      <w:proofErr w:type="spellEnd"/>
      <w:r w:rsidRPr="002A13E4">
        <w:rPr>
          <w:color w:val="000000" w:themeColor="text1"/>
        </w:rPr>
        <w:t>, A. (2012). Mind perception is the essence of morality. </w:t>
      </w:r>
      <w:r w:rsidRPr="002A13E4">
        <w:rPr>
          <w:i/>
          <w:color w:val="000000" w:themeColor="text1"/>
        </w:rPr>
        <w:t>Psychological Inquiry</w:t>
      </w:r>
      <w:r w:rsidRPr="002A13E4">
        <w:rPr>
          <w:color w:val="000000" w:themeColor="text1"/>
        </w:rPr>
        <w:t>, </w:t>
      </w:r>
      <w:r w:rsidRPr="002A13E4">
        <w:rPr>
          <w:i/>
          <w:color w:val="000000" w:themeColor="text1"/>
        </w:rPr>
        <w:t>23</w:t>
      </w:r>
      <w:r w:rsidRPr="002A13E4">
        <w:rPr>
          <w:color w:val="000000" w:themeColor="text1"/>
        </w:rPr>
        <w:t>(2), 101–124.</w:t>
      </w:r>
    </w:p>
    <w:p w14:paraId="089CDF44" w14:textId="77777777" w:rsidR="00F8346C" w:rsidRPr="002A13E4" w:rsidRDefault="00F8346C">
      <w:pPr>
        <w:spacing w:line="480" w:lineRule="auto"/>
        <w:ind w:left="720" w:hanging="720"/>
        <w:rPr>
          <w:color w:val="000000" w:themeColor="text1"/>
        </w:rPr>
      </w:pPr>
      <w:r w:rsidRPr="002A13E4">
        <w:rPr>
          <w:color w:val="000000" w:themeColor="text1"/>
        </w:rPr>
        <w:lastRenderedPageBreak/>
        <w:t xml:space="preserve">Groom, V., Chen, J., Johnson, T., Kara, F. A., &amp; Nass, C. (2010, March). Critic, compatriot, or chump? Responses to robot blame attribution. </w:t>
      </w:r>
      <w:r w:rsidRPr="002A13E4">
        <w:rPr>
          <w:i/>
          <w:color w:val="000000" w:themeColor="text1"/>
        </w:rPr>
        <w:t>2010 5th ACM/IEEE International Conference on Human-Robot Interactions</w:t>
      </w:r>
      <w:r w:rsidRPr="002A13E4">
        <w:rPr>
          <w:color w:val="000000" w:themeColor="text1"/>
        </w:rPr>
        <w:t xml:space="preserve">, 211-217. </w:t>
      </w:r>
    </w:p>
    <w:p w14:paraId="052DD8CC" w14:textId="77777777" w:rsidR="00F8346C" w:rsidRPr="002A13E4" w:rsidRDefault="00F8346C">
      <w:pPr>
        <w:spacing w:line="480" w:lineRule="auto"/>
        <w:ind w:left="720" w:hanging="720"/>
        <w:rPr>
          <w:color w:val="000000" w:themeColor="text1"/>
        </w:rPr>
      </w:pPr>
      <w:r w:rsidRPr="002A13E4">
        <w:rPr>
          <w:color w:val="000000" w:themeColor="text1"/>
        </w:rPr>
        <w:t xml:space="preserve">Guzman, A. L., &amp; Lewis, S. C. (2020). Artificial intelligence and communication: A human–machine communication research agenda. </w:t>
      </w:r>
      <w:r w:rsidRPr="002A13E4">
        <w:rPr>
          <w:i/>
          <w:color w:val="000000" w:themeColor="text1"/>
        </w:rPr>
        <w:t>New Media &amp; Society</w:t>
      </w:r>
      <w:r w:rsidRPr="002A13E4">
        <w:rPr>
          <w:color w:val="000000" w:themeColor="text1"/>
        </w:rPr>
        <w:t>, 22(1), 70–86.</w:t>
      </w:r>
    </w:p>
    <w:p w14:paraId="4AE2BA37" w14:textId="77777777" w:rsidR="00F8346C" w:rsidRPr="002A13E4" w:rsidRDefault="00F8346C">
      <w:pPr>
        <w:spacing w:line="480" w:lineRule="auto"/>
        <w:ind w:left="720" w:hanging="720"/>
        <w:rPr>
          <w:color w:val="000000" w:themeColor="text1"/>
        </w:rPr>
      </w:pPr>
      <w:proofErr w:type="spellStart"/>
      <w:r w:rsidRPr="002A13E4">
        <w:rPr>
          <w:color w:val="000000" w:themeColor="text1"/>
        </w:rPr>
        <w:t>Guznov</w:t>
      </w:r>
      <w:proofErr w:type="spellEnd"/>
      <w:r w:rsidRPr="002A13E4">
        <w:rPr>
          <w:color w:val="000000" w:themeColor="text1"/>
        </w:rPr>
        <w:t>, S., Lyons, J., Nelson, A., &amp; Woolley, M. (2016). The effects of automation error types on operators’ trust and reliance. In International Conference on Virtual, Augmented and Mixed Reality, 116–124.</w:t>
      </w:r>
    </w:p>
    <w:p w14:paraId="770E9AFB" w14:textId="77777777" w:rsidR="00F8346C" w:rsidRPr="002A13E4" w:rsidRDefault="00F8346C">
      <w:pPr>
        <w:spacing w:line="480" w:lineRule="auto"/>
        <w:ind w:left="720" w:hanging="720"/>
        <w:rPr>
          <w:color w:val="000000" w:themeColor="text1"/>
        </w:rPr>
      </w:pPr>
      <w:bookmarkStart w:id="52" w:name="_heading=h.2xcytpi" w:colFirst="0" w:colLast="0"/>
      <w:bookmarkEnd w:id="52"/>
      <w:proofErr w:type="spellStart"/>
      <w:r w:rsidRPr="002A13E4">
        <w:rPr>
          <w:color w:val="000000" w:themeColor="text1"/>
        </w:rPr>
        <w:t>Haesevoets</w:t>
      </w:r>
      <w:proofErr w:type="spellEnd"/>
      <w:r w:rsidRPr="002A13E4">
        <w:rPr>
          <w:color w:val="000000" w:themeColor="text1"/>
        </w:rPr>
        <w:t>, T., Chris, R. F., &amp; Alain, V. H. (2015). Is trust for sale? the effectiveness of financial compensation for repairing competence- versus integrity-based trust violations. </w:t>
      </w:r>
      <w:proofErr w:type="spellStart"/>
      <w:r w:rsidRPr="002A13E4">
        <w:rPr>
          <w:i/>
          <w:color w:val="000000" w:themeColor="text1"/>
        </w:rPr>
        <w:t>PLoS</w:t>
      </w:r>
      <w:proofErr w:type="spellEnd"/>
      <w:r w:rsidRPr="002A13E4">
        <w:rPr>
          <w:i/>
          <w:color w:val="000000" w:themeColor="text1"/>
        </w:rPr>
        <w:t xml:space="preserve"> One</w:t>
      </w:r>
      <w:r w:rsidRPr="002A13E4">
        <w:rPr>
          <w:color w:val="000000" w:themeColor="text1"/>
        </w:rPr>
        <w:t>, </w:t>
      </w:r>
      <w:r w:rsidRPr="002A13E4">
        <w:rPr>
          <w:i/>
          <w:color w:val="000000" w:themeColor="text1"/>
        </w:rPr>
        <w:t>10</w:t>
      </w:r>
      <w:r w:rsidRPr="002A13E4">
        <w:rPr>
          <w:color w:val="000000" w:themeColor="text1"/>
        </w:rPr>
        <w:t xml:space="preserve">(12). Retrieved from </w:t>
      </w:r>
      <w:proofErr w:type="gramStart"/>
      <w:r w:rsidRPr="002A13E4">
        <w:rPr>
          <w:color w:val="000000" w:themeColor="text1"/>
        </w:rPr>
        <w:t>doi:http://dx.doi.org.ezproxy.lib.ou.edu/10.1371/journal.pone.0145952</w:t>
      </w:r>
      <w:proofErr w:type="gramEnd"/>
    </w:p>
    <w:p w14:paraId="065C8892" w14:textId="77777777" w:rsidR="00F8346C" w:rsidRPr="002A13E4" w:rsidRDefault="00F8346C">
      <w:pPr>
        <w:spacing w:line="480" w:lineRule="auto"/>
        <w:ind w:left="720" w:hanging="720"/>
        <w:rPr>
          <w:color w:val="000000" w:themeColor="text1"/>
        </w:rPr>
      </w:pPr>
      <w:r w:rsidRPr="002A13E4">
        <w:rPr>
          <w:color w:val="000000" w:themeColor="text1"/>
        </w:rPr>
        <w:t xml:space="preserve">Hall, E. (1977). </w:t>
      </w:r>
      <w:r w:rsidRPr="002A13E4">
        <w:rPr>
          <w:i/>
          <w:color w:val="000000" w:themeColor="text1"/>
        </w:rPr>
        <w:t>Beyond culture</w:t>
      </w:r>
      <w:r w:rsidRPr="002A13E4">
        <w:rPr>
          <w:color w:val="000000" w:themeColor="text1"/>
        </w:rPr>
        <w:t>. Anchor.</w:t>
      </w:r>
    </w:p>
    <w:p w14:paraId="26F00668" w14:textId="77777777" w:rsidR="00F8346C" w:rsidRPr="002A13E4" w:rsidRDefault="00F8346C">
      <w:pPr>
        <w:spacing w:line="480" w:lineRule="auto"/>
        <w:ind w:left="720" w:hanging="720"/>
        <w:rPr>
          <w:color w:val="000000" w:themeColor="text1"/>
        </w:rPr>
      </w:pPr>
      <w:bookmarkStart w:id="53" w:name="_heading=h.1ci93xb" w:colFirst="0" w:colLast="0"/>
      <w:bookmarkEnd w:id="53"/>
      <w:r w:rsidRPr="002A13E4">
        <w:rPr>
          <w:color w:val="000000" w:themeColor="text1"/>
        </w:rPr>
        <w:t>Hancock, P., Billings, D., Schaefer, K., Chen, J., De Visser, E., &amp; Parasuraman, R. (2011). A meta-analysis of factors affecting trust in human-robot interaction.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53</w:t>
      </w:r>
      <w:r w:rsidRPr="002A13E4">
        <w:rPr>
          <w:color w:val="000000" w:themeColor="text1"/>
        </w:rPr>
        <w:t>(5), 517–527.</w:t>
      </w:r>
    </w:p>
    <w:p w14:paraId="6132948D" w14:textId="77777777" w:rsidR="00F8346C" w:rsidRPr="002A13E4" w:rsidRDefault="00F8346C">
      <w:pPr>
        <w:spacing w:line="480" w:lineRule="auto"/>
        <w:ind w:left="720" w:hanging="720"/>
        <w:rPr>
          <w:color w:val="000000" w:themeColor="text1"/>
        </w:rPr>
      </w:pPr>
      <w:r w:rsidRPr="002A13E4">
        <w:rPr>
          <w:color w:val="000000" w:themeColor="text1"/>
        </w:rPr>
        <w:t>Heider. F (1958). The psychology of interpersonal relations. New York: Wiley.</w:t>
      </w:r>
    </w:p>
    <w:p w14:paraId="6C79DE14" w14:textId="77777777" w:rsidR="00F8346C" w:rsidRPr="002A13E4" w:rsidRDefault="00F8346C">
      <w:pPr>
        <w:spacing w:line="480" w:lineRule="auto"/>
        <w:ind w:left="720" w:hanging="720"/>
        <w:rPr>
          <w:color w:val="000000" w:themeColor="text1"/>
        </w:rPr>
      </w:pPr>
      <w:r w:rsidRPr="002A13E4">
        <w:rPr>
          <w:color w:val="000000" w:themeColor="text1"/>
        </w:rPr>
        <w:t xml:space="preserve">Hoff, K. A., &amp; Bashir, M. (2015). Trust in automation: </w:t>
      </w:r>
      <w:hyperlink r:id="rId16">
        <w:r w:rsidRPr="002A13E4">
          <w:rPr>
            <w:color w:val="000000" w:themeColor="text1"/>
          </w:rPr>
          <w:t>Integrating empirical evidence on factors that influence trust</w:t>
        </w:r>
      </w:hyperlink>
      <w:r w:rsidRPr="002A13E4">
        <w:rPr>
          <w:color w:val="000000" w:themeColor="text1"/>
        </w:rPr>
        <w:t>.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57</w:t>
      </w:r>
      <w:r w:rsidRPr="002A13E4">
        <w:rPr>
          <w:color w:val="000000" w:themeColor="text1"/>
        </w:rPr>
        <w:t>(3), 407–434.</w:t>
      </w:r>
    </w:p>
    <w:p w14:paraId="1A49A4F2" w14:textId="77777777" w:rsidR="00F8346C" w:rsidRPr="002A13E4" w:rsidRDefault="00F8346C">
      <w:pPr>
        <w:spacing w:line="480" w:lineRule="auto"/>
        <w:ind w:left="720" w:hanging="720"/>
        <w:rPr>
          <w:color w:val="000000" w:themeColor="text1"/>
        </w:rPr>
      </w:pPr>
      <w:r w:rsidRPr="002A13E4">
        <w:rPr>
          <w:color w:val="000000" w:themeColor="text1"/>
        </w:rPr>
        <w:t xml:space="preserve">Hoffman, R. R., Johnson, M., Bradshaw, J. M., &amp; </w:t>
      </w:r>
      <w:proofErr w:type="spellStart"/>
      <w:r w:rsidRPr="002A13E4">
        <w:rPr>
          <w:color w:val="000000" w:themeColor="text1"/>
        </w:rPr>
        <w:t>Underbrink</w:t>
      </w:r>
      <w:proofErr w:type="spellEnd"/>
      <w:r w:rsidRPr="002A13E4">
        <w:rPr>
          <w:color w:val="000000" w:themeColor="text1"/>
        </w:rPr>
        <w:t>, A. (2013). Trust in automation. </w:t>
      </w:r>
      <w:r w:rsidRPr="002A13E4">
        <w:rPr>
          <w:i/>
          <w:color w:val="000000" w:themeColor="text1"/>
        </w:rPr>
        <w:t>IEEE Intelligent Systems</w:t>
      </w:r>
      <w:r w:rsidRPr="002A13E4">
        <w:rPr>
          <w:color w:val="000000" w:themeColor="text1"/>
        </w:rPr>
        <w:t>, </w:t>
      </w:r>
      <w:r w:rsidRPr="002A13E4">
        <w:rPr>
          <w:i/>
          <w:color w:val="000000" w:themeColor="text1"/>
        </w:rPr>
        <w:t>28</w:t>
      </w:r>
      <w:r w:rsidRPr="002A13E4">
        <w:rPr>
          <w:color w:val="000000" w:themeColor="text1"/>
        </w:rPr>
        <w:t xml:space="preserve">(1), 84–88. </w:t>
      </w:r>
    </w:p>
    <w:p w14:paraId="16499F2C" w14:textId="77777777" w:rsidR="00F8346C" w:rsidRPr="002A13E4" w:rsidRDefault="00F8346C">
      <w:pPr>
        <w:spacing w:line="480" w:lineRule="auto"/>
        <w:ind w:left="720" w:hanging="720"/>
        <w:rPr>
          <w:color w:val="000000" w:themeColor="text1"/>
        </w:rPr>
      </w:pPr>
      <w:r w:rsidRPr="002A13E4">
        <w:rPr>
          <w:color w:val="000000" w:themeColor="text1"/>
        </w:rPr>
        <w:lastRenderedPageBreak/>
        <w:t xml:space="preserve">Honig, S., &amp; </w:t>
      </w:r>
      <w:proofErr w:type="spellStart"/>
      <w:r w:rsidRPr="002A13E4">
        <w:rPr>
          <w:color w:val="000000" w:themeColor="text1"/>
        </w:rPr>
        <w:t>Oron</w:t>
      </w:r>
      <w:proofErr w:type="spellEnd"/>
      <w:r w:rsidRPr="002A13E4">
        <w:rPr>
          <w:color w:val="000000" w:themeColor="text1"/>
        </w:rPr>
        <w:t>-Gilad, T. (2018). Understanding and resolving failures in human-robot interaction: Literature review and model development. </w:t>
      </w:r>
      <w:r w:rsidRPr="002A13E4">
        <w:rPr>
          <w:i/>
          <w:color w:val="000000" w:themeColor="text1"/>
        </w:rPr>
        <w:t>Frontiers in Psychology</w:t>
      </w:r>
      <w:r w:rsidRPr="002A13E4">
        <w:rPr>
          <w:color w:val="000000" w:themeColor="text1"/>
        </w:rPr>
        <w:t>, </w:t>
      </w:r>
      <w:r w:rsidRPr="002A13E4">
        <w:rPr>
          <w:i/>
          <w:color w:val="000000" w:themeColor="text1"/>
        </w:rPr>
        <w:t>9</w:t>
      </w:r>
      <w:r w:rsidRPr="002A13E4">
        <w:rPr>
          <w:color w:val="000000" w:themeColor="text1"/>
        </w:rPr>
        <w:t>, 861–861.</w:t>
      </w:r>
    </w:p>
    <w:p w14:paraId="216C2ADC" w14:textId="77777777" w:rsidR="00F8346C" w:rsidRPr="002A13E4" w:rsidRDefault="00F8346C" w:rsidP="00A85737">
      <w:pPr>
        <w:spacing w:line="480" w:lineRule="auto"/>
        <w:ind w:left="720" w:hanging="720"/>
        <w:rPr>
          <w:rFonts w:ascii="Times" w:hAnsi="Times"/>
          <w:color w:val="000000" w:themeColor="text1"/>
        </w:rPr>
      </w:pPr>
      <w:r w:rsidRPr="002A13E4">
        <w:rPr>
          <w:rFonts w:ascii="Times" w:hAnsi="Times" w:cs="Arial"/>
          <w:color w:val="000000" w:themeColor="text1"/>
          <w:shd w:val="clear" w:color="auto" w:fill="FFFFFF"/>
        </w:rPr>
        <w:t xml:space="preserve">Hu, L. T., &amp; </w:t>
      </w:r>
      <w:proofErr w:type="spellStart"/>
      <w:r w:rsidRPr="002A13E4">
        <w:rPr>
          <w:rFonts w:ascii="Times" w:hAnsi="Times" w:cs="Arial"/>
          <w:color w:val="000000" w:themeColor="text1"/>
          <w:shd w:val="clear" w:color="auto" w:fill="FFFFFF"/>
        </w:rPr>
        <w:t>Bentler</w:t>
      </w:r>
      <w:proofErr w:type="spellEnd"/>
      <w:r w:rsidRPr="002A13E4">
        <w:rPr>
          <w:rFonts w:ascii="Times" w:hAnsi="Times" w:cs="Arial"/>
          <w:color w:val="000000" w:themeColor="text1"/>
          <w:shd w:val="clear" w:color="auto" w:fill="FFFFFF"/>
        </w:rPr>
        <w:t>, P. M. (1999). Cutoff criteria for fit indexes in covariance structure analysis: Conventional criteria versus new alternatives.</w:t>
      </w:r>
      <w:r w:rsidRPr="002A13E4">
        <w:rPr>
          <w:rStyle w:val="apple-converted-space"/>
          <w:rFonts w:ascii="Times" w:hAnsi="Times" w:cs="Arial"/>
          <w:color w:val="000000" w:themeColor="text1"/>
          <w:shd w:val="clear" w:color="auto" w:fill="FFFFFF"/>
        </w:rPr>
        <w:t> </w:t>
      </w:r>
      <w:r w:rsidRPr="002A13E4">
        <w:rPr>
          <w:rFonts w:ascii="Times" w:hAnsi="Times" w:cs="Arial"/>
          <w:i/>
          <w:iCs/>
          <w:color w:val="000000" w:themeColor="text1"/>
        </w:rPr>
        <w:t>Structural equation modeling: A multidisciplinary journal</w:t>
      </w:r>
      <w:r w:rsidRPr="002A13E4">
        <w:rPr>
          <w:rFonts w:ascii="Times" w:hAnsi="Times" w:cs="Arial"/>
          <w:color w:val="000000" w:themeColor="text1"/>
          <w:shd w:val="clear" w:color="auto" w:fill="FFFFFF"/>
        </w:rPr>
        <w:t>,</w:t>
      </w:r>
      <w:r w:rsidRPr="002A13E4">
        <w:rPr>
          <w:rStyle w:val="apple-converted-space"/>
          <w:rFonts w:ascii="Times" w:hAnsi="Times" w:cs="Arial"/>
          <w:color w:val="000000" w:themeColor="text1"/>
          <w:shd w:val="clear" w:color="auto" w:fill="FFFFFF"/>
        </w:rPr>
        <w:t> </w:t>
      </w:r>
      <w:r w:rsidRPr="002A13E4">
        <w:rPr>
          <w:rFonts w:ascii="Times" w:hAnsi="Times" w:cs="Arial"/>
          <w:i/>
          <w:iCs/>
          <w:color w:val="000000" w:themeColor="text1"/>
        </w:rPr>
        <w:t>6</w:t>
      </w:r>
      <w:r w:rsidRPr="002A13E4">
        <w:rPr>
          <w:rFonts w:ascii="Times" w:hAnsi="Times" w:cs="Arial"/>
          <w:color w:val="000000" w:themeColor="text1"/>
          <w:shd w:val="clear" w:color="auto" w:fill="FFFFFF"/>
        </w:rPr>
        <w:t>(1), 1</w:t>
      </w:r>
      <w:r w:rsidRPr="002A13E4">
        <w:rPr>
          <w:color w:val="000000" w:themeColor="text1"/>
        </w:rPr>
        <w:t>–</w:t>
      </w:r>
      <w:r w:rsidRPr="002A13E4">
        <w:rPr>
          <w:rFonts w:ascii="Times" w:hAnsi="Times" w:cs="Arial"/>
          <w:color w:val="000000" w:themeColor="text1"/>
          <w:shd w:val="clear" w:color="auto" w:fill="FFFFFF"/>
        </w:rPr>
        <w:t>55.</w:t>
      </w:r>
    </w:p>
    <w:p w14:paraId="4DB50586" w14:textId="77777777" w:rsidR="00F8346C" w:rsidRPr="002A13E4" w:rsidRDefault="00F8346C">
      <w:pPr>
        <w:spacing w:line="480" w:lineRule="auto"/>
        <w:ind w:left="720" w:hanging="720"/>
        <w:rPr>
          <w:color w:val="000000" w:themeColor="text1"/>
        </w:rPr>
      </w:pPr>
      <w:r w:rsidRPr="002A13E4">
        <w:rPr>
          <w:color w:val="000000" w:themeColor="text1"/>
        </w:rPr>
        <w:t xml:space="preserve">Huerta, E., </w:t>
      </w:r>
      <w:proofErr w:type="spellStart"/>
      <w:r w:rsidRPr="002A13E4">
        <w:rPr>
          <w:color w:val="000000" w:themeColor="text1"/>
        </w:rPr>
        <w:t>Glandon</w:t>
      </w:r>
      <w:proofErr w:type="spellEnd"/>
      <w:r w:rsidRPr="002A13E4">
        <w:rPr>
          <w:color w:val="000000" w:themeColor="text1"/>
        </w:rPr>
        <w:t xml:space="preserve">, T., &amp; </w:t>
      </w:r>
      <w:proofErr w:type="spellStart"/>
      <w:r w:rsidRPr="002A13E4">
        <w:rPr>
          <w:color w:val="000000" w:themeColor="text1"/>
        </w:rPr>
        <w:t>Petrides</w:t>
      </w:r>
      <w:proofErr w:type="spellEnd"/>
      <w:r w:rsidRPr="002A13E4">
        <w:rPr>
          <w:color w:val="000000" w:themeColor="text1"/>
        </w:rPr>
        <w:t xml:space="preserve">, Y. (2012). Framing, decision aid systems, and culture: Exploring influences on fraud investigations. </w:t>
      </w:r>
      <w:r w:rsidRPr="002A13E4">
        <w:rPr>
          <w:i/>
          <w:color w:val="000000" w:themeColor="text1"/>
        </w:rPr>
        <w:t>International Journal of Accounting Information Systems</w:t>
      </w:r>
      <w:r w:rsidRPr="002A13E4">
        <w:rPr>
          <w:color w:val="000000" w:themeColor="text1"/>
        </w:rPr>
        <w:t xml:space="preserve">, </w:t>
      </w:r>
      <w:r w:rsidRPr="002A13E4">
        <w:rPr>
          <w:i/>
          <w:color w:val="000000" w:themeColor="text1"/>
        </w:rPr>
        <w:t>13</w:t>
      </w:r>
      <w:r w:rsidRPr="002A13E4">
        <w:rPr>
          <w:color w:val="000000" w:themeColor="text1"/>
        </w:rPr>
        <w:t>, 316–333.</w:t>
      </w:r>
    </w:p>
    <w:p w14:paraId="34A1CA16" w14:textId="77777777" w:rsidR="00F8346C" w:rsidRPr="002A13E4" w:rsidRDefault="00F8346C">
      <w:pPr>
        <w:spacing w:line="480" w:lineRule="auto"/>
        <w:ind w:left="720" w:hanging="720"/>
        <w:rPr>
          <w:color w:val="000000" w:themeColor="text1"/>
        </w:rPr>
      </w:pPr>
      <w:r w:rsidRPr="002A13E4">
        <w:rPr>
          <w:color w:val="000000" w:themeColor="text1"/>
        </w:rPr>
        <w:t>Huff, L., &amp; Kelley, L. (2005). Is collectivism a liability? The impact of culture on organizational trust and customer orientation: A seven-nation study. </w:t>
      </w:r>
      <w:r w:rsidRPr="002A13E4">
        <w:rPr>
          <w:i/>
          <w:color w:val="000000" w:themeColor="text1"/>
        </w:rPr>
        <w:t>Journal of Business Research,</w:t>
      </w:r>
      <w:r w:rsidRPr="002A13E4">
        <w:rPr>
          <w:color w:val="000000" w:themeColor="text1"/>
        </w:rPr>
        <w:t> </w:t>
      </w:r>
      <w:r w:rsidRPr="002A13E4">
        <w:rPr>
          <w:i/>
          <w:color w:val="000000" w:themeColor="text1"/>
        </w:rPr>
        <w:t>58</w:t>
      </w:r>
      <w:r w:rsidRPr="002A13E4">
        <w:rPr>
          <w:color w:val="000000" w:themeColor="text1"/>
        </w:rPr>
        <w:t>(1), 96–102.</w:t>
      </w:r>
    </w:p>
    <w:p w14:paraId="3DD270C1" w14:textId="77777777" w:rsidR="00F8346C" w:rsidRPr="002A13E4" w:rsidRDefault="00F8346C">
      <w:pPr>
        <w:spacing w:line="480" w:lineRule="auto"/>
        <w:ind w:left="720" w:hanging="720"/>
        <w:rPr>
          <w:rFonts w:ascii="Arial" w:eastAsia="Arial" w:hAnsi="Arial" w:cs="Arial"/>
          <w:color w:val="000000" w:themeColor="text1"/>
          <w:sz w:val="20"/>
          <w:szCs w:val="20"/>
        </w:rPr>
      </w:pPr>
      <w:proofErr w:type="spellStart"/>
      <w:r w:rsidRPr="002A13E4">
        <w:rPr>
          <w:color w:val="000000" w:themeColor="text1"/>
        </w:rPr>
        <w:t>Iio</w:t>
      </w:r>
      <w:proofErr w:type="spellEnd"/>
      <w:r w:rsidRPr="002A13E4">
        <w:rPr>
          <w:color w:val="000000" w:themeColor="text1"/>
        </w:rPr>
        <w:t xml:space="preserve">, T., Yoshikawa, Y., Chiba, M., </w:t>
      </w:r>
      <w:proofErr w:type="spellStart"/>
      <w:r w:rsidRPr="002A13E4">
        <w:rPr>
          <w:color w:val="000000" w:themeColor="text1"/>
        </w:rPr>
        <w:t>Asami</w:t>
      </w:r>
      <w:proofErr w:type="spellEnd"/>
      <w:r w:rsidRPr="002A13E4">
        <w:rPr>
          <w:color w:val="000000" w:themeColor="text1"/>
        </w:rPr>
        <w:t xml:space="preserve">, T., </w:t>
      </w:r>
      <w:proofErr w:type="spellStart"/>
      <w:r w:rsidRPr="002A13E4">
        <w:rPr>
          <w:color w:val="000000" w:themeColor="text1"/>
        </w:rPr>
        <w:t>Isoda</w:t>
      </w:r>
      <w:proofErr w:type="spellEnd"/>
      <w:r w:rsidRPr="002A13E4">
        <w:rPr>
          <w:color w:val="000000" w:themeColor="text1"/>
        </w:rPr>
        <w:t>, Y., &amp; Ishiguro, H. (2020). Twin-robot dialogue system with robustness against speech recognition failure in human-robot dialogue with elderly people. </w:t>
      </w:r>
      <w:r w:rsidRPr="002A13E4">
        <w:rPr>
          <w:i/>
          <w:color w:val="000000" w:themeColor="text1"/>
        </w:rPr>
        <w:t>Applied Sciences</w:t>
      </w:r>
      <w:r w:rsidRPr="002A13E4">
        <w:rPr>
          <w:color w:val="000000" w:themeColor="text1"/>
        </w:rPr>
        <w:t>, </w:t>
      </w:r>
      <w:r w:rsidRPr="002A13E4">
        <w:rPr>
          <w:i/>
          <w:color w:val="000000" w:themeColor="text1"/>
        </w:rPr>
        <w:t>10</w:t>
      </w:r>
      <w:r w:rsidRPr="002A13E4">
        <w:rPr>
          <w:color w:val="000000" w:themeColor="text1"/>
        </w:rPr>
        <w:t>(4), 1522–1522.</w:t>
      </w:r>
      <w:r w:rsidRPr="002A13E4">
        <w:rPr>
          <w:rFonts w:ascii="Verdana" w:eastAsia="Verdana" w:hAnsi="Verdana" w:cs="Verdana"/>
          <w:color w:val="000000" w:themeColor="text1"/>
          <w:sz w:val="18"/>
          <w:szCs w:val="18"/>
        </w:rPr>
        <w:t xml:space="preserve"> </w:t>
      </w:r>
    </w:p>
    <w:p w14:paraId="4D3C6FE2" w14:textId="77777777" w:rsidR="00F8346C" w:rsidRPr="002A13E4" w:rsidRDefault="00F8346C">
      <w:pPr>
        <w:spacing w:line="480" w:lineRule="auto"/>
        <w:ind w:left="720" w:hanging="720"/>
        <w:rPr>
          <w:color w:val="000000" w:themeColor="text1"/>
        </w:rPr>
      </w:pPr>
      <w:r w:rsidRPr="002A13E4">
        <w:rPr>
          <w:color w:val="000000" w:themeColor="text1"/>
        </w:rPr>
        <w:t>Janowicz‐</w:t>
      </w:r>
      <w:proofErr w:type="spellStart"/>
      <w:r w:rsidRPr="002A13E4">
        <w:rPr>
          <w:color w:val="000000" w:themeColor="text1"/>
        </w:rPr>
        <w:t>Panjaitan</w:t>
      </w:r>
      <w:proofErr w:type="spellEnd"/>
      <w:r w:rsidRPr="002A13E4">
        <w:rPr>
          <w:color w:val="000000" w:themeColor="text1"/>
        </w:rPr>
        <w:t>, M., &amp; Krishnan, R. (2009). Measures for dealing with competence and integrity violations of interorganizational trust at the corporate and operating levels of organizational hierarchy. </w:t>
      </w:r>
      <w:r w:rsidRPr="002A13E4">
        <w:rPr>
          <w:i/>
          <w:color w:val="000000" w:themeColor="text1"/>
        </w:rPr>
        <w:t>Journal of Management Studies</w:t>
      </w:r>
      <w:r w:rsidRPr="002A13E4">
        <w:rPr>
          <w:color w:val="000000" w:themeColor="text1"/>
        </w:rPr>
        <w:t>, </w:t>
      </w:r>
      <w:r w:rsidRPr="002A13E4">
        <w:rPr>
          <w:i/>
          <w:color w:val="000000" w:themeColor="text1"/>
        </w:rPr>
        <w:t>46</w:t>
      </w:r>
      <w:r w:rsidRPr="002A13E4">
        <w:rPr>
          <w:color w:val="000000" w:themeColor="text1"/>
        </w:rPr>
        <w:t>(2), 245–268.</w:t>
      </w:r>
    </w:p>
    <w:p w14:paraId="229D0DCA" w14:textId="77777777" w:rsidR="00F8346C" w:rsidRPr="002A13E4" w:rsidRDefault="00F8346C">
      <w:pPr>
        <w:spacing w:line="480" w:lineRule="auto"/>
        <w:ind w:left="720" w:hanging="720"/>
        <w:rPr>
          <w:color w:val="000000" w:themeColor="text1"/>
        </w:rPr>
      </w:pPr>
      <w:r w:rsidRPr="002A13E4">
        <w:rPr>
          <w:color w:val="000000" w:themeColor="text1"/>
        </w:rPr>
        <w:t xml:space="preserve">Jessup, S. A., Schneider, T. R., Alarcon, G. M., Ryan, T. J., &amp; </w:t>
      </w:r>
      <w:proofErr w:type="spellStart"/>
      <w:r w:rsidRPr="002A13E4">
        <w:rPr>
          <w:color w:val="000000" w:themeColor="text1"/>
        </w:rPr>
        <w:t>Capiola</w:t>
      </w:r>
      <w:proofErr w:type="spellEnd"/>
      <w:r w:rsidRPr="002A13E4">
        <w:rPr>
          <w:color w:val="000000" w:themeColor="text1"/>
        </w:rPr>
        <w:t xml:space="preserve">, A. (2019, July). The measurement of the propensity to trust automation. </w:t>
      </w:r>
      <w:r w:rsidRPr="002A13E4">
        <w:rPr>
          <w:i/>
          <w:color w:val="000000" w:themeColor="text1"/>
        </w:rPr>
        <w:t>International Conference on Human-Computer Interaction</w:t>
      </w:r>
      <w:r w:rsidRPr="002A13E4">
        <w:rPr>
          <w:color w:val="000000" w:themeColor="text1"/>
        </w:rPr>
        <w:t>, 476–489. Springer, Cham.</w:t>
      </w:r>
    </w:p>
    <w:p w14:paraId="7E26CC4E" w14:textId="77777777" w:rsidR="00F8346C" w:rsidRPr="002A13E4" w:rsidRDefault="00F8346C">
      <w:pPr>
        <w:spacing w:line="480" w:lineRule="auto"/>
        <w:ind w:left="720" w:hanging="720"/>
        <w:rPr>
          <w:color w:val="000000" w:themeColor="text1"/>
        </w:rPr>
      </w:pPr>
      <w:r w:rsidRPr="002A13E4">
        <w:rPr>
          <w:color w:val="000000" w:themeColor="text1"/>
        </w:rPr>
        <w:lastRenderedPageBreak/>
        <w:t>Johnson, J. D., Sanchez, J., Fisk, A. D., &amp; Rogers, W. A. (2004, September). Type of automation failure: The effects on trust and reliance in automation. </w:t>
      </w:r>
      <w:r w:rsidRPr="002A13E4">
        <w:rPr>
          <w:i/>
          <w:color w:val="000000" w:themeColor="text1"/>
        </w:rPr>
        <w:t>Proceedings of the Human Factors and Ergonomics Society Annual Meeting</w:t>
      </w:r>
      <w:r w:rsidRPr="002A13E4">
        <w:rPr>
          <w:color w:val="000000" w:themeColor="text1"/>
        </w:rPr>
        <w:t xml:space="preserve">, </w:t>
      </w:r>
      <w:r w:rsidRPr="002A13E4">
        <w:rPr>
          <w:i/>
          <w:color w:val="000000" w:themeColor="text1"/>
        </w:rPr>
        <w:t>48</w:t>
      </w:r>
      <w:r w:rsidRPr="002A13E4">
        <w:rPr>
          <w:color w:val="000000" w:themeColor="text1"/>
        </w:rPr>
        <w:t xml:space="preserve">(18), 2163–2167. </w:t>
      </w:r>
    </w:p>
    <w:p w14:paraId="3178C8F1" w14:textId="77777777" w:rsidR="00F8346C" w:rsidRPr="002A13E4" w:rsidRDefault="00F8346C">
      <w:pPr>
        <w:spacing w:line="480" w:lineRule="auto"/>
        <w:ind w:left="720" w:hanging="720"/>
        <w:rPr>
          <w:color w:val="000000" w:themeColor="text1"/>
        </w:rPr>
      </w:pPr>
      <w:r w:rsidRPr="002A13E4">
        <w:rPr>
          <w:color w:val="000000" w:themeColor="text1"/>
        </w:rPr>
        <w:t>Jung, E. H. (1999). The acquisition of communicative competence in a second language. </w:t>
      </w:r>
      <w:r w:rsidRPr="002A13E4">
        <w:rPr>
          <w:i/>
          <w:color w:val="000000" w:themeColor="text1"/>
        </w:rPr>
        <w:t>Journal of Pan-Pacific Association of Applied Linguistics</w:t>
      </w:r>
      <w:r w:rsidRPr="002A13E4">
        <w:rPr>
          <w:color w:val="000000" w:themeColor="text1"/>
        </w:rPr>
        <w:t>, </w:t>
      </w:r>
      <w:r w:rsidRPr="002A13E4">
        <w:rPr>
          <w:i/>
          <w:color w:val="000000" w:themeColor="text1"/>
        </w:rPr>
        <w:t>3</w:t>
      </w:r>
      <w:r w:rsidRPr="002A13E4">
        <w:rPr>
          <w:color w:val="000000" w:themeColor="text1"/>
        </w:rPr>
        <w:t>, 13–37.</w:t>
      </w:r>
    </w:p>
    <w:p w14:paraId="01C1A217" w14:textId="77777777" w:rsidR="00F8346C" w:rsidRPr="002A13E4" w:rsidRDefault="00F8346C">
      <w:pPr>
        <w:spacing w:line="480" w:lineRule="auto"/>
        <w:ind w:left="720" w:hanging="720"/>
        <w:rPr>
          <w:color w:val="000000" w:themeColor="text1"/>
        </w:rPr>
      </w:pPr>
      <w:r w:rsidRPr="002A13E4">
        <w:rPr>
          <w:color w:val="000000" w:themeColor="text1"/>
        </w:rPr>
        <w:t xml:space="preserve">Kam, T. K. (2009, June). </w:t>
      </w:r>
      <w:r w:rsidRPr="002A13E4">
        <w:rPr>
          <w:i/>
          <w:color w:val="000000" w:themeColor="text1"/>
        </w:rPr>
        <w:t xml:space="preserve">Implicit theories and the trust repair process </w:t>
      </w:r>
      <w:r w:rsidRPr="002A13E4">
        <w:rPr>
          <w:color w:val="000000" w:themeColor="text1"/>
        </w:rPr>
        <w:t xml:space="preserve">[Conference presentation]. </w:t>
      </w:r>
      <w:r w:rsidRPr="002A13E4">
        <w:rPr>
          <w:i/>
          <w:color w:val="000000" w:themeColor="text1"/>
        </w:rPr>
        <w:t>22nd Annual IACM Conference</w:t>
      </w:r>
      <w:r w:rsidRPr="002A13E4">
        <w:rPr>
          <w:color w:val="000000" w:themeColor="text1"/>
        </w:rPr>
        <w:t>, Kyoto, Japan.</w:t>
      </w:r>
    </w:p>
    <w:p w14:paraId="7C740C57" w14:textId="77777777" w:rsidR="00F8346C" w:rsidRPr="002A13E4" w:rsidRDefault="00F8346C">
      <w:pPr>
        <w:spacing w:line="480" w:lineRule="auto"/>
        <w:ind w:left="720" w:hanging="720"/>
        <w:rPr>
          <w:color w:val="000000" w:themeColor="text1"/>
        </w:rPr>
      </w:pPr>
      <w:proofErr w:type="spellStart"/>
      <w:r w:rsidRPr="002A13E4">
        <w:rPr>
          <w:color w:val="000000" w:themeColor="text1"/>
        </w:rPr>
        <w:t>Kaniarasu</w:t>
      </w:r>
      <w:proofErr w:type="spellEnd"/>
      <w:r w:rsidRPr="002A13E4">
        <w:rPr>
          <w:color w:val="000000" w:themeColor="text1"/>
        </w:rPr>
        <w:t xml:space="preserve">, P., &amp; Steinfeld, A. M. (2014, August). Effects of blame on trust in human robot interaction. </w:t>
      </w:r>
      <w:r w:rsidRPr="002A13E4">
        <w:rPr>
          <w:i/>
          <w:color w:val="000000" w:themeColor="text1"/>
        </w:rPr>
        <w:t>23rd IEEE International Symposium on Robot and Human Interactive Communication</w:t>
      </w:r>
      <w:r w:rsidRPr="002A13E4">
        <w:rPr>
          <w:color w:val="000000" w:themeColor="text1"/>
        </w:rPr>
        <w:t xml:space="preserve">, 850–855. </w:t>
      </w:r>
    </w:p>
    <w:p w14:paraId="0B0A6A76" w14:textId="77777777" w:rsidR="00F8346C" w:rsidRPr="002A13E4" w:rsidRDefault="00F8346C">
      <w:pPr>
        <w:spacing w:line="480" w:lineRule="auto"/>
        <w:ind w:left="720" w:hanging="720"/>
        <w:rPr>
          <w:color w:val="000000" w:themeColor="text1"/>
        </w:rPr>
      </w:pPr>
      <w:r w:rsidRPr="002A13E4">
        <w:rPr>
          <w:color w:val="000000" w:themeColor="text1"/>
        </w:rPr>
        <w:t xml:space="preserve">Kennedy, J., Baxter, P., &amp; </w:t>
      </w:r>
      <w:proofErr w:type="spellStart"/>
      <w:r w:rsidRPr="002A13E4">
        <w:rPr>
          <w:color w:val="000000" w:themeColor="text1"/>
        </w:rPr>
        <w:t>Belpaeme</w:t>
      </w:r>
      <w:proofErr w:type="spellEnd"/>
      <w:r w:rsidRPr="002A13E4">
        <w:rPr>
          <w:color w:val="000000" w:themeColor="text1"/>
        </w:rPr>
        <w:t>, T. (2015). Comparing robot embodiments in a guided discovery learning interaction with children. </w:t>
      </w:r>
      <w:r w:rsidRPr="002A13E4">
        <w:rPr>
          <w:i/>
          <w:color w:val="000000" w:themeColor="text1"/>
        </w:rPr>
        <w:t>International Journal of Social Robotics</w:t>
      </w:r>
      <w:r w:rsidRPr="002A13E4">
        <w:rPr>
          <w:color w:val="000000" w:themeColor="text1"/>
        </w:rPr>
        <w:t>, </w:t>
      </w:r>
      <w:r w:rsidRPr="002A13E4">
        <w:rPr>
          <w:i/>
          <w:color w:val="000000" w:themeColor="text1"/>
        </w:rPr>
        <w:t>7</w:t>
      </w:r>
      <w:r w:rsidRPr="002A13E4">
        <w:rPr>
          <w:color w:val="000000" w:themeColor="text1"/>
        </w:rPr>
        <w:t>(2), 293–308.</w:t>
      </w:r>
    </w:p>
    <w:p w14:paraId="29A2D6DC" w14:textId="77777777" w:rsidR="00F8346C" w:rsidRPr="002A13E4" w:rsidRDefault="00F8346C">
      <w:pPr>
        <w:spacing w:line="480" w:lineRule="auto"/>
        <w:ind w:left="720" w:hanging="720"/>
        <w:rPr>
          <w:color w:val="000000" w:themeColor="text1"/>
        </w:rPr>
      </w:pPr>
      <w:r w:rsidRPr="002A13E4">
        <w:rPr>
          <w:color w:val="000000" w:themeColor="text1"/>
        </w:rPr>
        <w:t>Kim, P. H., Cooper, C. D., Dirks, K. T., &amp; Ferrin, D. L. (2013). Repairing trust with individuals vs. groups. </w:t>
      </w:r>
      <w:r w:rsidRPr="002A13E4">
        <w:rPr>
          <w:i/>
          <w:color w:val="000000" w:themeColor="text1"/>
        </w:rPr>
        <w:t>Organizational Behavior and Human Decision Processes</w:t>
      </w:r>
      <w:r w:rsidRPr="002A13E4">
        <w:rPr>
          <w:color w:val="000000" w:themeColor="text1"/>
        </w:rPr>
        <w:t>, </w:t>
      </w:r>
      <w:r w:rsidRPr="002A13E4">
        <w:rPr>
          <w:i/>
          <w:color w:val="000000" w:themeColor="text1"/>
        </w:rPr>
        <w:t>120</w:t>
      </w:r>
      <w:r w:rsidRPr="002A13E4">
        <w:rPr>
          <w:color w:val="000000" w:themeColor="text1"/>
        </w:rPr>
        <w:t>(1), 1–14.</w:t>
      </w:r>
    </w:p>
    <w:p w14:paraId="67196CEB" w14:textId="77777777" w:rsidR="00F8346C" w:rsidRPr="002A13E4" w:rsidRDefault="00F8346C">
      <w:pPr>
        <w:spacing w:line="480" w:lineRule="auto"/>
        <w:ind w:left="720" w:hanging="720"/>
        <w:rPr>
          <w:color w:val="000000" w:themeColor="text1"/>
        </w:rPr>
      </w:pPr>
      <w:r w:rsidRPr="002A13E4">
        <w:rPr>
          <w:color w:val="000000" w:themeColor="text1"/>
        </w:rPr>
        <w:t>Kim, P. H., Dirks, K. T., &amp; Cooper, C. D. (2009). The repair of trust: A dynamic bilateral perspective and multilevel conceptualization. </w:t>
      </w:r>
      <w:r w:rsidRPr="002A13E4">
        <w:rPr>
          <w:i/>
          <w:color w:val="000000" w:themeColor="text1"/>
        </w:rPr>
        <w:t>Academy of Management Review</w:t>
      </w:r>
      <w:r w:rsidRPr="002A13E4">
        <w:rPr>
          <w:color w:val="000000" w:themeColor="text1"/>
        </w:rPr>
        <w:t>, </w:t>
      </w:r>
      <w:r w:rsidRPr="002A13E4">
        <w:rPr>
          <w:i/>
          <w:color w:val="000000" w:themeColor="text1"/>
        </w:rPr>
        <w:t>34</w:t>
      </w:r>
      <w:r w:rsidRPr="002A13E4">
        <w:rPr>
          <w:color w:val="000000" w:themeColor="text1"/>
        </w:rPr>
        <w:t xml:space="preserve">(3), 401–422. </w:t>
      </w:r>
    </w:p>
    <w:p w14:paraId="557459A6" w14:textId="77777777" w:rsidR="00F8346C" w:rsidRPr="002A13E4" w:rsidRDefault="00F8346C">
      <w:pPr>
        <w:spacing w:line="480" w:lineRule="auto"/>
        <w:ind w:left="720" w:hanging="720"/>
        <w:rPr>
          <w:color w:val="000000" w:themeColor="text1"/>
        </w:rPr>
      </w:pPr>
      <w:r w:rsidRPr="002A13E4">
        <w:rPr>
          <w:color w:val="000000" w:themeColor="text1"/>
        </w:rPr>
        <w:t>Kim, P. H., Dirks, K. T., Cooper, C. D., &amp; Ferrin, D. L. (2006). When more blame is better than less: The implications of internal vs. external attributions for the repair of trust after a competence-vs. integrity-based trust violation. </w:t>
      </w:r>
      <w:r w:rsidRPr="002A13E4">
        <w:rPr>
          <w:i/>
          <w:color w:val="000000" w:themeColor="text1"/>
        </w:rPr>
        <w:t>Organizational behavior and human decision processes</w:t>
      </w:r>
      <w:r w:rsidRPr="002A13E4">
        <w:rPr>
          <w:color w:val="000000" w:themeColor="text1"/>
        </w:rPr>
        <w:t>, </w:t>
      </w:r>
      <w:r w:rsidRPr="002A13E4">
        <w:rPr>
          <w:i/>
          <w:color w:val="000000" w:themeColor="text1"/>
        </w:rPr>
        <w:t>99</w:t>
      </w:r>
      <w:r w:rsidRPr="002A13E4">
        <w:rPr>
          <w:color w:val="000000" w:themeColor="text1"/>
        </w:rPr>
        <w:t>(1), 49–65.</w:t>
      </w:r>
    </w:p>
    <w:p w14:paraId="6BA00CD2" w14:textId="77777777" w:rsidR="00F8346C" w:rsidRPr="002A13E4" w:rsidRDefault="00F8346C">
      <w:pPr>
        <w:spacing w:line="480" w:lineRule="auto"/>
        <w:ind w:left="720" w:hanging="720"/>
        <w:rPr>
          <w:color w:val="000000" w:themeColor="text1"/>
        </w:rPr>
      </w:pPr>
      <w:r w:rsidRPr="002A13E4">
        <w:rPr>
          <w:color w:val="000000" w:themeColor="text1"/>
        </w:rPr>
        <w:lastRenderedPageBreak/>
        <w:t>Kim, P. H., Ferrin, D. L., Cooper, C. D., &amp; Dirks, K. T. (2004). Removing the shadow of suspicion: The effects of apology versus denial for repairing competence-versus integrity-based trust violations. </w:t>
      </w:r>
      <w:r w:rsidRPr="002A13E4">
        <w:rPr>
          <w:i/>
          <w:color w:val="000000" w:themeColor="text1"/>
        </w:rPr>
        <w:t>Journal of Applied Psychology</w:t>
      </w:r>
      <w:r w:rsidRPr="002A13E4">
        <w:rPr>
          <w:color w:val="000000" w:themeColor="text1"/>
        </w:rPr>
        <w:t>, </w:t>
      </w:r>
      <w:r w:rsidRPr="002A13E4">
        <w:rPr>
          <w:i/>
          <w:color w:val="000000" w:themeColor="text1"/>
        </w:rPr>
        <w:t>89</w:t>
      </w:r>
      <w:r w:rsidRPr="002A13E4">
        <w:rPr>
          <w:color w:val="000000" w:themeColor="text1"/>
        </w:rPr>
        <w:t>(1), 104–118</w:t>
      </w:r>
      <w:r w:rsidRPr="002A13E4">
        <w:rPr>
          <w:rFonts w:ascii="Arial" w:eastAsia="Arial" w:hAnsi="Arial" w:cs="Arial"/>
          <w:color w:val="000000" w:themeColor="text1"/>
          <w:sz w:val="20"/>
          <w:szCs w:val="20"/>
        </w:rPr>
        <w:t>.</w:t>
      </w:r>
    </w:p>
    <w:p w14:paraId="7618B41F" w14:textId="77777777" w:rsidR="00F8346C" w:rsidRPr="002A13E4" w:rsidRDefault="00F8346C">
      <w:pPr>
        <w:spacing w:line="480" w:lineRule="auto"/>
        <w:ind w:left="720" w:hanging="720"/>
        <w:rPr>
          <w:color w:val="000000" w:themeColor="text1"/>
        </w:rPr>
      </w:pPr>
      <w:r w:rsidRPr="002A13E4">
        <w:rPr>
          <w:color w:val="000000" w:themeColor="text1"/>
        </w:rPr>
        <w:t xml:space="preserve">Kohn, S. C., Quinn, D., Pak, R., de Visser, E. J., &amp; Shaw, T. H. (2018, September). Trust repair strategies with self-driving vehicles: An exploratory study. </w:t>
      </w:r>
      <w:r w:rsidRPr="002A13E4">
        <w:rPr>
          <w:i/>
          <w:color w:val="000000" w:themeColor="text1"/>
        </w:rPr>
        <w:t>Proceedings of the Human Factors and Ergonomics Society Annual Meeting</w:t>
      </w:r>
      <w:r w:rsidRPr="002A13E4">
        <w:rPr>
          <w:color w:val="000000" w:themeColor="text1"/>
        </w:rPr>
        <w:t>, </w:t>
      </w:r>
      <w:r w:rsidRPr="002A13E4">
        <w:rPr>
          <w:i/>
          <w:color w:val="000000" w:themeColor="text1"/>
        </w:rPr>
        <w:t>62</w:t>
      </w:r>
      <w:r w:rsidRPr="002A13E4">
        <w:rPr>
          <w:color w:val="000000" w:themeColor="text1"/>
        </w:rPr>
        <w:t xml:space="preserve">(1), 1108–1112. </w:t>
      </w:r>
    </w:p>
    <w:p w14:paraId="2CC2EF64" w14:textId="77777777" w:rsidR="00F8346C" w:rsidRPr="002A13E4" w:rsidRDefault="00F8346C">
      <w:pPr>
        <w:spacing w:line="480" w:lineRule="auto"/>
        <w:ind w:left="720" w:hanging="720"/>
        <w:rPr>
          <w:color w:val="000000" w:themeColor="text1"/>
        </w:rPr>
      </w:pPr>
      <w:proofErr w:type="spellStart"/>
      <w:r w:rsidRPr="002A13E4">
        <w:rPr>
          <w:color w:val="000000" w:themeColor="text1"/>
        </w:rPr>
        <w:t>Kontogiorgos</w:t>
      </w:r>
      <w:proofErr w:type="spellEnd"/>
      <w:r w:rsidRPr="002A13E4">
        <w:rPr>
          <w:color w:val="000000" w:themeColor="text1"/>
        </w:rPr>
        <w:t xml:space="preserve">, D., van </w:t>
      </w:r>
      <w:proofErr w:type="spellStart"/>
      <w:r w:rsidRPr="002A13E4">
        <w:rPr>
          <w:color w:val="000000" w:themeColor="text1"/>
        </w:rPr>
        <w:t>Waveren</w:t>
      </w:r>
      <w:proofErr w:type="spellEnd"/>
      <w:r w:rsidRPr="002A13E4">
        <w:rPr>
          <w:color w:val="000000" w:themeColor="text1"/>
        </w:rPr>
        <w:t xml:space="preserve">, S., </w:t>
      </w:r>
      <w:proofErr w:type="spellStart"/>
      <w:r w:rsidRPr="002A13E4">
        <w:rPr>
          <w:color w:val="000000" w:themeColor="text1"/>
        </w:rPr>
        <w:t>Wallberg</w:t>
      </w:r>
      <w:proofErr w:type="spellEnd"/>
      <w:r w:rsidRPr="002A13E4">
        <w:rPr>
          <w:color w:val="000000" w:themeColor="text1"/>
        </w:rPr>
        <w:t xml:space="preserve">, O., Pereira, A., </w:t>
      </w:r>
      <w:proofErr w:type="spellStart"/>
      <w:r w:rsidRPr="002A13E4">
        <w:rPr>
          <w:color w:val="000000" w:themeColor="text1"/>
        </w:rPr>
        <w:t>Leite</w:t>
      </w:r>
      <w:proofErr w:type="spellEnd"/>
      <w:r w:rsidRPr="002A13E4">
        <w:rPr>
          <w:color w:val="000000" w:themeColor="text1"/>
        </w:rPr>
        <w:t xml:space="preserve">, I., &amp; Gustafson, J. (2020, April). Embodiment effects in interactions with failing robots. </w:t>
      </w:r>
      <w:r w:rsidRPr="002A13E4">
        <w:rPr>
          <w:i/>
          <w:color w:val="000000" w:themeColor="text1"/>
        </w:rPr>
        <w:t>Proceedings of the 2020 CHI Conference on Human Factors in Computing Systems</w:t>
      </w:r>
      <w:r w:rsidRPr="002A13E4">
        <w:rPr>
          <w:color w:val="000000" w:themeColor="text1"/>
        </w:rPr>
        <w:t>, 1–14.</w:t>
      </w:r>
    </w:p>
    <w:p w14:paraId="4D6698FB" w14:textId="77777777" w:rsidR="00F8346C" w:rsidRPr="002A13E4" w:rsidRDefault="00F8346C">
      <w:pPr>
        <w:spacing w:line="480" w:lineRule="auto"/>
        <w:ind w:left="720" w:hanging="720"/>
        <w:rPr>
          <w:color w:val="000000" w:themeColor="text1"/>
        </w:rPr>
      </w:pPr>
      <w:r w:rsidRPr="002A13E4">
        <w:rPr>
          <w:color w:val="000000" w:themeColor="text1"/>
        </w:rPr>
        <w:t xml:space="preserve">Kramer, R. M. (1999). Trust and distrust in organizations: Emerging perspectives, enduring questions. </w:t>
      </w:r>
      <w:r w:rsidRPr="002A13E4">
        <w:rPr>
          <w:i/>
          <w:color w:val="000000" w:themeColor="text1"/>
        </w:rPr>
        <w:t>Annual Review of Psychology</w:t>
      </w:r>
      <w:r w:rsidRPr="002A13E4">
        <w:rPr>
          <w:color w:val="000000" w:themeColor="text1"/>
        </w:rPr>
        <w:t xml:space="preserve">, </w:t>
      </w:r>
      <w:r w:rsidRPr="002A13E4">
        <w:rPr>
          <w:i/>
          <w:color w:val="000000" w:themeColor="text1"/>
        </w:rPr>
        <w:t>50</w:t>
      </w:r>
      <w:r w:rsidRPr="002A13E4">
        <w:rPr>
          <w:color w:val="000000" w:themeColor="text1"/>
        </w:rPr>
        <w:t>, 569–598.</w:t>
      </w:r>
    </w:p>
    <w:p w14:paraId="7407C439" w14:textId="77777777" w:rsidR="00F8346C" w:rsidRPr="002A13E4" w:rsidRDefault="00F8346C">
      <w:pPr>
        <w:spacing w:line="480" w:lineRule="auto"/>
        <w:ind w:left="720" w:hanging="720"/>
        <w:rPr>
          <w:color w:val="000000" w:themeColor="text1"/>
        </w:rPr>
      </w:pPr>
      <w:bookmarkStart w:id="54" w:name="_heading=h.3whwml4" w:colFirst="0" w:colLast="0"/>
      <w:bookmarkEnd w:id="54"/>
      <w:r w:rsidRPr="002A13E4">
        <w:rPr>
          <w:color w:val="000000" w:themeColor="text1"/>
        </w:rPr>
        <w:t>Kramer, R. M., &amp; Lewicki, R. J. (2010). Repairing and enhancing trust: Approaches to reducing organizational trust deficits. </w:t>
      </w:r>
      <w:r w:rsidRPr="002A13E4">
        <w:rPr>
          <w:i/>
          <w:color w:val="000000" w:themeColor="text1"/>
        </w:rPr>
        <w:t>Academy of Management Annals</w:t>
      </w:r>
      <w:r w:rsidRPr="002A13E4">
        <w:rPr>
          <w:color w:val="000000" w:themeColor="text1"/>
        </w:rPr>
        <w:t>, </w:t>
      </w:r>
      <w:r w:rsidRPr="002A13E4">
        <w:rPr>
          <w:i/>
          <w:color w:val="000000" w:themeColor="text1"/>
        </w:rPr>
        <w:t>4</w:t>
      </w:r>
      <w:r w:rsidRPr="002A13E4">
        <w:rPr>
          <w:color w:val="000000" w:themeColor="text1"/>
        </w:rPr>
        <w:t>(1), 245–277.</w:t>
      </w:r>
    </w:p>
    <w:p w14:paraId="68FFC640" w14:textId="77777777" w:rsidR="00F8346C" w:rsidRPr="002A13E4" w:rsidRDefault="00F8346C">
      <w:pPr>
        <w:spacing w:line="480" w:lineRule="auto"/>
        <w:ind w:left="720" w:hanging="720"/>
        <w:rPr>
          <w:color w:val="000000" w:themeColor="text1"/>
        </w:rPr>
      </w:pPr>
      <w:bookmarkStart w:id="55" w:name="_heading=h.2bn6wsx" w:colFirst="0" w:colLast="0"/>
      <w:bookmarkEnd w:id="55"/>
      <w:proofErr w:type="spellStart"/>
      <w:r w:rsidRPr="002A13E4">
        <w:rPr>
          <w:color w:val="000000" w:themeColor="text1"/>
        </w:rPr>
        <w:t>Krosgaard</w:t>
      </w:r>
      <w:proofErr w:type="spellEnd"/>
      <w:r w:rsidRPr="002A13E4">
        <w:rPr>
          <w:color w:val="000000" w:themeColor="text1"/>
        </w:rPr>
        <w:t>, M. A., Brodt, S. E., &amp; Whitener, E. M. (2002). Trust in the face of conflict: The role of managerial trustworthy behavior and organizational context. </w:t>
      </w:r>
      <w:r w:rsidRPr="002A13E4">
        <w:rPr>
          <w:i/>
          <w:color w:val="000000" w:themeColor="text1"/>
        </w:rPr>
        <w:t>Journal of Applied Psychology, 87</w:t>
      </w:r>
      <w:r w:rsidRPr="002A13E4">
        <w:rPr>
          <w:color w:val="000000" w:themeColor="text1"/>
        </w:rPr>
        <w:t xml:space="preserve">(2), 312–319.  </w:t>
      </w:r>
    </w:p>
    <w:p w14:paraId="376575B8" w14:textId="77777777" w:rsidR="00F8346C" w:rsidRPr="002A13E4" w:rsidRDefault="00F8346C">
      <w:pPr>
        <w:spacing w:line="480" w:lineRule="auto"/>
        <w:ind w:left="720" w:hanging="720"/>
        <w:rPr>
          <w:color w:val="000000" w:themeColor="text1"/>
        </w:rPr>
      </w:pPr>
      <w:proofErr w:type="spellStart"/>
      <w:r w:rsidRPr="002A13E4">
        <w:rPr>
          <w:color w:val="000000" w:themeColor="text1"/>
        </w:rPr>
        <w:t>Laprie</w:t>
      </w:r>
      <w:proofErr w:type="spellEnd"/>
      <w:r w:rsidRPr="002A13E4">
        <w:rPr>
          <w:color w:val="000000" w:themeColor="text1"/>
        </w:rPr>
        <w:t>, J. C. (1985, June). Dependable computing and fault-tolerance. </w:t>
      </w:r>
      <w:r w:rsidRPr="002A13E4">
        <w:rPr>
          <w:i/>
          <w:color w:val="000000" w:themeColor="text1"/>
        </w:rPr>
        <w:t>The International Symposium on Fault-Tolerant Computing</w:t>
      </w:r>
      <w:r w:rsidRPr="002A13E4">
        <w:rPr>
          <w:color w:val="000000" w:themeColor="text1"/>
        </w:rPr>
        <w:t xml:space="preserve">, </w:t>
      </w:r>
      <w:r w:rsidRPr="002A13E4">
        <w:rPr>
          <w:i/>
          <w:color w:val="000000" w:themeColor="text1"/>
        </w:rPr>
        <w:t>15</w:t>
      </w:r>
      <w:r w:rsidRPr="002A13E4">
        <w:rPr>
          <w:color w:val="000000" w:themeColor="text1"/>
        </w:rPr>
        <w:t>, 2–11.</w:t>
      </w:r>
      <w:r w:rsidRPr="002A13E4">
        <w:rPr>
          <w:rFonts w:ascii="Arial" w:eastAsia="Arial" w:hAnsi="Arial" w:cs="Arial"/>
          <w:color w:val="000000" w:themeColor="text1"/>
          <w:sz w:val="20"/>
          <w:szCs w:val="20"/>
        </w:rPr>
        <w:t xml:space="preserve"> </w:t>
      </w:r>
    </w:p>
    <w:p w14:paraId="4A61DFF8" w14:textId="77777777" w:rsidR="00F8346C" w:rsidRPr="002A13E4" w:rsidRDefault="00F8346C">
      <w:pPr>
        <w:spacing w:line="480" w:lineRule="auto"/>
        <w:ind w:left="720" w:hanging="720"/>
        <w:rPr>
          <w:color w:val="000000" w:themeColor="text1"/>
        </w:rPr>
      </w:pPr>
      <w:r w:rsidRPr="002A13E4">
        <w:rPr>
          <w:color w:val="000000" w:themeColor="text1"/>
        </w:rPr>
        <w:t xml:space="preserve"> </w:t>
      </w:r>
      <w:proofErr w:type="spellStart"/>
      <w:r w:rsidRPr="002A13E4">
        <w:rPr>
          <w:color w:val="000000" w:themeColor="text1"/>
        </w:rPr>
        <w:t>Laprie</w:t>
      </w:r>
      <w:proofErr w:type="spellEnd"/>
      <w:r w:rsidRPr="002A13E4">
        <w:rPr>
          <w:color w:val="000000" w:themeColor="text1"/>
        </w:rPr>
        <w:t xml:space="preserve">, J. C. (1995, June). Dependable computing and fault tolerance: concepts and terminology. </w:t>
      </w:r>
      <w:r w:rsidRPr="002A13E4">
        <w:rPr>
          <w:i/>
          <w:color w:val="000000" w:themeColor="text1"/>
        </w:rPr>
        <w:t>International Symposium on Fault-Tolerant Computing</w:t>
      </w:r>
      <w:r w:rsidRPr="002A13E4">
        <w:rPr>
          <w:color w:val="000000" w:themeColor="text1"/>
        </w:rPr>
        <w:t xml:space="preserve">, </w:t>
      </w:r>
      <w:r w:rsidRPr="002A13E4">
        <w:rPr>
          <w:i/>
          <w:color w:val="000000" w:themeColor="text1"/>
        </w:rPr>
        <w:t>25</w:t>
      </w:r>
      <w:r w:rsidRPr="002A13E4">
        <w:rPr>
          <w:color w:val="000000" w:themeColor="text1"/>
        </w:rPr>
        <w:t>, 2–11.</w:t>
      </w:r>
    </w:p>
    <w:p w14:paraId="27DA1BEA" w14:textId="77777777" w:rsidR="00F8346C" w:rsidRPr="002A13E4" w:rsidRDefault="00F8346C">
      <w:pPr>
        <w:spacing w:line="480" w:lineRule="auto"/>
        <w:ind w:left="720" w:hanging="720"/>
        <w:rPr>
          <w:color w:val="000000" w:themeColor="text1"/>
        </w:rPr>
      </w:pPr>
      <w:r w:rsidRPr="002A13E4">
        <w:rPr>
          <w:color w:val="000000" w:themeColor="text1"/>
        </w:rPr>
        <w:t>Lee, John D, &amp; See, Katrina A. (2004). trust in automation: Designing for appropriate reliance. </w:t>
      </w:r>
      <w:r w:rsidRPr="002A13E4">
        <w:rPr>
          <w:i/>
          <w:color w:val="000000" w:themeColor="text1"/>
        </w:rPr>
        <w:t>Human Factors: The Journal of the Human Factors and Ergonomics Society</w:t>
      </w:r>
      <w:r w:rsidRPr="002A13E4">
        <w:rPr>
          <w:color w:val="000000" w:themeColor="text1"/>
        </w:rPr>
        <w:t>, </w:t>
      </w:r>
      <w:r w:rsidRPr="002A13E4">
        <w:rPr>
          <w:i/>
          <w:color w:val="000000" w:themeColor="text1"/>
        </w:rPr>
        <w:t>46</w:t>
      </w:r>
      <w:r w:rsidRPr="002A13E4">
        <w:rPr>
          <w:color w:val="000000" w:themeColor="text1"/>
        </w:rPr>
        <w:t>(1), 50–80.</w:t>
      </w:r>
    </w:p>
    <w:p w14:paraId="756DAC48" w14:textId="77777777" w:rsidR="00F8346C" w:rsidRPr="002A13E4" w:rsidRDefault="00F8346C">
      <w:pPr>
        <w:spacing w:line="480" w:lineRule="auto"/>
        <w:ind w:left="720" w:hanging="720"/>
        <w:rPr>
          <w:color w:val="000000" w:themeColor="text1"/>
        </w:rPr>
      </w:pPr>
      <w:r w:rsidRPr="002A13E4">
        <w:rPr>
          <w:color w:val="000000" w:themeColor="text1"/>
        </w:rPr>
        <w:lastRenderedPageBreak/>
        <w:t xml:space="preserve">Lee, M. K., </w:t>
      </w:r>
      <w:proofErr w:type="spellStart"/>
      <w:r w:rsidRPr="002A13E4">
        <w:rPr>
          <w:color w:val="000000" w:themeColor="text1"/>
        </w:rPr>
        <w:t>Kiesler</w:t>
      </w:r>
      <w:proofErr w:type="spellEnd"/>
      <w:r w:rsidRPr="002A13E4">
        <w:rPr>
          <w:color w:val="000000" w:themeColor="text1"/>
        </w:rPr>
        <w:t xml:space="preserve">, S., </w:t>
      </w:r>
      <w:proofErr w:type="spellStart"/>
      <w:r w:rsidRPr="002A13E4">
        <w:rPr>
          <w:color w:val="000000" w:themeColor="text1"/>
        </w:rPr>
        <w:t>Forlizzi</w:t>
      </w:r>
      <w:proofErr w:type="spellEnd"/>
      <w:r w:rsidRPr="002A13E4">
        <w:rPr>
          <w:color w:val="000000" w:themeColor="text1"/>
        </w:rPr>
        <w:t xml:space="preserve">, J., Srinivasa, S., &amp; </w:t>
      </w:r>
      <w:proofErr w:type="spellStart"/>
      <w:r w:rsidRPr="002A13E4">
        <w:rPr>
          <w:color w:val="000000" w:themeColor="text1"/>
        </w:rPr>
        <w:t>Rybski</w:t>
      </w:r>
      <w:proofErr w:type="spellEnd"/>
      <w:r w:rsidRPr="002A13E4">
        <w:rPr>
          <w:color w:val="000000" w:themeColor="text1"/>
        </w:rPr>
        <w:t xml:space="preserve">, P. (2010, March). Gracefully mitigating breakdowns in robotic services. </w:t>
      </w:r>
      <w:r w:rsidRPr="002A13E4">
        <w:rPr>
          <w:i/>
          <w:color w:val="000000" w:themeColor="text1"/>
        </w:rPr>
        <w:t>5th ACM/IEEE International Conference on Human-Robot Interaction</w:t>
      </w:r>
      <w:r w:rsidRPr="002A13E4">
        <w:rPr>
          <w:color w:val="000000" w:themeColor="text1"/>
        </w:rPr>
        <w:t xml:space="preserve">, 203–210. </w:t>
      </w:r>
    </w:p>
    <w:p w14:paraId="0B7742EA" w14:textId="77777777" w:rsidR="00F8346C" w:rsidRPr="002A13E4" w:rsidRDefault="00F8346C">
      <w:pPr>
        <w:spacing w:line="480" w:lineRule="auto"/>
        <w:ind w:left="720" w:hanging="720"/>
        <w:rPr>
          <w:color w:val="000000" w:themeColor="text1"/>
        </w:rPr>
      </w:pPr>
      <w:r w:rsidRPr="002A13E4">
        <w:rPr>
          <w:color w:val="000000" w:themeColor="text1"/>
        </w:rPr>
        <w:t xml:space="preserve">Levinthal, B. R., &amp; </w:t>
      </w:r>
      <w:proofErr w:type="spellStart"/>
      <w:r w:rsidRPr="002A13E4">
        <w:rPr>
          <w:color w:val="000000" w:themeColor="text1"/>
        </w:rPr>
        <w:t>Wickens</w:t>
      </w:r>
      <w:proofErr w:type="spellEnd"/>
      <w:r w:rsidRPr="002A13E4">
        <w:rPr>
          <w:color w:val="000000" w:themeColor="text1"/>
        </w:rPr>
        <w:t xml:space="preserve">, C. D. (2006, October). Management of multiple UAVs with imperfect automation. </w:t>
      </w:r>
      <w:r w:rsidRPr="002A13E4">
        <w:rPr>
          <w:i/>
          <w:color w:val="000000" w:themeColor="text1"/>
        </w:rPr>
        <w:t>Proceedings of the Human Factors and Ergonomics Society 50th Annual Meeting</w:t>
      </w:r>
      <w:r w:rsidRPr="002A13E4">
        <w:rPr>
          <w:color w:val="000000" w:themeColor="text1"/>
        </w:rPr>
        <w:t xml:space="preserve">, 1941–1944. </w:t>
      </w:r>
    </w:p>
    <w:p w14:paraId="794ECF1D" w14:textId="77777777" w:rsidR="00F8346C" w:rsidRPr="002A13E4" w:rsidRDefault="00F8346C">
      <w:pPr>
        <w:spacing w:line="480" w:lineRule="auto"/>
        <w:ind w:left="720" w:hanging="720"/>
        <w:rPr>
          <w:color w:val="000000" w:themeColor="text1"/>
        </w:rPr>
      </w:pPr>
      <w:r w:rsidRPr="002A13E4">
        <w:rPr>
          <w:color w:val="000000" w:themeColor="text1"/>
        </w:rPr>
        <w:t xml:space="preserve">Lewicki, R. J., &amp; </w:t>
      </w:r>
      <w:proofErr w:type="spellStart"/>
      <w:r w:rsidRPr="002A13E4">
        <w:rPr>
          <w:color w:val="000000" w:themeColor="text1"/>
        </w:rPr>
        <w:t>Brinsfield</w:t>
      </w:r>
      <w:proofErr w:type="spellEnd"/>
      <w:r w:rsidRPr="002A13E4">
        <w:rPr>
          <w:color w:val="000000" w:themeColor="text1"/>
        </w:rPr>
        <w:t>, C. (2017). Trust repair. </w:t>
      </w:r>
      <w:r w:rsidRPr="002A13E4">
        <w:rPr>
          <w:i/>
          <w:color w:val="000000" w:themeColor="text1"/>
        </w:rPr>
        <w:t>Annual Review of Organizational Psychology and Organizational Behavior</w:t>
      </w:r>
      <w:r w:rsidRPr="002A13E4">
        <w:rPr>
          <w:color w:val="000000" w:themeColor="text1"/>
        </w:rPr>
        <w:t>, </w:t>
      </w:r>
      <w:r w:rsidRPr="002A13E4">
        <w:rPr>
          <w:i/>
          <w:color w:val="000000" w:themeColor="text1"/>
        </w:rPr>
        <w:t>4</w:t>
      </w:r>
      <w:r w:rsidRPr="002A13E4">
        <w:rPr>
          <w:color w:val="000000" w:themeColor="text1"/>
        </w:rPr>
        <w:t>, 287–313.</w:t>
      </w:r>
    </w:p>
    <w:p w14:paraId="5F6C9002" w14:textId="77777777" w:rsidR="00F8346C" w:rsidRPr="002A13E4" w:rsidRDefault="00F8346C">
      <w:pPr>
        <w:spacing w:line="480" w:lineRule="auto"/>
        <w:ind w:left="720" w:hanging="720"/>
        <w:rPr>
          <w:color w:val="000000" w:themeColor="text1"/>
        </w:rPr>
      </w:pPr>
      <w:r w:rsidRPr="002A13E4">
        <w:rPr>
          <w:color w:val="000000" w:themeColor="text1"/>
        </w:rPr>
        <w:t>Lewicki, R. J., &amp; Tomlinson, E. C. (2003, June). The effects of reputation and post violation communication on trust and distrust</w:t>
      </w:r>
      <w:r w:rsidRPr="002A13E4">
        <w:rPr>
          <w:i/>
          <w:color w:val="000000" w:themeColor="text1"/>
        </w:rPr>
        <w:t>. 16th Annual International Association for Conflict Management Conference</w:t>
      </w:r>
      <w:r w:rsidRPr="002A13E4">
        <w:rPr>
          <w:color w:val="000000" w:themeColor="text1"/>
        </w:rPr>
        <w:t>, Retrieved from https://papers.ssrn.com/sol3/papers.cfm?abstract_id=400941</w:t>
      </w:r>
    </w:p>
    <w:p w14:paraId="62DD7BF5" w14:textId="77777777" w:rsidR="00F8346C" w:rsidRPr="002A13E4" w:rsidRDefault="00F8346C">
      <w:pPr>
        <w:spacing w:line="480" w:lineRule="auto"/>
        <w:ind w:left="720" w:hanging="720"/>
        <w:rPr>
          <w:color w:val="000000" w:themeColor="text1"/>
        </w:rPr>
      </w:pPr>
      <w:bookmarkStart w:id="56" w:name="_heading=h.qsh70q" w:colFirst="0" w:colLast="0"/>
      <w:bookmarkEnd w:id="56"/>
      <w:r w:rsidRPr="002A13E4">
        <w:rPr>
          <w:color w:val="000000" w:themeColor="text1"/>
        </w:rPr>
        <w:t xml:space="preserve">Lucas, G. M., </w:t>
      </w:r>
      <w:proofErr w:type="spellStart"/>
      <w:r w:rsidRPr="002A13E4">
        <w:rPr>
          <w:color w:val="000000" w:themeColor="text1"/>
        </w:rPr>
        <w:t>Boberg</w:t>
      </w:r>
      <w:proofErr w:type="spellEnd"/>
      <w:r w:rsidRPr="002A13E4">
        <w:rPr>
          <w:color w:val="000000" w:themeColor="text1"/>
        </w:rPr>
        <w:t xml:space="preserve">, J., </w:t>
      </w:r>
      <w:proofErr w:type="spellStart"/>
      <w:r w:rsidRPr="002A13E4">
        <w:rPr>
          <w:color w:val="000000" w:themeColor="text1"/>
        </w:rPr>
        <w:t>Traum</w:t>
      </w:r>
      <w:proofErr w:type="spellEnd"/>
      <w:r w:rsidRPr="002A13E4">
        <w:rPr>
          <w:color w:val="000000" w:themeColor="text1"/>
        </w:rPr>
        <w:t xml:space="preserve">, D., </w:t>
      </w:r>
      <w:proofErr w:type="spellStart"/>
      <w:r w:rsidRPr="002A13E4">
        <w:rPr>
          <w:color w:val="000000" w:themeColor="text1"/>
        </w:rPr>
        <w:t>Artstein</w:t>
      </w:r>
      <w:proofErr w:type="spellEnd"/>
      <w:r w:rsidRPr="002A13E4">
        <w:rPr>
          <w:color w:val="000000" w:themeColor="text1"/>
        </w:rPr>
        <w:t xml:space="preserve">, R., </w:t>
      </w:r>
      <w:proofErr w:type="spellStart"/>
      <w:r w:rsidRPr="002A13E4">
        <w:rPr>
          <w:color w:val="000000" w:themeColor="text1"/>
        </w:rPr>
        <w:t>Gratch</w:t>
      </w:r>
      <w:proofErr w:type="spellEnd"/>
      <w:r w:rsidRPr="002A13E4">
        <w:rPr>
          <w:color w:val="000000" w:themeColor="text1"/>
        </w:rPr>
        <w:t xml:space="preserve">, J., Gainer, A., Johnson, E., </w:t>
      </w:r>
      <w:proofErr w:type="spellStart"/>
      <w:r w:rsidRPr="002A13E4">
        <w:rPr>
          <w:color w:val="000000" w:themeColor="text1"/>
        </w:rPr>
        <w:t>Leuski</w:t>
      </w:r>
      <w:proofErr w:type="spellEnd"/>
      <w:r w:rsidRPr="002A13E4">
        <w:rPr>
          <w:color w:val="000000" w:themeColor="text1"/>
        </w:rPr>
        <w:t xml:space="preserve">, A., &amp; Nakano, M. (2018). Getting to know each other: The role of social dialogue in recovery from errors in social robots. </w:t>
      </w:r>
      <w:r w:rsidRPr="002A13E4">
        <w:rPr>
          <w:i/>
          <w:color w:val="000000" w:themeColor="text1"/>
        </w:rPr>
        <w:t>Proceedings of the 2018 ACM/IEEE International Conference on Human-Robot Interaction</w:t>
      </w:r>
      <w:r w:rsidRPr="002A13E4">
        <w:rPr>
          <w:color w:val="000000" w:themeColor="text1"/>
        </w:rPr>
        <w:t>, 344–351.</w:t>
      </w:r>
    </w:p>
    <w:p w14:paraId="65E96109" w14:textId="77777777" w:rsidR="00F8346C" w:rsidRPr="002A13E4" w:rsidRDefault="00F8346C">
      <w:pPr>
        <w:spacing w:line="480" w:lineRule="auto"/>
        <w:ind w:left="720" w:hanging="720"/>
        <w:rPr>
          <w:color w:val="000000" w:themeColor="text1"/>
        </w:rPr>
      </w:pPr>
      <w:proofErr w:type="spellStart"/>
      <w:r w:rsidRPr="002A13E4">
        <w:rPr>
          <w:color w:val="000000" w:themeColor="text1"/>
        </w:rPr>
        <w:t>Madhavan</w:t>
      </w:r>
      <w:proofErr w:type="spellEnd"/>
      <w:r w:rsidRPr="002A13E4">
        <w:rPr>
          <w:color w:val="000000" w:themeColor="text1"/>
        </w:rPr>
        <w:t xml:space="preserve">, D., &amp; </w:t>
      </w:r>
      <w:proofErr w:type="spellStart"/>
      <w:r w:rsidRPr="002A13E4">
        <w:rPr>
          <w:color w:val="000000" w:themeColor="text1"/>
        </w:rPr>
        <w:t>Wiegmann</w:t>
      </w:r>
      <w:proofErr w:type="spellEnd"/>
      <w:r w:rsidRPr="002A13E4">
        <w:rPr>
          <w:color w:val="000000" w:themeColor="text1"/>
        </w:rPr>
        <w:t xml:space="preserve">, D. A. (2005). Effects of information source, pedigree, and reliability on </w:t>
      </w:r>
      <w:proofErr w:type="gramStart"/>
      <w:r w:rsidRPr="002A13E4">
        <w:rPr>
          <w:color w:val="000000" w:themeColor="text1"/>
        </w:rPr>
        <w:t>operators</w:t>
      </w:r>
      <w:proofErr w:type="gramEnd"/>
      <w:r w:rsidRPr="002A13E4">
        <w:rPr>
          <w:color w:val="000000" w:themeColor="text1"/>
        </w:rPr>
        <w:t xml:space="preserve"> utilization of diagnostic advice. </w:t>
      </w:r>
      <w:r w:rsidRPr="002A13E4">
        <w:rPr>
          <w:i/>
          <w:color w:val="000000" w:themeColor="text1"/>
        </w:rPr>
        <w:t>Human Factors and Ergonomics Society Annual Meeting Proceedings,</w:t>
      </w:r>
      <w:r w:rsidRPr="002A13E4">
        <w:rPr>
          <w:color w:val="000000" w:themeColor="text1"/>
        </w:rPr>
        <w:t> </w:t>
      </w:r>
      <w:r w:rsidRPr="002A13E4">
        <w:rPr>
          <w:i/>
          <w:color w:val="000000" w:themeColor="text1"/>
        </w:rPr>
        <w:t>49</w:t>
      </w:r>
      <w:r w:rsidRPr="002A13E4">
        <w:rPr>
          <w:color w:val="000000" w:themeColor="text1"/>
        </w:rPr>
        <w:t>(3), 487–491.</w:t>
      </w:r>
    </w:p>
    <w:p w14:paraId="453C79D9" w14:textId="77777777" w:rsidR="00F8346C" w:rsidRPr="002A13E4" w:rsidRDefault="00F8346C">
      <w:pPr>
        <w:spacing w:line="480" w:lineRule="auto"/>
        <w:ind w:left="720" w:hanging="720"/>
        <w:rPr>
          <w:color w:val="000000" w:themeColor="text1"/>
        </w:rPr>
      </w:pPr>
      <w:proofErr w:type="spellStart"/>
      <w:r w:rsidRPr="002A13E4">
        <w:rPr>
          <w:color w:val="000000" w:themeColor="text1"/>
        </w:rPr>
        <w:t>Madhavan</w:t>
      </w:r>
      <w:proofErr w:type="spellEnd"/>
      <w:r w:rsidRPr="002A13E4">
        <w:rPr>
          <w:color w:val="000000" w:themeColor="text1"/>
        </w:rPr>
        <w:t xml:space="preserve">, P., </w:t>
      </w:r>
      <w:proofErr w:type="spellStart"/>
      <w:r w:rsidRPr="002A13E4">
        <w:rPr>
          <w:color w:val="000000" w:themeColor="text1"/>
        </w:rPr>
        <w:t>Wiegmann</w:t>
      </w:r>
      <w:proofErr w:type="spellEnd"/>
      <w:r w:rsidRPr="002A13E4">
        <w:rPr>
          <w:color w:val="000000" w:themeColor="text1"/>
        </w:rPr>
        <w:t xml:space="preserve">, D. A., &amp; </w:t>
      </w:r>
      <w:proofErr w:type="spellStart"/>
      <w:r w:rsidRPr="002A13E4">
        <w:rPr>
          <w:color w:val="000000" w:themeColor="text1"/>
        </w:rPr>
        <w:t>Lacson</w:t>
      </w:r>
      <w:proofErr w:type="spellEnd"/>
      <w:r w:rsidRPr="002A13E4">
        <w:rPr>
          <w:color w:val="000000" w:themeColor="text1"/>
        </w:rPr>
        <w:t xml:space="preserve">, F. C. (2006). Automation failures on tasks easily performed by operators undermine trust in automated aids. </w:t>
      </w:r>
      <w:r w:rsidRPr="002A13E4">
        <w:rPr>
          <w:i/>
          <w:color w:val="000000" w:themeColor="text1"/>
        </w:rPr>
        <w:t>Human Factors: The Journal of Human Factors and Ergonomics Society</w:t>
      </w:r>
      <w:r w:rsidRPr="002A13E4">
        <w:rPr>
          <w:color w:val="000000" w:themeColor="text1"/>
        </w:rPr>
        <w:t xml:space="preserve">, </w:t>
      </w:r>
      <w:r w:rsidRPr="002A13E4">
        <w:rPr>
          <w:i/>
          <w:color w:val="000000" w:themeColor="text1"/>
        </w:rPr>
        <w:t>48</w:t>
      </w:r>
      <w:r w:rsidRPr="002A13E4">
        <w:rPr>
          <w:color w:val="000000" w:themeColor="text1"/>
        </w:rPr>
        <w:t>, 241–256.</w:t>
      </w:r>
    </w:p>
    <w:p w14:paraId="3C1B6308" w14:textId="77777777" w:rsidR="00F8346C" w:rsidRPr="002A13E4" w:rsidRDefault="00F8346C">
      <w:pPr>
        <w:spacing w:line="480" w:lineRule="auto"/>
        <w:ind w:left="720" w:hanging="720"/>
        <w:rPr>
          <w:color w:val="000000" w:themeColor="text1"/>
        </w:rPr>
      </w:pPr>
      <w:proofErr w:type="spellStart"/>
      <w:r w:rsidRPr="002A13E4">
        <w:rPr>
          <w:color w:val="000000" w:themeColor="text1"/>
        </w:rPr>
        <w:lastRenderedPageBreak/>
        <w:t>Malle</w:t>
      </w:r>
      <w:proofErr w:type="spellEnd"/>
      <w:r w:rsidRPr="002A13E4">
        <w:rPr>
          <w:color w:val="000000" w:themeColor="text1"/>
        </w:rPr>
        <w:t xml:space="preserve">, B. F., </w:t>
      </w:r>
      <w:proofErr w:type="spellStart"/>
      <w:r w:rsidRPr="002A13E4">
        <w:rPr>
          <w:color w:val="000000" w:themeColor="text1"/>
        </w:rPr>
        <w:t>Scheutz</w:t>
      </w:r>
      <w:proofErr w:type="spellEnd"/>
      <w:r w:rsidRPr="002A13E4">
        <w:rPr>
          <w:color w:val="000000" w:themeColor="text1"/>
        </w:rPr>
        <w:t xml:space="preserve">, M., </w:t>
      </w:r>
      <w:proofErr w:type="spellStart"/>
      <w:r w:rsidRPr="002A13E4">
        <w:rPr>
          <w:color w:val="000000" w:themeColor="text1"/>
        </w:rPr>
        <w:t>Forlizzi</w:t>
      </w:r>
      <w:proofErr w:type="spellEnd"/>
      <w:r w:rsidRPr="002A13E4">
        <w:rPr>
          <w:color w:val="000000" w:themeColor="text1"/>
        </w:rPr>
        <w:t xml:space="preserve">, J., &amp; </w:t>
      </w:r>
      <w:proofErr w:type="spellStart"/>
      <w:r w:rsidRPr="002A13E4">
        <w:rPr>
          <w:color w:val="000000" w:themeColor="text1"/>
        </w:rPr>
        <w:t>Voiklis</w:t>
      </w:r>
      <w:proofErr w:type="spellEnd"/>
      <w:r w:rsidRPr="002A13E4">
        <w:rPr>
          <w:color w:val="000000" w:themeColor="text1"/>
        </w:rPr>
        <w:t>, J. (2016, March). Which robot am I thinking about? The impact of action and appearance on people's evaluations of a moral robot.</w:t>
      </w:r>
      <w:r w:rsidRPr="002A13E4">
        <w:rPr>
          <w:i/>
          <w:color w:val="000000" w:themeColor="text1"/>
        </w:rPr>
        <w:t xml:space="preserve"> 11th ACM/IEEE International Conference on Human-Robot Interaction</w:t>
      </w:r>
      <w:r w:rsidRPr="002A13E4">
        <w:rPr>
          <w:color w:val="000000" w:themeColor="text1"/>
        </w:rPr>
        <w:t>, 125–132.</w:t>
      </w:r>
    </w:p>
    <w:p w14:paraId="01B304A6" w14:textId="77777777" w:rsidR="00F8346C" w:rsidRPr="002A13E4" w:rsidRDefault="00F8346C">
      <w:pPr>
        <w:spacing w:line="480" w:lineRule="auto"/>
        <w:ind w:left="720" w:hanging="720"/>
        <w:rPr>
          <w:color w:val="000000" w:themeColor="text1"/>
        </w:rPr>
      </w:pPr>
      <w:proofErr w:type="spellStart"/>
      <w:r w:rsidRPr="002A13E4">
        <w:rPr>
          <w:color w:val="000000" w:themeColor="text1"/>
        </w:rPr>
        <w:t>Marinaccio</w:t>
      </w:r>
      <w:proofErr w:type="spellEnd"/>
      <w:r w:rsidRPr="002A13E4">
        <w:rPr>
          <w:color w:val="000000" w:themeColor="text1"/>
        </w:rPr>
        <w:t>, K., Kohn, S., Parasuraman, R., &amp; De Visser, E. J. (2015, June</w:t>
      </w:r>
      <w:r w:rsidRPr="002A13E4">
        <w:rPr>
          <w:i/>
          <w:color w:val="000000" w:themeColor="text1"/>
        </w:rPr>
        <w:t xml:space="preserve">). </w:t>
      </w:r>
      <w:r w:rsidRPr="002A13E4">
        <w:rPr>
          <w:color w:val="000000" w:themeColor="text1"/>
        </w:rPr>
        <w:t xml:space="preserve">A framework for rebuilding trust in social automation across health-care domains. </w:t>
      </w:r>
      <w:r w:rsidRPr="002A13E4">
        <w:rPr>
          <w:i/>
          <w:color w:val="000000" w:themeColor="text1"/>
        </w:rPr>
        <w:t>Proceedings of the International Symposium on Human Factors and Ergonomics in Health Care</w:t>
      </w:r>
      <w:r w:rsidRPr="002A13E4">
        <w:rPr>
          <w:color w:val="000000" w:themeColor="text1"/>
        </w:rPr>
        <w:t>,</w:t>
      </w:r>
      <w:r w:rsidRPr="002A13E4">
        <w:rPr>
          <w:i/>
          <w:color w:val="000000" w:themeColor="text1"/>
        </w:rPr>
        <w:t xml:space="preserve"> 4</w:t>
      </w:r>
      <w:r w:rsidRPr="002A13E4">
        <w:rPr>
          <w:color w:val="000000" w:themeColor="text1"/>
        </w:rPr>
        <w:t>(1), 201–205.</w:t>
      </w:r>
    </w:p>
    <w:p w14:paraId="4BC60682" w14:textId="77777777" w:rsidR="00F8346C" w:rsidRPr="002A13E4" w:rsidRDefault="00F8346C">
      <w:pPr>
        <w:spacing w:line="480" w:lineRule="auto"/>
        <w:ind w:left="720" w:hanging="720"/>
        <w:rPr>
          <w:color w:val="000000" w:themeColor="text1"/>
        </w:rPr>
      </w:pPr>
      <w:r w:rsidRPr="002A13E4">
        <w:rPr>
          <w:color w:val="000000" w:themeColor="text1"/>
        </w:rPr>
        <w:t xml:space="preserve">Mayer, R. C, Davis, J. H., &amp; </w:t>
      </w:r>
      <w:proofErr w:type="spellStart"/>
      <w:r w:rsidRPr="002A13E4">
        <w:rPr>
          <w:color w:val="000000" w:themeColor="text1"/>
        </w:rPr>
        <w:t>Schoorman</w:t>
      </w:r>
      <w:proofErr w:type="spellEnd"/>
      <w:r w:rsidRPr="002A13E4">
        <w:rPr>
          <w:color w:val="000000" w:themeColor="text1"/>
        </w:rPr>
        <w:t xml:space="preserve">, F. D. 1995. An integrative model of organizational trust. </w:t>
      </w:r>
      <w:r w:rsidRPr="002A13E4">
        <w:rPr>
          <w:i/>
          <w:color w:val="000000" w:themeColor="text1"/>
        </w:rPr>
        <w:t>Academy of Management Review</w:t>
      </w:r>
      <w:r w:rsidRPr="002A13E4">
        <w:rPr>
          <w:color w:val="000000" w:themeColor="text1"/>
        </w:rPr>
        <w:t>, 20, 709–734.</w:t>
      </w:r>
    </w:p>
    <w:p w14:paraId="06F47788" w14:textId="77777777" w:rsidR="00F8346C" w:rsidRPr="002A13E4" w:rsidRDefault="00F8346C">
      <w:pPr>
        <w:spacing w:line="480" w:lineRule="auto"/>
        <w:ind w:left="720" w:hanging="720"/>
        <w:rPr>
          <w:color w:val="000000" w:themeColor="text1"/>
        </w:rPr>
      </w:pPr>
      <w:r w:rsidRPr="002A13E4">
        <w:rPr>
          <w:color w:val="000000" w:themeColor="text1"/>
        </w:rPr>
        <w:t>Mayer, R. C., &amp; Davis, J. H. (1999). The effect of the performance appraisal system on trust for management: A field quasi-experiment.</w:t>
      </w:r>
      <w:r w:rsidRPr="002A13E4">
        <w:rPr>
          <w:i/>
          <w:color w:val="000000" w:themeColor="text1"/>
        </w:rPr>
        <w:t> Journal of Applied Psychology, 84</w:t>
      </w:r>
      <w:r w:rsidRPr="002A13E4">
        <w:rPr>
          <w:color w:val="000000" w:themeColor="text1"/>
        </w:rPr>
        <w:t>(1), 123–136.</w:t>
      </w:r>
    </w:p>
    <w:p w14:paraId="6B9A5FC4" w14:textId="77777777" w:rsidR="00F8346C" w:rsidRPr="002A13E4" w:rsidRDefault="00F8346C">
      <w:pPr>
        <w:spacing w:line="480" w:lineRule="auto"/>
        <w:ind w:left="720" w:hanging="720"/>
        <w:rPr>
          <w:rFonts w:ascii="Times" w:eastAsia="Times" w:hAnsi="Times" w:cs="Times"/>
          <w:color w:val="000000" w:themeColor="text1"/>
        </w:rPr>
      </w:pPr>
      <w:r w:rsidRPr="002A13E4">
        <w:rPr>
          <w:rFonts w:ascii="Times" w:eastAsia="Times" w:hAnsi="Times" w:cs="Times"/>
          <w:color w:val="000000" w:themeColor="text1"/>
        </w:rPr>
        <w:t>McAuley, E., Duncan, T. E., &amp; Russell, D. W. (1992). Measuring causal attributions: The revised causal dimension scale (CDSII). </w:t>
      </w:r>
      <w:r w:rsidRPr="002A13E4">
        <w:rPr>
          <w:rFonts w:ascii="Times" w:eastAsia="Times" w:hAnsi="Times" w:cs="Times"/>
          <w:i/>
          <w:color w:val="000000" w:themeColor="text1"/>
        </w:rPr>
        <w:t>Personality and Social Psychology Bulletin</w:t>
      </w:r>
      <w:r w:rsidRPr="002A13E4">
        <w:rPr>
          <w:rFonts w:ascii="Times" w:eastAsia="Times" w:hAnsi="Times" w:cs="Times"/>
          <w:color w:val="000000" w:themeColor="text1"/>
        </w:rPr>
        <w:t>, </w:t>
      </w:r>
      <w:r w:rsidRPr="002A13E4">
        <w:rPr>
          <w:rFonts w:ascii="Times" w:eastAsia="Times" w:hAnsi="Times" w:cs="Times"/>
          <w:i/>
          <w:color w:val="000000" w:themeColor="text1"/>
        </w:rPr>
        <w:t>18</w:t>
      </w:r>
      <w:r w:rsidRPr="002A13E4">
        <w:rPr>
          <w:rFonts w:ascii="Times" w:eastAsia="Times" w:hAnsi="Times" w:cs="Times"/>
          <w:color w:val="000000" w:themeColor="text1"/>
        </w:rPr>
        <w:t>(5), 566</w:t>
      </w:r>
      <w:r w:rsidRPr="002A13E4">
        <w:rPr>
          <w:color w:val="000000" w:themeColor="text1"/>
        </w:rPr>
        <w:t>–</w:t>
      </w:r>
      <w:r w:rsidRPr="002A13E4">
        <w:rPr>
          <w:rFonts w:ascii="Times" w:eastAsia="Times" w:hAnsi="Times" w:cs="Times"/>
          <w:color w:val="000000" w:themeColor="text1"/>
        </w:rPr>
        <w:t>573.</w:t>
      </w:r>
    </w:p>
    <w:p w14:paraId="1C58C75C" w14:textId="77777777" w:rsidR="00F8346C" w:rsidRPr="002A13E4" w:rsidRDefault="00F8346C">
      <w:pPr>
        <w:spacing w:line="480" w:lineRule="auto"/>
        <w:ind w:left="720" w:hanging="720"/>
        <w:rPr>
          <w:color w:val="000000" w:themeColor="text1"/>
        </w:rPr>
      </w:pPr>
      <w:r w:rsidRPr="002A13E4">
        <w:rPr>
          <w:color w:val="000000" w:themeColor="text1"/>
        </w:rPr>
        <w:t xml:space="preserve">McCall, D., &amp; </w:t>
      </w:r>
      <w:proofErr w:type="spellStart"/>
      <w:r w:rsidRPr="002A13E4">
        <w:rPr>
          <w:color w:val="000000" w:themeColor="text1"/>
        </w:rPr>
        <w:t>Kölling</w:t>
      </w:r>
      <w:proofErr w:type="spellEnd"/>
      <w:r w:rsidRPr="002A13E4">
        <w:rPr>
          <w:color w:val="000000" w:themeColor="text1"/>
        </w:rPr>
        <w:t xml:space="preserve">, M. (2014 October). Meaningful </w:t>
      </w:r>
      <w:proofErr w:type="spellStart"/>
      <w:r w:rsidRPr="002A13E4">
        <w:rPr>
          <w:color w:val="000000" w:themeColor="text1"/>
        </w:rPr>
        <w:t>categorisation</w:t>
      </w:r>
      <w:proofErr w:type="spellEnd"/>
      <w:r w:rsidRPr="002A13E4">
        <w:rPr>
          <w:color w:val="000000" w:themeColor="text1"/>
        </w:rPr>
        <w:t xml:space="preserve"> of novice programmer errors”. </w:t>
      </w:r>
      <w:r w:rsidRPr="002A13E4">
        <w:rPr>
          <w:i/>
          <w:color w:val="000000" w:themeColor="text1"/>
        </w:rPr>
        <w:t>Proceedings of 2014 IEEE Frontiers in Education Conference</w:t>
      </w:r>
      <w:r w:rsidRPr="002A13E4">
        <w:rPr>
          <w:color w:val="000000" w:themeColor="text1"/>
        </w:rPr>
        <w:t>, 1–8.</w:t>
      </w:r>
    </w:p>
    <w:p w14:paraId="14E4D04B" w14:textId="77777777" w:rsidR="00F8346C" w:rsidRPr="002A13E4" w:rsidRDefault="00F8346C">
      <w:pPr>
        <w:spacing w:line="480" w:lineRule="auto"/>
        <w:ind w:left="720" w:hanging="720"/>
        <w:rPr>
          <w:color w:val="000000" w:themeColor="text1"/>
        </w:rPr>
      </w:pPr>
      <w:r w:rsidRPr="002A13E4">
        <w:rPr>
          <w:color w:val="000000" w:themeColor="text1"/>
        </w:rPr>
        <w:t xml:space="preserve">Merritt, S. M., &amp; </w:t>
      </w:r>
      <w:proofErr w:type="spellStart"/>
      <w:r w:rsidRPr="002A13E4">
        <w:rPr>
          <w:color w:val="000000" w:themeColor="text1"/>
        </w:rPr>
        <w:t>Ilgen</w:t>
      </w:r>
      <w:proofErr w:type="spellEnd"/>
      <w:r w:rsidRPr="002A13E4">
        <w:rPr>
          <w:color w:val="000000" w:themeColor="text1"/>
        </w:rPr>
        <w:t xml:space="preserve">, D. R. (2008). Not all trust is created equal: Dispositional and history-based trust in human-automation interactions. </w:t>
      </w:r>
      <w:r w:rsidRPr="002A13E4">
        <w:rPr>
          <w:i/>
          <w:color w:val="000000" w:themeColor="text1"/>
        </w:rPr>
        <w:t>Human Factors: The Journal of the Human Factors and Ergonomics Society</w:t>
      </w:r>
      <w:r w:rsidRPr="002A13E4">
        <w:rPr>
          <w:color w:val="000000" w:themeColor="text1"/>
        </w:rPr>
        <w:t xml:space="preserve">, </w:t>
      </w:r>
      <w:r w:rsidRPr="002A13E4">
        <w:rPr>
          <w:i/>
          <w:color w:val="000000" w:themeColor="text1"/>
        </w:rPr>
        <w:t>50</w:t>
      </w:r>
      <w:r w:rsidRPr="002A13E4">
        <w:rPr>
          <w:color w:val="000000" w:themeColor="text1"/>
        </w:rPr>
        <w:t>(2), 194–210.</w:t>
      </w:r>
    </w:p>
    <w:p w14:paraId="291785BE" w14:textId="77777777" w:rsidR="00F8346C" w:rsidRPr="002A13E4" w:rsidRDefault="00F8346C">
      <w:pPr>
        <w:spacing w:line="480" w:lineRule="auto"/>
        <w:ind w:left="720" w:hanging="720"/>
        <w:rPr>
          <w:color w:val="000000" w:themeColor="text1"/>
        </w:rPr>
      </w:pPr>
      <w:r w:rsidRPr="002A13E4">
        <w:rPr>
          <w:color w:val="000000" w:themeColor="text1"/>
        </w:rPr>
        <w:t>Meyerson, D., Weick, K. E., &amp; Kramer, R. M. (1996). Swift trust and temporary groups</w:t>
      </w:r>
      <w:r w:rsidRPr="002A13E4">
        <w:rPr>
          <w:i/>
          <w:color w:val="000000" w:themeColor="text1"/>
        </w:rPr>
        <w:t>.</w:t>
      </w:r>
      <w:r w:rsidRPr="002A13E4">
        <w:rPr>
          <w:color w:val="000000" w:themeColor="text1"/>
        </w:rPr>
        <w:t> In R. M. Kramer &amp; T. R. Tyler (Eds.), </w:t>
      </w:r>
      <w:r w:rsidRPr="002A13E4">
        <w:rPr>
          <w:i/>
          <w:color w:val="000000" w:themeColor="text1"/>
        </w:rPr>
        <w:t>Trust in organizations: Frontiers of theory and research</w:t>
      </w:r>
      <w:r w:rsidRPr="002A13E4">
        <w:rPr>
          <w:color w:val="000000" w:themeColor="text1"/>
        </w:rPr>
        <w:t> (pp. 166–195). Sage Publications.</w:t>
      </w:r>
    </w:p>
    <w:p w14:paraId="0672A238" w14:textId="77777777" w:rsidR="00F8346C" w:rsidRPr="002A13E4" w:rsidRDefault="00F8346C">
      <w:pPr>
        <w:spacing w:line="480" w:lineRule="auto"/>
        <w:ind w:left="720" w:hanging="720"/>
        <w:rPr>
          <w:color w:val="000000" w:themeColor="text1"/>
        </w:rPr>
      </w:pPr>
      <w:r w:rsidRPr="002A13E4">
        <w:rPr>
          <w:color w:val="000000" w:themeColor="text1"/>
        </w:rPr>
        <w:lastRenderedPageBreak/>
        <w:t>Mir, M. (1992). Do we all apologize the same? An empirical study on the act of apologizing by Spanish speakers learning English. </w:t>
      </w:r>
      <w:r w:rsidRPr="002A13E4">
        <w:rPr>
          <w:i/>
          <w:color w:val="000000" w:themeColor="text1"/>
        </w:rPr>
        <w:t>Pragmatics and Language Learning</w:t>
      </w:r>
      <w:r w:rsidRPr="002A13E4">
        <w:rPr>
          <w:color w:val="000000" w:themeColor="text1"/>
        </w:rPr>
        <w:t>, </w:t>
      </w:r>
      <w:r w:rsidRPr="002A13E4">
        <w:rPr>
          <w:i/>
          <w:color w:val="000000" w:themeColor="text1"/>
        </w:rPr>
        <w:t>3</w:t>
      </w:r>
      <w:r w:rsidRPr="002A13E4">
        <w:rPr>
          <w:color w:val="000000" w:themeColor="text1"/>
        </w:rPr>
        <w:t>, 1–19.</w:t>
      </w:r>
    </w:p>
    <w:p w14:paraId="76C5E9CD" w14:textId="77777777" w:rsidR="00F8346C" w:rsidRPr="002A13E4" w:rsidRDefault="00F8346C">
      <w:pPr>
        <w:spacing w:line="480" w:lineRule="auto"/>
        <w:ind w:left="720" w:hanging="720"/>
        <w:rPr>
          <w:color w:val="000000" w:themeColor="text1"/>
        </w:rPr>
      </w:pPr>
      <w:proofErr w:type="spellStart"/>
      <w:r w:rsidRPr="002A13E4">
        <w:rPr>
          <w:color w:val="000000" w:themeColor="text1"/>
        </w:rPr>
        <w:t>Mirnig</w:t>
      </w:r>
      <w:proofErr w:type="spellEnd"/>
      <w:r w:rsidRPr="002A13E4">
        <w:rPr>
          <w:color w:val="000000" w:themeColor="text1"/>
        </w:rPr>
        <w:t xml:space="preserve">, N., </w:t>
      </w:r>
      <w:proofErr w:type="spellStart"/>
      <w:r w:rsidRPr="002A13E4">
        <w:rPr>
          <w:color w:val="000000" w:themeColor="text1"/>
        </w:rPr>
        <w:t>Stollnberger</w:t>
      </w:r>
      <w:proofErr w:type="spellEnd"/>
      <w:r w:rsidRPr="002A13E4">
        <w:rPr>
          <w:color w:val="000000" w:themeColor="text1"/>
        </w:rPr>
        <w:t xml:space="preserve">, G., </w:t>
      </w:r>
      <w:proofErr w:type="spellStart"/>
      <w:r w:rsidRPr="002A13E4">
        <w:rPr>
          <w:color w:val="000000" w:themeColor="text1"/>
        </w:rPr>
        <w:t>Miksch</w:t>
      </w:r>
      <w:proofErr w:type="spellEnd"/>
      <w:r w:rsidRPr="002A13E4">
        <w:rPr>
          <w:color w:val="000000" w:themeColor="text1"/>
        </w:rPr>
        <w:t xml:space="preserve">, M., Stadler, S., Giuliani, M., &amp; </w:t>
      </w:r>
      <w:proofErr w:type="spellStart"/>
      <w:r w:rsidRPr="002A13E4">
        <w:rPr>
          <w:color w:val="000000" w:themeColor="text1"/>
        </w:rPr>
        <w:t>Tscheligi</w:t>
      </w:r>
      <w:proofErr w:type="spellEnd"/>
      <w:r w:rsidRPr="002A13E4">
        <w:rPr>
          <w:color w:val="000000" w:themeColor="text1"/>
        </w:rPr>
        <w:t xml:space="preserve">, M. (2017, May). To err is robot: How humans assess and act toward an erroneous social robot. </w:t>
      </w:r>
      <w:r w:rsidRPr="002A13E4">
        <w:rPr>
          <w:i/>
          <w:color w:val="000000" w:themeColor="text1"/>
        </w:rPr>
        <w:t>Frontiers in Robotics and AI</w:t>
      </w:r>
      <w:r w:rsidRPr="002A13E4">
        <w:rPr>
          <w:color w:val="000000" w:themeColor="text1"/>
        </w:rPr>
        <w:t>. Retrieved from https://doi.org/10.3389/frobt.2017.00021</w:t>
      </w:r>
    </w:p>
    <w:p w14:paraId="21A744CD" w14:textId="77777777" w:rsidR="00F8346C" w:rsidRPr="002A13E4" w:rsidRDefault="00F8346C">
      <w:pPr>
        <w:spacing w:line="480" w:lineRule="auto"/>
        <w:ind w:left="720" w:hanging="720"/>
        <w:rPr>
          <w:color w:val="000000" w:themeColor="text1"/>
        </w:rPr>
      </w:pPr>
      <w:r w:rsidRPr="002A13E4">
        <w:rPr>
          <w:color w:val="000000" w:themeColor="text1"/>
        </w:rPr>
        <w:t>Nass, C. I., &amp; Moon, Y. (2000). Machines and mindlessness: Social responses to computers. </w:t>
      </w:r>
      <w:r w:rsidRPr="002A13E4">
        <w:rPr>
          <w:i/>
          <w:color w:val="000000" w:themeColor="text1"/>
        </w:rPr>
        <w:t>Journal of Social Issues</w:t>
      </w:r>
      <w:r w:rsidRPr="002A13E4">
        <w:rPr>
          <w:color w:val="000000" w:themeColor="text1"/>
        </w:rPr>
        <w:t>, </w:t>
      </w:r>
      <w:r w:rsidRPr="002A13E4">
        <w:rPr>
          <w:i/>
          <w:color w:val="000000" w:themeColor="text1"/>
        </w:rPr>
        <w:t>56</w:t>
      </w:r>
      <w:r w:rsidRPr="002A13E4">
        <w:rPr>
          <w:color w:val="000000" w:themeColor="text1"/>
        </w:rPr>
        <w:t>(1), 81–103.</w:t>
      </w:r>
    </w:p>
    <w:p w14:paraId="29073288" w14:textId="77777777" w:rsidR="00F8346C" w:rsidRPr="002A13E4" w:rsidRDefault="00F8346C" w:rsidP="00F8346C">
      <w:pPr>
        <w:spacing w:line="480" w:lineRule="auto"/>
        <w:ind w:left="720" w:hanging="720"/>
        <w:rPr>
          <w:color w:val="000000" w:themeColor="text1"/>
        </w:rPr>
      </w:pPr>
      <w:r w:rsidRPr="002A13E4">
        <w:rPr>
          <w:color w:val="000000" w:themeColor="text1"/>
        </w:rPr>
        <w:t>Osborne, J. W. (2013). </w:t>
      </w:r>
      <w:r w:rsidRPr="002A13E4">
        <w:rPr>
          <w:i/>
          <w:iCs/>
          <w:color w:val="000000" w:themeColor="text1"/>
        </w:rPr>
        <w:t>Best practices in data cleaning: A complete guide to everything you need to do before and after collecting your data</w:t>
      </w:r>
      <w:r w:rsidRPr="002A13E4">
        <w:rPr>
          <w:color w:val="000000" w:themeColor="text1"/>
        </w:rPr>
        <w:t>. Sage.</w:t>
      </w:r>
    </w:p>
    <w:p w14:paraId="142A5EE1" w14:textId="77777777" w:rsidR="00F8346C" w:rsidRPr="002A13E4" w:rsidRDefault="00F8346C">
      <w:pPr>
        <w:spacing w:line="480" w:lineRule="auto"/>
        <w:ind w:left="720" w:hanging="720"/>
        <w:rPr>
          <w:color w:val="000000" w:themeColor="text1"/>
        </w:rPr>
      </w:pPr>
      <w:r w:rsidRPr="002A13E4">
        <w:rPr>
          <w:color w:val="000000" w:themeColor="text1"/>
        </w:rPr>
        <w:t xml:space="preserve">Parasuraman, R., &amp; </w:t>
      </w:r>
      <w:proofErr w:type="spellStart"/>
      <w:r w:rsidRPr="002A13E4">
        <w:rPr>
          <w:color w:val="000000" w:themeColor="text1"/>
        </w:rPr>
        <w:t>Manzey</w:t>
      </w:r>
      <w:proofErr w:type="spellEnd"/>
      <w:r w:rsidRPr="002A13E4">
        <w:rPr>
          <w:color w:val="000000" w:themeColor="text1"/>
        </w:rPr>
        <w:t>, D. H. (2010). Complacency and bias in human use of automation: An attentional integration.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52</w:t>
      </w:r>
      <w:r w:rsidRPr="002A13E4">
        <w:rPr>
          <w:color w:val="000000" w:themeColor="text1"/>
        </w:rPr>
        <w:t>(3), 381–410.</w:t>
      </w:r>
    </w:p>
    <w:p w14:paraId="38869E8D" w14:textId="77777777" w:rsidR="00F8346C" w:rsidRPr="002A13E4" w:rsidRDefault="00F8346C">
      <w:pPr>
        <w:spacing w:line="480" w:lineRule="auto"/>
        <w:ind w:left="720" w:hanging="720"/>
        <w:rPr>
          <w:color w:val="000000" w:themeColor="text1"/>
        </w:rPr>
      </w:pPr>
      <w:r w:rsidRPr="002A13E4">
        <w:rPr>
          <w:color w:val="000000" w:themeColor="text1"/>
        </w:rPr>
        <w:t>Parasuraman, R., &amp; Riley, V. (1997). Humans and automation: Use, misuse, disuse, abuse.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39</w:t>
      </w:r>
      <w:r w:rsidRPr="002A13E4">
        <w:rPr>
          <w:color w:val="000000" w:themeColor="text1"/>
        </w:rPr>
        <w:t>(2), 230–253.</w:t>
      </w:r>
    </w:p>
    <w:p w14:paraId="1F7D65A2" w14:textId="77777777" w:rsidR="00F8346C" w:rsidRPr="002A13E4" w:rsidRDefault="00F8346C">
      <w:pPr>
        <w:spacing w:line="480" w:lineRule="auto"/>
        <w:ind w:left="720" w:hanging="720"/>
        <w:rPr>
          <w:color w:val="000000" w:themeColor="text1"/>
        </w:rPr>
      </w:pPr>
      <w:r w:rsidRPr="002A13E4">
        <w:rPr>
          <w:color w:val="000000" w:themeColor="text1"/>
        </w:rPr>
        <w:t xml:space="preserve">Parasuraman, R., Sheridan, T. B., &amp; </w:t>
      </w:r>
      <w:proofErr w:type="spellStart"/>
      <w:r w:rsidRPr="002A13E4">
        <w:rPr>
          <w:color w:val="000000" w:themeColor="text1"/>
        </w:rPr>
        <w:t>Wickens</w:t>
      </w:r>
      <w:proofErr w:type="spellEnd"/>
      <w:r w:rsidRPr="002A13E4">
        <w:rPr>
          <w:color w:val="000000" w:themeColor="text1"/>
        </w:rPr>
        <w:t xml:space="preserve">, C. D. (2000). A model for types and levels of human interaction with automation. </w:t>
      </w:r>
      <w:r w:rsidRPr="002A13E4">
        <w:rPr>
          <w:i/>
          <w:color w:val="000000" w:themeColor="text1"/>
        </w:rPr>
        <w:t>IEEE Transactions on Systems, Man, &amp; Cybernetics</w:t>
      </w:r>
      <w:r w:rsidRPr="002A13E4">
        <w:rPr>
          <w:color w:val="000000" w:themeColor="text1"/>
        </w:rPr>
        <w:t xml:space="preserve">, </w:t>
      </w:r>
      <w:r w:rsidRPr="002A13E4">
        <w:rPr>
          <w:i/>
          <w:color w:val="000000" w:themeColor="text1"/>
        </w:rPr>
        <w:t>30</w:t>
      </w:r>
      <w:r w:rsidRPr="002A13E4">
        <w:rPr>
          <w:color w:val="000000" w:themeColor="text1"/>
        </w:rPr>
        <w:t>, 286–297.</w:t>
      </w:r>
    </w:p>
    <w:p w14:paraId="28B0CC99" w14:textId="77777777" w:rsidR="00F8346C" w:rsidRPr="002A13E4" w:rsidRDefault="00F8346C">
      <w:pPr>
        <w:spacing w:line="480" w:lineRule="auto"/>
        <w:ind w:left="720" w:hanging="720"/>
        <w:rPr>
          <w:color w:val="000000" w:themeColor="text1"/>
        </w:rPr>
      </w:pPr>
      <w:r w:rsidRPr="002A13E4">
        <w:rPr>
          <w:color w:val="000000" w:themeColor="text1"/>
        </w:rPr>
        <w:t xml:space="preserve">Park, E., Kim, K. J., &amp; Del </w:t>
      </w:r>
      <w:proofErr w:type="spellStart"/>
      <w:r w:rsidRPr="002A13E4">
        <w:rPr>
          <w:color w:val="000000" w:themeColor="text1"/>
        </w:rPr>
        <w:t>Pobil</w:t>
      </w:r>
      <w:proofErr w:type="spellEnd"/>
      <w:r w:rsidRPr="002A13E4">
        <w:rPr>
          <w:color w:val="000000" w:themeColor="text1"/>
        </w:rPr>
        <w:t xml:space="preserve">, A. P. (2011, November). The effects of a robot instructor’s positive vs. negative feedbacks on attraction and acceptance towards the robot in classroom. </w:t>
      </w:r>
      <w:r w:rsidRPr="002A13E4">
        <w:rPr>
          <w:i/>
          <w:color w:val="000000" w:themeColor="text1"/>
        </w:rPr>
        <w:t>International Conference on Social Robotics</w:t>
      </w:r>
      <w:r w:rsidRPr="002A13E4">
        <w:rPr>
          <w:color w:val="000000" w:themeColor="text1"/>
        </w:rPr>
        <w:t xml:space="preserve">, 135–141. </w:t>
      </w:r>
    </w:p>
    <w:p w14:paraId="21A5CDC5" w14:textId="77777777" w:rsidR="00F8346C" w:rsidRPr="002A13E4" w:rsidRDefault="00F8346C">
      <w:pPr>
        <w:spacing w:line="480" w:lineRule="auto"/>
        <w:ind w:left="720" w:hanging="720"/>
        <w:rPr>
          <w:color w:val="000000" w:themeColor="text1"/>
        </w:rPr>
      </w:pPr>
      <w:proofErr w:type="spellStart"/>
      <w:r w:rsidRPr="002A13E4">
        <w:rPr>
          <w:color w:val="000000" w:themeColor="text1"/>
        </w:rPr>
        <w:lastRenderedPageBreak/>
        <w:t>Pelikan</w:t>
      </w:r>
      <w:proofErr w:type="spellEnd"/>
      <w:r w:rsidRPr="002A13E4">
        <w:rPr>
          <w:color w:val="000000" w:themeColor="text1"/>
        </w:rPr>
        <w:t xml:space="preserve">, H. R., &amp; Broth, M. (2016, May). Why that NAO? How humans adapt to a conventional humanoid robot in taking turns-at-talk. </w:t>
      </w:r>
      <w:r w:rsidRPr="002A13E4">
        <w:rPr>
          <w:i/>
          <w:color w:val="000000" w:themeColor="text1"/>
        </w:rPr>
        <w:t>Proceedings of the 2016 CHI Conference on Human Factors in Computing Systems</w:t>
      </w:r>
      <w:r w:rsidRPr="002A13E4">
        <w:rPr>
          <w:color w:val="000000" w:themeColor="text1"/>
        </w:rPr>
        <w:t>, 4921–4932.</w:t>
      </w:r>
    </w:p>
    <w:p w14:paraId="70D3BD47" w14:textId="77777777" w:rsidR="00F8346C" w:rsidRPr="002A13E4" w:rsidRDefault="00F8346C">
      <w:pPr>
        <w:spacing w:line="480" w:lineRule="auto"/>
        <w:ind w:left="720" w:hanging="720"/>
        <w:rPr>
          <w:rFonts w:ascii="Arial" w:eastAsia="Arial" w:hAnsi="Arial" w:cs="Arial"/>
          <w:color w:val="000000" w:themeColor="text1"/>
          <w:sz w:val="20"/>
          <w:szCs w:val="20"/>
        </w:rPr>
      </w:pPr>
      <w:r w:rsidRPr="002A13E4">
        <w:rPr>
          <w:color w:val="000000" w:themeColor="text1"/>
        </w:rPr>
        <w:t xml:space="preserve">Pino, O., Palestra, G., Trevino, R., &amp; De </w:t>
      </w:r>
      <w:proofErr w:type="spellStart"/>
      <w:r w:rsidRPr="002A13E4">
        <w:rPr>
          <w:color w:val="000000" w:themeColor="text1"/>
        </w:rPr>
        <w:t>Carolis</w:t>
      </w:r>
      <w:proofErr w:type="spellEnd"/>
      <w:r w:rsidRPr="002A13E4">
        <w:rPr>
          <w:color w:val="000000" w:themeColor="text1"/>
        </w:rPr>
        <w:t>, B. (2020). The humanoid robot NAO as trainer in a memory program for elderly people with mild cognitive impairment. </w:t>
      </w:r>
      <w:r w:rsidRPr="002A13E4">
        <w:rPr>
          <w:i/>
          <w:color w:val="000000" w:themeColor="text1"/>
        </w:rPr>
        <w:t>International Journal of Social Robotics</w:t>
      </w:r>
      <w:r w:rsidRPr="002A13E4">
        <w:rPr>
          <w:color w:val="000000" w:themeColor="text1"/>
        </w:rPr>
        <w:t>, </w:t>
      </w:r>
      <w:r w:rsidRPr="002A13E4">
        <w:rPr>
          <w:i/>
          <w:color w:val="000000" w:themeColor="text1"/>
        </w:rPr>
        <w:t>12</w:t>
      </w:r>
      <w:r w:rsidRPr="002A13E4">
        <w:rPr>
          <w:color w:val="000000" w:themeColor="text1"/>
        </w:rPr>
        <w:t>(1), 21–33</w:t>
      </w:r>
      <w:r w:rsidRPr="002A13E4">
        <w:rPr>
          <w:rFonts w:ascii="Arial" w:eastAsia="Arial" w:hAnsi="Arial" w:cs="Arial"/>
          <w:color w:val="000000" w:themeColor="text1"/>
          <w:sz w:val="20"/>
          <w:szCs w:val="20"/>
        </w:rPr>
        <w:t>.</w:t>
      </w:r>
    </w:p>
    <w:p w14:paraId="06114E46" w14:textId="77777777" w:rsidR="00F8346C" w:rsidRPr="002A13E4" w:rsidRDefault="00F8346C">
      <w:pPr>
        <w:spacing w:line="480" w:lineRule="auto"/>
        <w:ind w:left="720" w:hanging="720"/>
        <w:rPr>
          <w:color w:val="000000" w:themeColor="text1"/>
        </w:rPr>
      </w:pPr>
      <w:proofErr w:type="spellStart"/>
      <w:r w:rsidRPr="002A13E4">
        <w:rPr>
          <w:color w:val="000000" w:themeColor="text1"/>
        </w:rPr>
        <w:t>Poppo</w:t>
      </w:r>
      <w:proofErr w:type="spellEnd"/>
      <w:r w:rsidRPr="002A13E4">
        <w:rPr>
          <w:color w:val="000000" w:themeColor="text1"/>
        </w:rPr>
        <w:t xml:space="preserve">, L., &amp; </w:t>
      </w:r>
      <w:proofErr w:type="spellStart"/>
      <w:r w:rsidRPr="002A13E4">
        <w:rPr>
          <w:color w:val="000000" w:themeColor="text1"/>
        </w:rPr>
        <w:t>Schepker</w:t>
      </w:r>
      <w:proofErr w:type="spellEnd"/>
      <w:r w:rsidRPr="002A13E4">
        <w:rPr>
          <w:color w:val="000000" w:themeColor="text1"/>
        </w:rPr>
        <w:t>, D. J. (2010). Repairing public trust in organizations.</w:t>
      </w:r>
      <w:r w:rsidRPr="002A13E4">
        <w:rPr>
          <w:i/>
          <w:color w:val="000000" w:themeColor="text1"/>
        </w:rPr>
        <w:t> Corporate Reputation Review</w:t>
      </w:r>
      <w:r w:rsidRPr="002A13E4">
        <w:rPr>
          <w:color w:val="000000" w:themeColor="text1"/>
        </w:rPr>
        <w:t>, </w:t>
      </w:r>
      <w:r w:rsidRPr="002A13E4">
        <w:rPr>
          <w:i/>
          <w:color w:val="000000" w:themeColor="text1"/>
        </w:rPr>
        <w:t>13</w:t>
      </w:r>
      <w:r w:rsidRPr="002A13E4">
        <w:rPr>
          <w:color w:val="000000" w:themeColor="text1"/>
        </w:rPr>
        <w:t>(2), 124–141.</w:t>
      </w:r>
    </w:p>
    <w:p w14:paraId="60F4821C" w14:textId="77777777" w:rsidR="00F8346C" w:rsidRPr="002A13E4" w:rsidRDefault="00F8346C">
      <w:pPr>
        <w:spacing w:line="480" w:lineRule="auto"/>
        <w:ind w:left="720" w:hanging="720"/>
        <w:rPr>
          <w:color w:val="000000" w:themeColor="text1"/>
        </w:rPr>
      </w:pPr>
      <w:r w:rsidRPr="002A13E4">
        <w:rPr>
          <w:color w:val="000000" w:themeColor="text1"/>
        </w:rPr>
        <w:t xml:space="preserve">Powers, A., </w:t>
      </w:r>
      <w:proofErr w:type="spellStart"/>
      <w:r w:rsidRPr="002A13E4">
        <w:rPr>
          <w:color w:val="000000" w:themeColor="text1"/>
        </w:rPr>
        <w:t>Kiesler</w:t>
      </w:r>
      <w:proofErr w:type="spellEnd"/>
      <w:r w:rsidRPr="002A13E4">
        <w:rPr>
          <w:color w:val="000000" w:themeColor="text1"/>
        </w:rPr>
        <w:t xml:space="preserve">, S., </w:t>
      </w:r>
      <w:proofErr w:type="spellStart"/>
      <w:r w:rsidRPr="002A13E4">
        <w:rPr>
          <w:color w:val="000000" w:themeColor="text1"/>
        </w:rPr>
        <w:t>Fussell</w:t>
      </w:r>
      <w:proofErr w:type="spellEnd"/>
      <w:r w:rsidRPr="002A13E4">
        <w:rPr>
          <w:color w:val="000000" w:themeColor="text1"/>
        </w:rPr>
        <w:t xml:space="preserve">, S., &amp; Torrey, C. (2007, March). Comparing a computer agent with a humanoid robot. </w:t>
      </w:r>
      <w:r w:rsidRPr="002A13E4">
        <w:rPr>
          <w:i/>
          <w:color w:val="000000" w:themeColor="text1"/>
        </w:rPr>
        <w:t>Proceedings of the ACM/IEEE international conference on Human-robot interaction</w:t>
      </w:r>
      <w:r w:rsidRPr="002A13E4">
        <w:rPr>
          <w:color w:val="000000" w:themeColor="text1"/>
        </w:rPr>
        <w:t xml:space="preserve">, 145–152. </w:t>
      </w:r>
    </w:p>
    <w:p w14:paraId="1F304C3B" w14:textId="77777777" w:rsidR="00F8346C" w:rsidRPr="002A13E4" w:rsidRDefault="00F8346C">
      <w:pPr>
        <w:spacing w:line="480" w:lineRule="auto"/>
        <w:ind w:left="720" w:hanging="720"/>
        <w:rPr>
          <w:color w:val="000000" w:themeColor="text1"/>
        </w:rPr>
      </w:pPr>
      <w:proofErr w:type="spellStart"/>
      <w:r w:rsidRPr="002A13E4">
        <w:rPr>
          <w:color w:val="000000" w:themeColor="text1"/>
        </w:rPr>
        <w:t>Prendinger</w:t>
      </w:r>
      <w:proofErr w:type="spellEnd"/>
      <w:r w:rsidRPr="002A13E4">
        <w:rPr>
          <w:color w:val="000000" w:themeColor="text1"/>
        </w:rPr>
        <w:t xml:space="preserve">, H., &amp; Ishizuka, M. (2004). Introducing the cast for social computing: Life-like characters. In H. </w:t>
      </w:r>
      <w:proofErr w:type="spellStart"/>
      <w:r w:rsidRPr="002A13E4">
        <w:rPr>
          <w:color w:val="000000" w:themeColor="text1"/>
        </w:rPr>
        <w:t>Prendinger</w:t>
      </w:r>
      <w:proofErr w:type="spellEnd"/>
      <w:r w:rsidRPr="002A13E4">
        <w:rPr>
          <w:color w:val="000000" w:themeColor="text1"/>
        </w:rPr>
        <w:t xml:space="preserve"> &amp; M. Ishizuka (Eds.),</w:t>
      </w:r>
      <w:r w:rsidRPr="002A13E4">
        <w:rPr>
          <w:i/>
          <w:color w:val="000000" w:themeColor="text1"/>
        </w:rPr>
        <w:t xml:space="preserve"> Life-like characters: Tools, affective functions, and applications</w:t>
      </w:r>
      <w:r w:rsidRPr="002A13E4">
        <w:rPr>
          <w:color w:val="000000" w:themeColor="text1"/>
        </w:rPr>
        <w:t> (pp. 3–16). Springer.</w:t>
      </w:r>
    </w:p>
    <w:p w14:paraId="1AE94808" w14:textId="77777777" w:rsidR="00F8346C" w:rsidRPr="002A13E4" w:rsidRDefault="00F8346C">
      <w:pPr>
        <w:spacing w:line="480" w:lineRule="auto"/>
        <w:ind w:left="720" w:hanging="720"/>
        <w:rPr>
          <w:color w:val="000000" w:themeColor="text1"/>
        </w:rPr>
      </w:pPr>
      <w:r w:rsidRPr="002A13E4">
        <w:rPr>
          <w:color w:val="000000" w:themeColor="text1"/>
        </w:rPr>
        <w:t xml:space="preserve">Quinn, D. B. (2018). </w:t>
      </w:r>
      <w:r w:rsidRPr="002A13E4">
        <w:rPr>
          <w:i/>
          <w:color w:val="000000" w:themeColor="text1"/>
        </w:rPr>
        <w:t>Exploring the efficacy of social trust repair in human automation interactions</w:t>
      </w:r>
      <w:r w:rsidRPr="002A13E4">
        <w:rPr>
          <w:color w:val="000000" w:themeColor="text1"/>
        </w:rPr>
        <w:t xml:space="preserve"> (Doctoral dissertation). Available from ProQuest Dissertations and Theses Database. (UMI No.10812087).</w:t>
      </w:r>
    </w:p>
    <w:p w14:paraId="027D1129" w14:textId="77777777" w:rsidR="00F8346C" w:rsidRPr="002A13E4" w:rsidRDefault="00F8346C">
      <w:pPr>
        <w:spacing w:line="480" w:lineRule="auto"/>
        <w:ind w:left="720" w:hanging="720"/>
        <w:rPr>
          <w:color w:val="000000" w:themeColor="text1"/>
        </w:rPr>
      </w:pPr>
      <w:r w:rsidRPr="002A13E4">
        <w:rPr>
          <w:color w:val="000000" w:themeColor="text1"/>
        </w:rPr>
        <w:t>Rao, V. S., &amp; Lee, S. J. (2007). Responses to trust violation: A theoretical framework</w:t>
      </w:r>
      <w:r w:rsidRPr="002A13E4">
        <w:rPr>
          <w:i/>
          <w:color w:val="000000" w:themeColor="text1"/>
        </w:rPr>
        <w:t>. The Journal of Computer Information Systems</w:t>
      </w:r>
      <w:r w:rsidRPr="002A13E4">
        <w:rPr>
          <w:color w:val="000000" w:themeColor="text1"/>
        </w:rPr>
        <w:t>, </w:t>
      </w:r>
      <w:r w:rsidRPr="002A13E4">
        <w:rPr>
          <w:i/>
          <w:color w:val="000000" w:themeColor="text1"/>
        </w:rPr>
        <w:t>48</w:t>
      </w:r>
      <w:r w:rsidRPr="002A13E4">
        <w:rPr>
          <w:color w:val="000000" w:themeColor="text1"/>
        </w:rPr>
        <w:t>(1), 76–87.</w:t>
      </w:r>
    </w:p>
    <w:p w14:paraId="1307F27E" w14:textId="77777777" w:rsidR="00F8346C" w:rsidRPr="002A13E4" w:rsidRDefault="00F8346C">
      <w:pPr>
        <w:spacing w:line="480" w:lineRule="auto"/>
        <w:ind w:left="720" w:hanging="720"/>
        <w:rPr>
          <w:color w:val="000000" w:themeColor="text1"/>
        </w:rPr>
      </w:pPr>
      <w:r w:rsidRPr="002A13E4">
        <w:rPr>
          <w:color w:val="000000" w:themeColor="text1"/>
        </w:rPr>
        <w:t xml:space="preserve">Reason, J. (1990). </w:t>
      </w:r>
      <w:r w:rsidRPr="002A13E4">
        <w:rPr>
          <w:i/>
          <w:color w:val="000000" w:themeColor="text1"/>
        </w:rPr>
        <w:t>Human error</w:t>
      </w:r>
      <w:r w:rsidRPr="002A13E4">
        <w:rPr>
          <w:color w:val="000000" w:themeColor="text1"/>
        </w:rPr>
        <w:t>. Cambridge University Press.</w:t>
      </w:r>
    </w:p>
    <w:p w14:paraId="32EE7FC7" w14:textId="77777777" w:rsidR="00F8346C" w:rsidRPr="002A13E4" w:rsidRDefault="00F8346C">
      <w:pPr>
        <w:spacing w:line="480" w:lineRule="auto"/>
        <w:ind w:left="720" w:hanging="720"/>
        <w:rPr>
          <w:color w:val="000000" w:themeColor="text1"/>
        </w:rPr>
      </w:pPr>
      <w:bookmarkStart w:id="57" w:name="_heading=h.3as4poj" w:colFirst="0" w:colLast="0"/>
      <w:bookmarkEnd w:id="57"/>
      <w:r w:rsidRPr="002A13E4">
        <w:rPr>
          <w:color w:val="000000" w:themeColor="text1"/>
        </w:rPr>
        <w:t>Reeder, G. D., &amp; Brewer, M. B. (1979). A schematic model of dispositional attribution in interpersonal perception. </w:t>
      </w:r>
      <w:r w:rsidRPr="002A13E4">
        <w:rPr>
          <w:i/>
          <w:color w:val="000000" w:themeColor="text1"/>
        </w:rPr>
        <w:t>Psychological Review</w:t>
      </w:r>
      <w:r w:rsidRPr="002A13E4">
        <w:rPr>
          <w:color w:val="000000" w:themeColor="text1"/>
        </w:rPr>
        <w:t>, </w:t>
      </w:r>
      <w:r w:rsidRPr="002A13E4">
        <w:rPr>
          <w:i/>
          <w:color w:val="000000" w:themeColor="text1"/>
        </w:rPr>
        <w:t>86</w:t>
      </w:r>
      <w:r w:rsidRPr="002A13E4">
        <w:rPr>
          <w:color w:val="000000" w:themeColor="text1"/>
        </w:rPr>
        <w:t xml:space="preserve">(1), 61–79. </w:t>
      </w:r>
    </w:p>
    <w:p w14:paraId="02A8C206" w14:textId="77777777" w:rsidR="00F8346C" w:rsidRPr="002A13E4" w:rsidRDefault="00F8346C">
      <w:pPr>
        <w:spacing w:line="480" w:lineRule="auto"/>
        <w:ind w:left="720" w:hanging="720"/>
        <w:rPr>
          <w:color w:val="000000" w:themeColor="text1"/>
        </w:rPr>
      </w:pPr>
      <w:r w:rsidRPr="002A13E4">
        <w:rPr>
          <w:color w:val="000000" w:themeColor="text1"/>
        </w:rPr>
        <w:lastRenderedPageBreak/>
        <w:t>Reeves, B., &amp; Nass, C. I. (1996). The media equation: How people treat computers, television, and new media like real people and places. Cambridge University Press.</w:t>
      </w:r>
    </w:p>
    <w:p w14:paraId="1F2813A8" w14:textId="77777777" w:rsidR="00F8346C" w:rsidRPr="002A13E4" w:rsidRDefault="00F8346C">
      <w:pPr>
        <w:spacing w:line="480" w:lineRule="auto"/>
        <w:ind w:left="720" w:hanging="720"/>
        <w:rPr>
          <w:color w:val="000000" w:themeColor="text1"/>
        </w:rPr>
      </w:pPr>
      <w:r w:rsidRPr="002A13E4">
        <w:rPr>
          <w:color w:val="000000" w:themeColor="text1"/>
        </w:rPr>
        <w:t>Robert, L. P., Denis, A. R., &amp; Hung, Y. T. C. (2009). Individual swift trust and knowledge-based trust in face-to-face and virtual team members</w:t>
      </w:r>
      <w:r w:rsidRPr="002A13E4">
        <w:rPr>
          <w:i/>
          <w:color w:val="000000" w:themeColor="text1"/>
        </w:rPr>
        <w:t>. Journal of Management Information Systems</w:t>
      </w:r>
      <w:r w:rsidRPr="002A13E4">
        <w:rPr>
          <w:color w:val="000000" w:themeColor="text1"/>
        </w:rPr>
        <w:t>, </w:t>
      </w:r>
      <w:r w:rsidRPr="002A13E4">
        <w:rPr>
          <w:i/>
          <w:color w:val="000000" w:themeColor="text1"/>
        </w:rPr>
        <w:t>26</w:t>
      </w:r>
      <w:r w:rsidRPr="002A13E4">
        <w:rPr>
          <w:color w:val="000000" w:themeColor="text1"/>
        </w:rPr>
        <w:t>(2), 241–279.</w:t>
      </w:r>
    </w:p>
    <w:p w14:paraId="5F86E5B4" w14:textId="77777777" w:rsidR="00F8346C" w:rsidRPr="002A13E4" w:rsidRDefault="00F8346C">
      <w:pPr>
        <w:spacing w:line="480" w:lineRule="auto"/>
        <w:ind w:left="720" w:hanging="720"/>
        <w:rPr>
          <w:color w:val="000000" w:themeColor="text1"/>
        </w:rPr>
      </w:pPr>
      <w:r w:rsidRPr="002A13E4">
        <w:rPr>
          <w:color w:val="000000" w:themeColor="text1"/>
        </w:rPr>
        <w:t xml:space="preserve">Robinette, P., Howard, A. M., &amp; Wagner, A. R. (2015, October). Timing is key for robot trust repair. In A. </w:t>
      </w:r>
      <w:proofErr w:type="spellStart"/>
      <w:r w:rsidRPr="002A13E4">
        <w:rPr>
          <w:color w:val="000000" w:themeColor="text1"/>
        </w:rPr>
        <w:t>Tapus</w:t>
      </w:r>
      <w:proofErr w:type="spellEnd"/>
      <w:r w:rsidRPr="002A13E4">
        <w:rPr>
          <w:color w:val="000000" w:themeColor="text1"/>
        </w:rPr>
        <w:t>, E. André, J. Martin, F. </w:t>
      </w:r>
      <w:proofErr w:type="spellStart"/>
      <w:r w:rsidRPr="002A13E4">
        <w:rPr>
          <w:color w:val="000000" w:themeColor="text1"/>
        </w:rPr>
        <w:t>Ferland</w:t>
      </w:r>
      <w:proofErr w:type="spellEnd"/>
      <w:r w:rsidRPr="002A13E4">
        <w:rPr>
          <w:color w:val="000000" w:themeColor="text1"/>
        </w:rPr>
        <w:t xml:space="preserve">, &amp; M. Ammi (Eds.), </w:t>
      </w:r>
      <w:r w:rsidRPr="002A13E4">
        <w:rPr>
          <w:i/>
          <w:color w:val="000000" w:themeColor="text1"/>
        </w:rPr>
        <w:t>Social Robotics</w:t>
      </w:r>
      <w:r w:rsidRPr="002A13E4">
        <w:rPr>
          <w:color w:val="000000" w:themeColor="text1"/>
        </w:rPr>
        <w:t xml:space="preserve"> (pp. 574–583). Springer.</w:t>
      </w:r>
    </w:p>
    <w:p w14:paraId="55271AC8" w14:textId="77777777" w:rsidR="00F8346C" w:rsidRPr="002A13E4" w:rsidRDefault="00F8346C">
      <w:pPr>
        <w:spacing w:line="480" w:lineRule="auto"/>
        <w:ind w:left="720" w:hanging="720"/>
        <w:rPr>
          <w:color w:val="000000" w:themeColor="text1"/>
        </w:rPr>
      </w:pPr>
      <w:r w:rsidRPr="002A13E4">
        <w:rPr>
          <w:color w:val="000000" w:themeColor="text1"/>
        </w:rPr>
        <w:t>Ross, R., Collier, R., &amp; O'Hare, G. M. (2004, July). Demonstrating social error recovery with agent factory. </w:t>
      </w:r>
      <w:r w:rsidRPr="002A13E4">
        <w:rPr>
          <w:i/>
          <w:color w:val="000000" w:themeColor="text1"/>
        </w:rPr>
        <w:t>Proceedings of the International Joint Conference on Autonomous Agents and Multiagent Systems</w:t>
      </w:r>
      <w:r w:rsidRPr="002A13E4">
        <w:rPr>
          <w:color w:val="000000" w:themeColor="text1"/>
        </w:rPr>
        <w:t xml:space="preserve">, </w:t>
      </w:r>
      <w:r w:rsidRPr="002A13E4">
        <w:rPr>
          <w:i/>
          <w:color w:val="000000" w:themeColor="text1"/>
        </w:rPr>
        <w:t>3</w:t>
      </w:r>
      <w:r w:rsidRPr="002A13E4">
        <w:rPr>
          <w:color w:val="000000" w:themeColor="text1"/>
        </w:rPr>
        <w:t>, 1424–1425.</w:t>
      </w:r>
    </w:p>
    <w:p w14:paraId="583B562D" w14:textId="77777777" w:rsidR="00F8346C" w:rsidRPr="002A13E4" w:rsidRDefault="00F8346C">
      <w:pPr>
        <w:spacing w:line="480" w:lineRule="auto"/>
        <w:ind w:left="720" w:hanging="720"/>
        <w:rPr>
          <w:color w:val="000000" w:themeColor="text1"/>
        </w:rPr>
      </w:pPr>
      <w:bookmarkStart w:id="58" w:name="_heading=h.1pxezwc" w:colFirst="0" w:colLast="0"/>
      <w:bookmarkEnd w:id="58"/>
      <w:r w:rsidRPr="002A13E4">
        <w:rPr>
          <w:color w:val="000000" w:themeColor="text1"/>
        </w:rPr>
        <w:t xml:space="preserve">Rossi, A., </w:t>
      </w:r>
      <w:proofErr w:type="spellStart"/>
      <w:r w:rsidRPr="002A13E4">
        <w:rPr>
          <w:color w:val="000000" w:themeColor="text1"/>
        </w:rPr>
        <w:t>Dautenhahn</w:t>
      </w:r>
      <w:proofErr w:type="spellEnd"/>
      <w:r w:rsidRPr="002A13E4">
        <w:rPr>
          <w:color w:val="000000" w:themeColor="text1"/>
        </w:rPr>
        <w:t xml:space="preserve">, K., </w:t>
      </w:r>
      <w:proofErr w:type="spellStart"/>
      <w:r w:rsidRPr="002A13E4">
        <w:rPr>
          <w:color w:val="000000" w:themeColor="text1"/>
        </w:rPr>
        <w:t>Koay</w:t>
      </w:r>
      <w:proofErr w:type="spellEnd"/>
      <w:r w:rsidRPr="002A13E4">
        <w:rPr>
          <w:color w:val="000000" w:themeColor="text1"/>
        </w:rPr>
        <w:t xml:space="preserve">, K. L., &amp; Walters, M. L. (2017, November). How the timing and magnitude of robot errors influence peoples’ trust of robots in an emergency scenario. In A. </w:t>
      </w:r>
      <w:proofErr w:type="spellStart"/>
      <w:r w:rsidRPr="002A13E4">
        <w:rPr>
          <w:color w:val="000000" w:themeColor="text1"/>
        </w:rPr>
        <w:t>Kheddar</w:t>
      </w:r>
      <w:proofErr w:type="spellEnd"/>
      <w:r w:rsidRPr="002A13E4">
        <w:rPr>
          <w:color w:val="000000" w:themeColor="text1"/>
        </w:rPr>
        <w:t>, E. Yoshida, S. S. Ge., K. Suzuki, J. </w:t>
      </w:r>
      <w:proofErr w:type="spellStart"/>
      <w:r w:rsidRPr="002A13E4">
        <w:rPr>
          <w:color w:val="000000" w:themeColor="text1"/>
        </w:rPr>
        <w:t>Cabibihan</w:t>
      </w:r>
      <w:proofErr w:type="spellEnd"/>
      <w:r w:rsidRPr="002A13E4">
        <w:rPr>
          <w:color w:val="000000" w:themeColor="text1"/>
        </w:rPr>
        <w:t xml:space="preserve">, F. Eyssel, H, He. (Eds.), </w:t>
      </w:r>
      <w:r w:rsidRPr="002A13E4">
        <w:rPr>
          <w:i/>
          <w:color w:val="000000" w:themeColor="text1"/>
        </w:rPr>
        <w:t>Social Robotics</w:t>
      </w:r>
      <w:r w:rsidRPr="002A13E4">
        <w:rPr>
          <w:color w:val="000000" w:themeColor="text1"/>
        </w:rPr>
        <w:t xml:space="preserve"> (pp. 42–52). Springer.</w:t>
      </w:r>
    </w:p>
    <w:p w14:paraId="7765EF49" w14:textId="77777777" w:rsidR="00F8346C" w:rsidRPr="002A13E4" w:rsidRDefault="00F8346C">
      <w:pPr>
        <w:spacing w:line="480" w:lineRule="auto"/>
        <w:ind w:left="720" w:hanging="720"/>
        <w:rPr>
          <w:color w:val="000000" w:themeColor="text1"/>
        </w:rPr>
      </w:pPr>
      <w:proofErr w:type="spellStart"/>
      <w:r w:rsidRPr="002A13E4">
        <w:rPr>
          <w:color w:val="000000" w:themeColor="text1"/>
        </w:rPr>
        <w:t>Rovira</w:t>
      </w:r>
      <w:proofErr w:type="spellEnd"/>
      <w:r w:rsidRPr="002A13E4">
        <w:rPr>
          <w:color w:val="000000" w:themeColor="text1"/>
        </w:rPr>
        <w:t>, E., &amp; Parasuraman, R. (2010). Transitioning to future air traffic management: Effects of imperfect automation on controller attention and performance.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52</w:t>
      </w:r>
      <w:r w:rsidRPr="002A13E4">
        <w:rPr>
          <w:color w:val="000000" w:themeColor="text1"/>
        </w:rPr>
        <w:t>(3), 411–425.</w:t>
      </w:r>
    </w:p>
    <w:p w14:paraId="1C99B5CA" w14:textId="77777777" w:rsidR="00F8346C" w:rsidRPr="002A13E4" w:rsidRDefault="00F8346C">
      <w:pPr>
        <w:spacing w:line="480" w:lineRule="auto"/>
        <w:ind w:left="720" w:hanging="720"/>
        <w:rPr>
          <w:color w:val="000000" w:themeColor="text1"/>
        </w:rPr>
      </w:pPr>
      <w:r w:rsidRPr="002A13E4">
        <w:rPr>
          <w:color w:val="000000" w:themeColor="text1"/>
        </w:rPr>
        <w:t xml:space="preserve">Salem, M., Lakatos, G., </w:t>
      </w:r>
      <w:proofErr w:type="spellStart"/>
      <w:r w:rsidRPr="002A13E4">
        <w:rPr>
          <w:color w:val="000000" w:themeColor="text1"/>
        </w:rPr>
        <w:t>Amirabdollahian</w:t>
      </w:r>
      <w:proofErr w:type="spellEnd"/>
      <w:r w:rsidRPr="002A13E4">
        <w:rPr>
          <w:color w:val="000000" w:themeColor="text1"/>
        </w:rPr>
        <w:t xml:space="preserve">, F., &amp; </w:t>
      </w:r>
      <w:proofErr w:type="spellStart"/>
      <w:r w:rsidRPr="002A13E4">
        <w:rPr>
          <w:color w:val="000000" w:themeColor="text1"/>
        </w:rPr>
        <w:t>Dautenhahn</w:t>
      </w:r>
      <w:proofErr w:type="spellEnd"/>
      <w:r w:rsidRPr="002A13E4">
        <w:rPr>
          <w:color w:val="000000" w:themeColor="text1"/>
        </w:rPr>
        <w:t xml:space="preserve">, K. (2015). Would you trust a (faulty) robot? Effects of error, task type and personality on human-robot cooperation and trust. </w:t>
      </w:r>
      <w:r w:rsidRPr="002A13E4">
        <w:rPr>
          <w:i/>
          <w:color w:val="000000" w:themeColor="text1"/>
        </w:rPr>
        <w:t>10th ACM/IEEE International Conference on Human-Robot Interaction</w:t>
      </w:r>
      <w:r w:rsidRPr="002A13E4">
        <w:rPr>
          <w:color w:val="000000" w:themeColor="text1"/>
        </w:rPr>
        <w:t>, 1–8.</w:t>
      </w:r>
    </w:p>
    <w:p w14:paraId="4FDFBA02" w14:textId="77777777" w:rsidR="00F8346C" w:rsidRPr="002A13E4" w:rsidRDefault="00F8346C">
      <w:pPr>
        <w:spacing w:line="480" w:lineRule="auto"/>
        <w:ind w:left="720" w:hanging="720"/>
        <w:rPr>
          <w:color w:val="000000" w:themeColor="text1"/>
          <w:u w:val="single"/>
        </w:rPr>
      </w:pPr>
      <w:r w:rsidRPr="002A13E4">
        <w:rPr>
          <w:color w:val="000000" w:themeColor="text1"/>
        </w:rPr>
        <w:lastRenderedPageBreak/>
        <w:t xml:space="preserve">Salem, M., </w:t>
      </w:r>
      <w:proofErr w:type="spellStart"/>
      <w:r w:rsidRPr="002A13E4">
        <w:rPr>
          <w:color w:val="000000" w:themeColor="text1"/>
        </w:rPr>
        <w:t>Ziadee</w:t>
      </w:r>
      <w:proofErr w:type="spellEnd"/>
      <w:r w:rsidRPr="002A13E4">
        <w:rPr>
          <w:color w:val="000000" w:themeColor="text1"/>
        </w:rPr>
        <w:t xml:space="preserve">, M., &amp; </w:t>
      </w:r>
      <w:proofErr w:type="spellStart"/>
      <w:r w:rsidRPr="002A13E4">
        <w:rPr>
          <w:color w:val="000000" w:themeColor="text1"/>
        </w:rPr>
        <w:t>Sakr</w:t>
      </w:r>
      <w:proofErr w:type="spellEnd"/>
      <w:r w:rsidRPr="002A13E4">
        <w:rPr>
          <w:color w:val="000000" w:themeColor="text1"/>
        </w:rPr>
        <w:t xml:space="preserve">, M. (2014, March). </w:t>
      </w:r>
      <w:proofErr w:type="spellStart"/>
      <w:r w:rsidRPr="002A13E4">
        <w:rPr>
          <w:color w:val="000000" w:themeColor="text1"/>
        </w:rPr>
        <w:t>Marhaba</w:t>
      </w:r>
      <w:proofErr w:type="spellEnd"/>
      <w:r w:rsidRPr="002A13E4">
        <w:rPr>
          <w:color w:val="000000" w:themeColor="text1"/>
        </w:rPr>
        <w:t xml:space="preserve">, how may I help you? Effects of politeness and culture on robot acceptance and </w:t>
      </w:r>
      <w:proofErr w:type="spellStart"/>
      <w:r w:rsidRPr="002A13E4">
        <w:rPr>
          <w:color w:val="000000" w:themeColor="text1"/>
        </w:rPr>
        <w:t>anthropomorphization</w:t>
      </w:r>
      <w:proofErr w:type="spellEnd"/>
      <w:r w:rsidRPr="002A13E4">
        <w:rPr>
          <w:color w:val="000000" w:themeColor="text1"/>
        </w:rPr>
        <w:t xml:space="preserve">. </w:t>
      </w:r>
      <w:r w:rsidRPr="002A13E4">
        <w:rPr>
          <w:i/>
          <w:color w:val="000000" w:themeColor="text1"/>
        </w:rPr>
        <w:t>9th ACM/IEEE International Conference on Human-Robot Interaction</w:t>
      </w:r>
      <w:r w:rsidRPr="002A13E4">
        <w:rPr>
          <w:color w:val="000000" w:themeColor="text1"/>
        </w:rPr>
        <w:t>, 74–81.</w:t>
      </w:r>
    </w:p>
    <w:p w14:paraId="54EFBE56" w14:textId="77777777" w:rsidR="00F8346C" w:rsidRPr="002A13E4" w:rsidRDefault="00F8346C">
      <w:pPr>
        <w:spacing w:line="480" w:lineRule="auto"/>
        <w:ind w:left="720" w:hanging="720"/>
        <w:rPr>
          <w:color w:val="000000" w:themeColor="text1"/>
        </w:rPr>
      </w:pPr>
      <w:bookmarkStart w:id="59" w:name="_heading=h.49x2ik5" w:colFirst="0" w:colLast="0"/>
      <w:bookmarkEnd w:id="59"/>
      <w:r w:rsidRPr="002A13E4">
        <w:rPr>
          <w:color w:val="000000" w:themeColor="text1"/>
        </w:rPr>
        <w:t xml:space="preserve">Sanchez, J. (2006). </w:t>
      </w:r>
      <w:r w:rsidRPr="002A13E4">
        <w:rPr>
          <w:i/>
          <w:color w:val="000000" w:themeColor="text1"/>
        </w:rPr>
        <w:t>Factors that affect trust and reliance on an automated aid</w:t>
      </w:r>
      <w:r w:rsidRPr="002A13E4">
        <w:rPr>
          <w:color w:val="000000" w:themeColor="text1"/>
        </w:rPr>
        <w:t xml:space="preserve"> (Doctoral dissertation). Available from ProQuest Dissertations and Theses Database. (UMI No. 3212291).</w:t>
      </w:r>
    </w:p>
    <w:p w14:paraId="0C65BA65" w14:textId="77777777" w:rsidR="00F8346C" w:rsidRPr="002A13E4" w:rsidRDefault="00F8346C">
      <w:pPr>
        <w:spacing w:line="480" w:lineRule="auto"/>
        <w:ind w:left="720" w:hanging="720"/>
        <w:rPr>
          <w:color w:val="000000" w:themeColor="text1"/>
        </w:rPr>
      </w:pPr>
      <w:r w:rsidRPr="002A13E4">
        <w:rPr>
          <w:color w:val="000000" w:themeColor="text1"/>
        </w:rPr>
        <w:t>Sanchez, J., Fisk, A. D., &amp; Rogers, W. A. (2004, September). Reliability and age-related effects on trust and reliance of a decision support aid</w:t>
      </w:r>
      <w:r w:rsidRPr="002A13E4">
        <w:rPr>
          <w:i/>
          <w:color w:val="000000" w:themeColor="text1"/>
        </w:rPr>
        <w:t>. Proceedings of the Human Factors and Ergonomics Society 48th Annual Meeting</w:t>
      </w:r>
      <w:r w:rsidRPr="002A13E4">
        <w:rPr>
          <w:color w:val="000000" w:themeColor="text1"/>
        </w:rPr>
        <w:t xml:space="preserve">, 586–589. </w:t>
      </w:r>
    </w:p>
    <w:p w14:paraId="35AC5D4E" w14:textId="77777777" w:rsidR="00F8346C" w:rsidRPr="002A13E4" w:rsidRDefault="00F8346C">
      <w:pPr>
        <w:spacing w:line="480" w:lineRule="auto"/>
        <w:ind w:left="720" w:hanging="720"/>
        <w:rPr>
          <w:color w:val="000000" w:themeColor="text1"/>
        </w:rPr>
      </w:pPr>
      <w:r w:rsidRPr="002A13E4">
        <w:rPr>
          <w:color w:val="000000" w:themeColor="text1"/>
        </w:rPr>
        <w:t xml:space="preserve">Sanchez, J., Rogers, W. A., Fisk, A. D., &amp; </w:t>
      </w:r>
      <w:proofErr w:type="spellStart"/>
      <w:r w:rsidRPr="002A13E4">
        <w:rPr>
          <w:color w:val="000000" w:themeColor="text1"/>
        </w:rPr>
        <w:t>Rovira</w:t>
      </w:r>
      <w:proofErr w:type="spellEnd"/>
      <w:r w:rsidRPr="002A13E4">
        <w:rPr>
          <w:color w:val="000000" w:themeColor="text1"/>
        </w:rPr>
        <w:t xml:space="preserve">, E. (2014). Understanding reliance on automation: Effects of error type, error distribution, </w:t>
      </w:r>
      <w:proofErr w:type="gramStart"/>
      <w:r w:rsidRPr="002A13E4">
        <w:rPr>
          <w:color w:val="000000" w:themeColor="text1"/>
        </w:rPr>
        <w:t>age</w:t>
      </w:r>
      <w:proofErr w:type="gramEnd"/>
      <w:r w:rsidRPr="002A13E4">
        <w:rPr>
          <w:color w:val="000000" w:themeColor="text1"/>
        </w:rPr>
        <w:t xml:space="preserve"> and experience. </w:t>
      </w:r>
      <w:r w:rsidRPr="002A13E4">
        <w:rPr>
          <w:i/>
          <w:color w:val="000000" w:themeColor="text1"/>
        </w:rPr>
        <w:t>Theoretical Issues in Ergonomics Science</w:t>
      </w:r>
      <w:r w:rsidRPr="002A13E4">
        <w:rPr>
          <w:color w:val="000000" w:themeColor="text1"/>
        </w:rPr>
        <w:t>, </w:t>
      </w:r>
      <w:r w:rsidRPr="002A13E4">
        <w:rPr>
          <w:i/>
          <w:color w:val="000000" w:themeColor="text1"/>
        </w:rPr>
        <w:t>15</w:t>
      </w:r>
      <w:r w:rsidRPr="002A13E4">
        <w:rPr>
          <w:color w:val="000000" w:themeColor="text1"/>
        </w:rPr>
        <w:t>(2), 134–160.</w:t>
      </w:r>
    </w:p>
    <w:p w14:paraId="30843E0C" w14:textId="77777777" w:rsidR="00F8346C" w:rsidRPr="002A13E4" w:rsidRDefault="00F8346C">
      <w:pPr>
        <w:spacing w:line="480" w:lineRule="auto"/>
        <w:ind w:left="720" w:hanging="720"/>
        <w:rPr>
          <w:color w:val="000000" w:themeColor="text1"/>
        </w:rPr>
      </w:pPr>
      <w:r w:rsidRPr="002A13E4">
        <w:rPr>
          <w:color w:val="000000" w:themeColor="text1"/>
        </w:rPr>
        <w:t>Sanders, T., Kaplan, A., Koch, R., Schwartz, M., &amp; Hancock, P. A. (2019). The relationship between trust and use choice in human-robot interaction. </w:t>
      </w:r>
      <w:r w:rsidRPr="002A13E4">
        <w:rPr>
          <w:i/>
          <w:color w:val="000000" w:themeColor="text1"/>
        </w:rPr>
        <w:t>Human Factors: The Journal of Human Factors and Ergonomics Society,</w:t>
      </w:r>
      <w:r w:rsidRPr="002A13E4">
        <w:rPr>
          <w:color w:val="000000" w:themeColor="text1"/>
        </w:rPr>
        <w:t> </w:t>
      </w:r>
      <w:r w:rsidRPr="002A13E4">
        <w:rPr>
          <w:i/>
          <w:color w:val="000000" w:themeColor="text1"/>
        </w:rPr>
        <w:t>61</w:t>
      </w:r>
      <w:r w:rsidRPr="002A13E4">
        <w:rPr>
          <w:color w:val="000000" w:themeColor="text1"/>
        </w:rPr>
        <w:t>(4), 614–626.</w:t>
      </w:r>
    </w:p>
    <w:p w14:paraId="5C4D1B7D" w14:textId="77777777" w:rsidR="00F8346C" w:rsidRPr="002A13E4" w:rsidRDefault="00F8346C">
      <w:pPr>
        <w:spacing w:line="480" w:lineRule="auto"/>
        <w:ind w:left="720" w:hanging="720"/>
        <w:rPr>
          <w:color w:val="000000" w:themeColor="text1"/>
        </w:rPr>
      </w:pPr>
      <w:r w:rsidRPr="002A13E4">
        <w:rPr>
          <w:color w:val="000000" w:themeColor="text1"/>
        </w:rPr>
        <w:t xml:space="preserve">Schaefer, K. (2013). </w:t>
      </w:r>
      <w:r w:rsidRPr="002A13E4">
        <w:rPr>
          <w:i/>
          <w:color w:val="000000" w:themeColor="text1"/>
        </w:rPr>
        <w:t>The Perception and Measurement of Human-Robot Trust</w:t>
      </w:r>
      <w:r w:rsidRPr="002A13E4">
        <w:rPr>
          <w:color w:val="000000" w:themeColor="text1"/>
        </w:rPr>
        <w:t xml:space="preserve"> (Doctoral dissertation). Retrieved from https://stars.library.ucf.edu/etd/2688/</w:t>
      </w:r>
    </w:p>
    <w:p w14:paraId="15246F0B" w14:textId="77777777" w:rsidR="00F8346C" w:rsidRPr="002A13E4" w:rsidRDefault="00F8346C">
      <w:pPr>
        <w:spacing w:line="480" w:lineRule="auto"/>
        <w:ind w:left="720" w:hanging="720"/>
        <w:rPr>
          <w:color w:val="000000" w:themeColor="text1"/>
        </w:rPr>
      </w:pPr>
      <w:r w:rsidRPr="002A13E4">
        <w:rPr>
          <w:color w:val="000000" w:themeColor="text1"/>
        </w:rPr>
        <w:t xml:space="preserve">Schaefer, K. E., Sanders, T. L., </w:t>
      </w:r>
      <w:proofErr w:type="spellStart"/>
      <w:r w:rsidRPr="002A13E4">
        <w:rPr>
          <w:color w:val="000000" w:themeColor="text1"/>
        </w:rPr>
        <w:t>Yordon</w:t>
      </w:r>
      <w:proofErr w:type="spellEnd"/>
      <w:r w:rsidRPr="002A13E4">
        <w:rPr>
          <w:color w:val="000000" w:themeColor="text1"/>
        </w:rPr>
        <w:t>, R. E., Billings, D. R., &amp; Hancock, P. A. (2012, September). Classification of robot form: Factors predicting perceived trustworthiness. </w:t>
      </w:r>
      <w:r w:rsidRPr="002A13E4">
        <w:rPr>
          <w:i/>
          <w:color w:val="000000" w:themeColor="text1"/>
        </w:rPr>
        <w:t>Proceedings of the Human Factors and Ergonomics Society Annual Meeting</w:t>
      </w:r>
      <w:r w:rsidRPr="002A13E4">
        <w:rPr>
          <w:color w:val="000000" w:themeColor="text1"/>
        </w:rPr>
        <w:t>, </w:t>
      </w:r>
      <w:r w:rsidRPr="002A13E4">
        <w:rPr>
          <w:i/>
          <w:color w:val="000000" w:themeColor="text1"/>
        </w:rPr>
        <w:t>56</w:t>
      </w:r>
      <w:r w:rsidRPr="002A13E4">
        <w:rPr>
          <w:color w:val="000000" w:themeColor="text1"/>
        </w:rPr>
        <w:t>(1), 1548–1552.</w:t>
      </w:r>
    </w:p>
    <w:p w14:paraId="31C4AA4D" w14:textId="77777777" w:rsidR="00F8346C" w:rsidRPr="002A13E4" w:rsidRDefault="00F8346C">
      <w:pPr>
        <w:spacing w:line="480" w:lineRule="auto"/>
        <w:ind w:left="720" w:hanging="720"/>
        <w:rPr>
          <w:color w:val="000000" w:themeColor="text1"/>
        </w:rPr>
      </w:pPr>
      <w:r w:rsidRPr="002A13E4">
        <w:rPr>
          <w:color w:val="000000" w:themeColor="text1"/>
        </w:rPr>
        <w:t>Schweitzer, M. E., Hershey, J. C., &amp; Bradlow, E. T. (2006). Promises and lies: Restoring violated trust. </w:t>
      </w:r>
      <w:r w:rsidRPr="002A13E4">
        <w:rPr>
          <w:i/>
          <w:color w:val="000000" w:themeColor="text1"/>
        </w:rPr>
        <w:t>Organizational Behavior and Human Decision Processes</w:t>
      </w:r>
      <w:r w:rsidRPr="002A13E4">
        <w:rPr>
          <w:color w:val="000000" w:themeColor="text1"/>
        </w:rPr>
        <w:t>, </w:t>
      </w:r>
      <w:r w:rsidRPr="002A13E4">
        <w:rPr>
          <w:i/>
          <w:color w:val="000000" w:themeColor="text1"/>
        </w:rPr>
        <w:t>101</w:t>
      </w:r>
      <w:r w:rsidRPr="002A13E4">
        <w:rPr>
          <w:color w:val="000000" w:themeColor="text1"/>
        </w:rPr>
        <w:t>(1), 1–19.</w:t>
      </w:r>
    </w:p>
    <w:p w14:paraId="60C61361" w14:textId="77777777" w:rsidR="00F8346C" w:rsidRPr="002A13E4" w:rsidRDefault="00F8346C">
      <w:pPr>
        <w:spacing w:line="480" w:lineRule="auto"/>
        <w:ind w:left="720" w:hanging="720"/>
        <w:rPr>
          <w:color w:val="000000" w:themeColor="text1"/>
        </w:rPr>
      </w:pPr>
      <w:proofErr w:type="spellStart"/>
      <w:r w:rsidRPr="002A13E4">
        <w:rPr>
          <w:color w:val="000000" w:themeColor="text1"/>
        </w:rPr>
        <w:lastRenderedPageBreak/>
        <w:t>Sebo</w:t>
      </w:r>
      <w:proofErr w:type="spellEnd"/>
      <w:r w:rsidRPr="002A13E4">
        <w:rPr>
          <w:color w:val="000000" w:themeColor="text1"/>
        </w:rPr>
        <w:t xml:space="preserve">, S. S., </w:t>
      </w:r>
      <w:proofErr w:type="spellStart"/>
      <w:r w:rsidRPr="002A13E4">
        <w:rPr>
          <w:color w:val="000000" w:themeColor="text1"/>
        </w:rPr>
        <w:t>Krishnamurthi</w:t>
      </w:r>
      <w:proofErr w:type="spellEnd"/>
      <w:r w:rsidRPr="002A13E4">
        <w:rPr>
          <w:color w:val="000000" w:themeColor="text1"/>
        </w:rPr>
        <w:t>, P., &amp; Scassellati, B. (2019, March). “I don't believe you”: Investigating the effects of robot trust violation and repair. In </w:t>
      </w:r>
      <w:r w:rsidRPr="002A13E4">
        <w:rPr>
          <w:i/>
          <w:color w:val="000000" w:themeColor="text1"/>
        </w:rPr>
        <w:t>2019 14th ACM/IEEE International Conference on Human-Robot Interaction</w:t>
      </w:r>
      <w:r w:rsidRPr="002A13E4">
        <w:rPr>
          <w:color w:val="000000" w:themeColor="text1"/>
        </w:rPr>
        <w:t>,</w:t>
      </w:r>
      <w:r w:rsidRPr="002A13E4">
        <w:rPr>
          <w:i/>
          <w:color w:val="000000" w:themeColor="text1"/>
        </w:rPr>
        <w:t xml:space="preserve"> </w:t>
      </w:r>
      <w:r w:rsidRPr="002A13E4">
        <w:rPr>
          <w:color w:val="000000" w:themeColor="text1"/>
        </w:rPr>
        <w:t>57–65.</w:t>
      </w:r>
    </w:p>
    <w:p w14:paraId="29E24E0D" w14:textId="77777777" w:rsidR="00F8346C" w:rsidRPr="002A13E4" w:rsidRDefault="00F8346C">
      <w:pPr>
        <w:spacing w:line="480" w:lineRule="auto"/>
        <w:ind w:left="720" w:hanging="720"/>
        <w:rPr>
          <w:color w:val="000000" w:themeColor="text1"/>
        </w:rPr>
      </w:pPr>
      <w:bookmarkStart w:id="60" w:name="_heading=h.2p2csry" w:colFirst="0" w:colLast="0"/>
      <w:bookmarkEnd w:id="60"/>
      <w:proofErr w:type="spellStart"/>
      <w:r w:rsidRPr="002A13E4">
        <w:rPr>
          <w:color w:val="000000" w:themeColor="text1"/>
        </w:rPr>
        <w:t>Sebo</w:t>
      </w:r>
      <w:proofErr w:type="spellEnd"/>
      <w:r w:rsidRPr="002A13E4">
        <w:rPr>
          <w:color w:val="000000" w:themeColor="text1"/>
        </w:rPr>
        <w:t xml:space="preserve">, S. S., Traeger, M., Jung, M., &amp; Scassellati, B. (2018, February). The ripple effects of vulnerability: The effects of a robot's vulnerable behavior on trust in human-robot teams. </w:t>
      </w:r>
      <w:r w:rsidRPr="002A13E4">
        <w:rPr>
          <w:i/>
          <w:color w:val="000000" w:themeColor="text1"/>
        </w:rPr>
        <w:t>Proceedings of the 2018 ACM/IEEE International Conference on Human-Robot Interaction</w:t>
      </w:r>
      <w:r w:rsidRPr="002A13E4">
        <w:rPr>
          <w:color w:val="000000" w:themeColor="text1"/>
        </w:rPr>
        <w:t>, 178–186.</w:t>
      </w:r>
    </w:p>
    <w:p w14:paraId="69D90C15" w14:textId="77777777" w:rsidR="00F8346C" w:rsidRPr="002A13E4" w:rsidRDefault="00F8346C">
      <w:pPr>
        <w:spacing w:line="480" w:lineRule="auto"/>
        <w:ind w:left="720" w:hanging="720"/>
        <w:rPr>
          <w:color w:val="000000" w:themeColor="text1"/>
        </w:rPr>
      </w:pPr>
      <w:r w:rsidRPr="002A13E4">
        <w:rPr>
          <w:color w:val="000000" w:themeColor="text1"/>
        </w:rPr>
        <w:t xml:space="preserve">Shamsuddin, S., </w:t>
      </w:r>
      <w:proofErr w:type="spellStart"/>
      <w:r w:rsidRPr="002A13E4">
        <w:rPr>
          <w:color w:val="000000" w:themeColor="text1"/>
        </w:rPr>
        <w:t>Yussof</w:t>
      </w:r>
      <w:proofErr w:type="spellEnd"/>
      <w:r w:rsidRPr="002A13E4">
        <w:rPr>
          <w:color w:val="000000" w:themeColor="text1"/>
        </w:rPr>
        <w:t xml:space="preserve">, H., Ismail, L., </w:t>
      </w:r>
      <w:proofErr w:type="spellStart"/>
      <w:r w:rsidRPr="002A13E4">
        <w:rPr>
          <w:color w:val="000000" w:themeColor="text1"/>
        </w:rPr>
        <w:t>Hanapiah</w:t>
      </w:r>
      <w:proofErr w:type="spellEnd"/>
      <w:r w:rsidRPr="002A13E4">
        <w:rPr>
          <w:color w:val="000000" w:themeColor="text1"/>
        </w:rPr>
        <w:t xml:space="preserve">, F. A., Mohamed, S., </w:t>
      </w:r>
      <w:proofErr w:type="spellStart"/>
      <w:r w:rsidRPr="002A13E4">
        <w:rPr>
          <w:color w:val="000000" w:themeColor="text1"/>
        </w:rPr>
        <w:t>Piah</w:t>
      </w:r>
      <w:proofErr w:type="spellEnd"/>
      <w:r w:rsidRPr="002A13E4">
        <w:rPr>
          <w:color w:val="000000" w:themeColor="text1"/>
        </w:rPr>
        <w:t xml:space="preserve">, H. A., &amp; </w:t>
      </w:r>
      <w:proofErr w:type="spellStart"/>
      <w:r w:rsidRPr="002A13E4">
        <w:rPr>
          <w:color w:val="000000" w:themeColor="text1"/>
        </w:rPr>
        <w:t>Zahari</w:t>
      </w:r>
      <w:proofErr w:type="spellEnd"/>
      <w:r w:rsidRPr="002A13E4">
        <w:rPr>
          <w:color w:val="000000" w:themeColor="text1"/>
        </w:rPr>
        <w:t xml:space="preserve">, N. I. (2012, March). Initial response of autistic children in human-robot interaction therapy with humanoid robot NAO. </w:t>
      </w:r>
      <w:r w:rsidRPr="002A13E4">
        <w:rPr>
          <w:i/>
          <w:color w:val="000000" w:themeColor="text1"/>
        </w:rPr>
        <w:t>IEEE 8th International Colloquium on Signal Processing and its Applications</w:t>
      </w:r>
      <w:r w:rsidRPr="002A13E4">
        <w:rPr>
          <w:color w:val="000000" w:themeColor="text1"/>
        </w:rPr>
        <w:t>, 188–193.</w:t>
      </w:r>
    </w:p>
    <w:p w14:paraId="46B166C8" w14:textId="77777777" w:rsidR="00F8346C" w:rsidRPr="002A13E4" w:rsidRDefault="00F8346C">
      <w:pPr>
        <w:spacing w:line="480" w:lineRule="auto"/>
        <w:ind w:left="720" w:hanging="720"/>
        <w:rPr>
          <w:color w:val="000000" w:themeColor="text1"/>
        </w:rPr>
      </w:pPr>
      <w:r w:rsidRPr="002A13E4">
        <w:rPr>
          <w:color w:val="000000" w:themeColor="text1"/>
        </w:rPr>
        <w:t xml:space="preserve">Shaw, J. C., Wild, E., &amp; Colquitt, J. A. (2003). To justify or </w:t>
      </w:r>
      <w:proofErr w:type="gramStart"/>
      <w:r w:rsidRPr="002A13E4">
        <w:rPr>
          <w:color w:val="000000" w:themeColor="text1"/>
        </w:rPr>
        <w:t>excuse?:</w:t>
      </w:r>
      <w:proofErr w:type="gramEnd"/>
      <w:r w:rsidRPr="002A13E4">
        <w:rPr>
          <w:color w:val="000000" w:themeColor="text1"/>
        </w:rPr>
        <w:t xml:space="preserve"> A meta-analytic review of the effects of explanations. </w:t>
      </w:r>
      <w:r w:rsidRPr="002A13E4">
        <w:rPr>
          <w:i/>
          <w:color w:val="000000" w:themeColor="text1"/>
        </w:rPr>
        <w:t>Journal of Applied Psychology</w:t>
      </w:r>
      <w:r w:rsidRPr="002A13E4">
        <w:rPr>
          <w:color w:val="000000" w:themeColor="text1"/>
        </w:rPr>
        <w:t xml:space="preserve">, </w:t>
      </w:r>
      <w:r w:rsidRPr="002A13E4">
        <w:rPr>
          <w:i/>
          <w:color w:val="000000" w:themeColor="text1"/>
        </w:rPr>
        <w:t>88</w:t>
      </w:r>
      <w:r w:rsidRPr="002A13E4">
        <w:rPr>
          <w:color w:val="000000" w:themeColor="text1"/>
        </w:rPr>
        <w:t>(3), 444–458.</w:t>
      </w:r>
    </w:p>
    <w:p w14:paraId="1EC0E8BD" w14:textId="77777777" w:rsidR="00F8346C" w:rsidRPr="002A13E4" w:rsidRDefault="00F8346C">
      <w:pPr>
        <w:spacing w:line="480" w:lineRule="auto"/>
        <w:ind w:left="720" w:hanging="720"/>
        <w:rPr>
          <w:color w:val="000000" w:themeColor="text1"/>
        </w:rPr>
      </w:pPr>
      <w:proofErr w:type="spellStart"/>
      <w:r w:rsidRPr="002A13E4">
        <w:rPr>
          <w:color w:val="000000" w:themeColor="text1"/>
        </w:rPr>
        <w:t>Siau</w:t>
      </w:r>
      <w:proofErr w:type="spellEnd"/>
      <w:r w:rsidRPr="002A13E4">
        <w:rPr>
          <w:color w:val="000000" w:themeColor="text1"/>
        </w:rPr>
        <w:t>, K., &amp; Wang, W. (2018). Building trust in artificial intelligence, machine learning, and robotics. </w:t>
      </w:r>
      <w:r w:rsidRPr="002A13E4">
        <w:rPr>
          <w:i/>
          <w:color w:val="000000" w:themeColor="text1"/>
        </w:rPr>
        <w:t>Cutter Business Technology Journal</w:t>
      </w:r>
      <w:r w:rsidRPr="002A13E4">
        <w:rPr>
          <w:color w:val="000000" w:themeColor="text1"/>
        </w:rPr>
        <w:t>, </w:t>
      </w:r>
      <w:r w:rsidRPr="002A13E4">
        <w:rPr>
          <w:i/>
          <w:color w:val="000000" w:themeColor="text1"/>
        </w:rPr>
        <w:t>31</w:t>
      </w:r>
      <w:r w:rsidRPr="002A13E4">
        <w:rPr>
          <w:color w:val="000000" w:themeColor="text1"/>
        </w:rPr>
        <w:t>(2), 47–53.</w:t>
      </w:r>
    </w:p>
    <w:p w14:paraId="69AD6B95" w14:textId="77777777" w:rsidR="00F8346C" w:rsidRPr="002A13E4" w:rsidRDefault="00F8346C">
      <w:pPr>
        <w:spacing w:line="480" w:lineRule="auto"/>
        <w:ind w:left="720" w:hanging="720"/>
        <w:rPr>
          <w:color w:val="000000" w:themeColor="text1"/>
        </w:rPr>
      </w:pPr>
      <w:proofErr w:type="spellStart"/>
      <w:r w:rsidRPr="002A13E4">
        <w:rPr>
          <w:color w:val="000000" w:themeColor="text1"/>
        </w:rPr>
        <w:t>Sitkin</w:t>
      </w:r>
      <w:proofErr w:type="spellEnd"/>
      <w:r w:rsidRPr="002A13E4">
        <w:rPr>
          <w:color w:val="000000" w:themeColor="text1"/>
        </w:rPr>
        <w:t>, S. B., &amp; Roth, N. L. (1993). Explaining the limited effectiveness of legalistic “remedies” for trust/distrust. </w:t>
      </w:r>
      <w:r w:rsidRPr="002A13E4">
        <w:rPr>
          <w:i/>
          <w:color w:val="000000" w:themeColor="text1"/>
        </w:rPr>
        <w:t>Organization Science</w:t>
      </w:r>
      <w:r w:rsidRPr="002A13E4">
        <w:rPr>
          <w:color w:val="000000" w:themeColor="text1"/>
        </w:rPr>
        <w:t>, </w:t>
      </w:r>
      <w:r w:rsidRPr="002A13E4">
        <w:rPr>
          <w:i/>
          <w:color w:val="000000" w:themeColor="text1"/>
        </w:rPr>
        <w:t>4</w:t>
      </w:r>
      <w:r w:rsidRPr="002A13E4">
        <w:rPr>
          <w:color w:val="000000" w:themeColor="text1"/>
        </w:rPr>
        <w:t>(3), 367–392.</w:t>
      </w:r>
    </w:p>
    <w:p w14:paraId="3D051390" w14:textId="77777777" w:rsidR="00F8346C" w:rsidRPr="002A13E4" w:rsidRDefault="00F8346C">
      <w:pPr>
        <w:spacing w:line="480" w:lineRule="auto"/>
        <w:ind w:left="720" w:hanging="720"/>
        <w:rPr>
          <w:color w:val="000000" w:themeColor="text1"/>
        </w:rPr>
      </w:pPr>
      <w:proofErr w:type="spellStart"/>
      <w:r w:rsidRPr="002A13E4">
        <w:rPr>
          <w:color w:val="000000" w:themeColor="text1"/>
        </w:rPr>
        <w:t>Skitka</w:t>
      </w:r>
      <w:proofErr w:type="spellEnd"/>
      <w:r w:rsidRPr="002A13E4">
        <w:rPr>
          <w:color w:val="000000" w:themeColor="text1"/>
        </w:rPr>
        <w:t>, L. J., Mosier, K., &amp; Burdick, M. D. (2000). Accountability and automation bias. </w:t>
      </w:r>
      <w:r w:rsidRPr="002A13E4">
        <w:rPr>
          <w:i/>
          <w:color w:val="000000" w:themeColor="text1"/>
        </w:rPr>
        <w:t>International Journal of Human-computer Studies</w:t>
      </w:r>
      <w:r w:rsidRPr="002A13E4">
        <w:rPr>
          <w:color w:val="000000" w:themeColor="text1"/>
        </w:rPr>
        <w:t>, </w:t>
      </w:r>
      <w:r w:rsidRPr="002A13E4">
        <w:rPr>
          <w:i/>
          <w:color w:val="000000" w:themeColor="text1"/>
        </w:rPr>
        <w:t>52(</w:t>
      </w:r>
      <w:r w:rsidRPr="002A13E4">
        <w:rPr>
          <w:color w:val="000000" w:themeColor="text1"/>
        </w:rPr>
        <w:t>4), 701–717.</w:t>
      </w:r>
    </w:p>
    <w:p w14:paraId="06CC4C64" w14:textId="77777777" w:rsidR="00F8346C" w:rsidRPr="002A13E4" w:rsidRDefault="00F8346C">
      <w:pPr>
        <w:spacing w:line="480" w:lineRule="auto"/>
        <w:ind w:left="720" w:hanging="720"/>
        <w:rPr>
          <w:rFonts w:ascii="Times" w:eastAsia="Times" w:hAnsi="Times" w:cs="Times"/>
          <w:color w:val="000000" w:themeColor="text1"/>
        </w:rPr>
      </w:pPr>
      <w:r w:rsidRPr="002A13E4">
        <w:rPr>
          <w:rFonts w:ascii="Times" w:eastAsia="Times" w:hAnsi="Times" w:cs="Times"/>
          <w:color w:val="000000" w:themeColor="text1"/>
        </w:rPr>
        <w:t xml:space="preserve">Smith, C. A., &amp; Lazarus, R. S. (1993). Appraisal components, core relational themes, and emotions. In N. H. </w:t>
      </w:r>
      <w:proofErr w:type="spellStart"/>
      <w:r w:rsidRPr="002A13E4">
        <w:rPr>
          <w:rFonts w:ascii="Times" w:eastAsia="Times" w:hAnsi="Times" w:cs="Times"/>
          <w:color w:val="000000" w:themeColor="text1"/>
        </w:rPr>
        <w:t>Frijda</w:t>
      </w:r>
      <w:proofErr w:type="spellEnd"/>
      <w:r w:rsidRPr="002A13E4">
        <w:rPr>
          <w:rFonts w:ascii="Times" w:eastAsia="Times" w:hAnsi="Times" w:cs="Times"/>
          <w:color w:val="000000" w:themeColor="text1"/>
        </w:rPr>
        <w:t xml:space="preserve"> (Ed.), </w:t>
      </w:r>
      <w:r w:rsidRPr="002A13E4">
        <w:rPr>
          <w:rFonts w:ascii="Times" w:eastAsia="Times" w:hAnsi="Times" w:cs="Times"/>
          <w:i/>
          <w:color w:val="000000" w:themeColor="text1"/>
        </w:rPr>
        <w:t xml:space="preserve">Appraisal and Beyond: The issue of cognitive determinants of emotion </w:t>
      </w:r>
      <w:r w:rsidRPr="002A13E4">
        <w:rPr>
          <w:rFonts w:ascii="Times" w:eastAsia="Times" w:hAnsi="Times" w:cs="Times"/>
          <w:color w:val="000000" w:themeColor="text1"/>
        </w:rPr>
        <w:t>(pp. 233</w:t>
      </w:r>
      <w:r w:rsidRPr="002A13E4">
        <w:rPr>
          <w:color w:val="000000" w:themeColor="text1"/>
        </w:rPr>
        <w:t>–</w:t>
      </w:r>
      <w:r w:rsidRPr="002A13E4">
        <w:rPr>
          <w:rFonts w:ascii="Times" w:eastAsia="Times" w:hAnsi="Times" w:cs="Times"/>
          <w:color w:val="000000" w:themeColor="text1"/>
        </w:rPr>
        <w:t>269</w:t>
      </w:r>
      <w:r w:rsidRPr="002A13E4">
        <w:rPr>
          <w:rFonts w:ascii="Times" w:eastAsia="Times" w:hAnsi="Times" w:cs="Times"/>
          <w:i/>
          <w:color w:val="000000" w:themeColor="text1"/>
        </w:rPr>
        <w:t>).</w:t>
      </w:r>
      <w:r w:rsidRPr="002A13E4">
        <w:rPr>
          <w:rFonts w:ascii="Times" w:eastAsia="Times" w:hAnsi="Times" w:cs="Times"/>
          <w:color w:val="000000" w:themeColor="text1"/>
        </w:rPr>
        <w:t xml:space="preserve"> Erlbaum.</w:t>
      </w:r>
    </w:p>
    <w:p w14:paraId="669B39F8" w14:textId="77777777" w:rsidR="00F8346C" w:rsidRPr="002A13E4" w:rsidRDefault="00F8346C">
      <w:pPr>
        <w:spacing w:line="480" w:lineRule="auto"/>
        <w:ind w:left="720" w:hanging="720"/>
        <w:rPr>
          <w:color w:val="000000" w:themeColor="text1"/>
        </w:rPr>
      </w:pPr>
      <w:r w:rsidRPr="002A13E4">
        <w:rPr>
          <w:color w:val="000000" w:themeColor="text1"/>
        </w:rPr>
        <w:lastRenderedPageBreak/>
        <w:t>SoftBank Robotics. NAO. Retrieved on 2020, November 14th from https://www.softbankrobotics.com/emea/en/nao</w:t>
      </w:r>
    </w:p>
    <w:p w14:paraId="6C0BCE49" w14:textId="77777777" w:rsidR="00F8346C" w:rsidRPr="002A13E4" w:rsidRDefault="00F8346C">
      <w:pPr>
        <w:spacing w:line="480" w:lineRule="auto"/>
        <w:ind w:left="720" w:hanging="720"/>
        <w:rPr>
          <w:color w:val="000000" w:themeColor="text1"/>
        </w:rPr>
      </w:pPr>
      <w:proofErr w:type="spellStart"/>
      <w:r w:rsidRPr="002A13E4">
        <w:rPr>
          <w:color w:val="000000" w:themeColor="text1"/>
        </w:rPr>
        <w:t>Steinbauer</w:t>
      </w:r>
      <w:proofErr w:type="spellEnd"/>
      <w:r w:rsidRPr="002A13E4">
        <w:rPr>
          <w:color w:val="000000" w:themeColor="text1"/>
        </w:rPr>
        <w:t xml:space="preserve">, G. (2012, June). A survey about faults of robots used in </w:t>
      </w:r>
      <w:proofErr w:type="spellStart"/>
      <w:r w:rsidRPr="002A13E4">
        <w:rPr>
          <w:color w:val="000000" w:themeColor="text1"/>
        </w:rPr>
        <w:t>robocup</w:t>
      </w:r>
      <w:proofErr w:type="spellEnd"/>
      <w:r w:rsidRPr="002A13E4">
        <w:rPr>
          <w:color w:val="000000" w:themeColor="text1"/>
        </w:rPr>
        <w:t>. </w:t>
      </w:r>
      <w:r w:rsidRPr="002A13E4">
        <w:rPr>
          <w:i/>
          <w:color w:val="000000" w:themeColor="text1"/>
        </w:rPr>
        <w:t>Robot Soccer World Cup</w:t>
      </w:r>
      <w:r w:rsidRPr="002A13E4">
        <w:rPr>
          <w:color w:val="000000" w:themeColor="text1"/>
        </w:rPr>
        <w:t>, 344–355.</w:t>
      </w:r>
    </w:p>
    <w:p w14:paraId="1BF5B5A4" w14:textId="77777777" w:rsidR="00F8346C" w:rsidRPr="002A13E4" w:rsidRDefault="00F8346C">
      <w:pPr>
        <w:spacing w:line="480" w:lineRule="auto"/>
        <w:ind w:left="720" w:hanging="720"/>
        <w:rPr>
          <w:color w:val="000000" w:themeColor="text1"/>
        </w:rPr>
      </w:pPr>
      <w:r w:rsidRPr="002A13E4">
        <w:rPr>
          <w:color w:val="000000" w:themeColor="text1"/>
        </w:rPr>
        <w:t>Stouten, J., De Cremer, D., &amp; Van Dijk, E. (2006). Violating equality in social dilemmas: Emotional and retributive reactions as a function of trust, attribution, and honesty. </w:t>
      </w:r>
      <w:r w:rsidRPr="002A13E4">
        <w:rPr>
          <w:i/>
          <w:color w:val="000000" w:themeColor="text1"/>
        </w:rPr>
        <w:t>Personality and Social Psychology Bulletin</w:t>
      </w:r>
      <w:r w:rsidRPr="002A13E4">
        <w:rPr>
          <w:color w:val="000000" w:themeColor="text1"/>
        </w:rPr>
        <w:t>, </w:t>
      </w:r>
      <w:r w:rsidRPr="002A13E4">
        <w:rPr>
          <w:i/>
          <w:color w:val="000000" w:themeColor="text1"/>
        </w:rPr>
        <w:t>32</w:t>
      </w:r>
      <w:r w:rsidRPr="002A13E4">
        <w:rPr>
          <w:color w:val="000000" w:themeColor="text1"/>
        </w:rPr>
        <w:t>(7), 894–906.</w:t>
      </w:r>
    </w:p>
    <w:p w14:paraId="3C461671" w14:textId="77777777" w:rsidR="00F8346C" w:rsidRPr="002A13E4" w:rsidRDefault="00F8346C" w:rsidP="00F8346C">
      <w:pPr>
        <w:spacing w:line="480" w:lineRule="auto"/>
        <w:ind w:left="720" w:hanging="720"/>
        <w:rPr>
          <w:color w:val="000000" w:themeColor="text1"/>
        </w:rPr>
      </w:pPr>
      <w:bookmarkStart w:id="61" w:name="OLE_LINK15"/>
      <w:bookmarkStart w:id="62" w:name="OLE_LINK16"/>
      <w:proofErr w:type="spellStart"/>
      <w:r w:rsidRPr="002A13E4">
        <w:rPr>
          <w:color w:val="000000" w:themeColor="text1"/>
        </w:rPr>
        <w:t>Tabachnick</w:t>
      </w:r>
      <w:proofErr w:type="spellEnd"/>
      <w:r w:rsidRPr="002A13E4">
        <w:rPr>
          <w:color w:val="000000" w:themeColor="text1"/>
        </w:rPr>
        <w:t xml:space="preserve">, B. G., &amp; </w:t>
      </w:r>
      <w:proofErr w:type="spellStart"/>
      <w:r w:rsidRPr="002A13E4">
        <w:rPr>
          <w:color w:val="000000" w:themeColor="text1"/>
        </w:rPr>
        <w:t>Fidell</w:t>
      </w:r>
      <w:bookmarkEnd w:id="61"/>
      <w:bookmarkEnd w:id="62"/>
      <w:proofErr w:type="spellEnd"/>
      <w:r w:rsidRPr="002A13E4">
        <w:rPr>
          <w:color w:val="000000" w:themeColor="text1"/>
        </w:rPr>
        <w:t>, L. S. (2007). </w:t>
      </w:r>
      <w:r w:rsidRPr="002A13E4">
        <w:rPr>
          <w:i/>
          <w:iCs/>
          <w:color w:val="000000" w:themeColor="text1"/>
        </w:rPr>
        <w:t>Using multivariate statistics</w:t>
      </w:r>
      <w:r w:rsidRPr="002A13E4">
        <w:rPr>
          <w:color w:val="000000" w:themeColor="text1"/>
        </w:rPr>
        <w:t> (5th ed). Pearson.</w:t>
      </w:r>
    </w:p>
    <w:p w14:paraId="67D7B9ED" w14:textId="77777777" w:rsidR="00F8346C" w:rsidRPr="002A13E4" w:rsidRDefault="00F8346C">
      <w:pPr>
        <w:spacing w:line="480" w:lineRule="auto"/>
        <w:ind w:left="720" w:hanging="720"/>
        <w:rPr>
          <w:color w:val="000000" w:themeColor="text1"/>
        </w:rPr>
      </w:pPr>
      <w:proofErr w:type="spellStart"/>
      <w:r w:rsidRPr="002A13E4">
        <w:rPr>
          <w:color w:val="000000" w:themeColor="text1"/>
        </w:rPr>
        <w:t>Takaku</w:t>
      </w:r>
      <w:proofErr w:type="spellEnd"/>
      <w:r w:rsidRPr="002A13E4">
        <w:rPr>
          <w:color w:val="000000" w:themeColor="text1"/>
        </w:rPr>
        <w:t>, S. (2001). The effects of apology and perspective taking on interpersonal forgiveness: A dissonance-attribution model of interpersonal forgiveness.</w:t>
      </w:r>
      <w:r w:rsidRPr="002A13E4">
        <w:rPr>
          <w:i/>
          <w:color w:val="000000" w:themeColor="text1"/>
        </w:rPr>
        <w:t> The Journal of Social Psychology</w:t>
      </w:r>
      <w:r w:rsidRPr="002A13E4">
        <w:rPr>
          <w:color w:val="000000" w:themeColor="text1"/>
        </w:rPr>
        <w:t>, </w:t>
      </w:r>
      <w:r w:rsidRPr="002A13E4">
        <w:rPr>
          <w:i/>
          <w:color w:val="000000" w:themeColor="text1"/>
        </w:rPr>
        <w:t>141</w:t>
      </w:r>
      <w:r w:rsidRPr="002A13E4">
        <w:rPr>
          <w:color w:val="000000" w:themeColor="text1"/>
        </w:rPr>
        <w:t xml:space="preserve">(4), 494–508. </w:t>
      </w:r>
    </w:p>
    <w:p w14:paraId="5A04A0DF" w14:textId="77777777" w:rsidR="00F8346C" w:rsidRPr="002A13E4" w:rsidRDefault="00F8346C">
      <w:pPr>
        <w:spacing w:line="480" w:lineRule="auto"/>
        <w:ind w:left="720" w:hanging="720"/>
        <w:rPr>
          <w:color w:val="000000" w:themeColor="text1"/>
        </w:rPr>
      </w:pPr>
      <w:r w:rsidRPr="002A13E4">
        <w:rPr>
          <w:color w:val="000000" w:themeColor="text1"/>
        </w:rPr>
        <w:t>Tomlinson, E. C., Dineen, B. R., &amp; Lewicki, R. J. (2004). The road to reconciliation: Antecedents of victim willingness to reconcile following a broken promise. </w:t>
      </w:r>
      <w:r w:rsidRPr="002A13E4">
        <w:rPr>
          <w:i/>
          <w:color w:val="000000" w:themeColor="text1"/>
        </w:rPr>
        <w:t>Journal of Management</w:t>
      </w:r>
      <w:r w:rsidRPr="002A13E4">
        <w:rPr>
          <w:color w:val="000000" w:themeColor="text1"/>
        </w:rPr>
        <w:t>, </w:t>
      </w:r>
      <w:r w:rsidRPr="002A13E4">
        <w:rPr>
          <w:i/>
          <w:color w:val="000000" w:themeColor="text1"/>
        </w:rPr>
        <w:t>30</w:t>
      </w:r>
      <w:r w:rsidRPr="002A13E4">
        <w:rPr>
          <w:color w:val="000000" w:themeColor="text1"/>
        </w:rPr>
        <w:t>(2), 165–187.</w:t>
      </w:r>
    </w:p>
    <w:p w14:paraId="7E9C7ACD" w14:textId="77777777" w:rsidR="00F8346C" w:rsidRPr="002A13E4" w:rsidRDefault="00F8346C">
      <w:pPr>
        <w:spacing w:line="480" w:lineRule="auto"/>
        <w:ind w:left="720" w:hanging="720"/>
        <w:rPr>
          <w:color w:val="000000" w:themeColor="text1"/>
        </w:rPr>
      </w:pPr>
      <w:r w:rsidRPr="002A13E4">
        <w:rPr>
          <w:color w:val="000000" w:themeColor="text1"/>
        </w:rPr>
        <w:t xml:space="preserve">Tomlinson, Edward C, &amp; </w:t>
      </w:r>
      <w:proofErr w:type="spellStart"/>
      <w:r w:rsidRPr="002A13E4">
        <w:rPr>
          <w:color w:val="000000" w:themeColor="text1"/>
        </w:rPr>
        <w:t>Mryer</w:t>
      </w:r>
      <w:proofErr w:type="spellEnd"/>
      <w:r w:rsidRPr="002A13E4">
        <w:rPr>
          <w:color w:val="000000" w:themeColor="text1"/>
        </w:rPr>
        <w:t>, Roger C. (2009). The role of causal attribution dimensions in trust repair. </w:t>
      </w:r>
      <w:r w:rsidRPr="002A13E4">
        <w:rPr>
          <w:i/>
          <w:color w:val="000000" w:themeColor="text1"/>
        </w:rPr>
        <w:t>The Academy of Management Review</w:t>
      </w:r>
      <w:r w:rsidRPr="002A13E4">
        <w:rPr>
          <w:color w:val="000000" w:themeColor="text1"/>
        </w:rPr>
        <w:t>, </w:t>
      </w:r>
      <w:r w:rsidRPr="002A13E4">
        <w:rPr>
          <w:i/>
          <w:color w:val="000000" w:themeColor="text1"/>
        </w:rPr>
        <w:t>34</w:t>
      </w:r>
      <w:r w:rsidRPr="002A13E4">
        <w:rPr>
          <w:color w:val="000000" w:themeColor="text1"/>
        </w:rPr>
        <w:t>(1), 85–104.</w:t>
      </w:r>
    </w:p>
    <w:p w14:paraId="54200AF9" w14:textId="77777777" w:rsidR="00F8346C" w:rsidRPr="002A13E4" w:rsidRDefault="00F8346C">
      <w:pPr>
        <w:spacing w:line="480" w:lineRule="auto"/>
        <w:ind w:left="720" w:hanging="720"/>
        <w:rPr>
          <w:color w:val="000000" w:themeColor="text1"/>
        </w:rPr>
      </w:pPr>
      <w:bookmarkStart w:id="63" w:name="_heading=h.147n2zr" w:colFirst="0" w:colLast="0"/>
      <w:bookmarkEnd w:id="63"/>
      <w:r w:rsidRPr="002A13E4">
        <w:rPr>
          <w:color w:val="000000" w:themeColor="text1"/>
        </w:rPr>
        <w:t xml:space="preserve">Tzeng, J. Y. (2004). Toward a more civilized design: Studying the effects of computers that apologize. </w:t>
      </w:r>
      <w:r w:rsidRPr="002A13E4">
        <w:rPr>
          <w:i/>
          <w:color w:val="000000" w:themeColor="text1"/>
        </w:rPr>
        <w:t>International Journal of Human-Computer Studies</w:t>
      </w:r>
      <w:r w:rsidRPr="002A13E4">
        <w:rPr>
          <w:color w:val="000000" w:themeColor="text1"/>
        </w:rPr>
        <w:t xml:space="preserve">, </w:t>
      </w:r>
      <w:r w:rsidRPr="002A13E4">
        <w:rPr>
          <w:i/>
          <w:color w:val="000000" w:themeColor="text1"/>
        </w:rPr>
        <w:t>61</w:t>
      </w:r>
      <w:r w:rsidRPr="002A13E4">
        <w:rPr>
          <w:color w:val="000000" w:themeColor="text1"/>
        </w:rPr>
        <w:t>(3), 319–345.</w:t>
      </w:r>
    </w:p>
    <w:p w14:paraId="6C51E013" w14:textId="77777777" w:rsidR="00F8346C" w:rsidRPr="002A13E4" w:rsidRDefault="00F8346C">
      <w:pPr>
        <w:spacing w:line="480" w:lineRule="auto"/>
        <w:ind w:left="720" w:hanging="720"/>
        <w:rPr>
          <w:color w:val="000000" w:themeColor="text1"/>
        </w:rPr>
      </w:pPr>
      <w:r w:rsidRPr="002A13E4">
        <w:rPr>
          <w:color w:val="000000" w:themeColor="text1"/>
        </w:rPr>
        <w:t xml:space="preserve">Utz, S., </w:t>
      </w:r>
      <w:proofErr w:type="spellStart"/>
      <w:r w:rsidRPr="002A13E4">
        <w:rPr>
          <w:color w:val="000000" w:themeColor="text1"/>
        </w:rPr>
        <w:t>Matzat</w:t>
      </w:r>
      <w:proofErr w:type="spellEnd"/>
      <w:r w:rsidRPr="002A13E4">
        <w:rPr>
          <w:color w:val="000000" w:themeColor="text1"/>
        </w:rPr>
        <w:t xml:space="preserve">, U., &amp; </w:t>
      </w:r>
      <w:proofErr w:type="spellStart"/>
      <w:r w:rsidRPr="002A13E4">
        <w:rPr>
          <w:color w:val="000000" w:themeColor="text1"/>
        </w:rPr>
        <w:t>Snijders</w:t>
      </w:r>
      <w:proofErr w:type="spellEnd"/>
      <w:r w:rsidRPr="002A13E4">
        <w:rPr>
          <w:color w:val="000000" w:themeColor="text1"/>
        </w:rPr>
        <w:t>, C. (2009). On-line reputation systems: The effects of feedback comments and reactions on building and rebuilding trust in on-line auctions. </w:t>
      </w:r>
      <w:r w:rsidRPr="002A13E4">
        <w:rPr>
          <w:i/>
          <w:color w:val="000000" w:themeColor="text1"/>
        </w:rPr>
        <w:t>International Journal of Electronic Commerce</w:t>
      </w:r>
      <w:r w:rsidRPr="002A13E4">
        <w:rPr>
          <w:color w:val="000000" w:themeColor="text1"/>
        </w:rPr>
        <w:t>, </w:t>
      </w:r>
      <w:r w:rsidRPr="002A13E4">
        <w:rPr>
          <w:i/>
          <w:color w:val="000000" w:themeColor="text1"/>
        </w:rPr>
        <w:t>13</w:t>
      </w:r>
      <w:r w:rsidRPr="002A13E4">
        <w:rPr>
          <w:color w:val="000000" w:themeColor="text1"/>
        </w:rPr>
        <w:t>(3), 95–118.</w:t>
      </w:r>
    </w:p>
    <w:p w14:paraId="1C0E2F24" w14:textId="77777777" w:rsidR="00F8346C" w:rsidRPr="002A13E4" w:rsidRDefault="00F8346C">
      <w:pPr>
        <w:spacing w:line="480" w:lineRule="auto"/>
        <w:ind w:left="720" w:hanging="720"/>
        <w:rPr>
          <w:color w:val="000000" w:themeColor="text1"/>
        </w:rPr>
      </w:pPr>
      <w:r w:rsidRPr="002A13E4">
        <w:rPr>
          <w:color w:val="000000" w:themeColor="text1"/>
        </w:rPr>
        <w:lastRenderedPageBreak/>
        <w:t xml:space="preserve">Vega, A., Ramírez-Benavides, K., Guerrero, L. A., &amp; López, G. (2019). Evaluating the NAO robot in the role of personal assistant: The effect of gender in robot performance evaluation. </w:t>
      </w:r>
      <w:r w:rsidRPr="002A13E4">
        <w:rPr>
          <w:i/>
          <w:color w:val="000000" w:themeColor="text1"/>
        </w:rPr>
        <w:t>Multidisciplinary Digital Publishing Institute Proceedings</w:t>
      </w:r>
      <w:r w:rsidRPr="002A13E4">
        <w:rPr>
          <w:color w:val="000000" w:themeColor="text1"/>
        </w:rPr>
        <w:t xml:space="preserve">, </w:t>
      </w:r>
      <w:r w:rsidRPr="002A13E4">
        <w:rPr>
          <w:i/>
          <w:color w:val="000000" w:themeColor="text1"/>
        </w:rPr>
        <w:t>31</w:t>
      </w:r>
      <w:r w:rsidRPr="002A13E4">
        <w:rPr>
          <w:color w:val="000000" w:themeColor="text1"/>
        </w:rPr>
        <w:t>(1), 20–20.</w:t>
      </w:r>
    </w:p>
    <w:p w14:paraId="673343D4" w14:textId="77777777" w:rsidR="00F8346C" w:rsidRPr="002A13E4" w:rsidRDefault="00F8346C">
      <w:pPr>
        <w:spacing w:line="480" w:lineRule="auto"/>
        <w:ind w:left="720" w:hanging="720"/>
        <w:rPr>
          <w:color w:val="000000" w:themeColor="text1"/>
        </w:rPr>
      </w:pPr>
      <w:r w:rsidRPr="002A13E4">
        <w:rPr>
          <w:color w:val="000000" w:themeColor="text1"/>
        </w:rPr>
        <w:t>Wagner, A. R. (2016). </w:t>
      </w:r>
      <w:r w:rsidRPr="002A13E4">
        <w:rPr>
          <w:i/>
          <w:color w:val="000000" w:themeColor="text1"/>
        </w:rPr>
        <w:t xml:space="preserve">Trust and trustworthiness in human-robot interaction: A formal conceptualization </w:t>
      </w:r>
      <w:r w:rsidRPr="002A13E4">
        <w:rPr>
          <w:color w:val="000000" w:themeColor="text1"/>
        </w:rPr>
        <w:t>(Final Report). Georgia Tech Research Institute, Air Force Research Laboratory website: https://apps.dtic.mil/sti/pdfs/AD1011180.pdf</w:t>
      </w:r>
    </w:p>
    <w:p w14:paraId="34BE0E5B" w14:textId="77777777" w:rsidR="00F8346C" w:rsidRPr="002A13E4" w:rsidRDefault="00F8346C">
      <w:pPr>
        <w:spacing w:line="480" w:lineRule="auto"/>
        <w:ind w:left="720" w:hanging="720"/>
        <w:rPr>
          <w:color w:val="000000" w:themeColor="text1"/>
        </w:rPr>
      </w:pPr>
      <w:proofErr w:type="spellStart"/>
      <w:r w:rsidRPr="002A13E4">
        <w:rPr>
          <w:color w:val="000000" w:themeColor="text1"/>
        </w:rPr>
        <w:t>Walfisch</w:t>
      </w:r>
      <w:proofErr w:type="spellEnd"/>
      <w:r w:rsidRPr="002A13E4">
        <w:rPr>
          <w:color w:val="000000" w:themeColor="text1"/>
        </w:rPr>
        <w:t xml:space="preserve">, T., Van Dijk, D., &amp; </w:t>
      </w:r>
      <w:proofErr w:type="spellStart"/>
      <w:r w:rsidRPr="002A13E4">
        <w:rPr>
          <w:color w:val="000000" w:themeColor="text1"/>
        </w:rPr>
        <w:t>Kark</w:t>
      </w:r>
      <w:proofErr w:type="spellEnd"/>
      <w:r w:rsidRPr="002A13E4">
        <w:rPr>
          <w:color w:val="000000" w:themeColor="text1"/>
        </w:rPr>
        <w:t>, R. (2013). Do you really expect me to apologize? The impact of status and gender on the effectiveness of an apology in the workplace. </w:t>
      </w:r>
      <w:r w:rsidRPr="002A13E4">
        <w:rPr>
          <w:i/>
          <w:color w:val="000000" w:themeColor="text1"/>
        </w:rPr>
        <w:t>Journal of Applied Social Psychology</w:t>
      </w:r>
      <w:r w:rsidRPr="002A13E4">
        <w:rPr>
          <w:color w:val="000000" w:themeColor="text1"/>
        </w:rPr>
        <w:t>, </w:t>
      </w:r>
      <w:r w:rsidRPr="002A13E4">
        <w:rPr>
          <w:i/>
          <w:color w:val="000000" w:themeColor="text1"/>
        </w:rPr>
        <w:t>43</w:t>
      </w:r>
      <w:r w:rsidRPr="002A13E4">
        <w:rPr>
          <w:color w:val="000000" w:themeColor="text1"/>
        </w:rPr>
        <w:t>(7), 1446–1458.</w:t>
      </w:r>
    </w:p>
    <w:p w14:paraId="7A3999F0" w14:textId="77777777" w:rsidR="00F8346C" w:rsidRPr="002A13E4" w:rsidRDefault="00F8346C">
      <w:pPr>
        <w:spacing w:line="480" w:lineRule="auto"/>
        <w:ind w:left="720" w:hanging="720"/>
        <w:rPr>
          <w:color w:val="000000" w:themeColor="text1"/>
        </w:rPr>
      </w:pPr>
      <w:r w:rsidRPr="002A13E4">
        <w:rPr>
          <w:color w:val="000000" w:themeColor="text1"/>
        </w:rPr>
        <w:t xml:space="preserve">Wang, L., Rau, P. L. P., Evers, V., Robinson, B. K., &amp; Hinds, P. (2010, March). When in Rome: the role of culture &amp; context in adherence to robot recommendations. </w:t>
      </w:r>
      <w:r w:rsidRPr="002A13E4">
        <w:rPr>
          <w:i/>
          <w:color w:val="000000" w:themeColor="text1"/>
        </w:rPr>
        <w:t>5th ACM/IEEE International Conference on Human-Robot Interaction</w:t>
      </w:r>
      <w:r w:rsidRPr="002A13E4">
        <w:rPr>
          <w:color w:val="000000" w:themeColor="text1"/>
        </w:rPr>
        <w:t>, 359–366. IEEE.</w:t>
      </w:r>
    </w:p>
    <w:p w14:paraId="0ED38713" w14:textId="77777777" w:rsidR="00F8346C" w:rsidRPr="002A13E4" w:rsidRDefault="00F8346C">
      <w:pPr>
        <w:spacing w:line="480" w:lineRule="auto"/>
        <w:ind w:left="720" w:hanging="720"/>
        <w:rPr>
          <w:color w:val="000000" w:themeColor="text1"/>
        </w:rPr>
      </w:pPr>
      <w:r w:rsidRPr="002A13E4">
        <w:rPr>
          <w:color w:val="000000" w:themeColor="text1"/>
        </w:rPr>
        <w:t>Weiner, B. (1985). An attributional theory of achievement motivation and emotion. </w:t>
      </w:r>
      <w:r w:rsidRPr="002A13E4">
        <w:rPr>
          <w:i/>
          <w:color w:val="000000" w:themeColor="text1"/>
        </w:rPr>
        <w:t>Psychological Review</w:t>
      </w:r>
      <w:r w:rsidRPr="002A13E4">
        <w:rPr>
          <w:color w:val="000000" w:themeColor="text1"/>
        </w:rPr>
        <w:t>, </w:t>
      </w:r>
      <w:r w:rsidRPr="002A13E4">
        <w:rPr>
          <w:i/>
          <w:color w:val="000000" w:themeColor="text1"/>
        </w:rPr>
        <w:t>92</w:t>
      </w:r>
      <w:r w:rsidRPr="002A13E4">
        <w:rPr>
          <w:color w:val="000000" w:themeColor="text1"/>
        </w:rPr>
        <w:t>(4), 548–573.</w:t>
      </w:r>
    </w:p>
    <w:p w14:paraId="63F1932E" w14:textId="77777777" w:rsidR="00F8346C" w:rsidRPr="002A13E4" w:rsidRDefault="00F8346C">
      <w:pPr>
        <w:spacing w:line="480" w:lineRule="auto"/>
        <w:ind w:left="720" w:hanging="720"/>
        <w:rPr>
          <w:color w:val="000000" w:themeColor="text1"/>
        </w:rPr>
      </w:pPr>
      <w:r w:rsidRPr="002A13E4">
        <w:rPr>
          <w:color w:val="000000" w:themeColor="text1"/>
        </w:rPr>
        <w:t>Weiner, B. (2008). Reflections on the history of attribution theory and research. </w:t>
      </w:r>
      <w:r w:rsidRPr="002A13E4">
        <w:rPr>
          <w:i/>
          <w:color w:val="000000" w:themeColor="text1"/>
        </w:rPr>
        <w:t>Social Psychology</w:t>
      </w:r>
      <w:r w:rsidRPr="002A13E4">
        <w:rPr>
          <w:color w:val="000000" w:themeColor="text1"/>
        </w:rPr>
        <w:t>, </w:t>
      </w:r>
      <w:r w:rsidRPr="002A13E4">
        <w:rPr>
          <w:i/>
          <w:color w:val="000000" w:themeColor="text1"/>
        </w:rPr>
        <w:t>39</w:t>
      </w:r>
      <w:r w:rsidRPr="002A13E4">
        <w:rPr>
          <w:color w:val="000000" w:themeColor="text1"/>
        </w:rPr>
        <w:t>(3), 151–156.</w:t>
      </w:r>
    </w:p>
    <w:p w14:paraId="45A83D27" w14:textId="77777777" w:rsidR="00F8346C" w:rsidRPr="002A13E4" w:rsidRDefault="00F8346C">
      <w:pPr>
        <w:spacing w:line="480" w:lineRule="auto"/>
        <w:ind w:left="720" w:hanging="720"/>
        <w:rPr>
          <w:color w:val="000000" w:themeColor="text1"/>
        </w:rPr>
      </w:pPr>
      <w:proofErr w:type="spellStart"/>
      <w:r w:rsidRPr="002A13E4">
        <w:rPr>
          <w:color w:val="000000" w:themeColor="text1"/>
        </w:rPr>
        <w:t>Weun</w:t>
      </w:r>
      <w:proofErr w:type="spellEnd"/>
      <w:r w:rsidRPr="002A13E4">
        <w:rPr>
          <w:color w:val="000000" w:themeColor="text1"/>
        </w:rPr>
        <w:t>, S., Beatty, S. E., &amp; Jones, M. A. (2004). The impact of service failure severity on service recovery evaluations and post‐recovery relationships. </w:t>
      </w:r>
      <w:r w:rsidRPr="002A13E4">
        <w:rPr>
          <w:i/>
          <w:color w:val="000000" w:themeColor="text1"/>
        </w:rPr>
        <w:t>The Journal of Services Marketing,</w:t>
      </w:r>
      <w:r w:rsidRPr="002A13E4">
        <w:rPr>
          <w:color w:val="000000" w:themeColor="text1"/>
        </w:rPr>
        <w:t> </w:t>
      </w:r>
      <w:r w:rsidRPr="002A13E4">
        <w:rPr>
          <w:i/>
          <w:color w:val="000000" w:themeColor="text1"/>
        </w:rPr>
        <w:t>18</w:t>
      </w:r>
      <w:r w:rsidRPr="002A13E4">
        <w:rPr>
          <w:color w:val="000000" w:themeColor="text1"/>
        </w:rPr>
        <w:t>(2), 133–146.</w:t>
      </w:r>
    </w:p>
    <w:p w14:paraId="623EDB28" w14:textId="77777777" w:rsidR="00F8346C" w:rsidRPr="002A13E4" w:rsidRDefault="00F8346C">
      <w:pPr>
        <w:spacing w:line="480" w:lineRule="auto"/>
        <w:ind w:left="720" w:hanging="720"/>
        <w:rPr>
          <w:color w:val="000000" w:themeColor="text1"/>
        </w:rPr>
      </w:pPr>
      <w:proofErr w:type="spellStart"/>
      <w:r w:rsidRPr="002A13E4">
        <w:rPr>
          <w:color w:val="000000" w:themeColor="text1"/>
        </w:rPr>
        <w:t>Wijnen</w:t>
      </w:r>
      <w:proofErr w:type="spellEnd"/>
      <w:r w:rsidRPr="002A13E4">
        <w:rPr>
          <w:color w:val="000000" w:themeColor="text1"/>
        </w:rPr>
        <w:t xml:space="preserve">, L., </w:t>
      </w:r>
      <w:proofErr w:type="spellStart"/>
      <w:r w:rsidRPr="002A13E4">
        <w:rPr>
          <w:color w:val="000000" w:themeColor="text1"/>
        </w:rPr>
        <w:t>Coenen</w:t>
      </w:r>
      <w:proofErr w:type="spellEnd"/>
      <w:r w:rsidRPr="002A13E4">
        <w:rPr>
          <w:color w:val="000000" w:themeColor="text1"/>
        </w:rPr>
        <w:t xml:space="preserve">, J., &amp; </w:t>
      </w:r>
      <w:proofErr w:type="spellStart"/>
      <w:r w:rsidRPr="002A13E4">
        <w:rPr>
          <w:color w:val="000000" w:themeColor="text1"/>
        </w:rPr>
        <w:t>Grzyb</w:t>
      </w:r>
      <w:proofErr w:type="spellEnd"/>
      <w:r w:rsidRPr="002A13E4">
        <w:rPr>
          <w:color w:val="000000" w:themeColor="text1"/>
        </w:rPr>
        <w:t xml:space="preserve">, B. (2017, March). “It's not my fault!”: Investigating the effects of the deceptive </w:t>
      </w:r>
      <w:proofErr w:type="spellStart"/>
      <w:r w:rsidRPr="002A13E4">
        <w:rPr>
          <w:color w:val="000000" w:themeColor="text1"/>
        </w:rPr>
        <w:t>behaviour</w:t>
      </w:r>
      <w:proofErr w:type="spellEnd"/>
      <w:r w:rsidRPr="002A13E4">
        <w:rPr>
          <w:color w:val="000000" w:themeColor="text1"/>
        </w:rPr>
        <w:t xml:space="preserve"> of a humanoid robot. </w:t>
      </w:r>
      <w:r w:rsidRPr="002A13E4">
        <w:rPr>
          <w:i/>
          <w:color w:val="000000" w:themeColor="text1"/>
        </w:rPr>
        <w:t>Proceedings of the Companion of the 2017 ACM/IEEE International Conference on Human-Robot Interaction</w:t>
      </w:r>
      <w:r w:rsidRPr="002A13E4">
        <w:rPr>
          <w:color w:val="000000" w:themeColor="text1"/>
        </w:rPr>
        <w:t>, 321–322.</w:t>
      </w:r>
    </w:p>
    <w:p w14:paraId="206A6D24" w14:textId="77777777" w:rsidR="00F8346C" w:rsidRPr="00E53644" w:rsidRDefault="00F8346C">
      <w:pPr>
        <w:spacing w:line="480" w:lineRule="auto"/>
        <w:ind w:left="720" w:hanging="720"/>
        <w:rPr>
          <w:rFonts w:ascii="Times" w:eastAsia="Times" w:hAnsi="Times" w:cs="Times"/>
          <w:color w:val="000000" w:themeColor="text1"/>
        </w:rPr>
      </w:pPr>
      <w:r w:rsidRPr="002A13E4">
        <w:rPr>
          <w:rFonts w:ascii="Times" w:eastAsia="Times" w:hAnsi="Times" w:cs="Times"/>
          <w:color w:val="000000" w:themeColor="text1"/>
        </w:rPr>
        <w:lastRenderedPageBreak/>
        <w:t>Xu, Q., Ng, J., Tan, O., Huang, Z., Tay, B., &amp; Park, T. (2015). Methodological issues in scenario-based evaluation of human–robot interaction. </w:t>
      </w:r>
      <w:r w:rsidRPr="002A13E4">
        <w:rPr>
          <w:rFonts w:ascii="Times" w:eastAsia="Times" w:hAnsi="Times" w:cs="Times"/>
          <w:i/>
          <w:color w:val="000000" w:themeColor="text1"/>
        </w:rPr>
        <w:t>International Journal of Social Robotics</w:t>
      </w:r>
      <w:r w:rsidRPr="002A13E4">
        <w:rPr>
          <w:rFonts w:ascii="Times" w:eastAsia="Times" w:hAnsi="Times" w:cs="Times"/>
          <w:color w:val="000000" w:themeColor="text1"/>
        </w:rPr>
        <w:t>, </w:t>
      </w:r>
      <w:r w:rsidRPr="002A13E4">
        <w:rPr>
          <w:rFonts w:ascii="Times" w:eastAsia="Times" w:hAnsi="Times" w:cs="Times"/>
          <w:i/>
          <w:color w:val="000000" w:themeColor="text1"/>
        </w:rPr>
        <w:t>7</w:t>
      </w:r>
      <w:r w:rsidRPr="002A13E4">
        <w:rPr>
          <w:rFonts w:ascii="Times" w:eastAsia="Times" w:hAnsi="Times" w:cs="Times"/>
          <w:color w:val="000000" w:themeColor="text1"/>
        </w:rPr>
        <w:t>(2), 279</w:t>
      </w:r>
      <w:r w:rsidRPr="002A13E4">
        <w:rPr>
          <w:color w:val="000000" w:themeColor="text1"/>
        </w:rPr>
        <w:t>–</w:t>
      </w:r>
      <w:r w:rsidRPr="002A13E4">
        <w:rPr>
          <w:rFonts w:ascii="Times" w:eastAsia="Times" w:hAnsi="Times" w:cs="Times"/>
          <w:color w:val="000000" w:themeColor="text1"/>
        </w:rPr>
        <w:t>291.</w:t>
      </w:r>
    </w:p>
    <w:sectPr w:rsidR="00F8346C" w:rsidRPr="00E53644">
      <w:head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60E0C" w14:textId="77777777" w:rsidR="009073E8" w:rsidRDefault="009073E8">
      <w:r>
        <w:separator/>
      </w:r>
    </w:p>
  </w:endnote>
  <w:endnote w:type="continuationSeparator" w:id="0">
    <w:p w14:paraId="29225549" w14:textId="77777777" w:rsidR="009073E8" w:rsidRDefault="0090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man">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334BD9" w14:textId="77777777" w:rsidR="009073E8" w:rsidRDefault="009073E8">
      <w:r>
        <w:separator/>
      </w:r>
    </w:p>
  </w:footnote>
  <w:footnote w:type="continuationSeparator" w:id="0">
    <w:p w14:paraId="6DE40E03" w14:textId="77777777" w:rsidR="009073E8" w:rsidRDefault="009073E8">
      <w:r>
        <w:continuationSeparator/>
      </w:r>
    </w:p>
  </w:footnote>
  <w:footnote w:id="1">
    <w:p w14:paraId="3DB82065" w14:textId="77777777" w:rsidR="00D53BDA" w:rsidRDefault="00D53BDA">
      <w:pPr>
        <w:pBdr>
          <w:top w:val="nil"/>
          <w:left w:val="nil"/>
          <w:bottom w:val="nil"/>
          <w:right w:val="nil"/>
          <w:between w:val="nil"/>
        </w:pBdr>
        <w:tabs>
          <w:tab w:val="center" w:pos="4680"/>
          <w:tab w:val="right" w:pos="9360"/>
        </w:tabs>
        <w:rPr>
          <w:color w:val="000000"/>
        </w:rPr>
      </w:pPr>
      <w:r>
        <w:rPr>
          <w:rStyle w:val="FootnoteReference"/>
        </w:rPr>
        <w:footnoteRef/>
      </w:r>
      <w:r>
        <w:rPr>
          <w:color w:val="000000"/>
        </w:rPr>
        <w:t xml:space="preserve"> CVR = (n</w:t>
      </w:r>
      <w:r>
        <w:rPr>
          <w:color w:val="000000"/>
          <w:vertAlign w:val="subscript"/>
        </w:rPr>
        <w:t>e</w:t>
      </w:r>
      <w:r>
        <w:rPr>
          <w:color w:val="000000"/>
        </w:rPr>
        <w:t xml:space="preserve"> - N/2) / (N/2)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3B85B" w14:textId="77777777" w:rsidR="00D53BDA" w:rsidRDefault="00D53BD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CF5C4" w14:textId="77777777" w:rsidR="00D53BDA" w:rsidRDefault="00D53BDA">
    <w:pPr>
      <w:pBdr>
        <w:top w:val="nil"/>
        <w:left w:val="nil"/>
        <w:bottom w:val="nil"/>
        <w:right w:val="nil"/>
        <w:between w:val="nil"/>
      </w:pBdr>
      <w:tabs>
        <w:tab w:val="center" w:pos="4680"/>
        <w:tab w:val="right" w:pos="9360"/>
      </w:tabs>
      <w:rPr>
        <w:color w:val="000000"/>
      </w:rPr>
    </w:pPr>
    <w:r>
      <w:rPr>
        <w:color w:val="000000"/>
      </w:rPr>
      <w:t xml:space="preserve">HRI TRUST REPAIR                                                                                             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527F7" w14:textId="77777777" w:rsidR="00F0489E" w:rsidRDefault="00F0489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CE57C" w14:textId="63C0B392" w:rsidR="00F0489E" w:rsidRDefault="00F0489E">
    <w:pPr>
      <w:pBdr>
        <w:top w:val="nil"/>
        <w:left w:val="nil"/>
        <w:bottom w:val="nil"/>
        <w:right w:val="nil"/>
        <w:between w:val="nil"/>
      </w:pBdr>
      <w:tabs>
        <w:tab w:val="center" w:pos="4680"/>
        <w:tab w:val="right" w:pos="9360"/>
      </w:tabs>
      <w:rPr>
        <w:color w:val="000000"/>
      </w:rPr>
    </w:pPr>
  </w:p>
  <w:p w14:paraId="3BCCA56E" w14:textId="77777777" w:rsidR="00F0489E" w:rsidRDefault="00F0489E">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F0219" w14:textId="6CF8E588" w:rsidR="00FB6FD0" w:rsidRDefault="00FB6FD0">
    <w:pPr>
      <w:pBdr>
        <w:top w:val="nil"/>
        <w:left w:val="nil"/>
        <w:bottom w:val="nil"/>
        <w:right w:val="nil"/>
        <w:between w:val="nil"/>
      </w:pBdr>
      <w:tabs>
        <w:tab w:val="center" w:pos="4680"/>
        <w:tab w:val="right" w:pos="9360"/>
      </w:tabs>
      <w:rPr>
        <w:color w:val="000000"/>
      </w:rPr>
    </w:pPr>
    <w:r>
      <w:rPr>
        <w:color w:val="000000"/>
      </w:rPr>
      <w:t xml:space="preserve">HRI TRUST REPAIR                                                                                                              </w:t>
    </w:r>
    <w:r w:rsidR="0050614B">
      <w:rPr>
        <w:color w:val="000000"/>
      </w:rPr>
      <w:t xml:space="preserve"> </w:t>
    </w:r>
    <w:r>
      <w:rPr>
        <w:color w:val="000000"/>
      </w:rPr>
      <w:t xml:space="preserve">      iv</w:t>
    </w:r>
  </w:p>
  <w:p w14:paraId="74E05039" w14:textId="77777777" w:rsidR="00FB6FD0" w:rsidRDefault="00FB6FD0">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21D34" w14:textId="7677CCCE" w:rsidR="00FB6FD0" w:rsidRDefault="00FB6FD0">
    <w:pPr>
      <w:pBdr>
        <w:top w:val="nil"/>
        <w:left w:val="nil"/>
        <w:bottom w:val="nil"/>
        <w:right w:val="nil"/>
        <w:between w:val="nil"/>
      </w:pBdr>
      <w:tabs>
        <w:tab w:val="center" w:pos="4680"/>
        <w:tab w:val="right" w:pos="9360"/>
      </w:tabs>
      <w:rPr>
        <w:color w:val="000000"/>
      </w:rPr>
    </w:pPr>
    <w:r>
      <w:rPr>
        <w:color w:val="000000"/>
      </w:rPr>
      <w:t xml:space="preserve">HRI TRUST REPAIR                                                                                                                   </w:t>
    </w:r>
    <w:r w:rsidR="0050614B">
      <w:rPr>
        <w:color w:val="000000"/>
      </w:rPr>
      <w:t xml:space="preserve">  v</w:t>
    </w:r>
    <w:r>
      <w:rPr>
        <w:color w:val="000000"/>
      </w:rPr>
      <w:t xml:space="preserve">                                             </w:t>
    </w:r>
  </w:p>
  <w:p w14:paraId="5C27117B" w14:textId="77777777" w:rsidR="00FB6FD0" w:rsidRDefault="00FB6FD0">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2F0EB" w14:textId="77777777" w:rsidR="0050614B" w:rsidRDefault="0050614B">
    <w:pPr>
      <w:pBdr>
        <w:top w:val="nil"/>
        <w:left w:val="nil"/>
        <w:bottom w:val="nil"/>
        <w:right w:val="nil"/>
        <w:between w:val="nil"/>
      </w:pBdr>
      <w:tabs>
        <w:tab w:val="center" w:pos="4680"/>
        <w:tab w:val="right" w:pos="9360"/>
      </w:tabs>
      <w:rPr>
        <w:color w:val="000000"/>
      </w:rPr>
    </w:pPr>
    <w:r>
      <w:rPr>
        <w:color w:val="000000"/>
      </w:rPr>
      <w:t xml:space="preserve">HRI TRUST REPAIR                                                                                                                   </w:t>
    </w:r>
    <w:r w:rsidRPr="00FB6FD0">
      <w:rPr>
        <w:color w:val="000000"/>
      </w:rPr>
      <w:fldChar w:fldCharType="begin"/>
    </w:r>
    <w:r w:rsidRPr="00FB6FD0">
      <w:rPr>
        <w:color w:val="000000"/>
      </w:rPr>
      <w:instrText xml:space="preserve"> PAGE   \* MERGEFORMAT </w:instrText>
    </w:r>
    <w:r w:rsidRPr="00FB6FD0">
      <w:rPr>
        <w:color w:val="000000"/>
      </w:rPr>
      <w:fldChar w:fldCharType="separate"/>
    </w:r>
    <w:r w:rsidRPr="00FB6FD0">
      <w:rPr>
        <w:noProof/>
        <w:color w:val="000000"/>
      </w:rPr>
      <w:t>1</w:t>
    </w:r>
    <w:r w:rsidRPr="00FB6FD0">
      <w:rPr>
        <w:noProof/>
        <w:color w:val="000000"/>
      </w:rPr>
      <w:fldChar w:fldCharType="end"/>
    </w:r>
    <w:r>
      <w:rPr>
        <w:color w:val="000000"/>
      </w:rPr>
      <w:t xml:space="preserve">                                               </w:t>
    </w:r>
  </w:p>
  <w:p w14:paraId="47A15AB0" w14:textId="77777777" w:rsidR="0050614B" w:rsidRDefault="0050614B">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FAE"/>
    <w:rsid w:val="00003E0C"/>
    <w:rsid w:val="000172C8"/>
    <w:rsid w:val="00026EA5"/>
    <w:rsid w:val="00031053"/>
    <w:rsid w:val="00035A6E"/>
    <w:rsid w:val="000442FD"/>
    <w:rsid w:val="00046C98"/>
    <w:rsid w:val="00063CF9"/>
    <w:rsid w:val="00080A66"/>
    <w:rsid w:val="00097B71"/>
    <w:rsid w:val="000B5DFB"/>
    <w:rsid w:val="000E5819"/>
    <w:rsid w:val="000F33EB"/>
    <w:rsid w:val="001131F8"/>
    <w:rsid w:val="00115F7A"/>
    <w:rsid w:val="00120228"/>
    <w:rsid w:val="00134428"/>
    <w:rsid w:val="00135184"/>
    <w:rsid w:val="0015587A"/>
    <w:rsid w:val="00185500"/>
    <w:rsid w:val="00185789"/>
    <w:rsid w:val="00186883"/>
    <w:rsid w:val="00187BAC"/>
    <w:rsid w:val="00187C93"/>
    <w:rsid w:val="001B2AD9"/>
    <w:rsid w:val="001C19EF"/>
    <w:rsid w:val="001C7E2A"/>
    <w:rsid w:val="001E37C8"/>
    <w:rsid w:val="001F0E4C"/>
    <w:rsid w:val="00202828"/>
    <w:rsid w:val="0022263C"/>
    <w:rsid w:val="00254B2F"/>
    <w:rsid w:val="00263275"/>
    <w:rsid w:val="00270D91"/>
    <w:rsid w:val="0027758A"/>
    <w:rsid w:val="002927B9"/>
    <w:rsid w:val="00293054"/>
    <w:rsid w:val="002937DD"/>
    <w:rsid w:val="00297254"/>
    <w:rsid w:val="002A13E4"/>
    <w:rsid w:val="002D582C"/>
    <w:rsid w:val="002D5D09"/>
    <w:rsid w:val="00300E33"/>
    <w:rsid w:val="003036E8"/>
    <w:rsid w:val="0032514F"/>
    <w:rsid w:val="003573AA"/>
    <w:rsid w:val="00365F9C"/>
    <w:rsid w:val="00366B17"/>
    <w:rsid w:val="00373597"/>
    <w:rsid w:val="00395881"/>
    <w:rsid w:val="00396317"/>
    <w:rsid w:val="003A26FA"/>
    <w:rsid w:val="003A5912"/>
    <w:rsid w:val="003B2DC1"/>
    <w:rsid w:val="003C0284"/>
    <w:rsid w:val="003D5495"/>
    <w:rsid w:val="00420752"/>
    <w:rsid w:val="00423EA9"/>
    <w:rsid w:val="00440C05"/>
    <w:rsid w:val="004460E7"/>
    <w:rsid w:val="00457B6C"/>
    <w:rsid w:val="00460CED"/>
    <w:rsid w:val="004720CD"/>
    <w:rsid w:val="004856BC"/>
    <w:rsid w:val="00490BEA"/>
    <w:rsid w:val="00491FDD"/>
    <w:rsid w:val="004920A7"/>
    <w:rsid w:val="0049646C"/>
    <w:rsid w:val="004B2EB5"/>
    <w:rsid w:val="004B6F99"/>
    <w:rsid w:val="004C78F5"/>
    <w:rsid w:val="004F1681"/>
    <w:rsid w:val="004F70E7"/>
    <w:rsid w:val="00502CE8"/>
    <w:rsid w:val="0050614B"/>
    <w:rsid w:val="00512827"/>
    <w:rsid w:val="00512AB5"/>
    <w:rsid w:val="00513B60"/>
    <w:rsid w:val="005439C9"/>
    <w:rsid w:val="00551788"/>
    <w:rsid w:val="00572E64"/>
    <w:rsid w:val="005836CC"/>
    <w:rsid w:val="0059288E"/>
    <w:rsid w:val="00597AA2"/>
    <w:rsid w:val="005C3AB8"/>
    <w:rsid w:val="005D070B"/>
    <w:rsid w:val="0060390A"/>
    <w:rsid w:val="0060479E"/>
    <w:rsid w:val="00604BE4"/>
    <w:rsid w:val="00607C91"/>
    <w:rsid w:val="006173C4"/>
    <w:rsid w:val="00627DF4"/>
    <w:rsid w:val="0064669B"/>
    <w:rsid w:val="00676E69"/>
    <w:rsid w:val="00680CFA"/>
    <w:rsid w:val="006865B2"/>
    <w:rsid w:val="006870B6"/>
    <w:rsid w:val="0069142B"/>
    <w:rsid w:val="006975D6"/>
    <w:rsid w:val="006A2356"/>
    <w:rsid w:val="006D2CF3"/>
    <w:rsid w:val="00764D82"/>
    <w:rsid w:val="007720AE"/>
    <w:rsid w:val="007736D7"/>
    <w:rsid w:val="00774516"/>
    <w:rsid w:val="00793C32"/>
    <w:rsid w:val="00793D97"/>
    <w:rsid w:val="0079544C"/>
    <w:rsid w:val="00797E92"/>
    <w:rsid w:val="007D27C6"/>
    <w:rsid w:val="007D3E0B"/>
    <w:rsid w:val="007D4B42"/>
    <w:rsid w:val="007E5D41"/>
    <w:rsid w:val="007F39C4"/>
    <w:rsid w:val="007F46BB"/>
    <w:rsid w:val="00806DFB"/>
    <w:rsid w:val="00810946"/>
    <w:rsid w:val="00816292"/>
    <w:rsid w:val="00872D91"/>
    <w:rsid w:val="00882B8A"/>
    <w:rsid w:val="008A17B5"/>
    <w:rsid w:val="008B7418"/>
    <w:rsid w:val="008D10F3"/>
    <w:rsid w:val="008E2B11"/>
    <w:rsid w:val="008F687A"/>
    <w:rsid w:val="00900382"/>
    <w:rsid w:val="009073E8"/>
    <w:rsid w:val="00922169"/>
    <w:rsid w:val="00926F37"/>
    <w:rsid w:val="009400AD"/>
    <w:rsid w:val="0094750E"/>
    <w:rsid w:val="00982B0A"/>
    <w:rsid w:val="009952E6"/>
    <w:rsid w:val="00A04914"/>
    <w:rsid w:val="00A10632"/>
    <w:rsid w:val="00A138CB"/>
    <w:rsid w:val="00A14F32"/>
    <w:rsid w:val="00A37D22"/>
    <w:rsid w:val="00A420EF"/>
    <w:rsid w:val="00A42A69"/>
    <w:rsid w:val="00A55991"/>
    <w:rsid w:val="00A57E4E"/>
    <w:rsid w:val="00A70F81"/>
    <w:rsid w:val="00A85737"/>
    <w:rsid w:val="00A9201B"/>
    <w:rsid w:val="00A93469"/>
    <w:rsid w:val="00AD5D61"/>
    <w:rsid w:val="00B05DAA"/>
    <w:rsid w:val="00B07488"/>
    <w:rsid w:val="00B166B7"/>
    <w:rsid w:val="00B172F7"/>
    <w:rsid w:val="00B4117E"/>
    <w:rsid w:val="00B6161F"/>
    <w:rsid w:val="00B623A1"/>
    <w:rsid w:val="00B73374"/>
    <w:rsid w:val="00B74A74"/>
    <w:rsid w:val="00BA3284"/>
    <w:rsid w:val="00BA3C5C"/>
    <w:rsid w:val="00BA58F6"/>
    <w:rsid w:val="00BB4149"/>
    <w:rsid w:val="00BC0658"/>
    <w:rsid w:val="00BC4E44"/>
    <w:rsid w:val="00BD6B4E"/>
    <w:rsid w:val="00BD6E98"/>
    <w:rsid w:val="00BE3642"/>
    <w:rsid w:val="00BF7627"/>
    <w:rsid w:val="00C75CCC"/>
    <w:rsid w:val="00C76597"/>
    <w:rsid w:val="00C84935"/>
    <w:rsid w:val="00CC7DA2"/>
    <w:rsid w:val="00CF518E"/>
    <w:rsid w:val="00D3157E"/>
    <w:rsid w:val="00D47D0C"/>
    <w:rsid w:val="00D47FDB"/>
    <w:rsid w:val="00D53BDA"/>
    <w:rsid w:val="00D64763"/>
    <w:rsid w:val="00D64CA4"/>
    <w:rsid w:val="00D656F9"/>
    <w:rsid w:val="00D73080"/>
    <w:rsid w:val="00D8598C"/>
    <w:rsid w:val="00D91144"/>
    <w:rsid w:val="00DA15AE"/>
    <w:rsid w:val="00DB7FAE"/>
    <w:rsid w:val="00DC42DA"/>
    <w:rsid w:val="00DD2A8A"/>
    <w:rsid w:val="00DD6189"/>
    <w:rsid w:val="00DE23BB"/>
    <w:rsid w:val="00DE5648"/>
    <w:rsid w:val="00DF2A44"/>
    <w:rsid w:val="00E127F2"/>
    <w:rsid w:val="00E142F4"/>
    <w:rsid w:val="00E16526"/>
    <w:rsid w:val="00E41B5B"/>
    <w:rsid w:val="00E42365"/>
    <w:rsid w:val="00E43A90"/>
    <w:rsid w:val="00E50C82"/>
    <w:rsid w:val="00E51950"/>
    <w:rsid w:val="00E53644"/>
    <w:rsid w:val="00E773A7"/>
    <w:rsid w:val="00EE29E3"/>
    <w:rsid w:val="00EE3426"/>
    <w:rsid w:val="00F01939"/>
    <w:rsid w:val="00F03D0E"/>
    <w:rsid w:val="00F0489E"/>
    <w:rsid w:val="00F1080A"/>
    <w:rsid w:val="00F147F7"/>
    <w:rsid w:val="00F17943"/>
    <w:rsid w:val="00F24F71"/>
    <w:rsid w:val="00F26570"/>
    <w:rsid w:val="00F40A32"/>
    <w:rsid w:val="00F4165D"/>
    <w:rsid w:val="00F4372C"/>
    <w:rsid w:val="00F8346C"/>
    <w:rsid w:val="00FA0A9F"/>
    <w:rsid w:val="00FA4A20"/>
    <w:rsid w:val="00FB6FD0"/>
    <w:rsid w:val="00FC1CA8"/>
    <w:rsid w:val="00FC4F95"/>
    <w:rsid w:val="00FF5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F5071"/>
  <w15:docId w15:val="{AE758C64-0BC5-9F49-B336-25F95F4D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CC5"/>
    <w:rPr>
      <w:rFonts w:eastAsia="Times New Roman"/>
    </w:rPr>
  </w:style>
  <w:style w:type="paragraph" w:styleId="Heading1">
    <w:name w:val="heading 1"/>
    <w:basedOn w:val="Normal"/>
    <w:next w:val="Normal"/>
    <w:link w:val="Heading1Char"/>
    <w:uiPriority w:val="9"/>
    <w:qFormat/>
    <w:rsid w:val="00B37784"/>
    <w:pPr>
      <w:keepNext/>
      <w:keepLines/>
      <w:spacing w:before="12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37784"/>
    <w:pPr>
      <w:keepNext/>
      <w:keepLines/>
      <w:spacing w:before="40" w:line="259" w:lineRule="auto"/>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D35334"/>
    <w:pPr>
      <w:keepNext/>
      <w:keepLines/>
      <w:spacing w:before="40" w:line="259" w:lineRule="auto"/>
      <w:outlineLvl w:val="2"/>
    </w:pPr>
    <w:rPr>
      <w:rFonts w:eastAsiaTheme="majorEastAsia" w:cstheme="majorBidi"/>
      <w:b/>
    </w:rPr>
  </w:style>
  <w:style w:type="paragraph" w:styleId="Heading4">
    <w:name w:val="heading 4"/>
    <w:basedOn w:val="Normal"/>
    <w:link w:val="Heading4Char"/>
    <w:uiPriority w:val="9"/>
    <w:semiHidden/>
    <w:unhideWhenUsed/>
    <w:qFormat/>
    <w:rsid w:val="00236BC6"/>
    <w:pPr>
      <w:spacing w:before="100" w:beforeAutospacing="1" w:after="100" w:afterAutospacing="1"/>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1313D6"/>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1313D6"/>
    <w:rPr>
      <w:rFonts w:ascii="Segoe UI" w:hAnsi="Segoe UI" w:cs="Segoe UI"/>
      <w:sz w:val="18"/>
      <w:szCs w:val="18"/>
    </w:rPr>
  </w:style>
  <w:style w:type="character" w:styleId="Hyperlink">
    <w:name w:val="Hyperlink"/>
    <w:basedOn w:val="DefaultParagraphFont"/>
    <w:uiPriority w:val="99"/>
    <w:unhideWhenUsed/>
    <w:rsid w:val="006849CF"/>
    <w:rPr>
      <w:color w:val="0000FF"/>
      <w:u w:val="single"/>
    </w:rPr>
  </w:style>
  <w:style w:type="character" w:styleId="Emphasis">
    <w:name w:val="Emphasis"/>
    <w:basedOn w:val="DefaultParagraphFont"/>
    <w:uiPriority w:val="20"/>
    <w:qFormat/>
    <w:rsid w:val="001A78B8"/>
    <w:rPr>
      <w:i/>
      <w:iCs/>
    </w:rPr>
  </w:style>
  <w:style w:type="character" w:customStyle="1" w:styleId="Heading4Char">
    <w:name w:val="Heading 4 Char"/>
    <w:basedOn w:val="DefaultParagraphFont"/>
    <w:link w:val="Heading4"/>
    <w:uiPriority w:val="9"/>
    <w:rsid w:val="00236BC6"/>
    <w:rPr>
      <w:rFonts w:eastAsia="Times New Roman"/>
      <w:b/>
      <w:bCs/>
      <w:szCs w:val="24"/>
    </w:rPr>
  </w:style>
  <w:style w:type="character" w:customStyle="1" w:styleId="zero-padding-top">
    <w:name w:val="zero-padding-top"/>
    <w:basedOn w:val="DefaultParagraphFont"/>
    <w:rsid w:val="00236BC6"/>
  </w:style>
  <w:style w:type="character" w:customStyle="1" w:styleId="margin-right-small">
    <w:name w:val="margin-right-small"/>
    <w:basedOn w:val="DefaultParagraphFont"/>
    <w:rsid w:val="00236BC6"/>
  </w:style>
  <w:style w:type="character" w:styleId="CommentReference">
    <w:name w:val="annotation reference"/>
    <w:basedOn w:val="DefaultParagraphFont"/>
    <w:uiPriority w:val="99"/>
    <w:semiHidden/>
    <w:unhideWhenUsed/>
    <w:rsid w:val="00C6558B"/>
    <w:rPr>
      <w:sz w:val="16"/>
      <w:szCs w:val="16"/>
    </w:rPr>
  </w:style>
  <w:style w:type="paragraph" w:styleId="CommentText">
    <w:name w:val="annotation text"/>
    <w:basedOn w:val="Normal"/>
    <w:link w:val="CommentTextChar"/>
    <w:uiPriority w:val="99"/>
    <w:semiHidden/>
    <w:unhideWhenUsed/>
    <w:rsid w:val="00C6558B"/>
    <w:pPr>
      <w:spacing w:after="160"/>
    </w:pPr>
    <w:rPr>
      <w:rFonts w:eastAsiaTheme="minorEastAsia"/>
      <w:sz w:val="20"/>
      <w:szCs w:val="20"/>
    </w:rPr>
  </w:style>
  <w:style w:type="character" w:customStyle="1" w:styleId="CommentTextChar">
    <w:name w:val="Comment Text Char"/>
    <w:basedOn w:val="DefaultParagraphFont"/>
    <w:link w:val="CommentText"/>
    <w:uiPriority w:val="99"/>
    <w:semiHidden/>
    <w:rsid w:val="00C6558B"/>
    <w:rPr>
      <w:sz w:val="20"/>
      <w:szCs w:val="20"/>
    </w:rPr>
  </w:style>
  <w:style w:type="paragraph" w:styleId="CommentSubject">
    <w:name w:val="annotation subject"/>
    <w:basedOn w:val="CommentText"/>
    <w:next w:val="CommentText"/>
    <w:link w:val="CommentSubjectChar"/>
    <w:uiPriority w:val="99"/>
    <w:semiHidden/>
    <w:unhideWhenUsed/>
    <w:rsid w:val="00C6558B"/>
    <w:rPr>
      <w:b/>
      <w:bCs/>
    </w:rPr>
  </w:style>
  <w:style w:type="character" w:customStyle="1" w:styleId="CommentSubjectChar">
    <w:name w:val="Comment Subject Char"/>
    <w:basedOn w:val="CommentTextChar"/>
    <w:link w:val="CommentSubject"/>
    <w:uiPriority w:val="99"/>
    <w:semiHidden/>
    <w:rsid w:val="00C6558B"/>
    <w:rPr>
      <w:b/>
      <w:bCs/>
      <w:sz w:val="20"/>
      <w:szCs w:val="20"/>
    </w:rPr>
  </w:style>
  <w:style w:type="paragraph" w:styleId="Header">
    <w:name w:val="header"/>
    <w:basedOn w:val="Normal"/>
    <w:link w:val="HeaderChar"/>
    <w:uiPriority w:val="99"/>
    <w:unhideWhenUsed/>
    <w:rsid w:val="0080404F"/>
    <w:pPr>
      <w:tabs>
        <w:tab w:val="center" w:pos="4680"/>
        <w:tab w:val="right" w:pos="9360"/>
      </w:tabs>
    </w:pPr>
    <w:rPr>
      <w:rFonts w:eastAsiaTheme="minorEastAsia"/>
      <w:szCs w:val="22"/>
    </w:rPr>
  </w:style>
  <w:style w:type="character" w:customStyle="1" w:styleId="HeaderChar">
    <w:name w:val="Header Char"/>
    <w:basedOn w:val="DefaultParagraphFont"/>
    <w:link w:val="Header"/>
    <w:uiPriority w:val="99"/>
    <w:rsid w:val="0080404F"/>
  </w:style>
  <w:style w:type="paragraph" w:styleId="Footer">
    <w:name w:val="footer"/>
    <w:basedOn w:val="Normal"/>
    <w:link w:val="FooterChar"/>
    <w:uiPriority w:val="99"/>
    <w:unhideWhenUsed/>
    <w:rsid w:val="0080404F"/>
    <w:pPr>
      <w:tabs>
        <w:tab w:val="center" w:pos="4680"/>
        <w:tab w:val="right" w:pos="9360"/>
      </w:tabs>
    </w:pPr>
    <w:rPr>
      <w:rFonts w:eastAsiaTheme="minorEastAsia"/>
      <w:szCs w:val="22"/>
    </w:rPr>
  </w:style>
  <w:style w:type="character" w:customStyle="1" w:styleId="FooterChar">
    <w:name w:val="Footer Char"/>
    <w:basedOn w:val="DefaultParagraphFont"/>
    <w:link w:val="Footer"/>
    <w:uiPriority w:val="99"/>
    <w:rsid w:val="0080404F"/>
  </w:style>
  <w:style w:type="table" w:styleId="TableGrid">
    <w:name w:val="Table Grid"/>
    <w:basedOn w:val="TableNormal"/>
    <w:uiPriority w:val="39"/>
    <w:rsid w:val="001A2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4D7A"/>
    <w:pPr>
      <w:spacing w:after="160" w:line="259" w:lineRule="auto"/>
      <w:ind w:left="720"/>
      <w:contextualSpacing/>
    </w:pPr>
    <w:rPr>
      <w:rFonts w:eastAsiaTheme="minorEastAsia"/>
      <w:szCs w:val="22"/>
    </w:rPr>
  </w:style>
  <w:style w:type="character" w:styleId="UnresolvedMention">
    <w:name w:val="Unresolved Mention"/>
    <w:basedOn w:val="DefaultParagraphFont"/>
    <w:uiPriority w:val="99"/>
    <w:semiHidden/>
    <w:unhideWhenUsed/>
    <w:rsid w:val="005436BC"/>
    <w:rPr>
      <w:color w:val="605E5C"/>
      <w:shd w:val="clear" w:color="auto" w:fill="E1DFDD"/>
    </w:rPr>
  </w:style>
  <w:style w:type="character" w:customStyle="1" w:styleId="Heading1Char">
    <w:name w:val="Heading 1 Char"/>
    <w:basedOn w:val="DefaultParagraphFont"/>
    <w:link w:val="Heading1"/>
    <w:uiPriority w:val="9"/>
    <w:rsid w:val="00B37784"/>
    <w:rPr>
      <w:rFonts w:eastAsiaTheme="majorEastAsia" w:cstheme="majorBidi"/>
      <w:b/>
      <w:szCs w:val="32"/>
    </w:rPr>
  </w:style>
  <w:style w:type="character" w:customStyle="1" w:styleId="Heading2Char">
    <w:name w:val="Heading 2 Char"/>
    <w:basedOn w:val="DefaultParagraphFont"/>
    <w:link w:val="Heading2"/>
    <w:uiPriority w:val="9"/>
    <w:rsid w:val="00B37784"/>
    <w:rPr>
      <w:rFonts w:eastAsiaTheme="majorEastAsia" w:cstheme="majorBidi"/>
      <w:b/>
      <w:szCs w:val="26"/>
    </w:rPr>
  </w:style>
  <w:style w:type="character" w:customStyle="1" w:styleId="Heading3Char">
    <w:name w:val="Heading 3 Char"/>
    <w:basedOn w:val="DefaultParagraphFont"/>
    <w:link w:val="Heading3"/>
    <w:uiPriority w:val="9"/>
    <w:rsid w:val="00D35334"/>
    <w:rPr>
      <w:rFonts w:eastAsiaTheme="majorEastAsia" w:cstheme="majorBidi"/>
      <w:b/>
      <w:szCs w:val="24"/>
    </w:rPr>
  </w:style>
  <w:style w:type="paragraph" w:styleId="NormalWeb">
    <w:name w:val="Normal (Web)"/>
    <w:basedOn w:val="Normal"/>
    <w:uiPriority w:val="99"/>
    <w:semiHidden/>
    <w:unhideWhenUsed/>
    <w:rsid w:val="00B15D7C"/>
    <w:pPr>
      <w:spacing w:before="100" w:beforeAutospacing="1" w:after="100" w:afterAutospacing="1"/>
    </w:pPr>
  </w:style>
  <w:style w:type="paragraph" w:styleId="BodyTextIndent">
    <w:name w:val="Body Text Indent"/>
    <w:basedOn w:val="Normal"/>
    <w:link w:val="BodyTextIndentChar"/>
    <w:uiPriority w:val="99"/>
    <w:semiHidden/>
    <w:unhideWhenUsed/>
    <w:rsid w:val="00587F17"/>
    <w:pPr>
      <w:autoSpaceDE w:val="0"/>
      <w:autoSpaceDN w:val="0"/>
      <w:spacing w:line="480" w:lineRule="auto"/>
      <w:ind w:firstLine="720"/>
    </w:pPr>
    <w:rPr>
      <w:rFonts w:ascii="Bookman" w:eastAsiaTheme="minorEastAsia" w:hAnsi="Bookman" w:cs="Calibri"/>
    </w:rPr>
  </w:style>
  <w:style w:type="character" w:customStyle="1" w:styleId="BodyTextIndentChar">
    <w:name w:val="Body Text Indent Char"/>
    <w:basedOn w:val="DefaultParagraphFont"/>
    <w:link w:val="BodyTextIndent"/>
    <w:uiPriority w:val="99"/>
    <w:semiHidden/>
    <w:rsid w:val="00587F17"/>
    <w:rPr>
      <w:rFonts w:ascii="Bookman" w:hAnsi="Bookman" w:cs="Calibri"/>
      <w:szCs w:val="24"/>
    </w:rPr>
  </w:style>
  <w:style w:type="character" w:customStyle="1" w:styleId="apple-converted-space">
    <w:name w:val="apple-converted-space"/>
    <w:basedOn w:val="DefaultParagraphFont"/>
    <w:rsid w:val="00E218F7"/>
  </w:style>
  <w:style w:type="paragraph" w:styleId="FootnoteText">
    <w:name w:val="footnote text"/>
    <w:basedOn w:val="Normal"/>
    <w:link w:val="FootnoteTextChar"/>
    <w:uiPriority w:val="99"/>
    <w:semiHidden/>
    <w:unhideWhenUsed/>
    <w:rsid w:val="009F462A"/>
    <w:rPr>
      <w:sz w:val="20"/>
      <w:szCs w:val="20"/>
    </w:rPr>
  </w:style>
  <w:style w:type="character" w:customStyle="1" w:styleId="FootnoteTextChar">
    <w:name w:val="Footnote Text Char"/>
    <w:basedOn w:val="DefaultParagraphFont"/>
    <w:link w:val="FootnoteText"/>
    <w:uiPriority w:val="99"/>
    <w:semiHidden/>
    <w:rsid w:val="009F462A"/>
    <w:rPr>
      <w:rFonts w:eastAsia="Times New Roman"/>
      <w:sz w:val="20"/>
      <w:szCs w:val="20"/>
    </w:rPr>
  </w:style>
  <w:style w:type="character" w:styleId="FootnoteReference">
    <w:name w:val="footnote reference"/>
    <w:basedOn w:val="DefaultParagraphFont"/>
    <w:uiPriority w:val="99"/>
    <w:semiHidden/>
    <w:unhideWhenUsed/>
    <w:rsid w:val="009F462A"/>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TOCHeading">
    <w:name w:val="TOC Heading"/>
    <w:basedOn w:val="Heading1"/>
    <w:next w:val="Normal"/>
    <w:uiPriority w:val="39"/>
    <w:unhideWhenUsed/>
    <w:qFormat/>
    <w:rsid w:val="00D64CA4"/>
    <w:pPr>
      <w:spacing w:before="240" w:line="259" w:lineRule="auto"/>
      <w:jc w:val="left"/>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D64CA4"/>
    <w:pPr>
      <w:spacing w:after="100"/>
    </w:pPr>
  </w:style>
  <w:style w:type="paragraph" w:styleId="TOC2">
    <w:name w:val="toc 2"/>
    <w:basedOn w:val="Normal"/>
    <w:next w:val="Normal"/>
    <w:autoRedefine/>
    <w:uiPriority w:val="39"/>
    <w:unhideWhenUsed/>
    <w:rsid w:val="00D64CA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45105">
      <w:bodyDiv w:val="1"/>
      <w:marLeft w:val="0"/>
      <w:marRight w:val="0"/>
      <w:marTop w:val="0"/>
      <w:marBottom w:val="0"/>
      <w:divBdr>
        <w:top w:val="none" w:sz="0" w:space="0" w:color="auto"/>
        <w:left w:val="none" w:sz="0" w:space="0" w:color="auto"/>
        <w:bottom w:val="none" w:sz="0" w:space="0" w:color="auto"/>
        <w:right w:val="none" w:sz="0" w:space="0" w:color="auto"/>
      </w:divBdr>
    </w:div>
    <w:div w:id="174002743">
      <w:bodyDiv w:val="1"/>
      <w:marLeft w:val="0"/>
      <w:marRight w:val="0"/>
      <w:marTop w:val="0"/>
      <w:marBottom w:val="0"/>
      <w:divBdr>
        <w:top w:val="none" w:sz="0" w:space="0" w:color="auto"/>
        <w:left w:val="none" w:sz="0" w:space="0" w:color="auto"/>
        <w:bottom w:val="none" w:sz="0" w:space="0" w:color="auto"/>
        <w:right w:val="none" w:sz="0" w:space="0" w:color="auto"/>
      </w:divBdr>
    </w:div>
    <w:div w:id="316619045">
      <w:bodyDiv w:val="1"/>
      <w:marLeft w:val="0"/>
      <w:marRight w:val="0"/>
      <w:marTop w:val="0"/>
      <w:marBottom w:val="0"/>
      <w:divBdr>
        <w:top w:val="none" w:sz="0" w:space="0" w:color="auto"/>
        <w:left w:val="none" w:sz="0" w:space="0" w:color="auto"/>
        <w:bottom w:val="none" w:sz="0" w:space="0" w:color="auto"/>
        <w:right w:val="none" w:sz="0" w:space="0" w:color="auto"/>
      </w:divBdr>
    </w:div>
    <w:div w:id="322314263">
      <w:bodyDiv w:val="1"/>
      <w:marLeft w:val="0"/>
      <w:marRight w:val="0"/>
      <w:marTop w:val="0"/>
      <w:marBottom w:val="0"/>
      <w:divBdr>
        <w:top w:val="none" w:sz="0" w:space="0" w:color="auto"/>
        <w:left w:val="none" w:sz="0" w:space="0" w:color="auto"/>
        <w:bottom w:val="none" w:sz="0" w:space="0" w:color="auto"/>
        <w:right w:val="none" w:sz="0" w:space="0" w:color="auto"/>
      </w:divBdr>
    </w:div>
    <w:div w:id="543059722">
      <w:bodyDiv w:val="1"/>
      <w:marLeft w:val="0"/>
      <w:marRight w:val="0"/>
      <w:marTop w:val="0"/>
      <w:marBottom w:val="0"/>
      <w:divBdr>
        <w:top w:val="none" w:sz="0" w:space="0" w:color="auto"/>
        <w:left w:val="none" w:sz="0" w:space="0" w:color="auto"/>
        <w:bottom w:val="none" w:sz="0" w:space="0" w:color="auto"/>
        <w:right w:val="none" w:sz="0" w:space="0" w:color="auto"/>
      </w:divBdr>
    </w:div>
    <w:div w:id="636031932">
      <w:bodyDiv w:val="1"/>
      <w:marLeft w:val="0"/>
      <w:marRight w:val="0"/>
      <w:marTop w:val="0"/>
      <w:marBottom w:val="0"/>
      <w:divBdr>
        <w:top w:val="none" w:sz="0" w:space="0" w:color="auto"/>
        <w:left w:val="none" w:sz="0" w:space="0" w:color="auto"/>
        <w:bottom w:val="none" w:sz="0" w:space="0" w:color="auto"/>
        <w:right w:val="none" w:sz="0" w:space="0" w:color="auto"/>
      </w:divBdr>
    </w:div>
    <w:div w:id="727848471">
      <w:bodyDiv w:val="1"/>
      <w:marLeft w:val="0"/>
      <w:marRight w:val="0"/>
      <w:marTop w:val="0"/>
      <w:marBottom w:val="0"/>
      <w:divBdr>
        <w:top w:val="none" w:sz="0" w:space="0" w:color="auto"/>
        <w:left w:val="none" w:sz="0" w:space="0" w:color="auto"/>
        <w:bottom w:val="none" w:sz="0" w:space="0" w:color="auto"/>
        <w:right w:val="none" w:sz="0" w:space="0" w:color="auto"/>
      </w:divBdr>
    </w:div>
    <w:div w:id="1206714986">
      <w:bodyDiv w:val="1"/>
      <w:marLeft w:val="0"/>
      <w:marRight w:val="0"/>
      <w:marTop w:val="0"/>
      <w:marBottom w:val="0"/>
      <w:divBdr>
        <w:top w:val="none" w:sz="0" w:space="0" w:color="auto"/>
        <w:left w:val="none" w:sz="0" w:space="0" w:color="auto"/>
        <w:bottom w:val="none" w:sz="0" w:space="0" w:color="auto"/>
        <w:right w:val="none" w:sz="0" w:space="0" w:color="auto"/>
      </w:divBdr>
    </w:div>
    <w:div w:id="1296763815">
      <w:bodyDiv w:val="1"/>
      <w:marLeft w:val="0"/>
      <w:marRight w:val="0"/>
      <w:marTop w:val="0"/>
      <w:marBottom w:val="0"/>
      <w:divBdr>
        <w:top w:val="none" w:sz="0" w:space="0" w:color="auto"/>
        <w:left w:val="none" w:sz="0" w:space="0" w:color="auto"/>
        <w:bottom w:val="none" w:sz="0" w:space="0" w:color="auto"/>
        <w:right w:val="none" w:sz="0" w:space="0" w:color="auto"/>
      </w:divBdr>
    </w:div>
    <w:div w:id="1863126692">
      <w:bodyDiv w:val="1"/>
      <w:marLeft w:val="0"/>
      <w:marRight w:val="0"/>
      <w:marTop w:val="0"/>
      <w:marBottom w:val="0"/>
      <w:divBdr>
        <w:top w:val="none" w:sz="0" w:space="0" w:color="auto"/>
        <w:left w:val="none" w:sz="0" w:space="0" w:color="auto"/>
        <w:bottom w:val="none" w:sz="0" w:space="0" w:color="auto"/>
        <w:right w:val="none" w:sz="0" w:space="0" w:color="auto"/>
      </w:divBdr>
    </w:div>
    <w:div w:id="1959945756">
      <w:bodyDiv w:val="1"/>
      <w:marLeft w:val="0"/>
      <w:marRight w:val="0"/>
      <w:marTop w:val="0"/>
      <w:marBottom w:val="0"/>
      <w:divBdr>
        <w:top w:val="none" w:sz="0" w:space="0" w:color="auto"/>
        <w:left w:val="none" w:sz="0" w:space="0" w:color="auto"/>
        <w:bottom w:val="none" w:sz="0" w:space="0" w:color="auto"/>
        <w:right w:val="none" w:sz="0" w:space="0" w:color="auto"/>
      </w:divBdr>
    </w:div>
    <w:div w:id="211956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https://ou-primo.hosted.exlibrisgroup.com/primo-explore/fulldisplay?docid=TN_cdi_proquest_miscellaneous_1674199081&amp;context=PC&amp;vid=OUNEW&amp;lang=en_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S0DqLparzz7mPiGtc8xJYr+i6aA==">AMUW2mX+DJlAr7By+ql467xnhTy8hZuzM98sdyR5ij/GxRqJHirjNc6klzI7gFVdIyBkPCoSibDc1HzZb8mjeogx03D1Hx0EyBRImGCZxvV16KzgtLMDmX2abFymvU9rOH0iJQQ1e0+0Oxr2y+r/29bdvlSW2h2XSwYDtgR8vAFJWNNzx+XF6kA6grzfED2GAfYX+8k7bfp4AblLGKr4kaf5/Loik7kRG5QCoYgfM8857OfDEHy+L1BREbMVLghTn3wsTYdPVKIiY78LQ/lN1mPBzPpHcYg6niK3OnJ5gKtSj8HNJwzSA087HOi5f5LTbPLQ+QEn/3lbGMxkF8uuzcffjNhtWFxzsSwc4n3T8TDQo/KZV0qIWIOBG+nTGXLCNQkmB2DAE51/2SJFVOgisIljRtZ9TzqVVfJB7Y72VZp6VjGntgEqoJLgeCCntpsCkaCWb0w/1jwdg2Fmke4urzZo8mkt/IhE+Kj1Lst1W3Pv0zxjV1lnX7fVZGeB6XjFsuRnaKh9gexm1BxRWvupXeTPcTKItPH0b5fUw+WC/K7gFGIu0nejs833xzg/8g5I7/umgIT4U+Oz1LeQU7ZbHjFK9y5BDW8Kow==</go:docsCustomData>
</go:gDocsCustomXmlDataStorage>
</file>

<file path=customXml/itemProps1.xml><?xml version="1.0" encoding="utf-8"?>
<ds:datastoreItem xmlns:ds="http://schemas.openxmlformats.org/officeDocument/2006/customXml" ds:itemID="{CE49ABFC-93BC-5A4E-A57E-60EE27223F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1</Pages>
  <Words>21141</Words>
  <Characters>120506</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Ceciley</dc:creator>
  <cp:lastModifiedBy>Zhang, Ceciley</cp:lastModifiedBy>
  <cp:revision>30</cp:revision>
  <cp:lastPrinted>2021-06-04T08:20:00Z</cp:lastPrinted>
  <dcterms:created xsi:type="dcterms:W3CDTF">2021-04-20T04:00:00Z</dcterms:created>
  <dcterms:modified xsi:type="dcterms:W3CDTF">2021-06-04T08:20:00Z</dcterms:modified>
</cp:coreProperties>
</file>